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6.700001pt;margin-top:49.010025pt;width:481.9pt;height:.1pt;mso-position-horizontal-relative:page;mso-position-vertical-relative:page;z-index:0" coordorigin="1134,980" coordsize="9638,2">
            <v:shape style="position:absolute;left:1134;top:980;width:9638;height:2" coordorigin="1134,980" coordsize="9638,0" path="m1134,980l10772,980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915" w:lineRule="exact"/>
        <w:ind w:left="382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7"/>
          <w:sz w:val="20"/>
          <w:szCs w:val="20"/>
        </w:rPr>
        <w:drawing>
          <wp:inline distT="0" distB="0" distL="0" distR="0">
            <wp:extent cx="1410624" cy="58102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10624" cy="581025"/>
                    </a:xfrm>
                    <a:prstGeom prst="rect">
                      <a:avLst/>
                    </a:prstGeom>
                  </pic:spPr>
                </pic:pic>
              </a:graphicData>
            </a:graphic>
          </wp:inline>
        </w:drawing>
      </w:r>
      <w:r>
        <w:rPr>
          <w:rFonts w:ascii="Times New Roman" w:hAnsi="Times New Roman" w:cs="Times New Roman" w:eastAsia="Times New Roman" w:hint="default"/>
          <w:position w:val="-17"/>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0" w:right="1015" w:firstLine="0"/>
        <w:jc w:val="center"/>
        <w:rPr>
          <w:rFonts w:ascii="宋体" w:hAnsi="宋体" w:cs="宋体" w:eastAsia="宋体" w:hint="default"/>
          <w:sz w:val="36"/>
          <w:szCs w:val="36"/>
        </w:rPr>
      </w:pPr>
      <w:r>
        <w:rPr>
          <w:rFonts w:ascii="宋体" w:hAnsi="宋体" w:cs="宋体" w:eastAsia="宋体" w:hint="default"/>
          <w:b/>
          <w:bCs/>
          <w:sz w:val="36"/>
          <w:szCs w:val="36"/>
        </w:rPr>
        <w:t>北京科蓝软件系统股份有限公司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0" w:right="102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8"/>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0" w:right="1015" w:firstLine="0"/>
        <w:jc w:val="center"/>
        <w:rPr>
          <w:rFonts w:ascii="Times New Roman" w:hAnsi="Times New Roman" w:cs="Times New Roman" w:eastAsia="Times New Roman" w:hint="default"/>
          <w:sz w:val="22"/>
          <w:szCs w:val="22"/>
        </w:rPr>
      </w:pPr>
      <w:r>
        <w:rPr>
          <w:rFonts w:ascii="Times New Roman"/>
          <w:b/>
          <w:sz w:val="22"/>
        </w:rPr>
        <w:t>2019-040</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9"/>
        <w:ind w:left="0" w:right="102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6" w:footer="978" w:top="1060" w:bottom="1160" w:left="1020" w:right="0"/>
        </w:sectPr>
      </w:pPr>
    </w:p>
    <w:p>
      <w:pPr>
        <w:spacing w:line="240" w:lineRule="auto" w:before="10"/>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Heading1"/>
        <w:spacing w:line="240" w:lineRule="auto"/>
        <w:ind w:left="2764"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2"/>
        <w:ind w:right="1128" w:firstLine="561"/>
        <w:jc w:val="both"/>
        <w:rPr>
          <w:b w:val="0"/>
          <w:bCs w:val="0"/>
        </w:rPr>
      </w:pPr>
      <w:r>
        <w:rPr>
          <w:spacing w:val="2"/>
        </w:rPr>
        <w:t>公司董事会、监事会及董事、监事、高级管理人员保证年度报告内容的真</w:t>
      </w:r>
      <w:r>
        <w:rPr>
          <w:w w:val="99"/>
        </w:rPr>
        <w:t> </w:t>
      </w:r>
      <w:r>
        <w:rPr>
          <w:spacing w:val="2"/>
        </w:rPr>
        <w:t>实、准确、完整，不存在虚假记载、误导性陈述或重大遗漏，并承担个别和连</w:t>
      </w:r>
      <w:r>
        <w:rPr>
          <w:spacing w:val="-135"/>
        </w:rPr>
        <w:t> </w:t>
      </w:r>
      <w:r>
        <w:rPr>
          <w:spacing w:val="-135"/>
        </w:rPr>
      </w:r>
      <w:r>
        <w:rPr/>
        <w:t>带的法律责任。</w:t>
      </w:r>
      <w:r>
        <w:rPr>
          <w:b w:val="0"/>
          <w:bCs w:val="0"/>
        </w:rPr>
      </w:r>
    </w:p>
    <w:p>
      <w:pPr>
        <w:pStyle w:val="Heading2"/>
        <w:spacing w:line="386" w:lineRule="auto" w:before="160"/>
        <w:ind w:right="1130" w:firstLine="561"/>
        <w:jc w:val="both"/>
        <w:rPr>
          <w:b w:val="0"/>
          <w:bCs w:val="0"/>
        </w:rPr>
      </w:pPr>
      <w:r>
        <w:rPr>
          <w:spacing w:val="-1"/>
        </w:rPr>
        <w:t>公司负责人王安京、主管会计工作负责人周旭红及会计机构负责人</w:t>
      </w:r>
      <w:r>
        <w:rPr>
          <w:rFonts w:ascii="Times New Roman" w:hAnsi="Times New Roman" w:cs="Times New Roman" w:eastAsia="Times New Roman" w:hint="default"/>
          <w:spacing w:val="-1"/>
        </w:rPr>
        <w:t>(</w:t>
      </w:r>
      <w:r>
        <w:rPr>
          <w:spacing w:val="-1"/>
        </w:rPr>
        <w:t>会计主</w:t>
      </w:r>
      <w:r>
        <w:rPr>
          <w:w w:val="99"/>
        </w:rPr>
        <w:t> </w:t>
      </w:r>
      <w:r>
        <w:rPr/>
        <w:t>管人员</w:t>
      </w:r>
      <w:r>
        <w:rPr>
          <w:rFonts w:ascii="Times New Roman" w:hAnsi="Times New Roman" w:cs="Times New Roman" w:eastAsia="Times New Roman" w:hint="default"/>
        </w:rPr>
        <w:t>)</w:t>
      </w:r>
      <w:r>
        <w:rPr/>
        <w:t>吴玉苹声明：保证年度报告中财务报告的真实、准确、完整。</w:t>
      </w:r>
      <w:r>
        <w:rPr>
          <w:b w:val="0"/>
          <w:bCs w:val="0"/>
        </w:rPr>
      </w:r>
    </w:p>
    <w:p>
      <w:pPr>
        <w:pStyle w:val="Heading2"/>
        <w:spacing w:line="475" w:lineRule="auto" w:before="148"/>
        <w:ind w:left="674" w:right="0"/>
        <w:jc w:val="left"/>
        <w:rPr>
          <w:b w:val="0"/>
          <w:bCs w:val="0"/>
        </w:rPr>
      </w:pPr>
      <w:r>
        <w:rPr/>
        <w:t>所有董事均已出席了审议本报告的董事会会议。</w:t>
      </w:r>
      <w:r>
        <w:rPr>
          <w:w w:val="99"/>
        </w:rPr>
        <w:t> </w:t>
      </w:r>
      <w:r>
        <w:rPr>
          <w:spacing w:val="2"/>
        </w:rPr>
        <w:t>本报告中所涉及的未来经营计划和未来目标等前瞻性陈述，不代表公司的</w:t>
      </w:r>
      <w:r>
        <w:rPr>
          <w:b w:val="0"/>
          <w:bCs w:val="0"/>
          <w:spacing w:val="2"/>
        </w:rPr>
      </w:r>
    </w:p>
    <w:p>
      <w:pPr>
        <w:pStyle w:val="Heading2"/>
        <w:spacing w:line="350" w:lineRule="exact"/>
        <w:ind w:right="0"/>
        <w:jc w:val="left"/>
        <w:rPr>
          <w:b w:val="0"/>
          <w:bCs w:val="0"/>
        </w:rPr>
      </w:pPr>
      <w:r>
        <w:rPr>
          <w:spacing w:val="2"/>
        </w:rPr>
        <w:t>盈利预测或对投资者的实质性承诺，敬请投资者注意投资风险。公司在发展过</w:t>
      </w:r>
      <w:r>
        <w:rPr>
          <w:b w:val="0"/>
          <w:bCs w:val="0"/>
          <w:spacing w:val="2"/>
        </w:rPr>
      </w:r>
    </w:p>
    <w:p>
      <w:pPr>
        <w:spacing w:line="240" w:lineRule="auto" w:before="9"/>
        <w:rPr>
          <w:rFonts w:ascii="宋体" w:hAnsi="宋体" w:cs="宋体" w:eastAsia="宋体" w:hint="default"/>
          <w:b/>
          <w:bCs/>
          <w:sz w:val="19"/>
          <w:szCs w:val="19"/>
        </w:rPr>
      </w:pPr>
    </w:p>
    <w:p>
      <w:pPr>
        <w:pStyle w:val="Heading2"/>
        <w:spacing w:line="408" w:lineRule="auto"/>
        <w:ind w:right="1128"/>
        <w:jc w:val="left"/>
        <w:rPr>
          <w:b w:val="0"/>
          <w:bCs w:val="0"/>
        </w:rPr>
      </w:pPr>
      <w:r>
        <w:rPr>
          <w:spacing w:val="2"/>
        </w:rPr>
        <w:t>程中，存在客户相对集中的风险、人力成本上升的风险等风险因素。具体内容</w:t>
      </w:r>
      <w:r>
        <w:rPr>
          <w:spacing w:val="-135"/>
        </w:rPr>
        <w:t> </w:t>
      </w:r>
      <w:r>
        <w:rPr>
          <w:spacing w:val="-135"/>
        </w:rPr>
      </w:r>
      <w:r>
        <w:rPr/>
        <w:t>详见</w:t>
      </w:r>
      <w:r>
        <w:rPr>
          <w:rFonts w:ascii="Times New Roman" w:hAnsi="Times New Roman" w:cs="Times New Roman" w:eastAsia="Times New Roman" w:hint="default"/>
        </w:rPr>
        <w:t>“</w:t>
      </w:r>
      <w:r>
        <w:rPr/>
        <w:t>第四节</w:t>
      </w:r>
      <w:r>
        <w:rPr>
          <w:spacing w:val="-24"/>
        </w:rPr>
        <w:t> </w:t>
      </w:r>
      <w:r>
        <w:rPr/>
        <w:t>经营情况讨论与分析</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九、公司未来发展的展望</w:t>
      </w:r>
      <w:r>
        <w:rPr>
          <w:rFonts w:ascii="Times New Roman" w:hAnsi="Times New Roman" w:cs="Times New Roman" w:eastAsia="Times New Roman" w:hint="default"/>
        </w:rPr>
        <w:t>”</w:t>
      </w:r>
      <w:r>
        <w:rPr/>
        <w:t>部分。</w:t>
      </w:r>
      <w:r>
        <w:rPr>
          <w:b w:val="0"/>
          <w:bCs w:val="0"/>
        </w:rPr>
      </w:r>
    </w:p>
    <w:p>
      <w:pPr>
        <w:pStyle w:val="Heading2"/>
        <w:spacing w:line="408" w:lineRule="auto" w:before="117"/>
        <w:ind w:right="1128" w:firstLine="561"/>
        <w:jc w:val="both"/>
        <w:rPr>
          <w:b w:val="0"/>
          <w:bCs w:val="0"/>
        </w:rPr>
      </w:pPr>
      <w:r>
        <w:rPr>
          <w:spacing w:val="2"/>
        </w:rPr>
        <w:t>公司经本次董事会审议通过的利润分配预案为：以实施利润分配股权登记</w:t>
      </w:r>
      <w:r>
        <w:rPr>
          <w:w w:val="99"/>
        </w:rPr>
        <w:t> 日的公司总股本为基数，向全体股东每</w:t>
      </w:r>
      <w:r>
        <w:rPr>
          <w:spacing w:val="-68"/>
          <w:w w:val="99"/>
        </w:rPr>
        <w:t> </w:t>
      </w:r>
      <w:r>
        <w:rPr>
          <w:rFonts w:ascii="Times New Roman" w:hAnsi="Times New Roman" w:cs="Times New Roman" w:eastAsia="Times New Roman" w:hint="default"/>
          <w:spacing w:val="-1"/>
          <w:w w:val="100"/>
        </w:rPr>
        <w:t>10 </w:t>
      </w:r>
      <w:r>
        <w:rPr>
          <w:w w:val="99"/>
        </w:rPr>
        <w:t>股派发现金红利</w:t>
      </w:r>
      <w:r>
        <w:rPr>
          <w:spacing w:val="-68"/>
          <w:w w:val="99"/>
        </w:rPr>
        <w:t> </w:t>
      </w:r>
      <w:r>
        <w:rPr>
          <w:rFonts w:ascii="Times New Roman" w:hAnsi="Times New Roman" w:cs="Times New Roman" w:eastAsia="Times New Roman" w:hint="default"/>
          <w:spacing w:val="-1"/>
          <w:w w:val="100"/>
        </w:rPr>
        <w:t>0.35</w:t>
      </w:r>
      <w:r>
        <w:rPr>
          <w:rFonts w:ascii="Times New Roman" w:hAnsi="Times New Roman" w:cs="Times New Roman" w:eastAsia="Times New Roman" w:hint="default"/>
          <w:spacing w:val="2"/>
          <w:w w:val="100"/>
        </w:rPr>
        <w:t> </w:t>
      </w:r>
      <w:r>
        <w:rPr>
          <w:spacing w:val="-21"/>
          <w:w w:val="99"/>
        </w:rPr>
        <w:t>元（含税），送</w:t>
      </w:r>
      <w:r>
        <w:rPr>
          <w:b w:val="0"/>
          <w:bCs w:val="0"/>
          <w:spacing w:val="-21"/>
        </w:rPr>
      </w:r>
    </w:p>
    <w:p>
      <w:pPr>
        <w:pStyle w:val="Heading2"/>
        <w:spacing w:line="240" w:lineRule="auto" w:before="19"/>
        <w:ind w:right="0"/>
        <w:jc w:val="left"/>
        <w:rPr>
          <w:b w:val="0"/>
          <w:bCs w:val="0"/>
        </w:rPr>
      </w:pPr>
      <w:r>
        <w:rPr>
          <w:spacing w:val="-1"/>
          <w:w w:val="99"/>
        </w:rPr>
        <w:t>红</w:t>
      </w:r>
      <w:r>
        <w:rPr>
          <w:w w:val="99"/>
        </w:rPr>
        <w:t>股</w:t>
      </w:r>
      <w:r>
        <w:rPr>
          <w:spacing w:val="-70"/>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2"/>
        </w:rPr>
        <w:t> </w:t>
      </w:r>
      <w:r>
        <w:rPr>
          <w:spacing w:val="-1"/>
          <w:w w:val="99"/>
        </w:rPr>
        <w:t>股（含</w:t>
      </w:r>
      <w:r>
        <w:rPr>
          <w:spacing w:val="2"/>
          <w:w w:val="99"/>
        </w:rPr>
        <w:t>税</w:t>
      </w:r>
      <w:r>
        <w:rPr>
          <w:spacing w:val="-142"/>
          <w:w w:val="99"/>
        </w:rPr>
        <w:t>）</w:t>
      </w:r>
      <w:r>
        <w:rPr>
          <w:spacing w:val="-1"/>
          <w:w w:val="99"/>
        </w:rPr>
        <w:t>，以资本</w:t>
      </w:r>
      <w:r>
        <w:rPr>
          <w:spacing w:val="2"/>
          <w:w w:val="99"/>
        </w:rPr>
        <w:t>公</w:t>
      </w:r>
      <w:r>
        <w:rPr>
          <w:spacing w:val="-1"/>
          <w:w w:val="99"/>
        </w:rPr>
        <w:t>积金向全体股东</w:t>
      </w:r>
      <w:r>
        <w:rPr>
          <w:w w:val="99"/>
        </w:rPr>
        <w:t>每</w:t>
      </w:r>
      <w:r>
        <w:rPr>
          <w:spacing w:val="-70"/>
        </w:rPr>
        <w:t> </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spacing w:val="-2"/>
        </w:rPr>
        <w:t> </w:t>
      </w:r>
      <w:r>
        <w:rPr>
          <w:spacing w:val="-1"/>
          <w:w w:val="99"/>
        </w:rPr>
        <w:t>股转</w:t>
      </w:r>
      <w:r>
        <w:rPr>
          <w:w w:val="99"/>
        </w:rPr>
        <w:t>增</w:t>
      </w:r>
      <w:r>
        <w:rPr>
          <w:spacing w:val="-72"/>
        </w:rPr>
        <w:t> </w:t>
      </w:r>
      <w:r>
        <w:rPr>
          <w:rFonts w:ascii="Times New Roman" w:hAnsi="Times New Roman" w:cs="Times New Roman" w:eastAsia="Times New Roman" w:hint="default"/>
          <w:w w:val="100"/>
        </w:rPr>
        <w:t>5</w:t>
      </w:r>
      <w:r>
        <w:rPr>
          <w:rFonts w:ascii="Times New Roman" w:hAnsi="Times New Roman" w:cs="Times New Roman" w:eastAsia="Times New Roman" w:hint="default"/>
        </w:rPr>
        <w:t> </w:t>
      </w:r>
      <w:r>
        <w:rPr>
          <w:spacing w:val="-1"/>
          <w:w w:val="99"/>
        </w:rPr>
        <w:t>股</w:t>
      </w:r>
      <w:r>
        <w:rPr>
          <w:w w:val="99"/>
        </w:rPr>
        <w:t>。</w:t>
      </w:r>
      <w:r>
        <w:rPr>
          <w:b w:val="0"/>
          <w:bCs w:val="0"/>
        </w:rPr>
      </w:r>
    </w:p>
    <w:p>
      <w:pPr>
        <w:spacing w:after="0" w:line="240" w:lineRule="auto"/>
        <w:jc w:val="left"/>
        <w:sectPr>
          <w:footerReference w:type="default" r:id="rId8"/>
          <w:pgSz w:w="11910" w:h="16840"/>
          <w:pgMar w:footer="978" w:header="746" w:top="1060" w:bottom="1160" w:left="1020" w:right="0"/>
          <w:pgNumType w:start="2"/>
        </w:sectPr>
      </w:pPr>
    </w:p>
    <w:p>
      <w:pPr>
        <w:spacing w:line="240" w:lineRule="auto" w:before="10"/>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8;height:2" coordorigin="7,7" coordsize="9638,2">
              <v:shape style="position:absolute;left:7;top:7;width:9638;height:2" coordorigin="7,7" coordsize="9638,0" path="m7,7l964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p>
      <w:pPr>
        <w:spacing w:line="460" w:lineRule="exact" w:before="0"/>
        <w:ind w:left="0" w:right="1017"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4"/>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41"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2"/>
              </w:rPr>
              <w:t> </w:t>
            </w:r>
            <w:r>
              <w:rPr/>
              <w:t>重要提示、目录和释义</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2"/>
              </w:rPr>
              <w:t> </w:t>
            </w:r>
            <w:r>
              <w:rPr/>
              <w:t>公司简介和主要财务指标</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9</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2"/>
              </w:rPr>
              <w:t> </w:t>
            </w:r>
            <w:r>
              <w:rPr/>
              <w:t>公司业务概要</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14</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2"/>
              </w:rPr>
              <w:t> </w:t>
            </w:r>
            <w:r>
              <w:rPr/>
              <w:t>经营情况讨论与分析</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29</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2"/>
              </w:rPr>
              <w:t> </w:t>
            </w:r>
            <w:r>
              <w:rPr/>
              <w:t>重要事项</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74</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2"/>
              </w:rPr>
              <w:t> </w:t>
            </w:r>
            <w:r>
              <w:rPr/>
              <w:t>股份变动及股东情况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84</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2"/>
              </w:rPr>
              <w:t> </w:t>
            </w:r>
            <w:r>
              <w:rPr/>
              <w:t>优先股相关情况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84</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第八节</w:t>
            </w:r>
            <w:r>
              <w:rPr>
                <w:spacing w:val="-2"/>
              </w:rPr>
              <w:t> </w:t>
            </w:r>
            <w:r>
              <w:rPr/>
              <w:t>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85</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2"/>
              </w:rPr>
              <w:t> </w:t>
            </w:r>
            <w:r>
              <w:rPr/>
              <w:t>公司治理</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92</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2"/>
              </w:rPr>
              <w:t> </w:t>
            </w:r>
            <w:r>
              <w:rPr/>
              <w:t>公司债券相关情况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98</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 财务报告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99</w:t>
            </w:r>
            <w:r>
              <w:rPr>
                <w:rFonts w:ascii="Times New Roman" w:hAnsi="Times New Roman" w:cs="Times New Roman" w:eastAsia="Times New Roman" w:hint="default"/>
                <w:b w:val="0"/>
                <w:bCs w:val="0"/>
              </w:rPr>
            </w:r>
          </w:hyperlink>
        </w:p>
        <w:p>
          <w:pPr>
            <w:pStyle w:val="TOC1"/>
            <w:tabs>
              <w:tab w:pos="974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 备查文件目录</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219</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6" w:footer="978" w:top="1060" w:bottom="1160" w:left="1020" w:right="0"/>
        </w:sectPr>
      </w:pPr>
    </w:p>
    <w:p>
      <w:pPr>
        <w:spacing w:before="947"/>
        <w:ind w:left="0" w:right="1017"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公司、本公司、科蓝软件</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北京科蓝软件系统股份有限公司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科蓝盛合</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宁波科蓝盛合投资管理合伙企业（有限合伙）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科蓝盈众</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宁波科蓝盈众投资管理合伙企业（有限合伙）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科蓝融创</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宁波科蓝融创投资管理合伙企业（有限合伙）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科蓝银科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宁波科蓝银科投资管理合伙企业（有限合伙）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科蓝金投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宁波科蓝金投投资管理合伙企业（有限合伙）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科蓝海联</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宁波科蓝海联投资管理合伙企业（有限合伙）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深圳科蓝</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深圳科蓝金信科技发展有限公司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香港科蓝</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科蓝软体系统</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数蚂科蓝</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北京数蚂科蓝科技有限公司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尼客矩阵</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北京尼客矩阵科技有限公司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SUNJE</w:t>
            </w:r>
            <w:r>
              <w:rPr>
                <w:rFonts w:ascii="Times New Roman"/>
                <w:spacing w:val="-4"/>
                <w:sz w:val="18"/>
              </w:rPr>
              <w:t> </w:t>
            </w:r>
            <w:r>
              <w:rPr>
                <w:rFonts w:ascii="Times New Roman"/>
                <w:sz w:val="18"/>
              </w:rPr>
              <w:t>SOFT</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SUNJE SOFT</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株式会社</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大陆云盾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大陆云盾电子认证服务有限公司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重庆巴云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重庆巴云科技有限公司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鑫合易家</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江苏鑫合易家信息技术有限责任公司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广州市民卡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广州市民卡信息系统有限公司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杭州兆富</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杭州兆富投资合伙企业（有限合伙）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上海文化基金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上海文化产业股权投资基金合伙企业（有限合伙）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广州司浦林</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广州司浦林信息产业创业投资企业（有限合伙）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杭州太一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杭州太一天择投资管理合伙企业（有限合伙）</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君研丰创</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深圳君创资本股权基金投资管理中心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更名为</w:t>
            </w:r>
            <w:r>
              <w:rPr>
                <w:rFonts w:ascii="宋体" w:hAnsi="宋体" w:cs="宋体" w:eastAsia="宋体" w:hint="default"/>
                <w:spacing w:val="-1"/>
                <w:sz w:val="18"/>
                <w:szCs w:val="18"/>
              </w:rPr>
              <w:t> </w:t>
            </w:r>
            <w:r>
              <w:rPr>
                <w:rFonts w:ascii="宋体" w:hAnsi="宋体" w:cs="宋体" w:eastAsia="宋体" w:hint="default"/>
                <w:sz w:val="18"/>
                <w:szCs w:val="18"/>
              </w:rPr>
              <w:t>新余高新区</w:t>
            </w:r>
            <w:r>
              <w:rPr>
                <w:rFonts w:ascii="宋体" w:hAnsi="宋体" w:cs="宋体" w:eastAsia="宋体" w:hint="default"/>
                <w:sz w:val="18"/>
                <w:szCs w:val="18"/>
              </w:rPr>
              <w:t> 君研丰创资本股权投资管理中心（有限合伙）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杭州先锋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杭州先锋基石股权投资合伙企业（有限合伙）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济宁先锋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济宁先锋基石股权投资企业（有限合伙）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证监会、中国证监会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《北京科蓝软件系统股份有限公司章程》</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股东大会、董事会、监事会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北京科蓝软件系统股份有限公司股东大会、董事会、监事会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人民币元、万元</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IT</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Information</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z w:val="18"/>
                <w:szCs w:val="18"/>
              </w:rPr>
              <w:t>Technology</w:t>
            </w:r>
            <w:r>
              <w:rPr>
                <w:rFonts w:ascii="宋体" w:hAnsi="宋体" w:cs="宋体" w:eastAsia="宋体" w:hint="default"/>
                <w:sz w:val="18"/>
                <w:szCs w:val="18"/>
              </w:rPr>
              <w:t>，信息技术的英文缩写</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解决方案</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由专业化的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企业为金融企业提供满足其分布式数据库、渠道、业 务、管理等需求的应用软件开发及相应技术服务</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科技金融</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2" w:right="21"/>
              <w:jc w:val="both"/>
              <w:rPr>
                <w:rFonts w:ascii="宋体" w:hAnsi="宋体" w:cs="宋体" w:eastAsia="宋体" w:hint="default"/>
                <w:sz w:val="18"/>
                <w:szCs w:val="18"/>
              </w:rPr>
            </w:pPr>
            <w:r>
              <w:rPr>
                <w:rFonts w:ascii="宋体" w:hAnsi="宋体" w:cs="宋体" w:eastAsia="宋体" w:hint="default"/>
                <w:sz w:val="18"/>
                <w:szCs w:val="18"/>
              </w:rPr>
              <w:t>指以依托于移动支付、云计算、社交网络以及搜索引擎、</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等互联 </w:t>
            </w:r>
            <w:r>
              <w:rPr>
                <w:rFonts w:ascii="宋体" w:hAnsi="宋体" w:cs="宋体" w:eastAsia="宋体" w:hint="default"/>
                <w:spacing w:val="-2"/>
                <w:sz w:val="18"/>
                <w:szCs w:val="18"/>
              </w:rPr>
              <w:t>网工具，实现资金融通、支付和信息中介等业务的一种新兴金融，是</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传统金融行业与互联网精神相结合的新兴领域</w:t>
            </w:r>
          </w:p>
        </w:tc>
      </w:tr>
      <w:tr>
        <w:trPr>
          <w:trHeight w:val="165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直销银行</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both"/>
              <w:rPr>
                <w:rFonts w:ascii="宋体" w:hAnsi="宋体" w:cs="宋体" w:eastAsia="宋体" w:hint="default"/>
                <w:sz w:val="18"/>
                <w:szCs w:val="18"/>
              </w:rPr>
            </w:pPr>
            <w:r>
              <w:rPr>
                <w:rFonts w:ascii="宋体" w:hAnsi="宋体" w:cs="宋体" w:eastAsia="宋体" w:hint="default"/>
                <w:spacing w:val="-2"/>
                <w:sz w:val="18"/>
                <w:szCs w:val="18"/>
              </w:rPr>
              <w:t>互联网银行或者虚拟银行，是互联网时代应运而生的一种新型银行运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作模式，这一经营模式下，银行没有营业网点，不发放实体银行卡， </w:t>
            </w:r>
            <w:r>
              <w:rPr>
                <w:rFonts w:ascii="宋体" w:hAnsi="宋体" w:cs="宋体" w:eastAsia="宋体" w:hint="default"/>
                <w:spacing w:val="-2"/>
                <w:sz w:val="18"/>
                <w:szCs w:val="18"/>
              </w:rPr>
              <w:t>客户主要通过电脑、电子邮件、手机、电话等远程渠道获取银行产品</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和服务，因没有网点经营费用，直销银行可以为银行客户提供更有竞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争力的存贷款价格及更低的手续费率</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2" w:right="21"/>
              <w:jc w:val="both"/>
              <w:rPr>
                <w:rFonts w:ascii="宋体" w:hAnsi="宋体" w:cs="宋体" w:eastAsia="宋体" w:hint="default"/>
                <w:sz w:val="18"/>
                <w:szCs w:val="18"/>
              </w:rPr>
            </w:pPr>
            <w:r>
              <w:rPr>
                <w:rFonts w:ascii="宋体" w:hAnsi="宋体" w:cs="宋体" w:eastAsia="宋体" w:hint="default"/>
                <w:spacing w:val="-2"/>
                <w:sz w:val="18"/>
                <w:szCs w:val="18"/>
              </w:rPr>
              <w:t>基于互联网的商业计算模型，通过网络以按需、易扩展的方式获得所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需计算服务，这种服务可以是</w:t>
            </w:r>
            <w:r>
              <w:rPr>
                <w:rFonts w:ascii="宋体" w:hAnsi="宋体" w:cs="宋体" w:eastAsia="宋体" w:hint="default"/>
                <w:spacing w:val="-57"/>
                <w:sz w:val="18"/>
                <w:szCs w:val="18"/>
              </w:rPr>
              <w:t> </w:t>
            </w:r>
            <w:r>
              <w:rPr>
                <w:rFonts w:ascii="Times New Roman" w:hAnsi="Times New Roman" w:cs="Times New Roman" w:eastAsia="Times New Roman" w:hint="default"/>
                <w:spacing w:val="-3"/>
                <w:sz w:val="18"/>
                <w:szCs w:val="18"/>
              </w:rPr>
              <w:t>IT</w:t>
            </w:r>
            <w:r>
              <w:rPr>
                <w:rFonts w:ascii="宋体" w:hAnsi="宋体" w:cs="宋体" w:eastAsia="宋体" w:hint="default"/>
                <w:spacing w:val="-3"/>
                <w:sz w:val="18"/>
                <w:szCs w:val="18"/>
              </w:rPr>
              <w:t>、软件或互联网相关，也可以是其他</w:t>
            </w:r>
            <w:r>
              <w:rPr>
                <w:rFonts w:ascii="宋体" w:hAnsi="宋体" w:cs="宋体" w:eastAsia="宋体" w:hint="default"/>
                <w:sz w:val="18"/>
                <w:szCs w:val="18"/>
              </w:rPr>
              <w:t> 服务，也即意味着计算能力可以作为一种商品通过互联网进行流通</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所涉及的资料量规模巨大到无法透过目前主流软件工具，在合理时间</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内达到撷取、管理、处理并整理成为帮助企业经营决策更积极目的的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资讯</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区块链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2"/>
                <w:sz w:val="18"/>
                <w:szCs w:val="18"/>
              </w:rPr>
              <w:t>分布式数据存储、点对点传输、共识机制、加密算法等计算机技术的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新型应用模式</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当下几乎所有技术与计算机、互联网技术的结合，实现物体与物体之</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间：环境以及</w:t>
            </w:r>
            <w:r>
              <w:rPr>
                <w:rFonts w:ascii="宋体" w:hAnsi="宋体" w:cs="宋体" w:eastAsia="宋体" w:hint="default"/>
                <w:spacing w:val="1"/>
                <w:sz w:val="18"/>
                <w:szCs w:val="18"/>
              </w:rPr>
              <w:t> </w:t>
            </w:r>
            <w:r>
              <w:rPr>
                <w:rFonts w:ascii="宋体" w:hAnsi="宋体" w:cs="宋体" w:eastAsia="宋体" w:hint="default"/>
                <w:sz w:val="18"/>
                <w:szCs w:val="18"/>
              </w:rPr>
              <w:t>状态信息实时的实时共享以及智能化的收集、传递、</w:t>
            </w:r>
            <w:r>
              <w:rPr>
                <w:rFonts w:ascii="宋体" w:hAnsi="宋体" w:cs="宋体" w:eastAsia="宋体" w:hint="default"/>
                <w:sz w:val="18"/>
                <w:szCs w:val="18"/>
              </w:rPr>
              <w:t> 处理、执行</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CRM</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Customer Relationship</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Management</w:t>
            </w:r>
            <w:r>
              <w:rPr>
                <w:rFonts w:ascii="宋体" w:hAnsi="宋体" w:cs="宋体" w:eastAsia="宋体" w:hint="default"/>
                <w:sz w:val="18"/>
                <w:szCs w:val="18"/>
              </w:rPr>
              <w:t>，即客户关系管理，旨在通过对客 </w:t>
            </w:r>
            <w:r>
              <w:rPr>
                <w:rFonts w:ascii="宋体" w:hAnsi="宋体" w:cs="宋体" w:eastAsia="宋体" w:hint="default"/>
                <w:spacing w:val="-2"/>
                <w:sz w:val="18"/>
                <w:szCs w:val="18"/>
              </w:rPr>
              <w:t>户详细资料的深入分析来提高客户满意程度、从而提高企业的竞争力</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ECIF</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64"/>
              <w:jc w:val="left"/>
              <w:rPr>
                <w:rFonts w:ascii="宋体" w:hAnsi="宋体" w:cs="宋体" w:eastAsia="宋体" w:hint="default"/>
                <w:sz w:val="18"/>
                <w:szCs w:val="18"/>
              </w:rPr>
            </w:pPr>
            <w:r>
              <w:rPr>
                <w:rFonts w:ascii="Times New Roman" w:hAnsi="Times New Roman" w:cs="Times New Roman" w:eastAsia="Times New Roman" w:hint="default"/>
                <w:sz w:val="18"/>
                <w:szCs w:val="18"/>
              </w:rPr>
              <w:t>Enterprise Customer Information</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Facility</w:t>
            </w:r>
            <w:r>
              <w:rPr>
                <w:rFonts w:ascii="宋体" w:hAnsi="宋体" w:cs="宋体" w:eastAsia="宋体" w:hint="default"/>
                <w:sz w:val="18"/>
                <w:szCs w:val="18"/>
              </w:rPr>
              <w:t>，企业级客户信息整合系统， 是指对企业的客户信息进行整合，形成集中、全面的客户信息的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系统</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ISO</w:t>
            </w:r>
            <w:r>
              <w:rPr>
                <w:rFonts w:ascii="Times New Roman"/>
                <w:spacing w:val="-1"/>
                <w:sz w:val="18"/>
              </w:rPr>
              <w:t> </w:t>
            </w:r>
            <w:r>
              <w:rPr>
                <w:rFonts w:ascii="Times New Roman"/>
                <w:sz w:val="18"/>
              </w:rPr>
              <w:t>9001</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22" w:right="21"/>
              <w:jc w:val="both"/>
              <w:rPr>
                <w:rFonts w:ascii="宋体" w:hAnsi="宋体" w:cs="宋体" w:eastAsia="宋体" w:hint="default"/>
                <w:sz w:val="18"/>
                <w:szCs w:val="18"/>
              </w:rPr>
            </w:pPr>
            <w:r>
              <w:rPr>
                <w:rFonts w:ascii="宋体" w:hAnsi="宋体" w:cs="宋体" w:eastAsia="宋体" w:hint="default"/>
                <w:sz w:val="18"/>
                <w:szCs w:val="18"/>
              </w:rPr>
              <w:t>国际标准化组织（</w:t>
            </w:r>
            <w:r>
              <w:rPr>
                <w:rFonts w:ascii="Times New Roman" w:hAnsi="Times New Roman" w:cs="Times New Roman" w:eastAsia="Times New Roman" w:hint="default"/>
                <w:sz w:val="18"/>
                <w:szCs w:val="18"/>
              </w:rPr>
              <w:t>ISO</w:t>
            </w:r>
            <w:r>
              <w:rPr>
                <w:rFonts w:ascii="宋体" w:hAnsi="宋体" w:cs="宋体" w:eastAsia="宋体" w:hint="default"/>
                <w:sz w:val="18"/>
                <w:szCs w:val="18"/>
              </w:rPr>
              <w:t>）颁布的质量管理体系认证标准，该标准对质 </w:t>
            </w:r>
            <w:r>
              <w:rPr>
                <w:rFonts w:ascii="宋体" w:hAnsi="宋体" w:cs="宋体" w:eastAsia="宋体" w:hint="default"/>
                <w:spacing w:val="-2"/>
                <w:sz w:val="18"/>
                <w:szCs w:val="18"/>
              </w:rPr>
              <w:t>量管理体系、管理职责、资源管理、产品实现以及测量、分析和改进</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等方面提出了严格要求</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OSGI</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Open</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Service</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Gateway</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Initiative</w:t>
            </w:r>
            <w:r>
              <w:rPr>
                <w:rFonts w:ascii="宋体" w:hAnsi="宋体" w:cs="宋体" w:eastAsia="宋体" w:hint="default"/>
                <w:sz w:val="18"/>
                <w:szCs w:val="18"/>
              </w:rPr>
              <w:t>，是一项面向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Java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的动态模型系统的 技术</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PowerEngine</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公司用于应用开发的拥有自主知识产权的应用开发平台</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606"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0"/>
        <w:jc w:val="left"/>
        <w:rPr>
          <w:b w:val="0"/>
          <w:bCs w:val="0"/>
        </w:rPr>
      </w:pPr>
      <w:r>
        <w:rPr/>
        <w:pict>
          <v:shape style="position:absolute;margin-left:165pt;margin-top:114.645607pt;width:370.05pt;height:19.7pt;mso-position-horizontal-relative:page;mso-position-vertical-relative:paragraph;z-index:-1503208" type="#_x0000_t202" filled="false" stroked="false">
            <v:textbox inset="0,0,0,0">
              <w:txbxContent>
                <w:p>
                  <w:pPr>
                    <w:pStyle w:val="BodyText"/>
                    <w:spacing w:line="240" w:lineRule="auto" w:before="52"/>
                    <w:ind w:left="0" w:right="0"/>
                    <w:jc w:val="left"/>
                  </w:pPr>
                  <w:r>
                    <w:rPr/>
                    <w:t>）</w:t>
                  </w:r>
                </w:p>
              </w:txbxContent>
            </v:textbox>
            <w10:wrap type="none"/>
          </v:shape>
        </w:pict>
      </w:r>
      <w:r>
        <w:rPr/>
        <w:pict>
          <v:group style="position:absolute;margin-left:171.050003pt;margin-top:114.645607pt;width:364pt;height:19.850pt;mso-position-horizontal-relative:page;mso-position-vertical-relative:paragraph;z-index:-1503184" coordorigin="3421,2293" coordsize="7280,397">
            <v:shape style="position:absolute;left:3421;top:2293;width:7280;height:397" coordorigin="3421,2293" coordsize="7280,397" path="m3421,2293l10701,2293,10701,2690,3421,2690,3421,2293xe" filled="true" fillcolor="#ffffff" stroked="false">
              <v:path arrowok="t"/>
              <v:fill type="solid"/>
            </v:shape>
            <w10:wrap type="none"/>
          </v:group>
        </w:pict>
      </w:r>
      <w:bookmarkStart w:name="一、公司信息" w:id="4"/>
      <w:bookmarkEnd w:id="4"/>
      <w:r>
        <w:rPr>
          <w:b w:val="0"/>
          <w:bCs w:val="0"/>
        </w:rPr>
      </w: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3"/>
        <w:gridCol w:w="2156"/>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科蓝软件</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300663</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北京科蓝软件系统股份有限公司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科蓝软件</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Client Service International,</w:t>
            </w:r>
            <w:r>
              <w:rPr>
                <w:rFonts w:ascii="Times New Roman"/>
                <w:spacing w:val="-13"/>
                <w:sz w:val="18"/>
              </w:rPr>
              <w:t> </w:t>
            </w:r>
            <w:r>
              <w:rPr>
                <w:rFonts w:ascii="Times New Roman"/>
                <w:sz w:val="18"/>
              </w:rPr>
              <w:t>Inc.</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CSII</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王安京</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北京市北京经济技术开发区西环南路 </w:t>
            </w:r>
            <w:r>
              <w:rPr>
                <w:rFonts w:ascii="Times New Roman" w:hAnsi="Times New Roman" w:cs="Times New Roman" w:eastAsia="Times New Roman" w:hint="default"/>
                <w:sz w:val="18"/>
                <w:szCs w:val="18"/>
              </w:rPr>
              <w:t>18  </w:t>
            </w:r>
            <w:r>
              <w:rPr>
                <w:rFonts w:ascii="宋体" w:hAnsi="宋体" w:cs="宋体" w:eastAsia="宋体" w:hint="default"/>
                <w:sz w:val="18"/>
                <w:szCs w:val="18"/>
              </w:rPr>
              <w:t>号 </w:t>
            </w:r>
            <w:r>
              <w:rPr>
                <w:rFonts w:ascii="Times New Roman" w:hAnsi="Times New Roman" w:cs="Times New Roman" w:eastAsia="Times New Roman" w:hint="default"/>
                <w:sz w:val="18"/>
                <w:szCs w:val="18"/>
              </w:rPr>
              <w:t>A  </w:t>
            </w:r>
            <w:r>
              <w:rPr>
                <w:rFonts w:ascii="宋体" w:hAnsi="宋体" w:cs="宋体" w:eastAsia="宋体" w:hint="default"/>
                <w:sz w:val="18"/>
                <w:szCs w:val="18"/>
              </w:rPr>
              <w:t>座 </w:t>
            </w:r>
            <w:r>
              <w:rPr>
                <w:rFonts w:ascii="Times New Roman" w:hAnsi="Times New Roman" w:cs="Times New Roman" w:eastAsia="Times New Roman" w:hint="default"/>
                <w:sz w:val="18"/>
                <w:szCs w:val="18"/>
              </w:rPr>
              <w:t>450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室</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100176</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北京市朝阳区朝外大街 </w:t>
            </w:r>
            <w:r>
              <w:rPr>
                <w:rFonts w:ascii="Times New Roman" w:hAnsi="Times New Roman" w:cs="Times New Roman" w:eastAsia="Times New Roman" w:hint="default"/>
                <w:sz w:val="18"/>
                <w:szCs w:val="18"/>
              </w:rPr>
              <w:t>18  </w:t>
            </w:r>
            <w:r>
              <w:rPr>
                <w:rFonts w:ascii="宋体" w:hAnsi="宋体" w:cs="宋体" w:eastAsia="宋体" w:hint="default"/>
                <w:sz w:val="18"/>
                <w:szCs w:val="18"/>
              </w:rPr>
              <w:t>号丰联广场</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A1601</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r>
              <w:rPr>
                <w:rFonts w:ascii="Times New Roman"/>
                <w:sz w:val="18"/>
              </w:rPr>
              <w:t>100020</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www.csii.com.cn</w:t>
              </w:r>
            </w:hyperlink>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3" w:right="0"/>
              <w:jc w:val="left"/>
              <w:rPr>
                <w:rFonts w:ascii="Times New Roman" w:hAnsi="Times New Roman" w:cs="Times New Roman" w:eastAsia="Times New Roman" w:hint="default"/>
                <w:sz w:val="18"/>
                <w:szCs w:val="18"/>
              </w:rPr>
            </w:pPr>
            <w:hyperlink r:id="rId10">
              <w:r>
                <w:rPr>
                  <w:rFonts w:ascii="Times New Roman"/>
                  <w:sz w:val="18"/>
                </w:rPr>
                <w:t>investor@csii.com.cn</w:t>
              </w:r>
            </w:hyperlink>
          </w:p>
        </w:tc>
      </w:tr>
    </w:tbl>
    <w:p>
      <w:pPr>
        <w:spacing w:line="240" w:lineRule="auto" w:before="1"/>
        <w:rPr>
          <w:rFonts w:ascii="宋体" w:hAnsi="宋体" w:cs="宋体" w:eastAsia="宋体" w:hint="default"/>
          <w:b/>
          <w:bCs/>
          <w:sz w:val="18"/>
          <w:szCs w:val="18"/>
        </w:rPr>
      </w:pPr>
    </w:p>
    <w:p>
      <w:pPr>
        <w:pStyle w:val="Heading4"/>
        <w:spacing w:line="240" w:lineRule="auto" w:before="26"/>
        <w:ind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周旭红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王娟</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北京市朝阳区朝外大街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号丰联广场</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A1601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北京市朝阳区朝外大街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号丰联广场</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A1601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010-65880766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010-65882700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010-65880766-201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010-65880766-201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investor@csii.com.cn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investor@csii.com.cn</w:t>
              </w:r>
            </w:hyperlink>
          </w:p>
        </w:tc>
      </w:tr>
    </w:tbl>
    <w:p>
      <w:pPr>
        <w:spacing w:line="240" w:lineRule="auto" w:before="2"/>
        <w:rPr>
          <w:rFonts w:ascii="宋体" w:hAnsi="宋体" w:cs="宋体" w:eastAsia="宋体" w:hint="default"/>
          <w:b/>
          <w:bCs/>
          <w:sz w:val="18"/>
          <w:szCs w:val="18"/>
        </w:rPr>
      </w:pPr>
    </w:p>
    <w:p>
      <w:pPr>
        <w:pStyle w:val="Heading4"/>
        <w:spacing w:line="240" w:lineRule="auto" w:before="26"/>
        <w:ind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2"/>
        <w:gridCol w:w="5576"/>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证券时报、上海证券报、证券日报、中国证券报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2"/>
                <w:sz w:val="18"/>
                <w:szCs w:val="18"/>
              </w:rPr>
              <w:t> </w:t>
            </w:r>
            <w:hyperlink r:id="rId11">
              <w:r>
                <w:rPr>
                  <w:rFonts w:ascii="Times New Roman" w:hAnsi="Times New Roman" w:cs="Times New Roman" w:eastAsia="Times New Roman" w:hint="default"/>
                  <w:sz w:val="18"/>
                  <w:szCs w:val="18"/>
                </w:rPr>
                <w:t>http://www.cninfo.com.cn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line="240" w:lineRule="auto" w:before="2"/>
        <w:rPr>
          <w:rFonts w:ascii="宋体" w:hAnsi="宋体" w:cs="宋体" w:eastAsia="宋体" w:hint="default"/>
          <w:b/>
          <w:bCs/>
          <w:sz w:val="18"/>
          <w:szCs w:val="18"/>
        </w:rPr>
      </w:pPr>
    </w:p>
    <w:p>
      <w:pPr>
        <w:pStyle w:val="Heading4"/>
        <w:spacing w:line="240" w:lineRule="auto" w:before="26"/>
        <w:ind w:right="0"/>
        <w:jc w:val="left"/>
        <w:rPr>
          <w:b w:val="0"/>
          <w:bCs w:val="0"/>
        </w:rPr>
      </w:pPr>
      <w:bookmarkStart w:name="四、其他有关资料" w:id="7"/>
      <w:bookmarkEnd w:id="7"/>
      <w:r>
        <w:rPr>
          <w:b w:val="0"/>
          <w:bCs w:val="0"/>
        </w:rPr>
      </w: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叶金福、刘黎</w:t>
            </w:r>
          </w:p>
        </w:tc>
      </w:tr>
    </w:tbl>
    <w:p>
      <w:pPr>
        <w:pStyle w:val="BodyText"/>
        <w:spacing w:line="240" w:lineRule="auto" w:before="51"/>
        <w:ind w:right="0"/>
        <w:jc w:val="left"/>
      </w:pPr>
      <w:r>
        <w:rPr/>
        <w:t>公司聘请的报告期内履行持续督导职责的保荐机构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9"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海通证券股份有限公司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1"/>
              <w:jc w:val="left"/>
              <w:rPr>
                <w:rFonts w:ascii="宋体" w:hAnsi="宋体" w:cs="宋体" w:eastAsia="宋体" w:hint="default"/>
                <w:sz w:val="18"/>
                <w:szCs w:val="18"/>
              </w:rPr>
            </w:pPr>
            <w:r>
              <w:rPr>
                <w:rFonts w:ascii="宋体" w:hAnsi="宋体" w:cs="宋体" w:eastAsia="宋体" w:hint="default"/>
                <w:sz w:val="18"/>
                <w:szCs w:val="18"/>
              </w:rPr>
              <w:t>上海市广东路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689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号海通证券 大厦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张刚、薛阳</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0"/>
        <w:ind w:right="0"/>
        <w:jc w:val="left"/>
      </w:pPr>
      <w:r>
        <w:rPr/>
        <w:t>公司聘请的报告期内履行持续督导职责的财务顾问</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bookmarkStart w:name="五、主要会计数据和财务指标" w:id="8"/>
      <w:bookmarkEnd w:id="8"/>
      <w:r>
        <w:rPr>
          <w:b w:val="0"/>
          <w:bCs w:val="0"/>
        </w:rPr>
      </w: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0"/>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621"/>
        <w:gridCol w:w="1738"/>
        <w:gridCol w:w="1737"/>
        <w:gridCol w:w="1737"/>
        <w:gridCol w:w="1736"/>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753,221,267.15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670,374,055.70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654,656,888.29</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42,576,019.79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40,080,358.35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42,773,543.31</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37,838,026.22</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37,972,695.60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-0.35%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41,564,593.32</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-50,006,057.54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-28,472,239.33</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-75.63%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-8,583,279.27</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0.21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0.21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0.23</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0.43</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-0.91%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1,406,411,116.94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1,135,108,965.26</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760,299,747.24</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721,015,683.99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678,188,834.44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433,567,391.28</w:t>
            </w:r>
          </w:p>
        </w:tc>
      </w:tr>
    </w:tbl>
    <w:p>
      <w:pPr>
        <w:spacing w:line="240" w:lineRule="auto" w:before="1"/>
        <w:rPr>
          <w:rFonts w:ascii="宋体" w:hAnsi="宋体" w:cs="宋体" w:eastAsia="宋体" w:hint="default"/>
          <w:sz w:val="18"/>
          <w:szCs w:val="18"/>
        </w:rPr>
      </w:pPr>
    </w:p>
    <w:p>
      <w:pPr>
        <w:pStyle w:val="Heading4"/>
        <w:spacing w:line="240" w:lineRule="auto" w:before="26"/>
        <w:ind w:right="0"/>
        <w:jc w:val="left"/>
        <w:rPr>
          <w:b w:val="0"/>
          <w:bCs w:val="0"/>
        </w:rPr>
      </w:pPr>
      <w:bookmarkStart w:name="六、分季度主要财务指标" w:id="9"/>
      <w:bookmarkEnd w:id="9"/>
      <w:r>
        <w:rPr>
          <w:b w:val="0"/>
          <w:bCs w:val="0"/>
        </w:rPr>
      </w:r>
      <w:r>
        <w:rPr/>
        <w:t>六、分季度主要财务指标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39"/>
        <w:gridCol w:w="1730"/>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73,064,790.87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140,147,467.48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100,785,817.07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439,223,191.73</w:t>
            </w:r>
          </w:p>
        </w:tc>
      </w:tr>
      <w:tr>
        <w:trPr>
          <w:trHeight w:val="400"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-19,762,826.89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-13,317,076.77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-27,886,214.19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103,542,137.64</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39"/>
        <w:gridCol w:w="1730"/>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-21,438,048.66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-14,799,481.56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-29,238,381.61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103,313,938.05</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-130,209,092.60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-89,195,495.16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-44,033,506.45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213,432,036.67</w:t>
            </w:r>
          </w:p>
        </w:tc>
      </w:tr>
    </w:tbl>
    <w:p>
      <w:pPr>
        <w:pStyle w:val="BodyText"/>
        <w:spacing w:line="240" w:lineRule="auto" w:before="50"/>
        <w:ind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13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4"/>
        <w:spacing w:line="240" w:lineRule="auto"/>
        <w:ind w:right="0"/>
        <w:jc w:val="left"/>
        <w:rPr>
          <w:b w:val="0"/>
          <w:bCs w:val="0"/>
        </w:rPr>
      </w:pPr>
      <w:bookmarkStart w:name="八、非经常性损益项目及金额" w:id="13"/>
      <w:bookmarkEnd w:id="13"/>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-9,318.51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-5,927.70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56"/>
              <w:jc w:val="left"/>
              <w:rPr>
                <w:rFonts w:ascii="宋体" w:hAnsi="宋体" w:cs="宋体" w:eastAsia="宋体" w:hint="default"/>
                <w:sz w:val="18"/>
                <w:szCs w:val="18"/>
              </w:rPr>
            </w:pPr>
            <w:r>
              <w:rPr>
                <w:rFonts w:ascii="宋体" w:hAnsi="宋体" w:cs="宋体" w:eastAsia="宋体" w:hint="default"/>
                <w:sz w:val="18"/>
                <w:szCs w:val="18"/>
              </w:rPr>
              <w:t>主要为固定资产处置 损失</w:t>
            </w: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2,309,896.18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1,296,864.63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821,279.07</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6"/>
              <w:jc w:val="left"/>
              <w:rPr>
                <w:rFonts w:ascii="宋体" w:hAnsi="宋体" w:cs="宋体" w:eastAsia="宋体" w:hint="default"/>
                <w:sz w:val="18"/>
                <w:szCs w:val="18"/>
              </w:rPr>
            </w:pPr>
            <w:r>
              <w:rPr>
                <w:rFonts w:ascii="宋体" w:hAnsi="宋体" w:cs="宋体" w:eastAsia="宋体" w:hint="default"/>
                <w:sz w:val="18"/>
                <w:szCs w:val="18"/>
              </w:rPr>
              <w:t>主要为稳定岗位补 贴、财政扶持基金</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2,333,692.93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554,743.15</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56"/>
              <w:jc w:val="left"/>
              <w:rPr>
                <w:rFonts w:ascii="宋体" w:hAnsi="宋体" w:cs="宋体" w:eastAsia="宋体" w:hint="default"/>
                <w:sz w:val="18"/>
                <w:szCs w:val="18"/>
              </w:rPr>
            </w:pPr>
            <w:r>
              <w:rPr>
                <w:rFonts w:ascii="宋体" w:hAnsi="宋体" w:cs="宋体" w:eastAsia="宋体" w:hint="default"/>
                <w:sz w:val="18"/>
                <w:szCs w:val="18"/>
              </w:rPr>
              <w:t>主要为银行理财产品 投资收益</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57,972.81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633,923.15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601,015.04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881,866.67</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836,116.51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371,940.48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213,344.12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4,737,993.57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2,107,662.75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1,208,949.99</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20"/>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00" w:lineRule="auto" w:before="103"/>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08" w:right="0"/>
        <w:jc w:val="left"/>
        <w:rPr>
          <w:b w:val="0"/>
          <w:bCs w:val="0"/>
        </w:rPr>
      </w:pPr>
      <w:bookmarkStart w:name="第三节 公司业务概要" w:id="14"/>
      <w:bookmarkEnd w:id="14"/>
      <w:r>
        <w:rPr>
          <w:b w:val="0"/>
          <w:bCs w:val="0"/>
        </w:rPr>
      </w:r>
      <w:bookmarkStart w:name="_bookmark1" w:id="15"/>
      <w:bookmarkEnd w:id="15"/>
      <w:r>
        <w:rPr>
          <w:b w:val="0"/>
          <w:bCs w:val="0"/>
        </w:rPr>
      </w:r>
      <w:r>
        <w:rPr/>
        <w:t>第三节</w:t>
      </w:r>
      <w:r>
        <w:rPr>
          <w:spacing w:val="-10"/>
        </w:rPr>
        <w:t> </w:t>
      </w:r>
      <w:r>
        <w:rPr/>
        <w:t>公司业务概要</w:t>
      </w:r>
      <w:r>
        <w:rPr>
          <w:b w:val="0"/>
          <w:bCs w:val="0"/>
        </w:rPr>
      </w:r>
    </w:p>
    <w:p>
      <w:pPr>
        <w:spacing w:line="240" w:lineRule="auto" w:before="10"/>
        <w:rPr>
          <w:rFonts w:ascii="宋体" w:hAnsi="宋体" w:cs="宋体" w:eastAsia="宋体" w:hint="default"/>
          <w:b/>
          <w:bCs/>
          <w:sz w:val="38"/>
          <w:szCs w:val="38"/>
        </w:rPr>
      </w:pPr>
    </w:p>
    <w:p>
      <w:pPr>
        <w:pStyle w:val="Heading4"/>
        <w:spacing w:line="240" w:lineRule="auto"/>
        <w:ind w:right="0"/>
        <w:jc w:val="left"/>
        <w:rPr>
          <w:b w:val="0"/>
          <w:bCs w:val="0"/>
        </w:rPr>
      </w:pPr>
      <w:bookmarkStart w:name="一、报告期内公司从事的主要业务" w:id="16"/>
      <w:bookmarkEnd w:id="16"/>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240" w:lineRule="auto" w:before="27"/>
        <w:ind w:right="0"/>
        <w:jc w:val="left"/>
      </w:pPr>
      <w:r>
        <w:rPr/>
        <w:t>软件与信息技术服务业</w:t>
      </w:r>
    </w:p>
    <w:p>
      <w:pPr>
        <w:pStyle w:val="BodyText"/>
        <w:spacing w:line="240" w:lineRule="auto" w:before="115"/>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Heading4"/>
        <w:spacing w:line="313" w:lineRule="exact" w:before="55"/>
        <w:ind w:right="0"/>
        <w:jc w:val="left"/>
        <w:rPr>
          <w:b w:val="0"/>
          <w:bCs w:val="0"/>
        </w:rPr>
      </w:pPr>
      <w:r>
        <w:rPr/>
        <w:t>（一）主要业务、主要产品及用途</w:t>
      </w:r>
      <w:r>
        <w:rPr>
          <w:b w:val="0"/>
          <w:bCs w:val="0"/>
        </w:rPr>
      </w:r>
    </w:p>
    <w:p>
      <w:pPr>
        <w:pStyle w:val="Heading4"/>
        <w:spacing w:line="331" w:lineRule="exact"/>
        <w:ind w:left="0" w:right="7888"/>
        <w:jc w:val="center"/>
        <w:rPr>
          <w:b w:val="0"/>
          <w:bCs w:val="0"/>
        </w:rPr>
      </w:pPr>
      <w:r>
        <w:rPr>
          <w:rFonts w:ascii="Times New Roman" w:hAnsi="Times New Roman" w:cs="Times New Roman" w:eastAsia="Times New Roman" w:hint="default"/>
        </w:rPr>
        <w:t>1</w:t>
      </w:r>
      <w:r>
        <w:rPr/>
        <w:t>、公司主要业务、产品</w:t>
      </w:r>
      <w:r>
        <w:rPr>
          <w:b w:val="0"/>
          <w:bCs w:val="0"/>
        </w:rPr>
      </w:r>
    </w:p>
    <w:p>
      <w:pPr>
        <w:pStyle w:val="BodyText"/>
        <w:spacing w:line="312" w:lineRule="auto" w:before="28"/>
        <w:ind w:right="1132" w:firstLine="360"/>
        <w:jc w:val="both"/>
      </w:pPr>
      <w:r>
        <w:rPr>
          <w:spacing w:val="-2"/>
        </w:rPr>
        <w:t>科蓝公司是一家国内领先的金融科技技术服务商，主营业务是向以银行为主的金融机构提供基于金融互联网产品与技术</w:t>
      </w:r>
      <w:r>
        <w:rPr/>
        <w:t> </w:t>
      </w:r>
      <w:r>
        <w:rPr>
          <w:spacing w:val="-2"/>
        </w:rPr>
        <w:t>的全面解决方案，可为银行等金融行业企业提供</w:t>
      </w:r>
      <w:r>
        <w:rPr>
          <w:rFonts w:ascii="Times New Roman" w:hAnsi="Times New Roman" w:cs="Times New Roman" w:eastAsia="Times New Roman" w:hint="default"/>
          <w:spacing w:val="-2"/>
        </w:rPr>
        <w:t>IT</w:t>
      </w:r>
      <w:r>
        <w:rPr>
          <w:spacing w:val="-2"/>
        </w:rPr>
        <w:t>咨询、规划、建设、营运、产品创新以及市场营销等一揽子服务。公司产</w:t>
      </w:r>
      <w:r>
        <w:rPr>
          <w:spacing w:val="-53"/>
        </w:rPr>
        <w:t> </w:t>
      </w:r>
      <w:r>
        <w:rPr>
          <w:spacing w:val="-53"/>
        </w:rPr>
      </w:r>
      <w:r>
        <w:rPr>
          <w:spacing w:val="-2"/>
        </w:rPr>
        <w:t>品涵盖银行渠道类、业务类和管理类领域，主要产品包括电子银行系统、互联网金融类系统、网络安全系统以及银行核心业</w:t>
      </w:r>
      <w:r>
        <w:rPr>
          <w:spacing w:val="-66"/>
        </w:rPr>
        <w:t> </w:t>
      </w:r>
      <w:r>
        <w:rPr>
          <w:spacing w:val="-66"/>
        </w:rPr>
      </w:r>
      <w:r>
        <w:rPr/>
        <w:t>务系统等。科蓝公司的产品技术自主可控，公司对技术拥有完全的知识产权。</w:t>
      </w:r>
    </w:p>
    <w:p>
      <w:pPr>
        <w:pStyle w:val="BodyText"/>
        <w:spacing w:line="316" w:lineRule="auto" w:before="22"/>
        <w:ind w:right="1132" w:firstLine="360"/>
        <w:jc w:val="both"/>
      </w:pPr>
      <w:r>
        <w:rPr>
          <w:spacing w:val="-2"/>
        </w:rPr>
        <w:t>公司的电子银行系统主要包括对公对私网上银行、手机移动银行、微信银行、全渠道服务等电子渠道产品，随着商业银</w:t>
      </w:r>
      <w:r>
        <w:rPr/>
        <w:t> 行信息化水平的不断提升，电子渠道逐渐取代柜台成为银行向</w:t>
      </w:r>
      <w:r>
        <w:rPr>
          <w:rFonts w:ascii="Times New Roman" w:hAnsi="Times New Roman" w:cs="Times New Roman" w:eastAsia="Times New Roman" w:hint="default"/>
        </w:rPr>
        <w:t>“</w:t>
      </w:r>
      <w:r>
        <w:rPr/>
        <w:t>以客户为中心</w:t>
      </w:r>
      <w:r>
        <w:rPr>
          <w:rFonts w:ascii="Times New Roman" w:hAnsi="Times New Roman" w:cs="Times New Roman" w:eastAsia="Times New Roman" w:hint="default"/>
        </w:rPr>
        <w:t>”</w:t>
      </w:r>
      <w:r>
        <w:rPr/>
        <w:t>转型的重点。</w:t>
      </w:r>
    </w:p>
    <w:p>
      <w:pPr>
        <w:pStyle w:val="BodyText"/>
        <w:spacing w:line="316" w:lineRule="auto"/>
        <w:ind w:right="1132" w:firstLine="360"/>
        <w:jc w:val="both"/>
      </w:pPr>
      <w:r>
        <w:rPr>
          <w:spacing w:val="-5"/>
        </w:rPr>
        <w:t>公司的互联网金融类系统主要包括互联网银行（含直销银行）、开放银行（含金融开放平台）、智慧银行（含网点智能设</w:t>
      </w:r>
      <w:r>
        <w:rPr/>
        <w:t> 备）等产品。为应对互联网金融的挑战，传统商业银行积极拥抱互联网，互联网银行（含直销银行）市场方兴未艾。</w:t>
      </w:r>
    </w:p>
    <w:p>
      <w:pPr>
        <w:pStyle w:val="BodyText"/>
        <w:spacing w:line="316" w:lineRule="auto" w:before="19"/>
        <w:ind w:right="1132" w:firstLine="360"/>
        <w:jc w:val="both"/>
      </w:pPr>
      <w:r>
        <w:rPr>
          <w:spacing w:val="-2"/>
        </w:rPr>
        <w:t>公司的网络安全系统主要包括网上安全浏览器、密码控件、网银管家及电子安全认证等产品，主要用于对银行等金融机</w:t>
      </w:r>
      <w:r>
        <w:rPr/>
        <w:t> 构网络安全系统的建设。</w:t>
      </w:r>
    </w:p>
    <w:p>
      <w:pPr>
        <w:pStyle w:val="BodyText"/>
        <w:spacing w:line="316" w:lineRule="auto" w:before="19"/>
        <w:ind w:right="1132" w:firstLine="360"/>
        <w:jc w:val="both"/>
      </w:pPr>
      <w:r>
        <w:rPr>
          <w:spacing w:val="-2"/>
        </w:rPr>
        <w:t>公司的银行核心业务系统主要包括互联网核心、线上线下一体化新一代银行核心业务系统，服务于商业银行业的业务流</w:t>
      </w:r>
      <w:r>
        <w:rPr/>
        <w:t> 程改造、系统升级等更新换代需求。</w:t>
      </w:r>
    </w:p>
    <w:p>
      <w:pPr>
        <w:pStyle w:val="Heading4"/>
        <w:spacing w:line="303" w:lineRule="exact"/>
        <w:ind w:right="0"/>
        <w:jc w:val="left"/>
        <w:rPr>
          <w:b w:val="0"/>
          <w:bCs w:val="0"/>
        </w:rPr>
      </w:pPr>
      <w:r>
        <w:rPr>
          <w:rFonts w:ascii="Times New Roman" w:hAnsi="Times New Roman" w:cs="Times New Roman" w:eastAsia="Times New Roman" w:hint="default"/>
        </w:rPr>
        <w:t>2</w:t>
      </w:r>
      <w:r>
        <w:rPr/>
        <w:t>、公司主要经营模式</w:t>
      </w:r>
      <w:r>
        <w:rPr>
          <w:b w:val="0"/>
          <w:bCs w:val="0"/>
        </w:rPr>
      </w:r>
    </w:p>
    <w:p>
      <w:pPr>
        <w:pStyle w:val="BodyText"/>
        <w:spacing w:line="316" w:lineRule="auto" w:before="28"/>
        <w:ind w:right="1132" w:firstLine="480"/>
        <w:jc w:val="both"/>
      </w:pPr>
      <w:r>
        <w:rPr>
          <w:spacing w:val="-1"/>
        </w:rPr>
        <w:t>公司主要向以银行为主的金融机构提供金融科技产品与技术的整体服务，将银行互联网金融渠道、互联网金融业务等</w:t>
      </w:r>
      <w:r>
        <w:rPr/>
        <w:t> </w:t>
      </w:r>
      <w:r>
        <w:rPr>
          <w:spacing w:val="-2"/>
        </w:rPr>
        <w:t>方面的知识和技术与市场和客户需求结合，开发出满足市场需求的技术产品和平台，在标准产品的基础上根据不同客户的个</w:t>
      </w:r>
      <w:r>
        <w:rPr>
          <w:spacing w:val="-64"/>
        </w:rPr>
        <w:t> </w:t>
      </w:r>
      <w:r>
        <w:rPr>
          <w:spacing w:val="-64"/>
        </w:rPr>
      </w:r>
      <w:r>
        <w:rPr/>
        <w:t>性化需求进行配置和二次开发，为客户提供包括技术开发与服务以及规划咨询的一体化解决方案。</w:t>
      </w:r>
    </w:p>
    <w:p>
      <w:pPr>
        <w:pStyle w:val="Heading4"/>
        <w:spacing w:line="283" w:lineRule="exact"/>
        <w:ind w:right="0"/>
        <w:jc w:val="left"/>
        <w:rPr>
          <w:b w:val="0"/>
          <w:bCs w:val="0"/>
        </w:rPr>
      </w:pPr>
      <w:r>
        <w:rPr/>
        <w:t>（二）公司所处行业情况</w:t>
      </w:r>
      <w:r>
        <w:rPr>
          <w:b w:val="0"/>
          <w:bCs w:val="0"/>
        </w:rPr>
      </w:r>
    </w:p>
    <w:p>
      <w:pPr>
        <w:pStyle w:val="Heading4"/>
        <w:spacing w:line="331" w:lineRule="exact"/>
        <w:ind w:right="0"/>
        <w:jc w:val="left"/>
        <w:rPr>
          <w:b w:val="0"/>
          <w:bCs w:val="0"/>
        </w:rPr>
      </w:pPr>
      <w:r>
        <w:rPr>
          <w:rFonts w:ascii="Times New Roman" w:hAnsi="Times New Roman" w:cs="Times New Roman" w:eastAsia="Times New Roman" w:hint="default"/>
        </w:rPr>
        <w:t>1</w:t>
      </w:r>
      <w:r>
        <w:rPr/>
        <w:t>、公司所处行业基本情况</w:t>
      </w:r>
      <w:r>
        <w:rPr>
          <w:b w:val="0"/>
          <w:bCs w:val="0"/>
        </w:rPr>
      </w:r>
    </w:p>
    <w:p>
      <w:pPr>
        <w:pStyle w:val="BodyText"/>
        <w:spacing w:line="309" w:lineRule="auto" w:before="28"/>
        <w:ind w:right="1132" w:firstLine="360"/>
        <w:jc w:val="both"/>
      </w:pPr>
      <w:r>
        <w:rPr>
          <w:rFonts w:ascii="Times New Roman" w:hAnsi="Times New Roman" w:cs="Times New Roman" w:eastAsia="Times New Roman" w:hint="default"/>
          <w:spacing w:val="-2"/>
        </w:rPr>
        <w:t>2018</w:t>
      </w:r>
      <w:r>
        <w:rPr>
          <w:spacing w:val="-2"/>
        </w:rPr>
        <w:t>年金融科技的发展仍在不断提速，科技与金融的融合为金融行业带来了更加丰富的业态与运营模式，金融机构业务</w:t>
      </w:r>
      <w:r>
        <w:rPr/>
        <w:t> </w:t>
      </w:r>
      <w:r>
        <w:rPr>
          <w:spacing w:val="-2"/>
        </w:rPr>
        <w:t>的信息化、数字化的趋势不断强化，对银行等金融机构的服务能力提出了更高的要求。客户不再满足传统的金融服务，以用</w:t>
      </w:r>
      <w:r>
        <w:rPr>
          <w:spacing w:val="-66"/>
        </w:rPr>
        <w:t> </w:t>
      </w:r>
      <w:r>
        <w:rPr>
          <w:spacing w:val="-66"/>
        </w:rPr>
      </w:r>
      <w:r>
        <w:rPr>
          <w:spacing w:val="-2"/>
        </w:rPr>
        <w:t>户体验为中心，全渠道、场景化、定制化、便捷化的产品和服务成为大势所趋。同时，随着金融改革的深化，银行等金融机</w:t>
      </w:r>
      <w:r>
        <w:rPr>
          <w:spacing w:val="-64"/>
        </w:rPr>
        <w:t> </w:t>
      </w:r>
      <w:r>
        <w:rPr>
          <w:spacing w:val="-64"/>
        </w:rPr>
      </w:r>
      <w:r>
        <w:rPr>
          <w:spacing w:val="-2"/>
        </w:rPr>
        <w:t>构的业务品种得到丰富，服务职能得到拓展，市场服务需求总量保持增长态势。上述因素使得我国银行业对</w:t>
      </w:r>
      <w:r>
        <w:rPr>
          <w:rFonts w:ascii="Times New Roman" w:hAnsi="Times New Roman" w:cs="Times New Roman" w:eastAsia="Times New Roman" w:hint="default"/>
          <w:spacing w:val="-2"/>
        </w:rPr>
        <w:t>IT</w:t>
      </w:r>
      <w:r>
        <w:rPr>
          <w:spacing w:val="-2"/>
        </w:rPr>
        <w:t>投资规模不断</w:t>
      </w:r>
      <w:r>
        <w:rPr>
          <w:spacing w:val="-53"/>
        </w:rPr>
        <w:t> </w:t>
      </w:r>
      <w:r>
        <w:rPr/>
        <w:t>增长，进而促进了我国银行</w:t>
      </w:r>
      <w:r>
        <w:rPr>
          <w:rFonts w:ascii="Times New Roman" w:hAnsi="Times New Roman" w:cs="Times New Roman" w:eastAsia="Times New Roman" w:hint="default"/>
        </w:rPr>
        <w:t>IT</w:t>
      </w:r>
      <w:r>
        <w:rPr/>
        <w:t>行业的持续快速发展。</w:t>
      </w:r>
    </w:p>
    <w:p>
      <w:pPr>
        <w:pStyle w:val="BodyText"/>
        <w:spacing w:line="314" w:lineRule="auto" w:before="5"/>
        <w:ind w:right="1034" w:firstLine="360"/>
        <w:jc w:val="left"/>
      </w:pPr>
      <w:r>
        <w:rPr>
          <w:rFonts w:ascii="Times New Roman" w:hAnsi="Times New Roman" w:cs="Times New Roman" w:eastAsia="Times New Roman" w:hint="default"/>
        </w:rPr>
        <w:t>2018</w:t>
      </w:r>
      <w:r>
        <w:rPr/>
        <w:t>年互联网银行发展迅速。从用户数据看，部分股份制银行和大型城市商业银行的互联网银行用户规模已达数千万。 </w:t>
      </w:r>
      <w:r>
        <w:rPr>
          <w:spacing w:val="-2"/>
        </w:rPr>
        <w:t>互联网银行提供的产品类型日益丰富，不断扩大覆盖传统商业银行的常规业务与客群，有力推动了传统银行业务的互联网化</w:t>
      </w:r>
      <w:r>
        <w:rPr>
          <w:spacing w:val="-64"/>
        </w:rPr>
        <w:t> </w:t>
      </w:r>
      <w:r>
        <w:rPr>
          <w:spacing w:val="-64"/>
        </w:rPr>
      </w:r>
      <w:r>
        <w:rPr>
          <w:spacing w:val="-2"/>
        </w:rPr>
        <w:t>转型，用户对互联网银行的服务也表现出较高的满意度。在互联网银行技术领域，云计算、大数据、人工智能、区块链等新</w:t>
      </w:r>
      <w:r>
        <w:rPr>
          <w:spacing w:val="-66"/>
        </w:rPr>
        <w:t> </w:t>
      </w:r>
      <w:r>
        <w:rPr>
          <w:spacing w:val="-66"/>
        </w:rPr>
      </w:r>
      <w:r>
        <w:rPr>
          <w:spacing w:val="-2"/>
        </w:rPr>
        <w:t>技术的应用不断深入，分布式架构得到进一步推广；同时，金融机构更加强调技术的自主可控，对技术服务效率和安全性提</w:t>
      </w:r>
      <w:r>
        <w:rPr>
          <w:spacing w:val="-66"/>
        </w:rPr>
        <w:t> </w:t>
      </w:r>
      <w:r>
        <w:rPr>
          <w:spacing w:val="-66"/>
        </w:rPr>
      </w:r>
      <w:r>
        <w:rPr/>
        <w:t>出了更高的要求。</w:t>
      </w:r>
    </w:p>
    <w:p>
      <w:pPr>
        <w:pStyle w:val="BodyText"/>
        <w:spacing w:line="316" w:lineRule="auto" w:before="20"/>
        <w:ind w:right="1132" w:firstLine="360"/>
        <w:jc w:val="both"/>
      </w:pPr>
      <w:r>
        <w:rPr>
          <w:spacing w:val="-2"/>
        </w:rPr>
        <w:t>科蓝公司作为国内领先的金融科技公司，在银行业的技术创新，尤其是银行业务互联网化方面一直是最主要的引领与推</w:t>
      </w:r>
      <w:r>
        <w:rPr/>
        <w:t> 动者。</w:t>
      </w:r>
    </w:p>
    <w:p>
      <w:pPr>
        <w:pStyle w:val="Heading4"/>
        <w:spacing w:line="303" w:lineRule="exact"/>
        <w:ind w:right="0"/>
        <w:jc w:val="left"/>
        <w:rPr>
          <w:b w:val="0"/>
          <w:bCs w:val="0"/>
        </w:rPr>
      </w:pPr>
      <w:r>
        <w:rPr>
          <w:rFonts w:ascii="Times New Roman" w:hAnsi="Times New Roman" w:cs="Times New Roman" w:eastAsia="Times New Roman" w:hint="default"/>
        </w:rPr>
        <w:t>2</w:t>
      </w:r>
      <w:r>
        <w:rPr/>
        <w:t>、银行业</w:t>
      </w:r>
      <w:r>
        <w:rPr>
          <w:rFonts w:ascii="Times New Roman" w:hAnsi="Times New Roman" w:cs="Times New Roman" w:eastAsia="Times New Roman" w:hint="default"/>
        </w:rPr>
        <w:t>IT</w:t>
      </w:r>
      <w:r>
        <w:rPr/>
        <w:t>解决方案市场竞争和公司优势</w:t>
      </w:r>
      <w:r>
        <w:rPr>
          <w:b w:val="0"/>
          <w:bCs w:val="0"/>
        </w:rPr>
      </w:r>
    </w:p>
    <w:p>
      <w:pPr>
        <w:spacing w:after="0" w:line="303" w:lineRule="exact"/>
        <w:jc w:val="left"/>
        <w:sectPr>
          <w:pgSz w:w="11910" w:h="16840"/>
          <w:pgMar w:header="746" w:footer="978" w:top="1060" w:bottom="1160" w:left="1020" w:right="0"/>
        </w:sectPr>
      </w:pPr>
    </w:p>
    <w:p>
      <w:pPr>
        <w:spacing w:line="240" w:lineRule="auto" w:before="12"/>
        <w:rPr>
          <w:rFonts w:ascii="宋体" w:hAnsi="宋体" w:cs="宋体" w:eastAsia="宋体" w:hint="default"/>
          <w:b/>
          <w:bCs/>
          <w:sz w:val="25"/>
          <w:szCs w:val="25"/>
        </w:rPr>
      </w:pPr>
    </w:p>
    <w:p>
      <w:pPr>
        <w:pStyle w:val="BodyText"/>
        <w:spacing w:line="300" w:lineRule="auto" w:before="44"/>
        <w:ind w:right="1132" w:firstLine="360"/>
        <w:jc w:val="both"/>
      </w:pPr>
      <w:r>
        <w:rPr>
          <w:spacing w:val="-2"/>
        </w:rPr>
        <w:t>由网上银行、手机银行、直销银行直至今天全面的互联网银行，作为国内最主要的银行业</w:t>
      </w:r>
      <w:r>
        <w:rPr>
          <w:rFonts w:ascii="Times New Roman" w:hAnsi="Times New Roman" w:cs="Times New Roman" w:eastAsia="Times New Roman" w:hint="default"/>
          <w:spacing w:val="-2"/>
        </w:rPr>
        <w:t>IT</w:t>
      </w:r>
      <w:r>
        <w:rPr>
          <w:spacing w:val="-2"/>
        </w:rPr>
        <w:t>解决方案供应商之一，科蓝</w:t>
      </w:r>
      <w:r>
        <w:rPr/>
        <w:t> </w:t>
      </w:r>
      <w:r>
        <w:rPr>
          <w:spacing w:val="-3"/>
        </w:rPr>
        <w:t>公司一直是在引领银行互联网的发展。</w:t>
      </w:r>
      <w:r>
        <w:rPr>
          <w:rFonts w:ascii="Times New Roman" w:hAnsi="Times New Roman" w:cs="Times New Roman" w:eastAsia="Times New Roman" w:hint="default"/>
          <w:spacing w:val="-3"/>
        </w:rPr>
        <w:t>IDC</w:t>
      </w:r>
      <w:r>
        <w:rPr>
          <w:spacing w:val="-3"/>
        </w:rPr>
        <w:t>的研究表明，公司处于中国银行业</w:t>
      </w:r>
      <w:r>
        <w:rPr>
          <w:rFonts w:ascii="Times New Roman" w:hAnsi="Times New Roman" w:cs="Times New Roman" w:eastAsia="Times New Roman" w:hint="default"/>
          <w:spacing w:val="-3"/>
        </w:rPr>
        <w:t>IT</w:t>
      </w:r>
      <w:r>
        <w:rPr>
          <w:spacing w:val="-3"/>
        </w:rPr>
        <w:t>解决方案市场的领导者地位。科蓝软件被</w:t>
      </w:r>
      <w:r>
        <w:rPr>
          <w:rFonts w:ascii="Times New Roman" w:hAnsi="Times New Roman" w:cs="Times New Roman" w:eastAsia="Times New Roman" w:hint="default"/>
          <w:spacing w:val="-3"/>
        </w:rPr>
        <w:t>IDC</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spacing w:val="-1"/>
        </w:rPr>
        <w:t>定义为一家具有互联网金融创新特质的企业，在渠道类解决方案领域居于持续领先地位，在互联网银行</w:t>
      </w:r>
      <w:r>
        <w:rPr>
          <w:rFonts w:ascii="Times New Roman" w:hAnsi="Times New Roman" w:cs="Times New Roman" w:eastAsia="Times New Roman" w:hint="default"/>
          <w:spacing w:val="-1"/>
        </w:rPr>
        <w:t>(</w:t>
      </w:r>
      <w:r>
        <w:rPr>
          <w:spacing w:val="-1"/>
        </w:rPr>
        <w:t>含直销银行</w:t>
      </w:r>
      <w:r>
        <w:rPr>
          <w:rFonts w:ascii="Times New Roman" w:hAnsi="Times New Roman" w:cs="Times New Roman" w:eastAsia="Times New Roman" w:hint="default"/>
          <w:spacing w:val="-1"/>
        </w:rPr>
        <w:t>)</w:t>
      </w:r>
      <w:r>
        <w:rPr>
          <w:spacing w:val="-1"/>
        </w:rPr>
        <w:t>和移动</w:t>
      </w:r>
      <w:r>
        <w:rPr>
          <w:spacing w:val="-57"/>
        </w:rPr>
        <w:t> </w:t>
      </w:r>
      <w:r>
        <w:rPr/>
        <w:t>金融领域拥有最高的市场占有率。</w:t>
      </w:r>
    </w:p>
    <w:p>
      <w:pPr>
        <w:pStyle w:val="BodyText"/>
        <w:spacing w:line="316" w:lineRule="auto" w:before="31"/>
        <w:ind w:right="1132" w:firstLine="360"/>
        <w:jc w:val="both"/>
      </w:pPr>
      <w:r>
        <w:rPr>
          <w:spacing w:val="-2"/>
        </w:rPr>
        <w:t>公司将互联网银行作为战略重点，获得了遥遥领先的市场地位。公司向银行等金融机构提供的金融互联网产品与技术的</w:t>
      </w:r>
      <w:r>
        <w:rPr/>
        <w:t> 一体化</w:t>
      </w:r>
      <w:r>
        <w:rPr>
          <w:spacing w:val="1"/>
        </w:rPr>
        <w:t> </w:t>
      </w:r>
      <w:r>
        <w:rPr/>
        <w:t>解决方案，融合了大数据、人工智能、分布式技术、信息安全、云计算等金融科技新技术。</w:t>
      </w: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、行业经营模式、盈利模式及周期性等特征</w:t>
      </w:r>
      <w:r>
        <w:rPr>
          <w:b w:val="0"/>
          <w:bCs w:val="0"/>
        </w:rPr>
      </w:r>
    </w:p>
    <w:p>
      <w:pPr>
        <w:pStyle w:val="BodyText"/>
        <w:spacing w:line="300" w:lineRule="auto" w:before="28"/>
        <w:ind w:left="472" w:right="0" w:hanging="360"/>
        <w:jc w:val="left"/>
      </w:pPr>
      <w:r>
        <w:rPr/>
        <w:t>（</w:t>
      </w:r>
      <w:r>
        <w:rPr>
          <w:rFonts w:ascii="Times New Roman" w:hAnsi="Times New Roman" w:cs="Times New Roman" w:eastAsia="Times New Roman" w:hint="default"/>
        </w:rPr>
        <w:t>1</w:t>
      </w:r>
      <w:r>
        <w:rPr/>
        <w:t>）行业经营模式、盈利模式 </w:t>
      </w:r>
      <w:r>
        <w:rPr>
          <w:spacing w:val="-2"/>
        </w:rPr>
        <w:t>银行业</w:t>
      </w:r>
      <w:r>
        <w:rPr>
          <w:rFonts w:ascii="Times New Roman" w:hAnsi="Times New Roman" w:cs="Times New Roman" w:eastAsia="Times New Roman" w:hint="default"/>
          <w:spacing w:val="-2"/>
        </w:rPr>
        <w:t>IT</w:t>
      </w:r>
      <w:r>
        <w:rPr>
          <w:spacing w:val="-2"/>
        </w:rPr>
        <w:t>解决方案领域属于软件和信息技术服务业，在经营模式方面，行业中企业多为轻资产运营，重视人才、技术和</w:t>
      </w:r>
    </w:p>
    <w:p>
      <w:pPr>
        <w:pStyle w:val="BodyText"/>
        <w:spacing w:line="316" w:lineRule="auto" w:before="13"/>
        <w:ind w:right="0"/>
        <w:jc w:val="left"/>
      </w:pPr>
      <w:r>
        <w:rPr>
          <w:spacing w:val="-2"/>
        </w:rPr>
        <w:t>经验，在研发、运营和市场方面的投入较高，在土地、厂房和设备上无需进行大规模投入，其固定资产占总资产的比重低于</w:t>
      </w:r>
      <w:r>
        <w:rPr>
          <w:spacing w:val="-65"/>
        </w:rPr>
        <w:t> </w:t>
      </w:r>
      <w:r>
        <w:rPr>
          <w:spacing w:val="-65"/>
        </w:rPr>
      </w:r>
      <w:r>
        <w:rPr/>
        <w:t>传统行业。在可预见的未来，该行业经营模式不会发生较大变化。</w:t>
      </w:r>
    </w:p>
    <w:p>
      <w:pPr>
        <w:pStyle w:val="BodyText"/>
        <w:spacing w:line="307" w:lineRule="auto" w:before="19"/>
        <w:ind w:right="1132" w:firstLine="360"/>
        <w:jc w:val="both"/>
      </w:pPr>
      <w:r>
        <w:rPr>
          <w:spacing w:val="-2"/>
        </w:rPr>
        <w:t>在盈利模式方面，银行业</w:t>
      </w:r>
      <w:r>
        <w:rPr>
          <w:rFonts w:ascii="Times New Roman" w:hAnsi="Times New Roman" w:cs="Times New Roman" w:eastAsia="Times New Roman" w:hint="default"/>
          <w:spacing w:val="-2"/>
        </w:rPr>
        <w:t>IT</w:t>
      </w:r>
      <w:r>
        <w:rPr>
          <w:spacing w:val="-2"/>
        </w:rPr>
        <w:t>解决方案领域的收入主要来自银行等金融机构。一方面，银行受银监会等金融监管部门的监</w:t>
      </w:r>
      <w:r>
        <w:rPr/>
        <w:t> </w:t>
      </w:r>
      <w:r>
        <w:rPr>
          <w:spacing w:val="-2"/>
        </w:rPr>
        <w:t>督，其业务涉及到储蓄、信贷和汇兑等关系国计民生领域；另一方面，金融机构的业务体系庞大，且随着商业银行信息化水</w:t>
      </w:r>
      <w:r>
        <w:rPr>
          <w:spacing w:val="-65"/>
        </w:rPr>
        <w:t> </w:t>
      </w:r>
      <w:r>
        <w:rPr>
          <w:spacing w:val="-65"/>
        </w:rPr>
      </w:r>
      <w:r>
        <w:rPr>
          <w:spacing w:val="-2"/>
        </w:rPr>
        <w:t>平的不断提升、利率市场化进程的加快及互联网金融等新业务的兴起，其对</w:t>
      </w:r>
      <w:r>
        <w:rPr>
          <w:rFonts w:ascii="Times New Roman" w:hAnsi="Times New Roman" w:cs="Times New Roman" w:eastAsia="Times New Roman" w:hint="default"/>
          <w:spacing w:val="-2"/>
        </w:rPr>
        <w:t>IT</w:t>
      </w:r>
      <w:r>
        <w:rPr>
          <w:spacing w:val="-2"/>
        </w:rPr>
        <w:t>服务的需求将不断增长，因此公司所处行业的</w:t>
      </w:r>
      <w:r>
        <w:rPr>
          <w:spacing w:val="-53"/>
        </w:rPr>
        <w:t> </w:t>
      </w:r>
      <w:r>
        <w:rPr>
          <w:spacing w:val="-53"/>
        </w:rPr>
      </w:r>
      <w:r>
        <w:rPr/>
        <w:t>盈利来源较为稳定，且未来市场发展潜力巨大，盈利模式在未来较长时间内不会产生较大变动。</w:t>
      </w:r>
    </w:p>
    <w:p>
      <w:pPr>
        <w:pStyle w:val="BodyText"/>
        <w:spacing w:line="300" w:lineRule="auto" w:before="26"/>
        <w:ind w:left="504" w:right="1182" w:hanging="392"/>
        <w:jc w:val="left"/>
      </w:pPr>
      <w:r>
        <w:rPr/>
        <w:t>（</w:t>
      </w:r>
      <w:r>
        <w:rPr>
          <w:rFonts w:ascii="Times New Roman" w:hAnsi="Times New Roman" w:cs="Times New Roman" w:eastAsia="Times New Roman" w:hint="default"/>
        </w:rPr>
        <w:t>2</w:t>
      </w:r>
      <w:r>
        <w:rPr/>
        <w:t>）行业季节性特征 由于公司客户主要集中在银行领域，所以项目结项验收存在明显的季节性特点。公司收入主要集中于第四季度确认，</w:t>
      </w:r>
    </w:p>
    <w:p>
      <w:pPr>
        <w:pStyle w:val="BodyText"/>
        <w:spacing w:line="316" w:lineRule="auto" w:before="31"/>
        <w:ind w:right="0"/>
        <w:jc w:val="left"/>
      </w:pPr>
      <w:r>
        <w:rPr>
          <w:spacing w:val="-2"/>
        </w:rPr>
        <w:t>合同结项回款集中在年底，但期间费用发生较为均衡，造成公司业绩存在非常明显的季节性波动。因此，在财务报表上，公</w:t>
      </w:r>
      <w:r>
        <w:rPr>
          <w:spacing w:val="-65"/>
        </w:rPr>
        <w:t> </w:t>
      </w:r>
      <w:r>
        <w:rPr>
          <w:spacing w:val="-65"/>
        </w:rPr>
      </w:r>
      <w:r>
        <w:rPr/>
        <w:t>司往往在当年前三季度会</w:t>
      </w:r>
      <w:r>
        <w:rPr>
          <w:rFonts w:ascii="Times New Roman" w:hAnsi="Times New Roman" w:cs="Times New Roman" w:eastAsia="Times New Roman" w:hint="default"/>
        </w:rPr>
        <w:t>“</w:t>
      </w:r>
      <w:r>
        <w:rPr/>
        <w:t>显示为</w:t>
      </w:r>
      <w:r>
        <w:rPr>
          <w:rFonts w:ascii="Times New Roman" w:hAnsi="Times New Roman" w:cs="Times New Roman" w:eastAsia="Times New Roman" w:hint="default"/>
        </w:rPr>
        <w:t>”</w:t>
      </w:r>
      <w:r>
        <w:rPr/>
        <w:t>亏损；而全年业绩不存在这样的干扰因素，多年来持续保持稳定盈利。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8"/>
          <w:szCs w:val="18"/>
        </w:rPr>
      </w:pPr>
    </w:p>
    <w:p>
      <w:pPr>
        <w:pStyle w:val="Heading4"/>
        <w:spacing w:line="240" w:lineRule="auto"/>
        <w:ind w:right="0"/>
        <w:jc w:val="left"/>
        <w:rPr>
          <w:b w:val="0"/>
          <w:bCs w:val="0"/>
        </w:rPr>
      </w:pPr>
      <w:bookmarkStart w:name="二、主要资产重大变化情况" w:id="17"/>
      <w:bookmarkEnd w:id="17"/>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主要资产重大变化情况" w:id="18"/>
      <w:bookmarkEnd w:id="18"/>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pStyle w:val="BodyText"/>
        <w:spacing w:line="240" w:lineRule="auto" w:before="44"/>
        <w:ind w:left="0" w:right="1141"/>
        <w:jc w:val="right"/>
      </w:pPr>
      <w:r>
        <w:rPr/>
        <w:pict>
          <v:shape style="position:absolute;margin-left:56.459999pt;margin-top:-74.668289pt;width:479.15pt;height:252.8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1"/>
                    <w:gridCol w:w="6517"/>
                  </w:tblGrid>
                  <w:tr>
                    <w:trPr>
                      <w:trHeight w:val="76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截至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日止，长期股权投资较初增加 </w:t>
                        </w:r>
                        <w:r>
                          <w:rPr>
                            <w:rFonts w:ascii="Times New Roman" w:hAnsi="Times New Roman" w:cs="Times New Roman" w:eastAsia="Times New Roman" w:hint="default"/>
                            <w:sz w:val="18"/>
                            <w:szCs w:val="18"/>
                          </w:rPr>
                          <w:t>12,361,248.35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元，增幅为</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141.95%</w:t>
                        </w:r>
                        <w:r>
                          <w:rPr>
                            <w:rFonts w:ascii="宋体" w:hAnsi="宋体" w:cs="宋体" w:eastAsia="宋体" w:hint="default"/>
                            <w:sz w:val="18"/>
                            <w:szCs w:val="18"/>
                          </w:rPr>
                          <w:t>，主要系联营企业投资增加所致。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2"/>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r>
                          <w:rPr>
                            <w:rFonts w:ascii="宋体" w:hAnsi="宋体" w:cs="宋体" w:eastAsia="宋体" w:hint="default"/>
                            <w:spacing w:val="-84"/>
                            <w:sz w:val="18"/>
                            <w:szCs w:val="18"/>
                          </w:rPr>
                          <w:t>，</w:t>
                        </w:r>
                        <w:r>
                          <w:rPr>
                            <w:rFonts w:ascii="宋体" w:hAnsi="宋体" w:cs="宋体" w:eastAsia="宋体" w:hint="default"/>
                            <w:sz w:val="18"/>
                            <w:szCs w:val="18"/>
                          </w:rPr>
                          <w:t>固定资产较初增加</w:t>
                        </w:r>
                        <w:r>
                          <w:rPr>
                            <w:rFonts w:ascii="宋体" w:hAnsi="宋体" w:cs="宋体" w:eastAsia="宋体" w:hint="default"/>
                            <w:spacing w:val="-2"/>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84"/>
                            <w:sz w:val="18"/>
                            <w:szCs w:val="18"/>
                          </w:rPr>
                          <w:t>，</w:t>
                        </w:r>
                        <w:r>
                          <w:rPr>
                            <w:rFonts w:ascii="宋体" w:hAnsi="宋体" w:cs="宋体" w:eastAsia="宋体" w:hint="default"/>
                            <w:sz w:val="18"/>
                            <w:szCs w:val="18"/>
                          </w:rPr>
                          <w:t>增幅为</w:t>
                        </w:r>
                        <w:r>
                          <w:rPr>
                            <w:rFonts w:ascii="宋体" w:hAnsi="宋体" w:cs="宋体" w:eastAsia="宋体" w:hint="default"/>
                            <w:spacing w:val="-2"/>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主要系非同一控制下企业合并新增的固定资产增加所致。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截至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日止，无形资产较初增加 </w:t>
                        </w:r>
                        <w:r>
                          <w:rPr>
                            <w:rFonts w:ascii="Times New Roman" w:hAnsi="Times New Roman" w:cs="Times New Roman" w:eastAsia="Times New Roman" w:hint="default"/>
                            <w:sz w:val="18"/>
                            <w:szCs w:val="18"/>
                          </w:rPr>
                          <w:t>32,550,217.74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元，增幅为</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4291.52%</w:t>
                        </w:r>
                        <w:r>
                          <w:rPr>
                            <w:rFonts w:ascii="宋体" w:hAnsi="宋体" w:cs="宋体" w:eastAsia="宋体" w:hint="default"/>
                            <w:sz w:val="18"/>
                            <w:szCs w:val="18"/>
                          </w:rPr>
                          <w:t>，主要系非同一控制下企业合并产生的商标权及专有技术增加所致。</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日止，存货较初增加</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73,984,120.92</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元，增幅为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65.96%</w:t>
                        </w:r>
                        <w:r>
                          <w:rPr>
                            <w:rFonts w:ascii="宋体" w:hAnsi="宋体" w:cs="宋体" w:eastAsia="宋体" w:hint="default"/>
                            <w:sz w:val="18"/>
                            <w:szCs w:val="18"/>
                          </w:rPr>
                          <w:t>，主</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要系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年承接的新项目尚在建设中所致。</w:t>
                        </w:r>
                      </w:p>
                    </w:tc>
                  </w:tr>
                  <w:tr>
                    <w:trPr>
                      <w:trHeight w:val="102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34"/>
                          <w:jc w:val="both"/>
                          <w:rPr>
                            <w:rFonts w:ascii="宋体" w:hAnsi="宋体" w:cs="宋体" w:eastAsia="宋体" w:hint="default"/>
                            <w:sz w:val="18"/>
                            <w:szCs w:val="18"/>
                          </w:rPr>
                        </w:pPr>
                        <w:r>
                          <w:rPr>
                            <w:rFonts w:ascii="宋体" w:hAnsi="宋体" w:cs="宋体" w:eastAsia="宋体" w:hint="default"/>
                            <w:sz w:val="18"/>
                            <w:szCs w:val="18"/>
                          </w:rPr>
                          <w:t>截至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日止，可供出售金融资产较年初增加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22,042,058.60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元，增 幅</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342.80%</w:t>
                        </w:r>
                        <w:r>
                          <w:rPr>
                            <w:rFonts w:ascii="宋体" w:hAnsi="宋体" w:cs="宋体" w:eastAsia="宋体" w:hint="default"/>
                            <w:sz w:val="18"/>
                            <w:szCs w:val="18"/>
                          </w:rPr>
                          <w:t>，主要系本期新增按成本计量的被投资单位投资及原被投资单位注册资 本增加本期追加投资所致；</w:t>
                        </w:r>
                      </w:p>
                    </w:tc>
                  </w:tr>
                </w:tbl>
                <w:p>
                  <w:pPr/>
                </w:p>
              </w:txbxContent>
            </v:textbox>
            <w10:wrap type="none"/>
          </v:shape>
        </w:pict>
      </w:r>
      <w:r>
        <w:rPr/>
        <w:t>，</w:t>
      </w:r>
    </w:p>
    <w:p>
      <w:pPr>
        <w:spacing w:after="0" w:line="240" w:lineRule="auto"/>
        <w:jc w:val="right"/>
        <w:sectPr>
          <w:footerReference w:type="default" r:id="rId12"/>
          <w:pgSz w:w="11910" w:h="16840"/>
          <w:pgMar w:footer="978" w:header="746" w:top="1060" w:bottom="1160" w:left="1020" w:right="0"/>
          <w:pgNumType w:start="1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spacing w:line="240" w:lineRule="auto" w:before="44"/>
        <w:ind w:left="0" w:right="1153"/>
        <w:jc w:val="right"/>
      </w:pPr>
      <w:r>
        <w:rPr/>
        <w:pict>
          <v:shape style="position:absolute;margin-left:56.459999pt;margin-top:-36.538258pt;width:479.15pt;height:179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1"/>
                    <w:gridCol w:w="6517"/>
                  </w:tblGrid>
                  <w:tr>
                    <w:trPr>
                      <w:trHeight w:val="71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截至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日止，递延所得税资产较初增加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7,628,622.17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元，增幅为</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69.36%</w:t>
                        </w:r>
                        <w:r>
                          <w:rPr>
                            <w:rFonts w:ascii="宋体" w:hAnsi="宋体" w:cs="宋体" w:eastAsia="宋体" w:hint="default"/>
                            <w:sz w:val="18"/>
                            <w:szCs w:val="18"/>
                          </w:rPr>
                          <w:t>，主要系报告期资产减值准备增加</w:t>
                        </w:r>
                        <w:r>
                          <w:rPr>
                            <w:rFonts w:ascii="宋体" w:hAnsi="宋体" w:cs="宋体" w:eastAsia="宋体" w:hint="default"/>
                            <w:spacing w:val="-3"/>
                            <w:sz w:val="18"/>
                            <w:szCs w:val="18"/>
                          </w:rPr>
                          <w:t> </w:t>
                        </w:r>
                        <w:r>
                          <w:rPr>
                            <w:rFonts w:ascii="宋体" w:hAnsi="宋体" w:cs="宋体" w:eastAsia="宋体" w:hint="default"/>
                            <w:sz w:val="18"/>
                            <w:szCs w:val="18"/>
                          </w:rPr>
                          <w:t>相应地可抵扣暂时性差异增加；</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日止，预付款项较年初增加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6,754,363.19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元，增幅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93.36%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主要系本期支付合作预付款所致；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2"/>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日止，长期应收款较年初增加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3,800,000.00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元，主要系本期 新增融资租赁保证金所致；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日止，开发支出较年初增加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6,662,575.80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元，主要系本期进 入开发阶段的研发项目增加所致；</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92"/>
                          <w:jc w:val="left"/>
                          <w:rPr>
                            <w:rFonts w:ascii="宋体" w:hAnsi="宋体" w:cs="宋体" w:eastAsia="宋体" w:hint="default"/>
                            <w:sz w:val="18"/>
                            <w:szCs w:val="18"/>
                          </w:rPr>
                        </w:pPr>
                        <w:r>
                          <w:rPr>
                            <w:rFonts w:ascii="宋体" w:hAnsi="宋体" w:cs="宋体" w:eastAsia="宋体" w:hint="default"/>
                            <w:sz w:val="18"/>
                            <w:szCs w:val="18"/>
                          </w:rPr>
                          <w:t>截至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日止，商誉较年初增加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41,684,149.19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元，主要系非同一控 制下企业合并产生所致。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5"/>
        <w:spacing w:line="240" w:lineRule="auto" w:before="34"/>
        <w:ind w:right="0"/>
        <w:jc w:val="left"/>
        <w:rPr>
          <w:b w:val="0"/>
          <w:bCs w:val="0"/>
        </w:rPr>
      </w:pPr>
      <w:bookmarkStart w:name="2、主要境外资产情况" w:id="19"/>
      <w:bookmarkEnd w:id="19"/>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066"/>
        <w:gridCol w:w="1062"/>
        <w:gridCol w:w="1062"/>
        <w:gridCol w:w="1064"/>
        <w:gridCol w:w="1064"/>
        <w:gridCol w:w="1064"/>
        <w:gridCol w:w="1064"/>
        <w:gridCol w:w="1064"/>
        <w:gridCol w:w="1059"/>
      </w:tblGrid>
      <w:tr>
        <w:trPr>
          <w:trHeight w:val="1026"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49" w:right="76" w:hanging="272"/>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6"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5"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57"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8"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5" w:right="76"/>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66"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5"/>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3" w:right="73"/>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358"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12"/>
                <w:sz w:val="18"/>
                <w:szCs w:val="18"/>
              </w:rPr>
              <w:t>公司治理、财</w:t>
            </w:r>
          </w:p>
        </w:tc>
        <w:tc>
          <w:tcPr>
            <w:tcW w:w="106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59"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SUNJESOFT</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株式会社</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28"/>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23,928,252.7</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9</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韩国</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自主运营</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1"/>
              <w:jc w:val="left"/>
              <w:rPr>
                <w:rFonts w:ascii="宋体" w:hAnsi="宋体" w:cs="宋体" w:eastAsia="宋体" w:hint="default"/>
                <w:sz w:val="18"/>
                <w:szCs w:val="18"/>
              </w:rPr>
            </w:pPr>
            <w:r>
              <w:rPr>
                <w:rFonts w:ascii="宋体" w:hAnsi="宋体" w:cs="宋体" w:eastAsia="宋体" w:hint="default"/>
                <w:spacing w:val="-12"/>
                <w:sz w:val="18"/>
                <w:szCs w:val="18"/>
              </w:rPr>
              <w:t>务管理、审计</w:t>
            </w:r>
            <w:r>
              <w:rPr>
                <w:rFonts w:ascii="宋体" w:hAnsi="宋体" w:cs="宋体" w:eastAsia="宋体" w:hint="default"/>
                <w:sz w:val="18"/>
                <w:szCs w:val="18"/>
              </w:rPr>
              <w:t> </w:t>
            </w:r>
            <w:r>
              <w:rPr>
                <w:rFonts w:ascii="宋体" w:hAnsi="宋体" w:cs="宋体" w:eastAsia="宋体" w:hint="default"/>
                <w:spacing w:val="-12"/>
                <w:sz w:val="18"/>
                <w:szCs w:val="18"/>
              </w:rPr>
              <w:t>监督、绩效考</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pacing w:val="-1"/>
                <w:sz w:val="18"/>
              </w:rPr>
              <w:t>-1,080,605.05</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3.25%</w:t>
            </w:r>
          </w:p>
        </w:tc>
        <w:tc>
          <w:tcPr>
            <w:tcW w:w="105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2"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核等方式</w:t>
            </w:r>
          </w:p>
        </w:tc>
        <w:tc>
          <w:tcPr>
            <w:tcW w:w="106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59"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科蓝软体系 </w:t>
            </w:r>
            <w:r>
              <w:rPr>
                <w:rFonts w:ascii="宋体" w:hAnsi="宋体" w:cs="宋体" w:eastAsia="宋体" w:hint="default"/>
                <w:spacing w:val="-12"/>
                <w:sz w:val="18"/>
                <w:szCs w:val="18"/>
              </w:rPr>
              <w:t>统（香港）有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公司设立</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90,644,145.3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自主运营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1"/>
              <w:jc w:val="both"/>
              <w:rPr>
                <w:rFonts w:ascii="宋体" w:hAnsi="宋体" w:cs="宋体" w:eastAsia="宋体" w:hint="default"/>
                <w:sz w:val="18"/>
                <w:szCs w:val="18"/>
              </w:rPr>
            </w:pPr>
            <w:r>
              <w:rPr>
                <w:rFonts w:ascii="宋体" w:hAnsi="宋体" w:cs="宋体" w:eastAsia="宋体" w:hint="default"/>
                <w:spacing w:val="-12"/>
                <w:sz w:val="18"/>
                <w:szCs w:val="18"/>
              </w:rPr>
              <w:t>公司治理、财</w:t>
            </w:r>
            <w:r>
              <w:rPr>
                <w:rFonts w:ascii="宋体" w:hAnsi="宋体" w:cs="宋体" w:eastAsia="宋体" w:hint="default"/>
                <w:sz w:val="18"/>
                <w:szCs w:val="18"/>
              </w:rPr>
              <w:t> </w:t>
            </w:r>
            <w:r>
              <w:rPr>
                <w:rFonts w:ascii="宋体" w:hAnsi="宋体" w:cs="宋体" w:eastAsia="宋体" w:hint="default"/>
                <w:spacing w:val="-12"/>
                <w:sz w:val="18"/>
                <w:szCs w:val="18"/>
              </w:rPr>
              <w:t>务管理、审计</w:t>
            </w:r>
            <w:r>
              <w:rPr>
                <w:rFonts w:ascii="宋体" w:hAnsi="宋体" w:cs="宋体" w:eastAsia="宋体" w:hint="default"/>
                <w:sz w:val="18"/>
                <w:szCs w:val="18"/>
              </w:rPr>
              <w:t> </w:t>
            </w:r>
            <w:r>
              <w:rPr>
                <w:rFonts w:ascii="宋体" w:hAnsi="宋体" w:cs="宋体" w:eastAsia="宋体" w:hint="default"/>
                <w:spacing w:val="-12"/>
                <w:sz w:val="18"/>
                <w:szCs w:val="18"/>
              </w:rPr>
              <w:t>监督、绩效考</w:t>
            </w:r>
            <w:r>
              <w:rPr>
                <w:rFonts w:ascii="宋体" w:hAnsi="宋体" w:cs="宋体" w:eastAsia="宋体" w:hint="default"/>
                <w:sz w:val="18"/>
                <w:szCs w:val="18"/>
              </w:rPr>
              <w:t> 核等方式</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68"/>
              <w:jc w:val="right"/>
              <w:rPr>
                <w:rFonts w:ascii="Times New Roman" w:hAnsi="Times New Roman" w:cs="Times New Roman" w:eastAsia="Times New Roman" w:hint="default"/>
                <w:sz w:val="18"/>
                <w:szCs w:val="18"/>
              </w:rPr>
            </w:pPr>
            <w:r>
              <w:rPr>
                <w:rFonts w:ascii="Times New Roman"/>
                <w:spacing w:val="-1"/>
                <w:sz w:val="18"/>
              </w:rPr>
              <w:t>-928,827.53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12.29%</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4"/>
        <w:spacing w:line="240" w:lineRule="auto" w:before="26"/>
        <w:ind w:right="0"/>
        <w:jc w:val="left"/>
        <w:rPr>
          <w:b w:val="0"/>
          <w:bCs w:val="0"/>
        </w:rPr>
      </w:pPr>
      <w:bookmarkStart w:name="三、核心竞争力分析" w:id="20"/>
      <w:bookmarkEnd w:id="20"/>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240" w:lineRule="auto" w:before="27"/>
        <w:ind w:right="0"/>
        <w:jc w:val="left"/>
      </w:pPr>
      <w:r>
        <w:rPr/>
        <w:t>软件与信息技术服务业</w:t>
      </w:r>
    </w:p>
    <w:p>
      <w:pPr>
        <w:pStyle w:val="Heading4"/>
        <w:spacing w:line="240" w:lineRule="auto" w:before="68"/>
        <w:ind w:right="0"/>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自主创新能力及持续研发优势</w:t>
      </w:r>
      <w:r>
        <w:rPr>
          <w:b w:val="0"/>
          <w:bCs w:val="0"/>
        </w:rPr>
      </w:r>
    </w:p>
    <w:p>
      <w:pPr>
        <w:pStyle w:val="BodyText"/>
        <w:spacing w:line="316" w:lineRule="auto" w:before="66"/>
        <w:ind w:right="0" w:firstLine="360"/>
        <w:jc w:val="left"/>
      </w:pPr>
      <w:r>
        <w:rPr>
          <w:spacing w:val="-4"/>
        </w:rPr>
        <w:t>自成立以来，科蓝软件专注于自主知识产权的金融科技技术研发和升级，公司深耕银行业多年，从网上银行、手机银行、</w:t>
      </w:r>
      <w:r>
        <w:rPr/>
        <w:t> 直销银行直至今天全面的互联网银行，公司在国内银行的互联网技术与产品创新方面一直是最主要的引领与推动者。</w:t>
      </w:r>
    </w:p>
    <w:p>
      <w:pPr>
        <w:pStyle w:val="BodyText"/>
        <w:spacing w:line="309" w:lineRule="auto" w:before="59"/>
        <w:ind w:right="0" w:firstLine="360"/>
        <w:jc w:val="left"/>
      </w:pPr>
      <w:r>
        <w:rPr>
          <w:spacing w:val="-2"/>
        </w:rPr>
        <w:t>作为国内金融互联网建设的引领者，科蓝软件一直坚持不断建设、升级自主研发的技术开发平台。结合国家数字化金融</w:t>
      </w:r>
      <w:r>
        <w:rPr/>
        <w:t> 发展战略，基于对金融行业多年的实践经验和业务深度研究，公司于</w:t>
      </w:r>
      <w:r>
        <w:rPr>
          <w:rFonts w:ascii="Times New Roman" w:hAnsi="Times New Roman" w:cs="Times New Roman" w:eastAsia="Times New Roman" w:hint="default"/>
        </w:rPr>
        <w:t>2018</w:t>
      </w:r>
      <w:r>
        <w:rPr/>
        <w:t>年在原</w:t>
      </w:r>
      <w:r>
        <w:rPr>
          <w:rFonts w:ascii="Times New Roman" w:hAnsi="Times New Roman" w:cs="Times New Roman" w:eastAsia="Times New Roman" w:hint="default"/>
        </w:rPr>
        <w:t>CSII PowerEngine</w:t>
      </w:r>
      <w:r>
        <w:rPr>
          <w:rFonts w:ascii="Times New Roman" w:hAnsi="Times New Roman" w:cs="Times New Roman" w:eastAsia="Times New Roman" w:hint="default"/>
          <w:spacing w:val="-6"/>
        </w:rPr>
        <w:t> </w:t>
      </w:r>
      <w:r>
        <w:rPr>
          <w:rFonts w:ascii="Times New Roman" w:hAnsi="Times New Roman" w:cs="Times New Roman" w:eastAsia="Times New Roman" w:hint="default"/>
        </w:rPr>
        <w:t>X(10)</w:t>
      </w:r>
      <w:r>
        <w:rPr/>
        <w:t>技术开发平台的基</w:t>
      </w:r>
      <w:r>
        <w:rPr>
          <w:w w:val="99"/>
        </w:rPr>
        <w:t> </w:t>
      </w:r>
      <w:r>
        <w:rPr/>
        <w:t>础上，全面升级推出了自主可控的新一代金融技术平台。全面助力银行等金融机构向开放式数字化转型。</w:t>
      </w:r>
    </w:p>
    <w:p>
      <w:pPr>
        <w:pStyle w:val="BodyText"/>
        <w:spacing w:line="307" w:lineRule="auto" w:before="62"/>
        <w:ind w:right="1130" w:firstLine="360"/>
        <w:jc w:val="both"/>
      </w:pPr>
      <w:r>
        <w:rPr>
          <w:spacing w:val="-2"/>
        </w:rPr>
        <w:t>在移动为王、体验为先的今天，便利化、场景化、人性化的互动体验是成就客户价值的关键要素，移动互联网技术是金</w:t>
      </w:r>
      <w:r>
        <w:rPr/>
        <w:t> 融机构生存和发展必须依仗的</w:t>
      </w:r>
      <w:r>
        <w:rPr>
          <w:rFonts w:ascii="Times New Roman" w:hAnsi="Times New Roman" w:cs="Times New Roman" w:eastAsia="Times New Roman" w:hint="default"/>
        </w:rPr>
        <w:t>“</w:t>
      </w:r>
      <w:r>
        <w:rPr/>
        <w:t>硬核</w:t>
      </w:r>
      <w:r>
        <w:rPr>
          <w:rFonts w:ascii="Times New Roman" w:hAnsi="Times New Roman" w:cs="Times New Roman" w:eastAsia="Times New Roman" w:hint="default"/>
        </w:rPr>
        <w:t>”</w:t>
      </w:r>
      <w:r>
        <w:rPr/>
        <w:t>技术。</w:t>
      </w:r>
      <w:r>
        <w:rPr>
          <w:rFonts w:ascii="Times New Roman" w:hAnsi="Times New Roman" w:cs="Times New Roman" w:eastAsia="Times New Roman" w:hint="default"/>
        </w:rPr>
        <w:t>IDC</w:t>
      </w:r>
      <w:r>
        <w:rPr/>
        <w:t>的研究表明，科蓝公司在移动金融</w:t>
      </w:r>
      <w:r>
        <w:rPr>
          <w:rFonts w:ascii="Times New Roman" w:hAnsi="Times New Roman" w:cs="Times New Roman" w:eastAsia="Times New Roman" w:hint="default"/>
        </w:rPr>
        <w:t>IT</w:t>
      </w:r>
      <w:r>
        <w:rPr/>
        <w:t>解决方案市场连年保持市场份额第一。 </w:t>
      </w:r>
      <w:r>
        <w:rPr>
          <w:spacing w:val="-2"/>
        </w:rPr>
        <w:t>领先的市场地位与公司在移动金融技术领域持续投入研发，长期保持前瞻性和先进性是分不开的。</w:t>
      </w:r>
      <w:r>
        <w:rPr>
          <w:rFonts w:ascii="Times New Roman" w:hAnsi="Times New Roman" w:cs="Times New Roman" w:eastAsia="Times New Roman" w:hint="default"/>
          <w:spacing w:val="-2"/>
        </w:rPr>
        <w:t>2018</w:t>
      </w:r>
      <w:r>
        <w:rPr>
          <w:spacing w:val="-2"/>
        </w:rPr>
        <w:t>年，公司对即将到来</w:t>
      </w:r>
      <w:r>
        <w:rPr>
          <w:spacing w:val="-63"/>
        </w:rPr>
        <w:t> </w:t>
      </w:r>
      <w:r>
        <w:rPr>
          <w:spacing w:val="-63"/>
        </w:rPr>
      </w:r>
      <w:r>
        <w:rPr/>
        <w:t>的</w:t>
      </w:r>
      <w:r>
        <w:rPr>
          <w:rFonts w:ascii="Times New Roman" w:hAnsi="Times New Roman" w:cs="Times New Roman" w:eastAsia="Times New Roman" w:hint="default"/>
        </w:rPr>
        <w:t>“5G”</w:t>
      </w:r>
      <w:r>
        <w:rPr/>
        <w:t>移动互联网时代提前做出布局</w:t>
      </w:r>
      <w:r>
        <w:rPr>
          <w:rFonts w:ascii="Times New Roman" w:hAnsi="Times New Roman" w:cs="Times New Roman" w:eastAsia="Times New Roman" w:hint="default"/>
        </w:rPr>
        <w:t>,</w:t>
      </w:r>
      <w:r>
        <w:rPr>
          <w:rFonts w:ascii="Times New Roman" w:hAnsi="Times New Roman" w:cs="Times New Roman" w:eastAsia="Times New Roman" w:hint="default"/>
          <w:spacing w:val="-15"/>
        </w:rPr>
        <w:t> </w:t>
      </w:r>
      <w:r>
        <w:rPr/>
        <w:t>基于在银行移动金融技术和产品领域多年的开垦和经验积累，针对银行业的业务和技</w:t>
      </w:r>
    </w:p>
    <w:p>
      <w:pPr>
        <w:spacing w:after="0" w:line="307" w:lineRule="auto"/>
        <w:jc w:val="both"/>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07" w:lineRule="auto" w:before="44"/>
        <w:ind w:right="1132"/>
        <w:jc w:val="both"/>
      </w:pPr>
      <w:r>
        <w:rPr/>
        <w:t>术刚性需求，在融合了上百家移动金融案例后，聚力打造了</w:t>
      </w:r>
      <w:r>
        <w:rPr>
          <w:rFonts w:ascii="Times New Roman" w:hAnsi="Times New Roman" w:cs="Times New Roman" w:eastAsia="Times New Roman" w:hint="default"/>
        </w:rPr>
        <w:t>MADP2.0</w:t>
      </w:r>
      <w:r>
        <w:rPr/>
        <w:t>技术平台。这是对公司原</w:t>
      </w:r>
      <w:r>
        <w:rPr>
          <w:rFonts w:ascii="Times New Roman" w:hAnsi="Times New Roman" w:cs="Times New Roman" w:eastAsia="Times New Roman" w:hint="default"/>
        </w:rPr>
        <w:t>MADP1.0</w:t>
      </w:r>
      <w:r>
        <w:rPr/>
        <w:t>平台的全新升级！ </w:t>
      </w:r>
      <w:r>
        <w:rPr>
          <w:rFonts w:ascii="Times New Roman" w:hAnsi="Times New Roman" w:cs="Times New Roman" w:eastAsia="Times New Roman" w:hint="default"/>
        </w:rPr>
        <w:t>MADP2.0</w:t>
      </w:r>
      <w:r>
        <w:rPr/>
        <w:t>大幅提高了平台的智能化及综合化能力，强化移动金融的应用开发，增加了智能营销、移动分析、内容管理、发 </w:t>
      </w:r>
      <w:r>
        <w:rPr>
          <w:spacing w:val="-2"/>
        </w:rPr>
        <w:t>布服务等技术模块，进一步实现并加强了客户端的高安全性、高拓展性优势，强力支撑金融机构全面推进直销、电商等业务</w:t>
      </w:r>
      <w:r>
        <w:rPr>
          <w:spacing w:val="-66"/>
        </w:rPr>
        <w:t> </w:t>
      </w:r>
      <w:r>
        <w:rPr>
          <w:spacing w:val="-66"/>
        </w:rPr>
      </w:r>
      <w:r>
        <w:rPr/>
        <w:t>渠道资源整合和移动支付创新，搭建金融互联网</w:t>
      </w:r>
      <w:r>
        <w:rPr>
          <w:rFonts w:ascii="Times New Roman" w:hAnsi="Times New Roman" w:cs="Times New Roman" w:eastAsia="Times New Roman" w:hint="default"/>
        </w:rPr>
        <w:t>“</w:t>
      </w:r>
      <w:r>
        <w:rPr/>
        <w:t>跨界之桥</w:t>
      </w:r>
      <w:r>
        <w:rPr>
          <w:rFonts w:ascii="Times New Roman" w:hAnsi="Times New Roman" w:cs="Times New Roman" w:eastAsia="Times New Roman" w:hint="default"/>
        </w:rPr>
        <w:t>”</w:t>
      </w:r>
      <w:r>
        <w:rPr/>
        <w:t>。</w:t>
      </w:r>
    </w:p>
    <w:p>
      <w:pPr>
        <w:pStyle w:val="BodyText"/>
        <w:spacing w:line="314" w:lineRule="auto" w:before="45"/>
        <w:ind w:right="1132" w:firstLine="360"/>
        <w:jc w:val="both"/>
      </w:pPr>
      <w:r>
        <w:rPr>
          <w:rFonts w:ascii="Times New Roman" w:hAnsi="Times New Roman" w:cs="Times New Roman" w:eastAsia="Times New Roman" w:hint="default"/>
          <w:spacing w:val="-2"/>
        </w:rPr>
        <w:t>2018</w:t>
      </w:r>
      <w:r>
        <w:rPr>
          <w:spacing w:val="-2"/>
        </w:rPr>
        <w:t>年，公司基于在区块链技术方面的长期研究成果和专业的区块链研发队伍，结合城市商业银行资金清算中心对金融</w:t>
      </w:r>
      <w:r>
        <w:rPr/>
        <w:t> </w:t>
      </w:r>
      <w:r>
        <w:rPr>
          <w:spacing w:val="-2"/>
        </w:rPr>
        <w:t>行业的深入理解，联合腾讯金融云合作研发了城市商业银行汇票区块链应用，利用区块链技术，在银行汇票合作的金融机构</w:t>
      </w:r>
      <w:r>
        <w:rPr>
          <w:spacing w:val="-65"/>
        </w:rPr>
        <w:t> </w:t>
      </w:r>
      <w:r>
        <w:rPr>
          <w:spacing w:val="-65"/>
        </w:rPr>
      </w:r>
      <w:r>
        <w:rPr>
          <w:spacing w:val="-2"/>
        </w:rPr>
        <w:t>之间建立数据共享区块链平台，将银行汇票数字化，实现银行汇票信息上链及查询功能。合作金融机构可以通过该平台对银</w:t>
      </w:r>
      <w:r>
        <w:rPr>
          <w:spacing w:val="-65"/>
        </w:rPr>
        <w:t> </w:t>
      </w:r>
      <w:r>
        <w:rPr>
          <w:spacing w:val="-65"/>
        </w:rPr>
      </w:r>
      <w:r>
        <w:rPr>
          <w:spacing w:val="-2"/>
        </w:rPr>
        <w:t>行汇票进行查询和使用；该平台还将为探索银行汇票数字化、实现汇票信息传递提供技术支撑。该项目通过在金融机构的联</w:t>
      </w:r>
      <w:r>
        <w:rPr>
          <w:spacing w:val="-65"/>
        </w:rPr>
        <w:t> </w:t>
      </w:r>
      <w:r>
        <w:rPr>
          <w:spacing w:val="-65"/>
        </w:rPr>
      </w:r>
      <w:r>
        <w:rPr>
          <w:spacing w:val="-2"/>
        </w:rPr>
        <w:t>盟中建设银票联盟区块链，利用技术设计避免区块链在公有链上的限制，从而实现大幅提高交易速度和吞吐量，实现满足金</w:t>
      </w:r>
      <w:r>
        <w:rPr>
          <w:spacing w:val="-65"/>
        </w:rPr>
        <w:t> </w:t>
      </w:r>
      <w:r>
        <w:rPr>
          <w:spacing w:val="-65"/>
        </w:rPr>
      </w:r>
      <w:r>
        <w:rPr/>
        <w:t>融级要求的高安全性、高可用性。</w:t>
      </w:r>
    </w:p>
    <w:p>
      <w:pPr>
        <w:pStyle w:val="BodyText"/>
        <w:spacing w:line="316" w:lineRule="auto" w:before="61"/>
        <w:ind w:right="1132" w:firstLine="360"/>
        <w:jc w:val="both"/>
      </w:pPr>
      <w:r>
        <w:rPr>
          <w:spacing w:val="-2"/>
        </w:rPr>
        <w:t>针对金融业务传统互联网渠道服务系统（如：网上银行、微信银行等），公司也在持续加大研发投入，并与移动金融技</w:t>
      </w:r>
      <w:r>
        <w:rPr/>
        <w:t> </w:t>
      </w:r>
      <w:r>
        <w:rPr>
          <w:spacing w:val="-2"/>
        </w:rPr>
        <w:t>术整合建设互联网银行全渠道服务平台，推动金融机构渠道服务的线上、线下一体化融合发展，进一步满足银行在提升用户</w:t>
      </w:r>
      <w:r>
        <w:rPr>
          <w:spacing w:val="-65"/>
        </w:rPr>
        <w:t> </w:t>
      </w:r>
      <w:r>
        <w:rPr>
          <w:spacing w:val="-65"/>
        </w:rPr>
      </w:r>
      <w:r>
        <w:rPr/>
        <w:t>体验，满足用户对产品个性化需求，精准营销、服务丰富性和个性化等方面的需求。</w:t>
      </w:r>
    </w:p>
    <w:p>
      <w:pPr>
        <w:pStyle w:val="Heading4"/>
        <w:spacing w:line="240" w:lineRule="auto" w:before="11"/>
        <w:ind w:right="0"/>
        <w:jc w:val="both"/>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t>完整的互联网银行产品家族及高效服务能力优势</w:t>
      </w:r>
      <w:r>
        <w:rPr>
          <w:b w:val="0"/>
          <w:bCs w:val="0"/>
        </w:rPr>
      </w:r>
    </w:p>
    <w:p>
      <w:pPr>
        <w:pStyle w:val="BodyText"/>
        <w:spacing w:line="316" w:lineRule="auto" w:before="66"/>
        <w:ind w:right="1041" w:firstLine="360"/>
        <w:jc w:val="both"/>
      </w:pPr>
      <w:r>
        <w:rPr>
          <w:spacing w:val="-4"/>
        </w:rPr>
        <w:t>公司长期致力于通过金融科技创新构建可持续、符合监管的银行互联网业务运营体系，为银行提供自前台电子渠道体系、</w:t>
      </w:r>
      <w:r>
        <w:rPr/>
        <w:t> 中台业务系统到后台账务系统的纵向一站式</w:t>
      </w:r>
      <w:r>
        <w:rPr>
          <w:rFonts w:ascii="Times New Roman" w:hAnsi="Times New Roman" w:cs="Times New Roman" w:eastAsia="Times New Roman" w:hint="default"/>
        </w:rPr>
        <w:t>IT</w:t>
      </w:r>
      <w:r>
        <w:rPr/>
        <w:t>服务解决方案。</w:t>
      </w:r>
    </w:p>
    <w:p>
      <w:pPr>
        <w:pStyle w:val="BodyText"/>
        <w:spacing w:line="316" w:lineRule="auto" w:before="40"/>
        <w:ind w:right="1132" w:firstLine="360"/>
        <w:jc w:val="both"/>
      </w:pPr>
      <w:r>
        <w:rPr>
          <w:spacing w:val="-2"/>
        </w:rPr>
        <w:t>公司投入大量资源打造的互联网银行全渠道服务平台，完全符合互联网银行客户、渠道、运营模式的融合发展趋势，采</w:t>
      </w:r>
      <w:r>
        <w:rPr/>
        <w:t> </w:t>
      </w:r>
      <w:r>
        <w:rPr>
          <w:spacing w:val="-2"/>
        </w:rPr>
        <w:t>用主流、成熟的分布式、微服务的新型互联网技术栈，实现渠道服务的前、中、后台分离，保证系统灵活性，支撑互联网业</w:t>
      </w:r>
      <w:r>
        <w:rPr>
          <w:spacing w:val="-64"/>
        </w:rPr>
        <w:t> </w:t>
      </w:r>
      <w:r>
        <w:rPr>
          <w:spacing w:val="-64"/>
        </w:rPr>
      </w:r>
      <w:r>
        <w:rPr/>
        <w:t>务需求的快速迭代和业务单元化（</w:t>
      </w:r>
      <w:r>
        <w:rPr>
          <w:rFonts w:ascii="Times New Roman" w:hAnsi="Times New Roman" w:cs="Times New Roman" w:eastAsia="Times New Roman" w:hint="default"/>
        </w:rPr>
        <w:t>BU</w:t>
      </w:r>
      <w:r>
        <w:rPr/>
        <w:t>）趋势，构建全行级跨渠道协同和标准化共享服务能力。</w:t>
      </w:r>
    </w:p>
    <w:p>
      <w:pPr>
        <w:pStyle w:val="BodyText"/>
        <w:spacing w:line="304" w:lineRule="auto" w:before="40"/>
        <w:ind w:right="1132" w:firstLine="360"/>
        <w:jc w:val="both"/>
      </w:pPr>
      <w:r>
        <w:rPr>
          <w:spacing w:val="-2"/>
        </w:rPr>
        <w:t>公司于</w:t>
      </w:r>
      <w:r>
        <w:rPr>
          <w:rFonts w:ascii="Times New Roman" w:hAnsi="Times New Roman" w:cs="Times New Roman" w:eastAsia="Times New Roman" w:hint="default"/>
          <w:spacing w:val="-2"/>
        </w:rPr>
        <w:t>2018</w:t>
      </w:r>
      <w:r>
        <w:rPr>
          <w:spacing w:val="-2"/>
        </w:rPr>
        <w:t>年推出了面向银行线上线下全渠道的共享服务大中台解决方案，基于服务化架构理念进行构建，结合最前沿</w:t>
      </w:r>
      <w:r>
        <w:rPr/>
        <w:t> </w:t>
      </w:r>
      <w:r>
        <w:rPr>
          <w:spacing w:val="-2"/>
        </w:rPr>
        <w:t>的分布式平台技术，有效协助银行从封闭、耦合、紧密的传统交易式系统架构向去中心化、服务化、异步化、高可用、数据</w:t>
      </w:r>
      <w:r>
        <w:rPr>
          <w:spacing w:val="-64"/>
        </w:rPr>
        <w:t> </w:t>
      </w:r>
      <w:r>
        <w:rPr>
          <w:spacing w:val="-64"/>
        </w:rPr>
      </w:r>
      <w:r>
        <w:rPr>
          <w:spacing w:val="-2"/>
        </w:rPr>
        <w:t>化的分布式微服务架构转型。大中台的全渠道服务赋予了银行</w:t>
      </w:r>
      <w:r>
        <w:rPr>
          <w:rFonts w:ascii="Times New Roman" w:hAnsi="Times New Roman" w:cs="Times New Roman" w:eastAsia="Times New Roman" w:hint="default"/>
          <w:spacing w:val="-2"/>
        </w:rPr>
        <w:t>IT</w:t>
      </w:r>
      <w:r>
        <w:rPr>
          <w:spacing w:val="-2"/>
        </w:rPr>
        <w:t>体系以高性能异步能力、高可靠容错能力、敏捷更新创新能</w:t>
      </w:r>
      <w:r>
        <w:rPr>
          <w:spacing w:val="-53"/>
        </w:rPr>
        <w:t> </w:t>
      </w:r>
      <w:r>
        <w:rPr>
          <w:spacing w:val="-53"/>
        </w:rPr>
      </w:r>
      <w:r>
        <w:rPr>
          <w:spacing w:val="-2"/>
        </w:rPr>
        <w:t>力、应用级线性扩展能力和数字化运营能力。公司基于共享服务大中台解决方案，于</w:t>
      </w:r>
      <w:r>
        <w:rPr>
          <w:rFonts w:ascii="Times New Roman" w:hAnsi="Times New Roman" w:cs="Times New Roman" w:eastAsia="Times New Roman" w:hint="default"/>
          <w:spacing w:val="-2"/>
        </w:rPr>
        <w:t>2018</w:t>
      </w:r>
      <w:r>
        <w:rPr>
          <w:spacing w:val="-2"/>
        </w:rPr>
        <w:t>年已进行了对浦发银行智能互联平</w:t>
      </w:r>
      <w:r>
        <w:rPr>
          <w:spacing w:val="-63"/>
        </w:rPr>
        <w:t> </w:t>
      </w:r>
      <w:r>
        <w:rPr/>
        <w:t>台、重庆农商银行智慧银行、宁波银行全渠道服务大中台等几十家银行项目的落地实施，获得了市场普遍认可。</w:t>
      </w:r>
    </w:p>
    <w:p>
      <w:pPr>
        <w:pStyle w:val="BodyText"/>
        <w:spacing w:line="304" w:lineRule="auto" w:before="66"/>
        <w:ind w:right="1132" w:firstLine="360"/>
        <w:jc w:val="both"/>
      </w:pPr>
      <w:r>
        <w:rPr>
          <w:spacing w:val="-2"/>
        </w:rPr>
        <w:t>科蓝公司立足自主研发和前瞻性的创新思维，于国内最先提出互联网核心平台建设理念，并基于主流技术架构和先进的</w:t>
      </w:r>
      <w:r>
        <w:rPr/>
        <w:t> </w:t>
      </w:r>
      <w:r>
        <w:rPr>
          <w:spacing w:val="-2"/>
        </w:rPr>
        <w:t>业务模式在上海银行搭建完成了国内第一个互联网核心系统。</w:t>
      </w:r>
      <w:r>
        <w:rPr>
          <w:rFonts w:ascii="Times New Roman" w:hAnsi="Times New Roman" w:cs="Times New Roman" w:eastAsia="Times New Roman" w:hint="default"/>
          <w:spacing w:val="-2"/>
        </w:rPr>
        <w:t>2018</w:t>
      </w:r>
      <w:r>
        <w:rPr>
          <w:spacing w:val="-2"/>
        </w:rPr>
        <w:t>年，公司升级完成了自主可控的新型分布式互联网核心平</w:t>
      </w:r>
      <w:r>
        <w:rPr>
          <w:spacing w:val="-62"/>
        </w:rPr>
        <w:t> </w:t>
      </w:r>
      <w:r>
        <w:rPr>
          <w:spacing w:val="-62"/>
        </w:rPr>
      </w:r>
      <w:r>
        <w:rPr>
          <w:spacing w:val="-2"/>
        </w:rPr>
        <w:t>台框架，满足了银行互联网端服务高并发、大流量、自动化、全天候等的业务要求。公司的互联网核心技术解决方案已被国</w:t>
      </w:r>
      <w:r>
        <w:rPr>
          <w:spacing w:val="-65"/>
        </w:rPr>
        <w:t> </w:t>
      </w:r>
      <w:r>
        <w:rPr>
          <w:spacing w:val="-65"/>
        </w:rPr>
      </w:r>
      <w:r>
        <w:rPr>
          <w:spacing w:val="-2"/>
        </w:rPr>
        <w:t>内</w:t>
      </w:r>
      <w:r>
        <w:rPr>
          <w:rFonts w:ascii="Times New Roman" w:hAnsi="Times New Roman" w:cs="Times New Roman" w:eastAsia="Times New Roman" w:hint="default"/>
          <w:spacing w:val="-2"/>
        </w:rPr>
        <w:t>40</w:t>
      </w:r>
      <w:r>
        <w:rPr>
          <w:spacing w:val="-2"/>
        </w:rPr>
        <w:t>多家金融机构客户采用，有力助推了银行从传统服务模式转向零售银行，走向开放银行。公司在南京银行基于阿里和蚂</w:t>
      </w:r>
      <w:r>
        <w:rPr>
          <w:spacing w:val="-64"/>
        </w:rPr>
        <w:t> </w:t>
      </w:r>
      <w:r>
        <w:rPr>
          <w:spacing w:val="-64"/>
        </w:rPr>
      </w:r>
      <w:r>
        <w:rPr/>
        <w:t>蚁金融云搭建的</w:t>
      </w:r>
      <w:r>
        <w:rPr>
          <w:rFonts w:ascii="Times New Roman" w:hAnsi="Times New Roman" w:cs="Times New Roman" w:eastAsia="Times New Roman" w:hint="default"/>
        </w:rPr>
        <w:t>“</w:t>
      </w:r>
      <w:r>
        <w:rPr/>
        <w:t>鑫云</w:t>
      </w:r>
      <w:r>
        <w:rPr>
          <w:rFonts w:ascii="Times New Roman" w:hAnsi="Times New Roman" w:cs="Times New Roman" w:eastAsia="Times New Roman" w:hint="default"/>
        </w:rPr>
        <w:t>+”</w:t>
      </w:r>
      <w:r>
        <w:rPr/>
        <w:t>互联网金融核心平台，是中国第一个完整使用互联网技术的互联网金融核心平台。目前，南京银行 </w:t>
      </w:r>
      <w:r>
        <w:rPr>
          <w:spacing w:val="-2"/>
        </w:rPr>
        <w:t>线上业务几乎涵盖了所有业务类型，包括贷款、存款、结算、信托、代理、理财、现金管理等，线上产品达</w:t>
      </w:r>
      <w:r>
        <w:rPr>
          <w:rFonts w:ascii="Times New Roman" w:hAnsi="Times New Roman" w:cs="Times New Roman" w:eastAsia="Times New Roman" w:hint="default"/>
          <w:spacing w:val="-2"/>
        </w:rPr>
        <w:t>18</w:t>
      </w:r>
      <w:r>
        <w:rPr>
          <w:spacing w:val="-2"/>
        </w:rPr>
        <w:t>种，位居中小</w:t>
      </w:r>
      <w:r>
        <w:rPr>
          <w:spacing w:val="-67"/>
        </w:rPr>
        <w:t> </w:t>
      </w:r>
      <w:r>
        <w:rPr>
          <w:spacing w:val="-67"/>
        </w:rPr>
      </w:r>
      <w:r>
        <w:rPr/>
        <w:t>银行前列。经过</w:t>
      </w:r>
      <w:r>
        <w:rPr>
          <w:rFonts w:ascii="Times New Roman" w:hAnsi="Times New Roman" w:cs="Times New Roman" w:eastAsia="Times New Roman" w:hint="default"/>
        </w:rPr>
        <w:t>2018</w:t>
      </w:r>
      <w:r>
        <w:rPr/>
        <w:t>年的大力推广运营，</w:t>
      </w:r>
      <w:r>
        <w:rPr>
          <w:rFonts w:ascii="Times New Roman" w:hAnsi="Times New Roman" w:cs="Times New Roman" w:eastAsia="Times New Roman" w:hint="default"/>
        </w:rPr>
        <w:t>“</w:t>
      </w:r>
      <w:r>
        <w:rPr/>
        <w:t>鑫云</w:t>
      </w:r>
      <w:r>
        <w:rPr>
          <w:rFonts w:ascii="Times New Roman" w:hAnsi="Times New Roman" w:cs="Times New Roman" w:eastAsia="Times New Roman" w:hint="default"/>
        </w:rPr>
        <w:t>+”</w:t>
      </w:r>
      <w:r>
        <w:rPr/>
        <w:t>互联网金融核心平台目前已与国内几十家头部的互联网平台完成对接，同 时该平台还为</w:t>
      </w:r>
      <w:r>
        <w:rPr>
          <w:rFonts w:ascii="Times New Roman" w:hAnsi="Times New Roman" w:cs="Times New Roman" w:eastAsia="Times New Roman" w:hint="default"/>
        </w:rPr>
        <w:t>“</w:t>
      </w:r>
      <w:r>
        <w:rPr/>
        <w:t>紫金山鑫合家金融俱乐部</w:t>
      </w:r>
      <w:r>
        <w:rPr>
          <w:rFonts w:ascii="Times New Roman" w:hAnsi="Times New Roman" w:cs="Times New Roman" w:eastAsia="Times New Roman" w:hint="default"/>
        </w:rPr>
        <w:t>”</w:t>
      </w:r>
      <w:r>
        <w:rPr/>
        <w:t>中的几十家成员行提供各类金融服务，打造了共享开放的金融科技新生态。</w:t>
      </w:r>
    </w:p>
    <w:p>
      <w:pPr>
        <w:pStyle w:val="BodyText"/>
        <w:spacing w:line="309" w:lineRule="auto" w:before="50"/>
        <w:ind w:right="1034" w:firstLine="360"/>
        <w:jc w:val="left"/>
      </w:pPr>
      <w:r>
        <w:rPr>
          <w:rFonts w:ascii="Times New Roman" w:hAnsi="Times New Roman" w:cs="Times New Roman" w:eastAsia="Times New Roman" w:hint="default"/>
        </w:rPr>
        <w:t>2018</w:t>
      </w:r>
      <w:r>
        <w:rPr/>
        <w:t>年，科蓝公司推出了开放银行转型的综合解决方案，协助银行为其开放服务提供商和外部开发者建设规范、合作、 创新的开放社区平台。</w:t>
      </w:r>
      <w:r>
        <w:rPr>
          <w:rFonts w:ascii="Times New Roman" w:hAnsi="Times New Roman" w:cs="Times New Roman" w:eastAsia="Times New Roman" w:hint="default"/>
        </w:rPr>
        <w:t>2018</w:t>
      </w:r>
      <w:r>
        <w:rPr/>
        <w:t>年，浦发银行推出业内首个</w:t>
      </w:r>
      <w:r>
        <w:rPr>
          <w:rFonts w:ascii="Times New Roman" w:hAnsi="Times New Roman" w:cs="Times New Roman" w:eastAsia="Times New Roman" w:hint="default"/>
        </w:rPr>
        <w:t>API</w:t>
      </w:r>
      <w:r>
        <w:rPr>
          <w:rFonts w:ascii="Times New Roman" w:hAnsi="Times New Roman" w:cs="Times New Roman" w:eastAsia="Times New Roman" w:hint="default"/>
          <w:spacing w:val="-5"/>
        </w:rPr>
        <w:t> </w:t>
      </w:r>
      <w:r>
        <w:rPr>
          <w:rFonts w:ascii="Times New Roman" w:hAnsi="Times New Roman" w:cs="Times New Roman" w:eastAsia="Times New Roman" w:hint="default"/>
        </w:rPr>
        <w:t>BANK</w:t>
      </w:r>
      <w:r>
        <w:rPr/>
        <w:t>无界开放银行，科蓝公司作为</w:t>
      </w:r>
      <w:r>
        <w:rPr>
          <w:rFonts w:ascii="Times New Roman" w:hAnsi="Times New Roman" w:cs="Times New Roman" w:eastAsia="Times New Roman" w:hint="default"/>
        </w:rPr>
        <w:t>“</w:t>
      </w:r>
      <w:r>
        <w:rPr/>
        <w:t>浦发银行科技合作共同体</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spacing w:val="-2"/>
        </w:rPr>
        <w:t>的合作伙伴之一，协助浦发银行完成了电子渠道系统的分布式微服务转型和开放平台的搭建，解决了传统银行向开放银行转</w:t>
      </w:r>
      <w:r>
        <w:rPr>
          <w:spacing w:val="-64"/>
        </w:rPr>
        <w:t> </w:t>
      </w:r>
      <w:r>
        <w:rPr>
          <w:spacing w:val="-64"/>
        </w:rPr>
      </w:r>
      <w:r>
        <w:rPr>
          <w:spacing w:val="-2"/>
        </w:rPr>
        <w:t>型的痛点，全力打造了包括账户管理、金融咨询、投资理财、贷款服务、移动支付、民生缴费、生活服务等服务的能力输出</w:t>
      </w:r>
      <w:r>
        <w:rPr>
          <w:spacing w:val="-64"/>
        </w:rPr>
        <w:t> </w:t>
      </w:r>
      <w:r>
        <w:rPr>
          <w:spacing w:val="-64"/>
        </w:rPr>
      </w:r>
      <w:r>
        <w:rPr>
          <w:spacing w:val="-2"/>
        </w:rPr>
        <w:t>体系，最终实现</w:t>
      </w:r>
      <w:r>
        <w:rPr>
          <w:rFonts w:ascii="Times New Roman" w:hAnsi="Times New Roman" w:cs="Times New Roman" w:eastAsia="Times New Roman" w:hint="default"/>
          <w:spacing w:val="-2"/>
        </w:rPr>
        <w:t>“</w:t>
      </w:r>
      <w:r>
        <w:rPr>
          <w:spacing w:val="-2"/>
        </w:rPr>
        <w:t>技术、产品、服务、合作</w:t>
      </w:r>
      <w:r>
        <w:rPr>
          <w:rFonts w:ascii="Times New Roman" w:hAnsi="Times New Roman" w:cs="Times New Roman" w:eastAsia="Times New Roman" w:hint="default"/>
          <w:spacing w:val="-2"/>
        </w:rPr>
        <w:t>”</w:t>
      </w:r>
      <w:r>
        <w:rPr>
          <w:spacing w:val="-2"/>
        </w:rPr>
        <w:t>等领域的全面开放。</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月，科蓝公司以开放银行理念为指导，基于腾讯金</w:t>
      </w:r>
      <w:r>
        <w:rPr>
          <w:spacing w:val="-45"/>
        </w:rPr>
        <w:t> </w:t>
      </w:r>
      <w:r>
        <w:rPr>
          <w:spacing w:val="-45"/>
        </w:rPr>
      </w:r>
      <w:r>
        <w:rPr/>
        <w:t>融云为潍坊银行成功搭建了互联网核心平台体系，打造出将银行的信贷能力、风控能力、核算能力、二三类账户服务能力、 </w:t>
      </w:r>
      <w:r>
        <w:rPr>
          <w:spacing w:val="-2"/>
        </w:rPr>
        <w:t>存款产品能力、数字营销能力、支付能力等输出给第三方合作平台的新型开放银行服务模式，将金融服务能力融入平台的业</w:t>
      </w:r>
      <w:r>
        <w:rPr>
          <w:spacing w:val="-65"/>
        </w:rPr>
        <w:t> </w:t>
      </w:r>
      <w:r>
        <w:rPr>
          <w:spacing w:val="-65"/>
        </w:rPr>
      </w:r>
      <w:r>
        <w:rPr>
          <w:spacing w:val="-2"/>
        </w:rPr>
        <w:t>务场景中，形成场景金融，产业金融服务新生态。截至</w:t>
      </w:r>
      <w:r>
        <w:rPr>
          <w:rFonts w:ascii="Times New Roman" w:hAnsi="Times New Roman" w:cs="Times New Roman" w:eastAsia="Times New Roman" w:hint="default"/>
          <w:spacing w:val="-2"/>
        </w:rPr>
        <w:t>2018</w:t>
      </w:r>
      <w:r>
        <w:rPr>
          <w:spacing w:val="-2"/>
        </w:rPr>
        <w:t>年底，公司开放银行平台产品已有近</w:t>
      </w:r>
      <w:r>
        <w:rPr>
          <w:rFonts w:ascii="Times New Roman" w:hAnsi="Times New Roman" w:cs="Times New Roman" w:eastAsia="Times New Roman" w:hint="default"/>
          <w:spacing w:val="-2"/>
        </w:rPr>
        <w:t>20</w:t>
      </w:r>
      <w:r>
        <w:rPr>
          <w:spacing w:val="-2"/>
        </w:rPr>
        <w:t>家成功实施案例，取得了</w:t>
      </w:r>
      <w:r>
        <w:rPr>
          <w:spacing w:val="-62"/>
        </w:rPr>
        <w:t> </w:t>
      </w:r>
      <w:r>
        <w:rPr>
          <w:spacing w:val="-62"/>
        </w:rPr>
      </w:r>
      <w:r>
        <w:rPr/>
        <w:t>良好的市场效果。</w:t>
      </w:r>
    </w:p>
    <w:p>
      <w:pPr>
        <w:pStyle w:val="BodyText"/>
        <w:spacing w:line="300" w:lineRule="auto" w:before="65"/>
        <w:ind w:right="1177" w:firstLine="360"/>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月，科蓝软件顺利通过公安部第三研究所资质审核，正式成为</w:t>
      </w:r>
      <w:r>
        <w:rPr>
          <w:rFonts w:ascii="Times New Roman" w:hAnsi="Times New Roman" w:cs="Times New Roman" w:eastAsia="Times New Roman" w:hint="default"/>
          <w:spacing w:val="-1"/>
        </w:rPr>
        <w:t>eID</w:t>
      </w:r>
      <w:r>
        <w:rPr>
          <w:spacing w:val="-1"/>
        </w:rPr>
        <w:t>网络身份服务机构</w:t>
      </w:r>
      <w:r>
        <w:rPr>
          <w:rFonts w:ascii="Times New Roman" w:hAnsi="Times New Roman" w:cs="Times New Roman" w:eastAsia="Times New Roman" w:hint="default"/>
          <w:spacing w:val="-1"/>
        </w:rPr>
        <w:t>(IDSP)</w:t>
      </w:r>
      <w:r>
        <w:rPr>
          <w:spacing w:val="-1"/>
        </w:rPr>
        <w:t>，并在公安部第三</w:t>
      </w:r>
      <w:r>
        <w:rPr>
          <w:w w:val="99"/>
        </w:rPr>
        <w:t> </w:t>
      </w:r>
      <w:r>
        <w:rPr>
          <w:spacing w:val="-1"/>
          <w:w w:val="99"/>
        </w:rPr>
        <w:t>研究所指导下完成建设了科蓝软件</w:t>
      </w:r>
      <w:r>
        <w:rPr>
          <w:rFonts w:ascii="Times New Roman" w:hAnsi="Times New Roman" w:cs="Times New Roman" w:eastAsia="Times New Roman" w:hint="default"/>
          <w:spacing w:val="-1"/>
          <w:w w:val="99"/>
        </w:rPr>
        <w:t>CSIIVP</w:t>
      </w:r>
      <w:r>
        <w:rPr>
          <w:rFonts w:ascii="Times New Roman" w:hAnsi="Times New Roman" w:cs="Times New Roman" w:eastAsia="Times New Roman" w:hint="default"/>
          <w:w w:val="99"/>
        </w:rPr>
        <w:t> </w:t>
      </w:r>
      <w:r>
        <w:rPr>
          <w:rFonts w:ascii="Times New Roman" w:hAnsi="Times New Roman" w:cs="Times New Roman" w:eastAsia="Times New Roman" w:hint="default"/>
          <w:spacing w:val="-1"/>
          <w:w w:val="99"/>
        </w:rPr>
        <w:t>eID</w:t>
      </w:r>
      <w:r>
        <w:rPr>
          <w:spacing w:val="-1"/>
          <w:w w:val="99"/>
        </w:rPr>
        <w:t>人证合一网络身份验证平台（</w:t>
      </w:r>
      <w:r>
        <w:rPr>
          <w:w w:val="99"/>
        </w:rPr>
        <w:t> </w:t>
      </w:r>
      <w:r>
        <w:rPr>
          <w:rFonts w:ascii="Times New Roman" w:hAnsi="Times New Roman" w:cs="Times New Roman" w:eastAsia="Times New Roman" w:hint="default"/>
          <w:w w:val="99"/>
        </w:rPr>
        <w:t>CSII </w:t>
      </w:r>
      <w:r>
        <w:rPr>
          <w:rFonts w:ascii="Times New Roman" w:hAnsi="Times New Roman" w:cs="Times New Roman" w:eastAsia="Times New Roman" w:hint="default"/>
          <w:w w:val="99"/>
        </w:rPr>
        <w:t>Internet </w:t>
      </w:r>
      <w:r>
        <w:rPr>
          <w:rFonts w:ascii="Times New Roman" w:hAnsi="Times New Roman" w:cs="Times New Roman" w:eastAsia="Times New Roman" w:hint="default"/>
          <w:spacing w:val="-1"/>
          <w:w w:val="99"/>
        </w:rPr>
        <w:t>Identity</w:t>
      </w:r>
      <w:r>
        <w:rPr>
          <w:rFonts w:ascii="Times New Roman" w:hAnsi="Times New Roman" w:cs="Times New Roman" w:eastAsia="Times New Roman" w:hint="default"/>
          <w:w w:val="99"/>
        </w:rPr>
        <w:t> </w:t>
      </w:r>
      <w:r>
        <w:rPr>
          <w:rFonts w:ascii="Times New Roman" w:hAnsi="Times New Roman" w:cs="Times New Roman" w:eastAsia="Times New Roman" w:hint="default"/>
          <w:spacing w:val="-2"/>
          <w:w w:val="99"/>
        </w:rPr>
        <w:t>Verification</w:t>
      </w:r>
      <w:r>
        <w:rPr>
          <w:rFonts w:ascii="Times New Roman" w:hAnsi="Times New Roman" w:cs="Times New Roman" w:eastAsia="Times New Roman" w:hint="default"/>
          <w:spacing w:val="37"/>
          <w:w w:val="99"/>
        </w:rPr>
        <w:t> </w:t>
      </w:r>
      <w:r>
        <w:rPr>
          <w:rFonts w:ascii="Times New Roman" w:hAnsi="Times New Roman" w:cs="Times New Roman" w:eastAsia="Times New Roman" w:hint="default"/>
          <w:spacing w:val="-10"/>
          <w:w w:val="99"/>
        </w:rPr>
        <w:t>Platform</w:t>
      </w:r>
      <w:r>
        <w:rPr>
          <w:spacing w:val="-10"/>
          <w:w w:val="99"/>
        </w:rPr>
        <w:t>）。</w:t>
      </w:r>
    </w:p>
    <w:p>
      <w:pPr>
        <w:spacing w:after="0" w:line="300" w:lineRule="auto"/>
        <w:jc w:val="both"/>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09" w:lineRule="auto" w:before="44"/>
        <w:ind w:right="1034"/>
        <w:jc w:val="left"/>
      </w:pPr>
      <w:r>
        <w:rPr>
          <w:rFonts w:ascii="Times New Roman" w:hAnsi="Times New Roman" w:cs="Times New Roman" w:eastAsia="Times New Roman" w:hint="default"/>
        </w:rPr>
        <w:t>CSIIVP</w:t>
      </w:r>
      <w:r>
        <w:rPr/>
        <w:t>平台专注于将</w:t>
      </w:r>
      <w:r>
        <w:rPr>
          <w:rFonts w:ascii="Times New Roman" w:hAnsi="Times New Roman" w:cs="Times New Roman" w:eastAsia="Times New Roman" w:hint="default"/>
        </w:rPr>
        <w:t>eID</w:t>
      </w:r>
      <w:r>
        <w:rPr/>
        <w:t>应用体系与互联网银行业务结合，借助</w:t>
      </w:r>
      <w:r>
        <w:rPr>
          <w:rFonts w:ascii="Times New Roman" w:hAnsi="Times New Roman" w:cs="Times New Roman" w:eastAsia="Times New Roman" w:hint="default"/>
        </w:rPr>
        <w:t>eID</w:t>
      </w:r>
      <w:r>
        <w:rPr/>
        <w:t>公民网络身份体系的安全优势和</w:t>
      </w:r>
      <w:r>
        <w:rPr>
          <w:rFonts w:ascii="Times New Roman" w:hAnsi="Times New Roman" w:cs="Times New Roman" w:eastAsia="Times New Roman" w:hint="default"/>
        </w:rPr>
        <w:t>eID</w:t>
      </w:r>
      <w:r>
        <w:rPr>
          <w:rFonts w:ascii="Times New Roman" w:hAnsi="Times New Roman" w:cs="Times New Roman" w:eastAsia="Times New Roman" w:hint="default"/>
          <w:spacing w:val="43"/>
        </w:rPr>
        <w:t> </w:t>
      </w:r>
      <w:r>
        <w:rPr/>
        <w:t>签发、认证能力实 现高可信的客户网络身份验证环境，针对互联网银行经营过程中身份识别、客户隐私保护、身份资料保存等环节中的难点， 为银行客户提供更安全、高效、可信的公民网络身份服务，从源头解决了互联网银行客户实名制验证问题。</w:t>
      </w:r>
    </w:p>
    <w:p>
      <w:pPr>
        <w:pStyle w:val="Heading4"/>
        <w:spacing w:line="240" w:lineRule="auto" w:before="14"/>
        <w:ind w:left="232" w:right="0"/>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持续壮大的客户规模资源与优质服务品牌优势</w:t>
      </w:r>
      <w:r>
        <w:rPr>
          <w:b w:val="0"/>
          <w:bCs w:val="0"/>
        </w:rPr>
      </w:r>
    </w:p>
    <w:p>
      <w:pPr>
        <w:pStyle w:val="BodyText"/>
        <w:spacing w:line="312" w:lineRule="auto" w:before="28"/>
        <w:ind w:right="0" w:firstLine="451"/>
        <w:jc w:val="left"/>
      </w:pPr>
      <w:r>
        <w:rPr>
          <w:spacing w:val="-2"/>
        </w:rPr>
        <w:t>自</w:t>
      </w:r>
      <w:r>
        <w:rPr>
          <w:rFonts w:ascii="Times New Roman" w:hAnsi="Times New Roman" w:cs="Times New Roman" w:eastAsia="Times New Roman" w:hint="default"/>
          <w:spacing w:val="-2"/>
        </w:rPr>
        <w:t>1999</w:t>
      </w:r>
      <w:r>
        <w:rPr>
          <w:spacing w:val="-2"/>
        </w:rPr>
        <w:t>年成功实施国内最早的网上银行系统项目以来，公司不断积累了庞大、优质的客户群体及丰富的项目运作经验，</w:t>
      </w:r>
      <w:r>
        <w:rPr/>
        <w:t> </w:t>
      </w:r>
      <w:r>
        <w:rPr>
          <w:spacing w:val="-2"/>
        </w:rPr>
        <w:t>在业内树立了良好的品牌形象。随着近几年银行业改革不断深化，公司技术实力不断增强，民营银行的兴起、独立法人直销</w:t>
      </w:r>
      <w:r>
        <w:rPr>
          <w:spacing w:val="-66"/>
        </w:rPr>
        <w:t> </w:t>
      </w:r>
      <w:r>
        <w:rPr>
          <w:spacing w:val="-66"/>
        </w:rPr>
      </w:r>
      <w:r>
        <w:rPr>
          <w:spacing w:val="-2"/>
        </w:rPr>
        <w:t>银行诞生、大量实体企业开展金融服务，使得公司承接的银行互联网类项目数量迅速增加，服务的客户类型与群体数量不断</w:t>
      </w:r>
      <w:r>
        <w:rPr>
          <w:spacing w:val="-65"/>
        </w:rPr>
        <w:t> </w:t>
      </w:r>
      <w:r>
        <w:rPr>
          <w:spacing w:val="-65"/>
        </w:rPr>
      </w:r>
      <w:r>
        <w:rPr/>
        <w:t>扩大，项目经验进一步丰富完善。</w:t>
      </w:r>
    </w:p>
    <w:p>
      <w:pPr>
        <w:pStyle w:val="BodyText"/>
        <w:spacing w:line="316" w:lineRule="auto" w:before="22"/>
        <w:ind w:right="0" w:firstLine="360"/>
        <w:jc w:val="left"/>
      </w:pPr>
      <w:r>
        <w:rPr>
          <w:spacing w:val="-2"/>
        </w:rPr>
        <w:t>公司持续保持在中国银行业互联网解决方案供应商的领导者地位，在当前市场的竞争力及未来发展潜力两方面均明显高</w:t>
      </w:r>
      <w:r>
        <w:rPr/>
        <w:t> 于行业平均水平。</w:t>
      </w:r>
    </w:p>
    <w:p>
      <w:pPr>
        <w:pStyle w:val="Heading4"/>
        <w:spacing w:line="303" w:lineRule="exact"/>
        <w:ind w:right="0"/>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6"/>
        </w:rPr>
        <w:t> </w:t>
      </w:r>
      <w:r>
        <w:rPr/>
        <w:t>人才梯队与专业能力优势</w:t>
      </w:r>
      <w:r>
        <w:rPr>
          <w:b w:val="0"/>
          <w:bCs w:val="0"/>
        </w:rPr>
      </w:r>
    </w:p>
    <w:p>
      <w:pPr>
        <w:pStyle w:val="BodyText"/>
        <w:spacing w:line="300" w:lineRule="auto" w:before="28"/>
        <w:ind w:right="0" w:firstLine="480"/>
        <w:jc w:val="left"/>
      </w:pPr>
      <w:r>
        <w:rPr>
          <w:spacing w:val="-2"/>
        </w:rPr>
        <w:t>经过长期不断发展，目前已拥有</w:t>
      </w:r>
      <w:r>
        <w:rPr>
          <w:rFonts w:ascii="Times New Roman" w:hAnsi="Times New Roman" w:cs="Times New Roman" w:eastAsia="Times New Roman" w:hint="default"/>
          <w:spacing w:val="-2"/>
        </w:rPr>
        <w:t>3,000</w:t>
      </w:r>
      <w:r>
        <w:rPr>
          <w:spacing w:val="-2"/>
        </w:rPr>
        <w:t>余名熟悉</w:t>
      </w:r>
      <w:r>
        <w:rPr>
          <w:rFonts w:ascii="Times New Roman" w:hAnsi="Times New Roman" w:cs="Times New Roman" w:eastAsia="Times New Roman" w:hint="default"/>
          <w:spacing w:val="-2"/>
        </w:rPr>
        <w:t>IT</w:t>
      </w:r>
      <w:r>
        <w:rPr>
          <w:spacing w:val="-2"/>
        </w:rPr>
        <w:t>技术和银行业务的复合型人才，研发、技术和项目实施人员占员工总</w:t>
      </w:r>
      <w:r>
        <w:rPr/>
        <w:t> 数比例超过</w:t>
      </w:r>
      <w:r>
        <w:rPr>
          <w:rFonts w:ascii="Times New Roman" w:hAnsi="Times New Roman" w:cs="Times New Roman" w:eastAsia="Times New Roman" w:hint="default"/>
        </w:rPr>
        <w:t>90%</w:t>
      </w:r>
      <w:r>
        <w:rPr/>
        <w:t>，满足公司未来长远稳定发展。</w:t>
      </w:r>
    </w:p>
    <w:p>
      <w:pPr>
        <w:pStyle w:val="BodyText"/>
        <w:spacing w:line="312" w:lineRule="auto" w:before="13"/>
        <w:ind w:right="0" w:firstLine="360"/>
        <w:jc w:val="left"/>
      </w:pPr>
      <w:r>
        <w:rPr>
          <w:spacing w:val="-2"/>
        </w:rPr>
        <w:t>公司不断扩大的业务规模为团队建设及人才培养提供了良好的机遇，需求调研与市场分析人员、系统分析与产品设计人</w:t>
      </w:r>
      <w:r>
        <w:rPr/>
        <w:t> 员、数据分析与数据管理人员、系统设计与技术开发人员、用户体验与</w:t>
      </w:r>
      <w:r>
        <w:rPr>
          <w:rFonts w:ascii="Times New Roman" w:hAnsi="Times New Roman" w:cs="Times New Roman" w:eastAsia="Times New Roman" w:hint="default"/>
        </w:rPr>
        <w:t>UI</w:t>
      </w:r>
      <w:r>
        <w:rPr/>
        <w:t>设计人员、网络架构与系统集成人员、系统测试</w:t>
      </w:r>
      <w:r>
        <w:rPr>
          <w:w w:val="99"/>
        </w:rPr>
        <w:t> </w:t>
      </w:r>
      <w:r>
        <w:rPr>
          <w:spacing w:val="-2"/>
        </w:rPr>
        <w:t>与业务验收人员、项目管理与质量保障人员、系统运维与业务运营人员等不断趋于专业化，建立了老、中、青结合的，由经</w:t>
      </w:r>
      <w:r>
        <w:rPr>
          <w:spacing w:val="-67"/>
        </w:rPr>
        <w:t> </w:t>
      </w:r>
      <w:r>
        <w:rPr>
          <w:spacing w:val="-67"/>
        </w:rPr>
      </w:r>
      <w:r>
        <w:rPr/>
        <w:t>验丰富的各类专业实施与服务人才组成的人才梯队。</w:t>
      </w:r>
    </w:p>
    <w:p>
      <w:pPr>
        <w:pStyle w:val="BodyText"/>
        <w:spacing w:line="316" w:lineRule="auto" w:before="63"/>
        <w:ind w:right="0" w:firstLine="360"/>
        <w:jc w:val="left"/>
      </w:pPr>
      <w:r>
        <w:rPr>
          <w:spacing w:val="-2"/>
        </w:rPr>
        <w:t>公司通过建立员工持股平台，鼓励员工增资入股，让广大员工共同分享公司成长的果实，进一步增强技术及业务团队的</w:t>
      </w:r>
      <w:r>
        <w:rPr/>
        <w:t> 稳定性。与此同时，公司强化人才发展战略，高度注重人才的引进和培养。</w:t>
      </w:r>
    </w:p>
    <w:p>
      <w:pPr>
        <w:spacing w:after="0" w:line="316" w:lineRule="auto"/>
        <w:jc w:val="left"/>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spacing w:line="240" w:lineRule="auto"/>
        <w:ind w:left="2928" w:right="0"/>
        <w:jc w:val="left"/>
        <w:rPr>
          <w:b w:val="0"/>
          <w:bCs w:val="0"/>
        </w:rPr>
      </w:pPr>
      <w:bookmarkStart w:name="第四节 经营情况讨论与分析" w:id="21"/>
      <w:bookmarkEnd w:id="21"/>
      <w:r>
        <w:rPr>
          <w:b w:val="0"/>
          <w:bCs w:val="0"/>
        </w:rPr>
      </w:r>
      <w:bookmarkStart w:name="_bookmark2" w:id="22"/>
      <w:bookmarkEnd w:id="22"/>
      <w:r>
        <w:rPr>
          <w:b w:val="0"/>
          <w:bCs w:val="0"/>
        </w:rPr>
      </w:r>
      <w:r>
        <w:rPr/>
        <w:t>第四节</w:t>
      </w:r>
      <w:r>
        <w:rPr>
          <w:spacing w:val="-13"/>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0"/>
        <w:jc w:val="both"/>
        <w:rPr>
          <w:b w:val="0"/>
          <w:bCs w:val="0"/>
        </w:rPr>
      </w:pPr>
      <w:bookmarkStart w:name="一、概述" w:id="23"/>
      <w:bookmarkEnd w:id="23"/>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4" w:lineRule="auto"/>
        <w:ind w:right="1132" w:firstLine="360"/>
        <w:jc w:val="both"/>
      </w:pPr>
      <w:r>
        <w:rPr>
          <w:spacing w:val="-2"/>
        </w:rPr>
        <w:t>作为我国专业从事银行业软件开发及</w:t>
      </w:r>
      <w:r>
        <w:rPr>
          <w:rFonts w:ascii="Times New Roman" w:hAnsi="Times New Roman" w:cs="Times New Roman" w:eastAsia="Times New Roman" w:hint="default"/>
          <w:spacing w:val="-2"/>
        </w:rPr>
        <w:t>IT</w:t>
      </w:r>
      <w:r>
        <w:rPr>
          <w:spacing w:val="-2"/>
        </w:rPr>
        <w:t>服务最早的一批企业，公司始终坚持自主创新、自主研发的原则，经过近</w:t>
      </w:r>
      <w:r>
        <w:rPr>
          <w:rFonts w:ascii="Times New Roman" w:hAnsi="Times New Roman" w:cs="Times New Roman" w:eastAsia="Times New Roman" w:hint="default"/>
          <w:spacing w:val="-2"/>
        </w:rPr>
        <w:t>20</w:t>
      </w:r>
      <w:r>
        <w:rPr>
          <w:spacing w:val="-2"/>
        </w:rPr>
        <w:t>年的</w:t>
      </w:r>
      <w:r>
        <w:rPr/>
        <w:t> </w:t>
      </w:r>
      <w:r>
        <w:rPr>
          <w:spacing w:val="-2"/>
        </w:rPr>
        <w:t>发展，已经成为一家国内领先的银行</w:t>
      </w:r>
      <w:r>
        <w:rPr>
          <w:rFonts w:ascii="Times New Roman" w:hAnsi="Times New Roman" w:cs="Times New Roman" w:eastAsia="Times New Roman" w:hint="default"/>
          <w:spacing w:val="-2"/>
        </w:rPr>
        <w:t>IT</w:t>
      </w:r>
      <w:r>
        <w:rPr>
          <w:spacing w:val="-2"/>
        </w:rPr>
        <w:t>解决方案供应商。目前，科蓝公司是互联网银行服务行业极少数具有前中后台全产业</w:t>
      </w:r>
      <w:r>
        <w:rPr>
          <w:spacing w:val="-53"/>
        </w:rPr>
        <w:t> </w:t>
      </w:r>
      <w:r>
        <w:rPr>
          <w:spacing w:val="-53"/>
        </w:rPr>
      </w:r>
      <w:r>
        <w:rPr>
          <w:spacing w:val="-2"/>
        </w:rPr>
        <w:t>链产品的金融科技公司。报告期内公司的主营业务仍是向以银行为主的金融机构提供软件产品应用开发和技术服务，为银行</w:t>
      </w:r>
      <w:r>
        <w:rPr>
          <w:spacing w:val="-64"/>
        </w:rPr>
        <w:t> </w:t>
      </w:r>
      <w:r>
        <w:rPr>
          <w:spacing w:val="-64"/>
        </w:rPr>
      </w:r>
      <w:r>
        <w:rPr>
          <w:spacing w:val="-2"/>
        </w:rPr>
        <w:t>等金融行业企业提供</w:t>
      </w:r>
      <w:r>
        <w:rPr>
          <w:rFonts w:ascii="Times New Roman" w:hAnsi="Times New Roman" w:cs="Times New Roman" w:eastAsia="Times New Roman" w:hint="default"/>
          <w:spacing w:val="-2"/>
        </w:rPr>
        <w:t>IT</w:t>
      </w:r>
      <w:r>
        <w:rPr>
          <w:spacing w:val="-2"/>
        </w:rPr>
        <w:t>咨询、规划、建设、营运、产品创新以及市场营销等一揽子解决方案；同时公司积极拓展保险、证券</w:t>
      </w:r>
      <w:r>
        <w:rPr>
          <w:spacing w:val="-53"/>
        </w:rPr>
        <w:t> </w:t>
      </w:r>
      <w:r>
        <w:rPr>
          <w:spacing w:val="-53"/>
        </w:rPr>
      </w:r>
      <w:r>
        <w:rPr/>
        <w:t>等泛金融机构。</w:t>
      </w:r>
    </w:p>
    <w:p>
      <w:pPr>
        <w:pStyle w:val="BodyText"/>
        <w:spacing w:line="240" w:lineRule="auto" w:before="28"/>
        <w:ind w:left="472" w:right="0"/>
        <w:jc w:val="left"/>
      </w:pPr>
      <w:r>
        <w:rPr/>
        <w:t>报告期内，公司经营工作重点围绕以下几个方面：</w:t>
      </w:r>
    </w:p>
    <w:p>
      <w:pPr>
        <w:pStyle w:val="BodyText"/>
        <w:spacing w:line="300" w:lineRule="auto" w:before="76"/>
        <w:ind w:left="472" w:right="1128"/>
        <w:jc w:val="left"/>
      </w:pPr>
      <w:r>
        <w:rPr>
          <w:rFonts w:ascii="Times New Roman" w:hAnsi="Times New Roman" w:cs="Times New Roman" w:eastAsia="Times New Roman" w:hint="default"/>
        </w:rPr>
        <w:t>1</w:t>
      </w:r>
      <w:r>
        <w:rPr/>
        <w:t>、新产品研发 </w:t>
      </w:r>
      <w:r>
        <w:rPr>
          <w:spacing w:val="-2"/>
        </w:rPr>
        <w:t>公司一贯高度重视新产品的研发工作和对已有科技金融产品的更新、优化、升级工作。根据市场预测启动多个新产品的</w:t>
      </w:r>
    </w:p>
    <w:p>
      <w:pPr>
        <w:pStyle w:val="BodyText"/>
        <w:spacing w:line="309" w:lineRule="auto" w:before="31"/>
        <w:ind w:right="1132"/>
        <w:jc w:val="both"/>
      </w:pPr>
      <w:r>
        <w:rPr>
          <w:spacing w:val="-2"/>
        </w:rPr>
        <w:t>研发，投入公司最核心的骨干技术力量，确保新产品快速、优质地形成并推向市场。</w:t>
      </w:r>
      <w:r>
        <w:rPr>
          <w:rFonts w:ascii="Times New Roman" w:hAnsi="Times New Roman" w:cs="Times New Roman" w:eastAsia="Times New Roman" w:hint="default"/>
          <w:spacing w:val="-2"/>
        </w:rPr>
        <w:t>2018</w:t>
      </w:r>
      <w:r>
        <w:rPr>
          <w:spacing w:val="-2"/>
        </w:rPr>
        <w:t>年，已经有新一代全渠道金融服务</w:t>
      </w:r>
      <w:r>
        <w:rPr>
          <w:spacing w:val="-63"/>
        </w:rPr>
        <w:t> </w:t>
      </w:r>
      <w:r>
        <w:rPr>
          <w:spacing w:val="-63"/>
        </w:rPr>
      </w:r>
      <w:r>
        <w:rPr>
          <w:spacing w:val="-2"/>
        </w:rPr>
        <w:t>平台、新一代移动金融开发平台、新一代互联网核心产品、科蓝云平台等系列产品等完成研发工作，预计将为客户带来更加</w:t>
      </w:r>
      <w:r>
        <w:rPr>
          <w:spacing w:val="-66"/>
        </w:rPr>
        <w:t> </w:t>
      </w:r>
      <w:r>
        <w:rPr>
          <w:spacing w:val="-66"/>
        </w:rPr>
      </w:r>
      <w:r>
        <w:rPr/>
        <w:t>高效、优质的产品体验，为公司未来的业绩带来新的增长点。</w:t>
      </w:r>
    </w:p>
    <w:p>
      <w:pPr>
        <w:pStyle w:val="BodyText"/>
        <w:spacing w:line="240" w:lineRule="auto" w:before="24"/>
        <w:ind w:left="472" w:right="0"/>
        <w:jc w:val="left"/>
      </w:pPr>
      <w:r>
        <w:rPr>
          <w:rFonts w:ascii="Times New Roman" w:hAnsi="Times New Roman" w:cs="Times New Roman" w:eastAsia="Times New Roman" w:hint="default"/>
        </w:rPr>
        <w:t>2</w:t>
      </w:r>
      <w:r>
        <w:rPr/>
        <w:t>、积极开展并购，抢占行业制高点，丰富收入来源，培养未来高利润率的增长点</w:t>
      </w:r>
    </w:p>
    <w:p>
      <w:pPr>
        <w:pStyle w:val="BodyText"/>
        <w:spacing w:line="307" w:lineRule="auto" w:before="63"/>
        <w:ind w:right="1115" w:firstLine="360"/>
        <w:jc w:val="left"/>
      </w:pPr>
      <w:r>
        <w:rPr>
          <w:rFonts w:ascii="Times New Roman" w:hAnsi="Times New Roman" w:cs="Times New Roman" w:eastAsia="Times New Roman" w:hint="default"/>
        </w:rPr>
        <w:t>2018</w:t>
      </w:r>
      <w:r>
        <w:rPr/>
        <w:t>年，公司收购了韩国先进的内存数据库公司</w:t>
      </w:r>
      <w:r>
        <w:rPr>
          <w:rFonts w:ascii="Times New Roman" w:hAnsi="Times New Roman" w:cs="Times New Roman" w:eastAsia="Times New Roman" w:hint="default"/>
        </w:rPr>
        <w:t>SUNJE</w:t>
      </w:r>
      <w:r>
        <w:rPr>
          <w:rFonts w:ascii="Times New Roman" w:hAnsi="Times New Roman" w:cs="Times New Roman" w:eastAsia="Times New Roman" w:hint="default"/>
          <w:spacing w:val="-27"/>
        </w:rPr>
        <w:t> </w:t>
      </w:r>
      <w:r>
        <w:rPr>
          <w:rFonts w:ascii="Times New Roman" w:hAnsi="Times New Roman" w:cs="Times New Roman" w:eastAsia="Times New Roman" w:hint="default"/>
        </w:rPr>
        <w:t>SOFT</w:t>
      </w:r>
      <w:r>
        <w:rPr/>
        <w:t>株式会社，该公司致力于研发超高性能的分布式内存数据 库产品，在高并发、实时交易的大数据处理领域拥有突破性技术，在世界交易型数据库领域处于领先地位</w:t>
      </w:r>
      <w:r>
        <w:rPr>
          <w:rFonts w:ascii="Times New Roman" w:hAnsi="Times New Roman" w:cs="Times New Roman" w:eastAsia="Times New Roman" w:hint="default"/>
        </w:rPr>
        <w:t>,</w:t>
      </w:r>
      <w:r>
        <w:rPr/>
        <w:t>可以从根本上解 决长久以来困扰互联网金融等行业业务发展的，在大数据处理条件下的高并发和高性能问题，也将更好的满足即将到来的 </w:t>
      </w:r>
      <w:r>
        <w:rPr>
          <w:rFonts w:ascii="Times New Roman" w:hAnsi="Times New Roman" w:cs="Times New Roman" w:eastAsia="Times New Roman" w:hint="default"/>
        </w:rPr>
        <w:t>“5G”</w:t>
      </w:r>
      <w:r>
        <w:rPr/>
        <w:t>时代大幅提升的网络速度对数据库更高性能和更快效率的迫切要求。此项收购使公司拥有了完全自主知识产权的世界 </w:t>
      </w:r>
      <w:r>
        <w:rPr>
          <w:spacing w:val="-2"/>
        </w:rPr>
        <w:t>一流数据库，不仅填补了国内基础软件在高端数据库领域的空白，同时占据了行业制高点，打破了国外企业对于高端数据库</w:t>
      </w:r>
      <w:r>
        <w:rPr>
          <w:spacing w:val="-65"/>
        </w:rPr>
        <w:t> </w:t>
      </w:r>
      <w:r>
        <w:rPr>
          <w:spacing w:val="-65"/>
        </w:rPr>
      </w:r>
      <w:r>
        <w:rPr/>
        <w:t>产品的垄断。</w:t>
      </w:r>
    </w:p>
    <w:p>
      <w:pPr>
        <w:pStyle w:val="BodyText"/>
        <w:spacing w:line="307" w:lineRule="auto" w:before="26"/>
        <w:ind w:right="1132" w:firstLine="360"/>
        <w:jc w:val="both"/>
      </w:pPr>
      <w:r>
        <w:rPr>
          <w:rFonts w:ascii="Times New Roman" w:hAnsi="Times New Roman" w:cs="Times New Roman" w:eastAsia="Times New Roman" w:hint="default"/>
          <w:spacing w:val="-2"/>
        </w:rPr>
        <w:t>2018</w:t>
      </w:r>
      <w:r>
        <w:rPr>
          <w:spacing w:val="-2"/>
        </w:rPr>
        <w:t>年，公司收购了以网络信息安全为主业的大陆云盾公司，从而丰富了自身的产品线和技术安全性。大陆云盾已获得</w:t>
      </w:r>
      <w:r>
        <w:rPr/>
        <w:t> 工信部颁发的信息安全认证牌照，可以提供先进的网上电子认证、签名签约、文件加密能力，与</w:t>
      </w:r>
      <w:r>
        <w:rPr>
          <w:rFonts w:ascii="Times New Roman" w:hAnsi="Times New Roman" w:cs="Times New Roman" w:eastAsia="Times New Roman" w:hint="default"/>
        </w:rPr>
        <w:t>eID</w:t>
      </w:r>
      <w:r>
        <w:rPr/>
        <w:t>与电子营业执照有机结 </w:t>
      </w:r>
      <w:r>
        <w:rPr>
          <w:spacing w:val="-2"/>
        </w:rPr>
        <w:t>合，可以为所有自然人和企业提供服务，与国家信息中心建立了战略合作关系，开展实质性的网上数据保全及存证服务，今</w:t>
      </w:r>
      <w:r>
        <w:rPr>
          <w:spacing w:val="-66"/>
        </w:rPr>
        <w:t> </w:t>
      </w:r>
      <w:r>
        <w:rPr>
          <w:spacing w:val="-66"/>
        </w:rPr>
      </w:r>
      <w:r>
        <w:rPr/>
        <w:t>后几年将成为公司收入的重要来源和利润增长点。</w:t>
      </w:r>
    </w:p>
    <w:p>
      <w:pPr>
        <w:pStyle w:val="BodyText"/>
        <w:spacing w:line="240" w:lineRule="auto" w:before="26"/>
        <w:ind w:left="472" w:right="0"/>
        <w:jc w:val="left"/>
      </w:pPr>
      <w:r>
        <w:rPr>
          <w:rFonts w:ascii="Times New Roman" w:hAnsi="Times New Roman" w:cs="Times New Roman" w:eastAsia="Times New Roman" w:hint="default"/>
        </w:rPr>
        <w:t>3</w:t>
      </w:r>
      <w:r>
        <w:rPr/>
        <w:t>、进一步调整组织管理经营结构，充分发挥一线指挥员的作用</w:t>
      </w:r>
    </w:p>
    <w:p>
      <w:pPr>
        <w:pStyle w:val="BodyText"/>
        <w:spacing w:line="309" w:lineRule="auto" w:before="63"/>
        <w:ind w:right="1041" w:firstLine="360"/>
        <w:jc w:val="both"/>
      </w:pPr>
      <w:r>
        <w:rPr>
          <w:rFonts w:ascii="Times New Roman" w:hAnsi="Times New Roman" w:cs="Times New Roman" w:eastAsia="Times New Roman" w:hint="default"/>
          <w:spacing w:val="-2"/>
        </w:rPr>
        <w:t>2018</w:t>
      </w:r>
      <w:r>
        <w:rPr>
          <w:spacing w:val="-2"/>
        </w:rPr>
        <w:t>年，公司根据产品和区域分布情况，在全国范围内成立六个大区、五个产品事业部，独立经营，独立核算，进一步</w:t>
      </w:r>
      <w:r>
        <w:rPr/>
        <w:t> </w:t>
      </w:r>
      <w:r>
        <w:rPr>
          <w:spacing w:val="-2"/>
        </w:rPr>
        <w:t>加强了中层管理力度，充分发挥中层管理人员的作用，赋予一线管理者经营决策权和人事任免权。新的组织结构既有利于团</w:t>
      </w:r>
      <w:r>
        <w:rPr>
          <w:spacing w:val="-65"/>
        </w:rPr>
        <w:t> </w:t>
      </w:r>
      <w:r>
        <w:rPr>
          <w:spacing w:val="-65"/>
        </w:rPr>
      </w:r>
      <w:r>
        <w:rPr>
          <w:spacing w:val="-4"/>
        </w:rPr>
        <w:t>队更加积极主动地灵活应战于市场大潮之中，又使得一线指挥员和骨干经受历练和考验，为公司未来的发展培养和储备人才。</w:t>
      </w:r>
    </w:p>
    <w:p>
      <w:pPr>
        <w:spacing w:line="240" w:lineRule="auto" w:before="13"/>
        <w:rPr>
          <w:rFonts w:ascii="宋体" w:hAnsi="宋体" w:cs="宋体" w:eastAsia="宋体" w:hint="default"/>
          <w:sz w:val="21"/>
          <w:szCs w:val="21"/>
        </w:rPr>
      </w:pPr>
    </w:p>
    <w:p>
      <w:pPr>
        <w:pStyle w:val="Heading4"/>
        <w:spacing w:line="240" w:lineRule="auto"/>
        <w:ind w:right="0"/>
        <w:jc w:val="both"/>
        <w:rPr>
          <w:b w:val="0"/>
          <w:bCs w:val="0"/>
        </w:rPr>
      </w:pPr>
      <w:r>
        <w:rPr/>
        <w:t>二、经营情况</w:t>
      </w:r>
      <w:r>
        <w:rPr>
          <w:b w:val="0"/>
          <w:bCs w:val="0"/>
        </w:rPr>
      </w:r>
    </w:p>
    <w:p>
      <w:pPr>
        <w:pStyle w:val="BodyText"/>
        <w:spacing w:line="300" w:lineRule="auto" w:before="46"/>
        <w:ind w:right="1202" w:firstLine="360"/>
        <w:jc w:val="left"/>
      </w:pPr>
      <w:r>
        <w:rPr/>
        <w:t>报告期内，公司实现营业总收入</w:t>
      </w:r>
      <w:r>
        <w:rPr>
          <w:rFonts w:ascii="Times New Roman" w:hAnsi="Times New Roman" w:cs="Times New Roman" w:eastAsia="Times New Roman" w:hint="default"/>
        </w:rPr>
        <w:t>75,322.12</w:t>
      </w:r>
      <w:r>
        <w:rPr/>
        <w:t>万元，较去年同期增长</w:t>
      </w:r>
      <w:r>
        <w:rPr>
          <w:rFonts w:ascii="Times New Roman" w:hAnsi="Times New Roman" w:cs="Times New Roman" w:eastAsia="Times New Roman" w:hint="default"/>
        </w:rPr>
        <w:t>12.36%</w:t>
      </w:r>
      <w:r>
        <w:rPr/>
        <w:t>；实现归属于上市公司普通股股东净利润为 </w:t>
      </w:r>
      <w:r>
        <w:rPr>
          <w:rFonts w:ascii="Times New Roman" w:hAnsi="Times New Roman" w:cs="Times New Roman" w:eastAsia="Times New Roman" w:hint="default"/>
        </w:rPr>
        <w:t>4,257.60</w:t>
      </w:r>
      <w:r>
        <w:rPr/>
        <w:t>万元，较去年同期增长</w:t>
      </w:r>
      <w:r>
        <w:rPr>
          <w:rFonts w:ascii="Times New Roman" w:hAnsi="Times New Roman" w:cs="Times New Roman" w:eastAsia="Times New Roman" w:hint="default"/>
        </w:rPr>
        <w:t>6.23%</w:t>
      </w:r>
      <w:r>
        <w:rPr>
          <w:rFonts w:ascii="Times New Roman" w:hAnsi="Times New Roman" w:cs="Times New Roman" w:eastAsia="Times New Roman" w:hint="default"/>
          <w:spacing w:val="27"/>
        </w:rPr>
        <w:t> </w:t>
      </w:r>
      <w:r>
        <w:rPr/>
        <w:t>报告期末，公司总资产为</w:t>
      </w:r>
      <w:r>
        <w:rPr>
          <w:rFonts w:ascii="Times New Roman" w:hAnsi="Times New Roman" w:cs="Times New Roman" w:eastAsia="Times New Roman" w:hint="default"/>
        </w:rPr>
        <w:t>140,641.11</w:t>
      </w:r>
      <w:r>
        <w:rPr/>
        <w:t>万元，较年初增长</w:t>
      </w:r>
      <w:r>
        <w:rPr>
          <w:rFonts w:ascii="Times New Roman" w:hAnsi="Times New Roman" w:cs="Times New Roman" w:eastAsia="Times New Roman" w:hint="default"/>
        </w:rPr>
        <w:t>23.90%</w:t>
      </w:r>
      <w:r>
        <w:rPr/>
        <w:t>；归属于上市公司股东 的所有者权益为</w:t>
      </w:r>
      <w:r>
        <w:rPr>
          <w:rFonts w:ascii="Times New Roman" w:hAnsi="Times New Roman" w:cs="Times New Roman" w:eastAsia="Times New Roman" w:hint="default"/>
        </w:rPr>
        <w:t>72,101.15</w:t>
      </w:r>
      <w:r>
        <w:rPr/>
        <w:t>万元，较期初增长</w:t>
      </w:r>
      <w:r>
        <w:rPr>
          <w:rFonts w:ascii="Times New Roman" w:hAnsi="Times New Roman" w:cs="Times New Roman" w:eastAsia="Times New Roman" w:hint="default"/>
        </w:rPr>
        <w:t>6.31%</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both"/>
        <w:rPr>
          <w:rFonts w:ascii="Times New Roman" w:hAnsi="Times New Roman" w:cs="Times New Roman" w:eastAsia="Times New Roman" w:hint="default"/>
        </w:rPr>
      </w:pPr>
      <w:r>
        <w:rPr>
          <w:rFonts w:ascii="Times New Roman"/>
        </w:rPr>
        <w:t>,</w:t>
      </w:r>
    </w:p>
    <w:p>
      <w:pPr>
        <w:spacing w:after="0" w:line="240" w:lineRule="auto"/>
        <w:jc w:val="both"/>
        <w:rPr>
          <w:rFonts w:ascii="Times New Roman" w:hAnsi="Times New Roman" w:cs="Times New Roman" w:eastAsia="Times New Roman" w:hint="default"/>
        </w:rPr>
        <w:sectPr>
          <w:pgSz w:w="11910" w:h="16840"/>
          <w:pgMar w:header="746" w:footer="978" w:top="1060" w:bottom="1160" w:left="1020" w:right="0"/>
        </w:sectPr>
      </w:pPr>
    </w:p>
    <w:p>
      <w:pPr>
        <w:spacing w:line="240" w:lineRule="auto" w:before="10"/>
        <w:rPr>
          <w:rFonts w:ascii="Times New Roman" w:hAnsi="Times New Roman" w:cs="Times New Roman" w:eastAsia="Times New Roman" w:hint="default"/>
          <w:sz w:val="26"/>
          <w:szCs w:val="26"/>
        </w:rPr>
      </w:pPr>
    </w:p>
    <w:p>
      <w:pPr>
        <w:pStyle w:val="Heading4"/>
        <w:spacing w:line="240" w:lineRule="auto" w:before="26"/>
        <w:ind w:right="0"/>
        <w:jc w:val="left"/>
        <w:rPr>
          <w:b w:val="0"/>
          <w:bCs w:val="0"/>
        </w:rPr>
      </w:pPr>
      <w:bookmarkStart w:name="二、主营业务分析" w:id="24"/>
      <w:bookmarkEnd w:id="24"/>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112" w:right="6474" w:firstLine="0"/>
        <w:jc w:val="left"/>
        <w:rPr>
          <w:rFonts w:ascii="宋体" w:hAnsi="宋体" w:cs="宋体" w:eastAsia="宋体" w:hint="default"/>
          <w:sz w:val="21"/>
          <w:szCs w:val="21"/>
        </w:rPr>
      </w:pPr>
      <w:bookmarkStart w:name="1、概述" w:id="25"/>
      <w:bookmarkEnd w:id="2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6"/>
      <w:bookmarkEnd w:id="26"/>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5"/>
        <w:spacing w:line="240" w:lineRule="auto" w:before="26"/>
        <w:ind w:right="0"/>
        <w:jc w:val="left"/>
        <w:rPr>
          <w:b w:val="0"/>
          <w:bCs w:val="0"/>
        </w:rPr>
      </w:pPr>
      <w:bookmarkStart w:name="（1）营业收入构成" w:id="27"/>
      <w:bookmarkEnd w:id="27"/>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6974"/>
        <w:jc w:val="left"/>
      </w:pPr>
      <w:r>
        <w:rPr/>
        <w:t>公司是否需要遵守光伏产业链相关业的披露要求 否</w:t>
      </w:r>
    </w:p>
    <w:p>
      <w:pPr>
        <w:pStyle w:val="BodyText"/>
        <w:spacing w:line="340" w:lineRule="auto" w:before="29"/>
        <w:ind w:right="1395"/>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39"/>
        <w:ind w:right="1575"/>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38" w:lineRule="auto" w:before="41"/>
        <w:ind w:right="1139"/>
        <w:jc w:val="left"/>
      </w:pPr>
      <w:r>
        <w:rPr/>
        <w:t>公司是否需遵守《深圳证券交易所创业板行业信息披露指引第</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40" w:lineRule="auto" w:before="43"/>
        <w:ind w:right="1665"/>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340" w:lineRule="auto" w:before="39"/>
        <w:ind w:right="1665"/>
        <w:jc w:val="left"/>
      </w:pPr>
      <w:r>
        <w:rPr/>
        <w:t>公司是否需遵守《深圳证券交易所行业信息披露指引第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上市公司从软件与信息技术服务业务》的披露要求 是</w:t>
      </w:r>
    </w:p>
    <w:p>
      <w:pPr>
        <w:pStyle w:val="BodyText"/>
        <w:spacing w:line="240" w:lineRule="auto" w:before="41"/>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18"/>
        <w:gridCol w:w="1008"/>
        <w:gridCol w:w="1010"/>
        <w:gridCol w:w="1011"/>
        <w:gridCol w:w="1011"/>
        <w:gridCol w:w="1004"/>
        <w:gridCol w:w="1004"/>
        <w:gridCol w:w="1002"/>
        <w:gridCol w:w="1002"/>
      </w:tblGrid>
      <w:tr>
        <w:trPr>
          <w:trHeight w:val="402" w:hRule="exact"/>
        </w:trPr>
        <w:tc>
          <w:tcPr>
            <w:tcW w:w="1518" w:type="dxa"/>
            <w:vMerge w:val="restart"/>
            <w:tcBorders>
              <w:top w:val="single" w:sz="4" w:space="0" w:color="000000"/>
              <w:left w:val="single" w:sz="4" w:space="0" w:color="000000"/>
              <w:right w:val="single" w:sz="4" w:space="0" w:color="000000"/>
            </w:tcBorders>
            <w:shd w:val="clear" w:color="auto" w:fill="D2D2D2"/>
          </w:tcPr>
          <w:p>
            <w:pPr/>
          </w:p>
        </w:tc>
        <w:tc>
          <w:tcPr>
            <w:tcW w:w="404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40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r>
      <w:tr>
        <w:trPr>
          <w:trHeight w:val="402" w:hRule="exact"/>
        </w:trPr>
        <w:tc>
          <w:tcPr>
            <w:tcW w:w="1518" w:type="dxa"/>
            <w:vMerge/>
            <w:tcBorders>
              <w:left w:val="single" w:sz="4" w:space="0" w:color="000000"/>
              <w:bottom w:val="single" w:sz="4" w:space="0" w:color="000000"/>
              <w:right w:val="single" w:sz="4" w:space="0" w:color="000000"/>
            </w:tcBorders>
            <w:shd w:val="clear" w:color="auto" w:fill="D2D2D2"/>
          </w:tcPr>
          <w:p>
            <w:pP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8"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714" w:hRule="exact"/>
        </w:trPr>
        <w:tc>
          <w:tcPr>
            <w:tcW w:w="1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73,064,790.8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140,147,467.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100,785,817.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07</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439,223,191.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73</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64,363,725.9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136,851,839.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29</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88,014,687.9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381,143,802.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49</w:t>
            </w:r>
          </w:p>
        </w:tc>
      </w:tr>
      <w:tr>
        <w:trPr>
          <w:trHeight w:val="714" w:hRule="exact"/>
        </w:trPr>
        <w:tc>
          <w:tcPr>
            <w:tcW w:w="1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-19,762,826.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-13,317,076.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77</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-27,886,214.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19</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103,542,137.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-20,579,815.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-10,043,023.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-30,672,480.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101,375,677.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81</w:t>
            </w:r>
          </w:p>
        </w:tc>
      </w:tr>
    </w:tbl>
    <w:p>
      <w:pPr>
        <w:pStyle w:val="BodyText"/>
        <w:spacing w:line="360" w:lineRule="auto" w:before="50"/>
        <w:ind w:left="472" w:right="1138" w:hanging="360"/>
        <w:jc w:val="left"/>
      </w:pPr>
      <w:r>
        <w:rPr/>
        <w:t>说明经营季节性（或周期性）发生的原因及波动风险 由于公司主要客户为银行类客户等，这类客户通常遵照预算决策体制，在年初完成</w:t>
      </w:r>
      <w:r>
        <w:rPr>
          <w:spacing w:val="-46"/>
        </w:rPr>
        <w:t> </w:t>
      </w:r>
      <w:r>
        <w:rPr>
          <w:rFonts w:ascii="Times New Roman" w:hAnsi="Times New Roman" w:cs="Times New Roman" w:eastAsia="Times New Roman" w:hint="default"/>
        </w:rPr>
        <w:t>IT</w:t>
      </w:r>
      <w:r>
        <w:rPr>
          <w:rFonts w:ascii="Times New Roman" w:hAnsi="Times New Roman" w:cs="Times New Roman" w:eastAsia="Times New Roman" w:hint="default"/>
          <w:spacing w:val="-3"/>
        </w:rPr>
        <w:t> </w:t>
      </w:r>
      <w:r>
        <w:rPr/>
        <w:t>投入预算的制定工作，年中完成</w:t>
      </w:r>
    </w:p>
    <w:p>
      <w:pPr>
        <w:pStyle w:val="BodyText"/>
        <w:spacing w:line="212" w:lineRule="exact"/>
        <w:ind w:right="0"/>
        <w:jc w:val="both"/>
      </w:pPr>
      <w:r>
        <w:rPr/>
        <w:t>立项工作，年底进行</w:t>
      </w:r>
      <w:r>
        <w:rPr>
          <w:spacing w:val="-46"/>
        </w:rPr>
        <w:t> </w:t>
      </w:r>
      <w:r>
        <w:rPr>
          <w:rFonts w:ascii="Times New Roman" w:hAnsi="Times New Roman" w:cs="Times New Roman" w:eastAsia="Times New Roman" w:hint="default"/>
        </w:rPr>
        <w:t>IT</w:t>
      </w:r>
      <w:r>
        <w:rPr>
          <w:rFonts w:ascii="Times New Roman" w:hAnsi="Times New Roman" w:cs="Times New Roman" w:eastAsia="Times New Roman" w:hint="default"/>
          <w:spacing w:val="-3"/>
        </w:rPr>
        <w:t> </w:t>
      </w:r>
      <w:r>
        <w:rPr/>
        <w:t>项目验收、付款，其预算、立项和采购具有明显的季节性特征，因此公司业务呈现较为明显的季节</w:t>
      </w:r>
    </w:p>
    <w:p>
      <w:pPr>
        <w:pStyle w:val="BodyText"/>
        <w:spacing w:line="300" w:lineRule="auto" w:before="63"/>
        <w:ind w:right="1132"/>
        <w:jc w:val="both"/>
      </w:pPr>
      <w:r>
        <w:rPr/>
        <w:t>性分布，即上半年营业收入、归属于上市公司股东的净利润少于下半年营业收入、归属于上市公司股东的净利润；</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 度、</w:t>
      </w:r>
      <w:r>
        <w:rPr>
          <w:rFonts w:ascii="Times New Roman" w:hAnsi="Times New Roman" w:cs="Times New Roman" w:eastAsia="Times New Roman" w:hint="default"/>
        </w:rPr>
        <w:t>2018 </w:t>
      </w:r>
      <w:r>
        <w:rPr/>
        <w:t>年度，公司下半年营业收入占全年营业收入的比例分别为</w:t>
      </w:r>
      <w:r>
        <w:rPr>
          <w:spacing w:val="-72"/>
        </w:rPr>
        <w:t> </w:t>
      </w:r>
      <w:r>
        <w:rPr>
          <w:rFonts w:ascii="Times New Roman" w:hAnsi="Times New Roman" w:cs="Times New Roman" w:eastAsia="Times New Roman" w:hint="default"/>
        </w:rPr>
        <w:t>69.98%</w:t>
      </w:r>
      <w:r>
        <w:rPr/>
        <w:t>、</w:t>
      </w:r>
      <w:r>
        <w:rPr>
          <w:rFonts w:ascii="Times New Roman" w:hAnsi="Times New Roman" w:cs="Times New Roman" w:eastAsia="Times New Roman" w:hint="default"/>
        </w:rPr>
        <w:t>71.69%</w:t>
      </w:r>
      <w:r>
        <w:rPr/>
        <w:t>，下半年归属于上市公司股东的净利润 占全年归属于上市公司股东的净利润的比例分别为</w:t>
      </w:r>
      <w:r>
        <w:rPr>
          <w:spacing w:val="-44"/>
        </w:rPr>
        <w:t> </w:t>
      </w:r>
      <w:r>
        <w:rPr>
          <w:rFonts w:ascii="Times New Roman" w:hAnsi="Times New Roman" w:cs="Times New Roman" w:eastAsia="Times New Roman" w:hint="default"/>
          <w:spacing w:val="-2"/>
        </w:rPr>
        <w:t>176.40%</w:t>
      </w:r>
      <w:r>
        <w:rPr>
          <w:spacing w:val="-2"/>
        </w:rPr>
        <w:t>、</w:t>
      </w:r>
      <w:r>
        <w:rPr>
          <w:rFonts w:ascii="Times New Roman" w:hAnsi="Times New Roman" w:cs="Times New Roman" w:eastAsia="Times New Roman" w:hint="default"/>
          <w:spacing w:val="-2"/>
        </w:rPr>
        <w:t>177.7%</w:t>
      </w:r>
      <w:r>
        <w:rPr>
          <w:spacing w:val="-2"/>
        </w:rPr>
        <w:t>。因此公司业务存在季节性波动风险，投资者不宜以季</w:t>
      </w:r>
      <w:r>
        <w:rPr/>
        <w:t> 度或半年度的数据推算公司全年的经营情况。</w:t>
      </w:r>
    </w:p>
    <w:p>
      <w:pPr>
        <w:pStyle w:val="BodyText"/>
        <w:spacing w:line="240" w:lineRule="auto" w:before="72"/>
        <w:ind w:right="0"/>
        <w:jc w:val="both"/>
      </w:pPr>
      <w:r>
        <w:rPr/>
        <w:t>营业收入整体情况</w:t>
      </w:r>
    </w:p>
    <w:p>
      <w:pPr>
        <w:pStyle w:val="BodyText"/>
        <w:spacing w:line="240" w:lineRule="auto" w:before="115"/>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0"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753,221,267.15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670,374,055.70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12.36%</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软件和信息产业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753,221,267.15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670,374,055.70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12.36%</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电子银行类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502,390,005.29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469,439,813.02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70.03%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互联网金融类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184,955,334.48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161,779,162.45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网银安全类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9,638,455.59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9,697,616.06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-0.61%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银行核心业务类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28,567,795.43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26,597,665.14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7.41%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非银金融机构类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15,427,820.28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2.05%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12,241,856.08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2,859,799.03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328.07%</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195,794,104.03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146,093,223.47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327,290,216.33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290,836,170.64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43.38%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12.53%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51,257,228.93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55,953,784.11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64,342,476.57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8.54%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60,012,411.08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8.95%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18,955,965.55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22,213,777.86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47,324,728.33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6.28%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50,471,611.91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7.53%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31,882,311.10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32,822,248.95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港澳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13,709,561.19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11,970,827.68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2,664,675.12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bookmarkStart w:name="（2）占公司营业收入或营业利润10%以上的行业、产品或地区情况" w:id="28"/>
      <w:bookmarkEnd w:id="28"/>
      <w:r>
        <w:rPr>
          <w:b w:val="0"/>
          <w:bCs w:val="0"/>
        </w:rPr>
      </w:r>
      <w:r>
        <w:rPr/>
        <w:t>（</w:t>
      </w:r>
      <w:r>
        <w:rPr>
          <w:rFonts w:ascii="Times New Roman" w:hAnsi="Times New Roman" w:cs="Times New Roman" w:eastAsia="Times New Roman" w:hint="default"/>
        </w:rPr>
        <w:t>2</w:t>
      </w:r>
      <w:r>
        <w:rPr/>
        <w:t>）占公司营业收入或营业利润</w:t>
      </w:r>
      <w:r>
        <w:rPr>
          <w:spacing w:val="-66"/>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8" w:top="1060" w:bottom="1160" w:left="1020" w:right="0"/>
        </w:sectPr>
      </w:pPr>
    </w:p>
    <w:p>
      <w:pPr>
        <w:pStyle w:val="BodyText"/>
        <w:spacing w:line="350" w:lineRule="auto" w:before="44"/>
        <w:ind w:right="58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公司是否需要遵守特殊行业的披露要求 是</w:t>
      </w:r>
    </w:p>
    <w:p>
      <w:pPr>
        <w:pStyle w:val="BodyText"/>
        <w:spacing w:line="240" w:lineRule="auto" w:before="32"/>
        <w:ind w:right="5832"/>
        <w:jc w:val="left"/>
      </w:pPr>
      <w:r>
        <w:rPr/>
        <w:t>软件与信息技术服务业</w:t>
      </w:r>
    </w:p>
    <w:p>
      <w:pPr>
        <w:pStyle w:val="BodyText"/>
        <w:spacing w:line="240" w:lineRule="auto" w:before="117"/>
        <w:ind w:right="-17"/>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7"/>
        <w:ind w:left="-33" w:right="0"/>
        <w:jc w:val="left"/>
      </w:pPr>
      <w:r>
        <w:rPr/>
        <w:t>单位：元</w:t>
      </w:r>
    </w:p>
    <w:p>
      <w:pPr>
        <w:spacing w:after="0" w:line="240" w:lineRule="auto"/>
        <w:jc w:val="left"/>
        <w:sectPr>
          <w:type w:val="continuous"/>
          <w:pgSz w:w="11910" w:h="16840"/>
          <w:pgMar w:top="1060" w:bottom="1160" w:left="1020" w:right="0"/>
          <w:cols w:num="2" w:equalWidth="0">
            <w:col w:w="9025" w:space="40"/>
            <w:col w:w="1825"/>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6" w:hanging="269"/>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0"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软件和信息产业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753,221,267.15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443,100,042.33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12.33%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电子银行类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502,390,005.29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284,638,971.86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6.32%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0.38%</w:t>
            </w:r>
          </w:p>
        </w:tc>
      </w:tr>
      <w:tr>
        <w:trPr>
          <w:trHeight w:val="40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互联网金融类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184,955,334.48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123,051,475.07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18.26%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-2.21%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195,794,104.03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113,577,181.82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26.96%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327,290,216.33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189,718,972.96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12.52%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0.01%</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3）公司实物销售收入是否大于劳务收入" w:id="29"/>
      <w:bookmarkEnd w:id="29"/>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bookmarkStart w:name="（4）公司已签订的重大销售合同截至本报告期的履行情况" w:id="30"/>
      <w:bookmarkEnd w:id="30"/>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bookmarkStart w:name="（5）营业成本构成" w:id="31"/>
      <w:bookmarkEnd w:id="31"/>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8" w:top="1060" w:bottom="1160" w:left="1020" w:right="0"/>
        </w:sectPr>
      </w:pPr>
    </w:p>
    <w:p>
      <w:pPr>
        <w:pStyle w:val="BodyText"/>
        <w:spacing w:line="340" w:lineRule="auto" w:before="44"/>
        <w:ind w:right="-17"/>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33" w:right="0"/>
        <w:jc w:val="left"/>
      </w:pPr>
      <w:r>
        <w:rPr/>
        <w:t>单位：元</w:t>
      </w:r>
    </w:p>
    <w:p>
      <w:pPr>
        <w:spacing w:after="0" w:line="240" w:lineRule="auto"/>
        <w:jc w:val="left"/>
        <w:sectPr>
          <w:type w:val="continuous"/>
          <w:pgSz w:w="11910" w:h="16840"/>
          <w:pgMar w:top="1060" w:bottom="1160" w:left="1020" w:right="0"/>
          <w:cols w:num="2" w:equalWidth="0">
            <w:col w:w="9025" w:space="40"/>
            <w:col w:w="1825"/>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404,253,537.56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91.23%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359,651,971.42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91.17%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12.40%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9,997,699.57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5,849,453.00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项目直接费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24,448,623.76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5.52%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21,859,632.46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5.54%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2"/>
                <w:sz w:val="18"/>
              </w:rPr>
              <w:t>11.84%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外包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4,400,181.44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7,116,399.12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443,100,042.33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394,477,456.00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12.33%</w:t>
            </w:r>
          </w:p>
        </w:tc>
      </w:tr>
    </w:tbl>
    <w:p>
      <w:pPr>
        <w:pStyle w:val="BodyText"/>
        <w:spacing w:line="240" w:lineRule="auto" w:before="49"/>
        <w:ind w:right="0"/>
        <w:jc w:val="left"/>
      </w:pPr>
      <w:r>
        <w:rPr/>
        <w:t>行业和产品分类</w:t>
      </w:r>
    </w:p>
    <w:p>
      <w:pPr>
        <w:pStyle w:val="BodyText"/>
        <w:spacing w:line="240" w:lineRule="auto" w:before="117"/>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软件和信息产业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404,253,537.56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359,651,971.42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软件和信息产业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9,997,699.57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5,849,453.00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1.48%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70.92%</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软件和信息产业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项目直接费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24,448,623.76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21,859,632.46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11.84%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软件和信息产业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外包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4,400,181.44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0.99%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7,116,399.12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1.80%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-38.17%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443,100,042.33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394,477,456.00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12.33%</w:t>
            </w:r>
          </w:p>
        </w:tc>
      </w:tr>
    </w:tbl>
    <w:p>
      <w:pPr>
        <w:pStyle w:val="BodyText"/>
        <w:spacing w:line="240" w:lineRule="auto" w:before="50"/>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0"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电子银行类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267,986,458.94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247,829,147.50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8.13%</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电子银行类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1,494,872.82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2,930,807.05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-48.99%</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电子银行类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项目直接费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14,067,017.05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13,926,138.19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3.53%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1.01%</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电子银行类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外包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1,090,623.05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3,045,618.66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-64.19%</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284,638,971.86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267,731,711.40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6.32%</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互联网金融类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111,431,464.01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92,033,522.12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互联网金融类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2,459,623.90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375,306.51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555.36%</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互联网金融类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项目直接费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8,454,915.38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7,681,428.82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互联网金融类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外包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705,471.78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3,963,353.70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-82.20%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123,051,475.07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104,053,611.15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18.26%</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网银安全类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3,032,383.27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3,098,561.77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-2.14%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网银安全类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911,688.20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网银安全类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项目直接费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244,181.16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172,500.35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41.55%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网银安全类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外包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47,169.81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4,235,422.44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3,271,062.12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29.48%</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银行核心业务类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13,873,845.35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16,251,174.74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-14.63%</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银行核心业务类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外包</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107,426.76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银行核心业务类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项目直接费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945,528.62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1,314,399.75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-28.06%</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14,819,373.97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17,673,001.25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4.48%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-16.15%</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非银金融机构类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6,109,966.37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非银金融机构类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项目直接费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367,323.59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非银金融机构类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外包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1,380,674.29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7,857,964.25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1,819,419.62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439,565.29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0.11%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313.91%</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5,131,514.65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1,228,939.69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317.56%</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项目直接费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369,657.96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79,565.10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364.60%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外包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1,176,242.51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8,496,834.74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1,748,070.08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386.07%</w:t>
            </w:r>
          </w:p>
        </w:tc>
      </w:tr>
    </w:tbl>
    <w:p>
      <w:pPr>
        <w:pStyle w:val="BodyText"/>
        <w:spacing w:line="240" w:lineRule="auto" w:before="50"/>
        <w:ind w:right="0"/>
        <w:jc w:val="left"/>
      </w:pPr>
      <w:r>
        <w:rPr/>
        <w:t>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6）报告期内合并范围是否发生变动" w:id="32"/>
      <w:bookmarkEnd w:id="32"/>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pStyle w:val="Heading6"/>
        <w:spacing w:line="240" w:lineRule="auto" w:before="78"/>
        <w:ind w:right="0"/>
        <w:jc w:val="left"/>
      </w:pPr>
      <w:r>
        <w:rPr/>
        <w:t>本期新纳入合并范围的子公司包括：</w:t>
      </w:r>
    </w:p>
    <w:p>
      <w:pPr>
        <w:spacing w:line="240" w:lineRule="auto" w:before="12"/>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4253"/>
        <w:gridCol w:w="3969"/>
      </w:tblGrid>
      <w:tr>
        <w:trPr>
          <w:trHeight w:val="354" w:hRule="exact"/>
        </w:trPr>
        <w:tc>
          <w:tcPr>
            <w:tcW w:w="42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396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60" w:hRule="exact"/>
        </w:trPr>
        <w:tc>
          <w:tcPr>
            <w:tcW w:w="4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大陆云盾电子认证服务有限公司</w:t>
            </w:r>
          </w:p>
        </w:tc>
        <w:tc>
          <w:tcPr>
            <w:tcW w:w="39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spacing w:after="0" w:line="240" w:lineRule="auto"/>
        <w:jc w:val="center"/>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4253"/>
        <w:gridCol w:w="3969"/>
      </w:tblGrid>
      <w:tr>
        <w:trPr>
          <w:trHeight w:val="369" w:hRule="exact"/>
        </w:trPr>
        <w:tc>
          <w:tcPr>
            <w:tcW w:w="42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left="3" w:right="0"/>
              <w:jc w:val="left"/>
              <w:rPr>
                <w:rFonts w:ascii="宋体" w:hAnsi="宋体" w:cs="宋体" w:eastAsia="宋体" w:hint="default"/>
                <w:sz w:val="18"/>
                <w:szCs w:val="18"/>
              </w:rPr>
            </w:pPr>
            <w:r>
              <w:rPr>
                <w:rFonts w:ascii="宋体" w:hAnsi="宋体" w:cs="宋体" w:eastAsia="宋体" w:hint="default"/>
                <w:sz w:val="18"/>
                <w:szCs w:val="18"/>
              </w:rPr>
              <w:t>北京尼客矩阵科技有限公司</w:t>
            </w:r>
          </w:p>
        </w:tc>
        <w:tc>
          <w:tcPr>
            <w:tcW w:w="396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5"/>
              <w:ind w:right="6"/>
              <w:jc w:val="center"/>
              <w:rPr>
                <w:rFonts w:ascii="宋体" w:hAnsi="宋体" w:cs="宋体" w:eastAsia="宋体" w:hint="default"/>
                <w:sz w:val="18"/>
                <w:szCs w:val="18"/>
              </w:rPr>
            </w:pPr>
            <w:r>
              <w:rPr>
                <w:rFonts w:ascii="宋体" w:hAnsi="宋体" w:cs="宋体" w:eastAsia="宋体" w:hint="default"/>
                <w:sz w:val="18"/>
                <w:szCs w:val="18"/>
              </w:rPr>
              <w:t>新成立的全资子公司</w:t>
            </w:r>
          </w:p>
        </w:tc>
      </w:tr>
      <w:tr>
        <w:trPr>
          <w:trHeight w:val="362" w:hRule="exact"/>
        </w:trPr>
        <w:tc>
          <w:tcPr>
            <w:tcW w:w="4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北京数蚂科蓝科技有限公司</w:t>
            </w:r>
          </w:p>
        </w:tc>
        <w:tc>
          <w:tcPr>
            <w:tcW w:w="39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新成立的全资子公司</w:t>
            </w:r>
          </w:p>
        </w:tc>
      </w:tr>
      <w:tr>
        <w:trPr>
          <w:trHeight w:val="362" w:hRule="exact"/>
        </w:trPr>
        <w:tc>
          <w:tcPr>
            <w:tcW w:w="4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SUNJE</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SOFT</w:t>
            </w:r>
            <w:r>
              <w:rPr>
                <w:rFonts w:ascii="宋体" w:hAnsi="宋体" w:cs="宋体" w:eastAsia="宋体" w:hint="default"/>
                <w:sz w:val="18"/>
                <w:szCs w:val="18"/>
              </w:rPr>
              <w:t>株式会社</w:t>
            </w:r>
          </w:p>
        </w:tc>
        <w:tc>
          <w:tcPr>
            <w:tcW w:w="396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7"/>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76"/>
        <w:ind w:right="0"/>
        <w:jc w:val="left"/>
        <w:rPr>
          <w:b w:val="0"/>
          <w:bCs w:val="0"/>
        </w:rPr>
      </w:pPr>
      <w:bookmarkStart w:name="（7）公司报告期内业务、产品或服务发生重大变化或调整有关情况" w:id="33"/>
      <w:bookmarkEnd w:id="33"/>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bookmarkStart w:name="（8）主要销售客户和主要供应商情况" w:id="34"/>
      <w:bookmarkEnd w:id="34"/>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197,271,157.25</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26.19%</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82"/>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7"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7"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73,633,845.59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9.78%</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44,342,735.85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5.89%</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32,629,369.21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4.33%</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23,949,750.00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3.18%</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22,715,456.60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197,271,157.25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26.19%</w:t>
            </w:r>
          </w:p>
        </w:tc>
      </w:tr>
    </w:tbl>
    <w:p>
      <w:pPr>
        <w:pStyle w:val="BodyText"/>
        <w:spacing w:line="240" w:lineRule="auto" w:before="49"/>
        <w:ind w:right="0"/>
        <w:jc w:val="left"/>
      </w:pPr>
      <w:r>
        <w:rPr/>
        <w:t>主要客户其他情况说明</w:t>
      </w:r>
    </w:p>
    <w:p>
      <w:pPr>
        <w:pStyle w:val="BodyText"/>
        <w:spacing w:line="340" w:lineRule="auto" w:before="117"/>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公司主要供应商情况</w:t>
      </w:r>
    </w:p>
    <w:p>
      <w:pPr>
        <w:spacing w:line="240" w:lineRule="auto" w:before="5"/>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11,052,512.50</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45.02%</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2"/>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0"/>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7"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4,448,997.40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18.12%</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8.47%</w:t>
            </w:r>
          </w:p>
        </w:tc>
      </w:tr>
      <w:tr>
        <w:trPr>
          <w:trHeight w:val="400"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1,560,000.00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z w:val="18"/>
              </w:rPr>
              <w:t>6.35%</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6.11%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1,463,515.10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5.96%</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11,052,512.50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45.02%</w:t>
            </w:r>
          </w:p>
        </w:tc>
      </w:tr>
    </w:tbl>
    <w:p>
      <w:pPr>
        <w:pStyle w:val="BodyText"/>
        <w:spacing w:line="240" w:lineRule="auto" w:before="51"/>
        <w:ind w:right="0"/>
        <w:jc w:val="left"/>
      </w:pPr>
      <w:r>
        <w:rPr/>
        <w:t>主要供应商其他情况说明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3、费用" w:id="35"/>
      <w:bookmarkEnd w:id="35"/>
      <w:r>
        <w:rPr>
          <w:b w:val="0"/>
          <w:bCs w:val="0"/>
        </w:rPr>
      </w:r>
      <w:r>
        <w:rPr>
          <w:rFonts w:ascii="Times New Roman" w:hAnsi="Times New Roman" w:cs="Times New Roman" w:eastAsia="Times New Roman" w:hint="default"/>
        </w:rPr>
        <w:t>3</w:t>
      </w:r>
      <w:r>
        <w:rPr/>
        <w:t>、费用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5"/>
        <w:gridCol w:w="1637"/>
        <w:gridCol w:w="1637"/>
        <w:gridCol w:w="1461"/>
        <w:gridCol w:w="2918"/>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0" w:right="0"/>
              <w:jc w:val="left"/>
              <w:rPr>
                <w:rFonts w:ascii="Times New Roman" w:hAnsi="Times New Roman" w:cs="Times New Roman" w:eastAsia="Times New Roman" w:hint="default"/>
                <w:sz w:val="18"/>
                <w:szCs w:val="18"/>
              </w:rPr>
            </w:pPr>
            <w:r>
              <w:rPr>
                <w:rFonts w:ascii="Times New Roman"/>
                <w:sz w:val="18"/>
              </w:rPr>
              <w:t>60,481,399.99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0" w:right="0"/>
              <w:jc w:val="left"/>
              <w:rPr>
                <w:rFonts w:ascii="Times New Roman" w:hAnsi="Times New Roman" w:cs="Times New Roman" w:eastAsia="Times New Roman" w:hint="default"/>
                <w:sz w:val="18"/>
                <w:szCs w:val="18"/>
              </w:rPr>
            </w:pPr>
            <w:r>
              <w:rPr>
                <w:rFonts w:ascii="Times New Roman"/>
                <w:sz w:val="18"/>
              </w:rPr>
              <w:t>67,440,629.91</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59,032,622.13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45,064,778.57</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3"/>
              <w:jc w:val="left"/>
              <w:rPr>
                <w:rFonts w:ascii="宋体" w:hAnsi="宋体" w:cs="宋体" w:eastAsia="宋体" w:hint="default"/>
                <w:sz w:val="18"/>
                <w:szCs w:val="18"/>
              </w:rPr>
            </w:pPr>
            <w:r>
              <w:rPr>
                <w:rFonts w:ascii="宋体" w:hAnsi="宋体" w:cs="宋体" w:eastAsia="宋体" w:hint="default"/>
                <w:sz w:val="18"/>
                <w:szCs w:val="18"/>
              </w:rPr>
              <w:t>主要系纳入合并范围主体增加导致 职工薪酬、办公场地租赁费增加，以 及本期计提股权激励费用增加所致。</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24,214,243.76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17,574,747.92</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主要系本期融资贷款借款增加引起 借款利息增加所致。</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94,048,597.88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85,472,348.16</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10.03%</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bookmarkStart w:name="4、研发投入" w:id="36"/>
      <w:bookmarkEnd w:id="36"/>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7"/>
        <w:rPr>
          <w:rFonts w:ascii="宋体" w:hAnsi="宋体" w:cs="宋体" w:eastAsia="宋体" w:hint="default"/>
          <w:b/>
          <w:bCs/>
          <w:sz w:val="26"/>
          <w:szCs w:val="26"/>
        </w:rPr>
      </w:pPr>
    </w:p>
    <w:p>
      <w:pPr>
        <w:pStyle w:val="BodyText"/>
        <w:spacing w:line="328" w:lineRule="auto"/>
        <w:ind w:left="472" w:right="112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智慧银行研发项目目的：实现与客户的无缝连接、提供统一、高效的渠道服务、实现专业、高效的风险管理。 </w:t>
      </w:r>
      <w:r>
        <w:rPr>
          <w:spacing w:val="-2"/>
        </w:rPr>
        <w:t>智能数字营销系统研发项目目的：基于公司数字营销能力，助力银行与金融服务业提升线上服务能力，满足客户增加数</w:t>
      </w:r>
    </w:p>
    <w:p>
      <w:pPr>
        <w:pStyle w:val="BodyText"/>
        <w:spacing w:line="316" w:lineRule="auto" w:before="10"/>
        <w:ind w:left="472" w:right="0" w:hanging="360"/>
        <w:jc w:val="left"/>
      </w:pPr>
      <w:r>
        <w:rPr/>
        <w:t>字营收的核心需求。 </w:t>
      </w:r>
      <w:r>
        <w:rPr>
          <w:spacing w:val="-2"/>
        </w:rPr>
        <w:t>电子数据保全系统研发项目目的：电子数据保全系统研发项目目的：提供主要服务于金融服务领域、电子商务领域、电</w:t>
      </w:r>
    </w:p>
    <w:p>
      <w:pPr>
        <w:pStyle w:val="BodyText"/>
        <w:spacing w:line="338" w:lineRule="auto" w:before="19"/>
        <w:ind w:right="0"/>
        <w:jc w:val="left"/>
      </w:pPr>
      <w:r>
        <w:rPr>
          <w:spacing w:val="-2"/>
        </w:rPr>
        <w:t>子医疗领域和知识产权保护领域等多领域，满足不同服务对象可信身份、可信来源、可信传输、可信固化方式、可信存储等</w:t>
      </w:r>
      <w:r>
        <w:rPr>
          <w:spacing w:val="-65"/>
        </w:rPr>
        <w:t> </w:t>
      </w:r>
      <w:r>
        <w:rPr>
          <w:spacing w:val="-65"/>
        </w:rPr>
      </w:r>
      <w:r>
        <w:rPr>
          <w:spacing w:val="-4"/>
        </w:rPr>
        <w:t>方面可靠的信息安全技术，实现高保全证据的证明力，提供全面的一站式电子数据保全服务系统。实现电子数据证据的固化。</w:t>
      </w:r>
      <w:r>
        <w:rPr>
          <w:spacing w:val="-42"/>
        </w:rPr>
        <w:t> </w:t>
      </w:r>
      <w:r>
        <w:rPr>
          <w:spacing w:val="-42"/>
        </w:rPr>
      </w:r>
      <w:r>
        <w:rPr/>
        <w:t>近三年公司研发投入金额及占营业收入的比例</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10.09%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9.80%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10.04%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100,711,173.68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85,472,348.16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85,105,428.40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12.75%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13.00%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6,662,575.80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footerReference w:type="default" r:id="rId13"/>
          <w:pgSz w:w="11910" w:h="16840"/>
          <w:pgMar w:footer="978" w:header="746" w:top="1060" w:bottom="1160" w:left="1020" w:right="0"/>
          <w:pgNumType w:start="20"/>
        </w:sect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6" w:footer="978" w:top="1060" w:bottom="1160" w:left="1020" w:right="0"/>
        </w:sectPr>
      </w:pPr>
    </w:p>
    <w:p>
      <w:pPr>
        <w:pStyle w:val="BodyText"/>
        <w:spacing w:line="240" w:lineRule="auto" w:before="44"/>
        <w:ind w:right="-17"/>
        <w:jc w:val="left"/>
      </w:pPr>
      <w:r>
        <w:rPr/>
        <w:t>研发投入总额占营业收入的比重较上年发生显著变化的原因</w:t>
      </w:r>
    </w:p>
    <w:p>
      <w:pPr>
        <w:pStyle w:val="BodyText"/>
        <w:spacing w:line="340" w:lineRule="auto" w:before="115"/>
        <w:ind w:right="49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研发投入资本化率大幅变动的原因及其合理性说明</w:t>
      </w:r>
    </w:p>
    <w:p>
      <w:pPr>
        <w:pStyle w:val="BodyText"/>
        <w:spacing w:line="240" w:lineRule="auto" w:before="41"/>
        <w:ind w:right="58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right="-17"/>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5"/>
        <w:ind w:left="-33" w:right="0"/>
        <w:jc w:val="left"/>
      </w:pPr>
      <w:r>
        <w:rPr/>
        <w:t>单位：元</w:t>
      </w:r>
    </w:p>
    <w:p>
      <w:pPr>
        <w:spacing w:after="0" w:line="240" w:lineRule="auto"/>
        <w:jc w:val="left"/>
        <w:sectPr>
          <w:type w:val="continuous"/>
          <w:pgSz w:w="11910" w:h="16840"/>
          <w:pgMar w:top="1060" w:bottom="1160" w:left="1020" w:right="0"/>
          <w:cols w:num="2" w:equalWidth="0">
            <w:col w:w="9025" w:space="40"/>
            <w:col w:w="1825"/>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1"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362" w:hRule="exact"/>
        </w:trPr>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VX</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技术的开发平台、科</w:t>
            </w:r>
          </w:p>
        </w:tc>
        <w:tc>
          <w:tcPr>
            <w:tcW w:w="239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PE10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开发平台、运维监控</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NTC</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平台、以及相应的设备支</w:t>
            </w:r>
          </w:p>
        </w:tc>
        <w:tc>
          <w:tcPr>
            <w:tcW w:w="2392" w:type="dxa"/>
            <w:tcBorders>
              <w:top w:val="nil" w:sz="6" w:space="0" w:color="auto"/>
              <w:left w:val="single" w:sz="4" w:space="0" w:color="000000"/>
              <w:bottom w:val="nil" w:sz="6" w:space="0" w:color="auto"/>
              <w:right w:val="single" w:sz="4" w:space="0" w:color="000000"/>
            </w:tcBorders>
          </w:tcPr>
          <w:p>
            <w:pPr/>
          </w:p>
        </w:tc>
      </w:tr>
      <w:tr>
        <w:trPr>
          <w:trHeight w:val="619"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智慧银行</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5,447,097.43</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20"/>
              <w:jc w:val="left"/>
              <w:rPr>
                <w:rFonts w:ascii="宋体" w:hAnsi="宋体" w:cs="宋体" w:eastAsia="宋体" w:hint="default"/>
                <w:sz w:val="18"/>
                <w:szCs w:val="18"/>
              </w:rPr>
            </w:pPr>
            <w:r>
              <w:rPr>
                <w:rFonts w:ascii="宋体" w:hAnsi="宋体" w:cs="宋体" w:eastAsia="宋体" w:hint="default"/>
                <w:sz w:val="18"/>
                <w:szCs w:val="18"/>
              </w:rPr>
              <w:t>持，研发出智慧银行，实现与 客户的无缝连接、为银行等金</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开发中</w:t>
            </w: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融机构提供统一、高效的渠道</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服务、实现专业、高效的风险</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w:t>
            </w:r>
          </w:p>
        </w:tc>
        <w:tc>
          <w:tcPr>
            <w:tcW w:w="2392"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为了更好解决银行传统营销</w:t>
            </w:r>
          </w:p>
        </w:tc>
        <w:tc>
          <w:tcPr>
            <w:tcW w:w="239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中面临的一系列痛点，针对银</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行等金融机构线上渠道营销</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智能数字营销系统</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1,101,875.51</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运营方面的需求，公司研发出</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开发中</w:t>
            </w:r>
          </w:p>
        </w:tc>
      </w:tr>
      <w:tr>
        <w:trPr>
          <w:trHeight w:val="307"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智能数字营销平台，该平台可</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提供</w:t>
            </w:r>
            <w:r>
              <w:rPr>
                <w:rFonts w:ascii="Times New Roman" w:hAnsi="Times New Roman" w:cs="Times New Roman" w:eastAsia="Times New Roman" w:hint="default"/>
                <w:sz w:val="18"/>
                <w:szCs w:val="18"/>
              </w:rPr>
              <w:t>“</w:t>
            </w:r>
            <w:r>
              <w:rPr>
                <w:rFonts w:ascii="宋体" w:hAnsi="宋体" w:cs="宋体" w:eastAsia="宋体" w:hint="default"/>
                <w:sz w:val="18"/>
                <w:szCs w:val="18"/>
              </w:rPr>
              <w:t>精细化</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场景化</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智能化</w:t>
            </w:r>
            <w:r>
              <w:rPr>
                <w:rFonts w:ascii="Times New Roman" w:hAnsi="Times New Roman" w:cs="Times New Roman" w:eastAsia="Times New Roman" w:hint="default"/>
                <w:sz w:val="18"/>
                <w:szCs w:val="18"/>
              </w:rPr>
              <w:t>“</w:t>
            </w:r>
            <w:r>
              <w:rPr>
                <w:rFonts w:ascii="宋体" w:hAnsi="宋体" w:cs="宋体" w:eastAsia="宋体" w:hint="default"/>
                <w:sz w:val="18"/>
                <w:szCs w:val="18"/>
              </w:rPr>
              <w:t>的营销解决方案。</w:t>
            </w:r>
          </w:p>
        </w:tc>
        <w:tc>
          <w:tcPr>
            <w:tcW w:w="2392"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哈希加密</w:t>
            </w:r>
            <w:r>
              <w:rPr>
                <w:rFonts w:ascii="Times New Roman" w:hAnsi="Times New Roman" w:cs="Times New Roman" w:eastAsia="Times New Roman" w:hint="default"/>
                <w:sz w:val="18"/>
                <w:szCs w:val="18"/>
              </w:rPr>
              <w:t>+</w:t>
            </w:r>
            <w:r>
              <w:rPr>
                <w:rFonts w:ascii="宋体" w:hAnsi="宋体" w:cs="宋体" w:eastAsia="宋体" w:hint="default"/>
                <w:sz w:val="18"/>
                <w:szCs w:val="18"/>
              </w:rPr>
              <w:t>可信时间戳</w:t>
            </w:r>
            <w:r>
              <w:rPr>
                <w:rFonts w:ascii="Times New Roman" w:hAnsi="Times New Roman" w:cs="Times New Roman" w:eastAsia="Times New Roman" w:hint="default"/>
                <w:sz w:val="18"/>
                <w:szCs w:val="18"/>
              </w:rPr>
              <w:t>+</w:t>
            </w:r>
            <w:r>
              <w:rPr>
                <w:rFonts w:ascii="宋体" w:hAnsi="宋体" w:cs="宋体" w:eastAsia="宋体" w:hint="default"/>
                <w:sz w:val="18"/>
                <w:szCs w:val="18"/>
              </w:rPr>
              <w:t>数</w:t>
            </w:r>
          </w:p>
        </w:tc>
        <w:tc>
          <w:tcPr>
            <w:tcW w:w="239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字签名</w:t>
            </w:r>
            <w:r>
              <w:rPr>
                <w:rFonts w:ascii="Times New Roman" w:hAnsi="Times New Roman" w:cs="Times New Roman" w:eastAsia="Times New Roman" w:hint="default"/>
                <w:sz w:val="18"/>
                <w:szCs w:val="18"/>
              </w:rPr>
              <w:t>+</w:t>
            </w:r>
            <w:r>
              <w:rPr>
                <w:rFonts w:ascii="宋体" w:hAnsi="宋体" w:cs="宋体" w:eastAsia="宋体" w:hint="default"/>
                <w:sz w:val="18"/>
                <w:szCs w:val="18"/>
              </w:rPr>
              <w:t>哈希串联</w:t>
            </w:r>
            <w:r>
              <w:rPr>
                <w:rFonts w:ascii="Times New Roman" w:hAnsi="Times New Roman" w:cs="Times New Roman" w:eastAsia="Times New Roman" w:hint="default"/>
                <w:sz w:val="18"/>
                <w:szCs w:val="18"/>
              </w:rPr>
              <w:t>”</w:t>
            </w:r>
            <w:r>
              <w:rPr>
                <w:rFonts w:ascii="宋体" w:hAnsi="宋体" w:cs="宋体" w:eastAsia="宋体" w:hint="default"/>
                <w:sz w:val="18"/>
                <w:szCs w:val="18"/>
              </w:rPr>
              <w:t>为基本框</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架，以完整、科学、合理且符</w:t>
            </w:r>
          </w:p>
        </w:tc>
        <w:tc>
          <w:tcPr>
            <w:tcW w:w="2392"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电子数据保全系统</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113,602.86</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合司法应用规则的技术与制 </w:t>
            </w:r>
            <w:r>
              <w:rPr>
                <w:rFonts w:ascii="宋体" w:hAnsi="宋体" w:cs="宋体" w:eastAsia="宋体" w:hint="default"/>
                <w:spacing w:val="-6"/>
                <w:w w:val="99"/>
                <w:sz w:val="18"/>
                <w:szCs w:val="18"/>
              </w:rPr>
              <w:t>度流程为保障，在</w:t>
            </w:r>
            <w:r>
              <w:rPr>
                <w:rFonts w:ascii="Times New Roman" w:hAnsi="Times New Roman" w:cs="Times New Roman" w:eastAsia="Times New Roman" w:hint="default"/>
                <w:spacing w:val="-6"/>
                <w:w w:val="99"/>
                <w:sz w:val="18"/>
                <w:szCs w:val="18"/>
              </w:rPr>
              <w:t>“</w:t>
            </w:r>
            <w:r>
              <w:rPr>
                <w:rFonts w:ascii="宋体" w:hAnsi="宋体" w:cs="宋体" w:eastAsia="宋体" w:hint="default"/>
                <w:spacing w:val="-6"/>
                <w:w w:val="99"/>
                <w:sz w:val="18"/>
                <w:szCs w:val="18"/>
              </w:rPr>
              <w:t>数据保全云</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开发中</w:t>
            </w:r>
          </w:p>
        </w:tc>
      </w:tr>
      <w:tr>
        <w:trPr>
          <w:trHeight w:val="307"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服务平台【简称：云盾保全】</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2"/>
                <w:w w:val="99"/>
                <w:sz w:val="18"/>
                <w:szCs w:val="18"/>
              </w:rPr>
              <w:t>V</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w w:val="99"/>
                <w:sz w:val="18"/>
                <w:szCs w:val="18"/>
              </w:rPr>
              <w:t>”</w:t>
            </w:r>
            <w:r>
              <w:rPr>
                <w:rFonts w:ascii="宋体" w:hAnsi="宋体" w:cs="宋体" w:eastAsia="宋体" w:hint="default"/>
                <w:sz w:val="18"/>
                <w:szCs w:val="18"/>
              </w:rPr>
              <w:t>知识产权基础上</w:t>
            </w:r>
            <w:r>
              <w:rPr>
                <w:rFonts w:ascii="宋体" w:hAnsi="宋体" w:cs="宋体" w:eastAsia="宋体" w:hint="default"/>
                <w:spacing w:val="-77"/>
                <w:sz w:val="18"/>
                <w:szCs w:val="18"/>
              </w:rPr>
              <w:t>，</w:t>
            </w:r>
            <w:r>
              <w:rPr>
                <w:rFonts w:ascii="宋体" w:hAnsi="宋体" w:cs="宋体" w:eastAsia="宋体" w:hint="default"/>
                <w:sz w:val="18"/>
                <w:szCs w:val="18"/>
              </w:rPr>
              <w:t>实现电</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子数据证据的固化。</w:t>
            </w:r>
          </w:p>
        </w:tc>
        <w:tc>
          <w:tcPr>
            <w:tcW w:w="2392" w:type="dxa"/>
            <w:tcBorders>
              <w:top w:val="nil" w:sz="6" w:space="0" w:color="auto"/>
              <w:left w:val="single" w:sz="4" w:space="0" w:color="000000"/>
              <w:bottom w:val="single" w:sz="4" w:space="0" w:color="000000"/>
              <w:right w:val="single" w:sz="4" w:space="0" w:color="000000"/>
            </w:tcBorders>
          </w:tcPr>
          <w:p>
            <w:pPr/>
          </w:p>
        </w:tc>
      </w:tr>
    </w:tbl>
    <w:p>
      <w:pPr>
        <w:pStyle w:val="BodyText"/>
        <w:spacing w:line="300" w:lineRule="auto" w:before="11"/>
        <w:ind w:right="5179"/>
        <w:jc w:val="left"/>
        <w:rPr>
          <w:rFonts w:ascii="Times New Roman" w:hAnsi="Times New Roman" w:cs="Times New Roman" w:eastAsia="Times New Roman" w:hint="default"/>
        </w:rPr>
      </w:pPr>
      <w:r>
        <w:rPr/>
        <w:t>智慧银行依据：科蓝</w:t>
      </w:r>
      <w:r>
        <w:rPr>
          <w:rFonts w:ascii="Times New Roman" w:hAnsi="Times New Roman" w:cs="Times New Roman" w:eastAsia="Times New Roman" w:hint="default"/>
        </w:rPr>
        <w:t>PE10</w:t>
      </w:r>
      <w:r>
        <w:rPr/>
        <w:t>开发平台 智能数字营销系统依据：互联网营销平台</w:t>
      </w:r>
      <w:r>
        <w:rPr>
          <w:rFonts w:ascii="Times New Roman" w:hAnsi="Times New Roman" w:cs="Times New Roman" w:eastAsia="Times New Roman" w:hint="default"/>
        </w:rPr>
        <w:t>V3.0 </w:t>
      </w:r>
      <w:r>
        <w:rPr/>
        <w:t>电子数据保全系统依据：数据保全云服务平台【简称：云盾保全】</w:t>
      </w:r>
      <w:r>
        <w:rPr>
          <w:rFonts w:ascii="Times New Roman" w:hAnsi="Times New Roman" w:cs="Times New Roman" w:eastAsia="Times New Roman" w:hint="default"/>
        </w:rPr>
        <w:t>V1.0</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5"/>
          <w:szCs w:val="25"/>
        </w:rPr>
      </w:pPr>
    </w:p>
    <w:p>
      <w:pPr>
        <w:pStyle w:val="Heading5"/>
        <w:spacing w:line="240" w:lineRule="auto"/>
        <w:ind w:right="0"/>
        <w:jc w:val="left"/>
        <w:rPr>
          <w:b w:val="0"/>
          <w:bCs w:val="0"/>
        </w:rPr>
      </w:pPr>
      <w:bookmarkStart w:name="5、现金流" w:id="37"/>
      <w:bookmarkEnd w:id="37"/>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0"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40" w:right="0"/>
              <w:jc w:val="left"/>
              <w:rPr>
                <w:rFonts w:ascii="Times New Roman" w:hAnsi="Times New Roman" w:cs="Times New Roman" w:eastAsia="Times New Roman" w:hint="default"/>
                <w:sz w:val="18"/>
                <w:szCs w:val="18"/>
              </w:rPr>
            </w:pPr>
            <w:r>
              <w:rPr>
                <w:rFonts w:ascii="Times New Roman"/>
                <w:sz w:val="18"/>
              </w:rPr>
              <w:t>723,832,116.43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3" w:right="0"/>
              <w:jc w:val="left"/>
              <w:rPr>
                <w:rFonts w:ascii="Times New Roman" w:hAnsi="Times New Roman" w:cs="Times New Roman" w:eastAsia="Times New Roman" w:hint="default"/>
                <w:sz w:val="18"/>
                <w:szCs w:val="18"/>
              </w:rPr>
            </w:pPr>
            <w:r>
              <w:rPr>
                <w:rFonts w:ascii="Times New Roman"/>
                <w:sz w:val="18"/>
              </w:rPr>
              <w:t>629,737,160.66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14.94%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773,838,173.97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658,209,399.99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17.57%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-50,006,057.54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-28,472,239.33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-75.63%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265,933,692.93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55,554,743.15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378.69%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349,160,179.66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140,726,663.47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148.11%</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-83,226,486.73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-85,171,920.32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638,526,982.77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732,548,135.70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-12.83%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481,551,869.67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431,693,169.79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11.55%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156,975,113.10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300,854,965.91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-47.82%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24,490,520.70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186,106,325.36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-86.84%</w:t>
            </w:r>
          </w:p>
        </w:tc>
      </w:tr>
    </w:tbl>
    <w:p>
      <w:pPr>
        <w:pStyle w:val="BodyText"/>
        <w:spacing w:line="240" w:lineRule="auto" w:before="51"/>
        <w:ind w:right="0"/>
        <w:jc w:val="left"/>
      </w:pPr>
      <w:r>
        <w:rPr/>
        <w:t>相关数据同比发生重大变动的主要影响因素说明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00" w:lineRule="auto" w:before="101"/>
        <w:ind w:right="1395" w:firstLine="360"/>
        <w:jc w:val="left"/>
      </w:pPr>
      <w:r>
        <w:rPr>
          <w:rFonts w:ascii="Times New Roman" w:hAnsi="Times New Roman" w:cs="Times New Roman" w:eastAsia="Times New Roman" w:hint="default"/>
          <w:spacing w:val="-1"/>
        </w:rPr>
        <w:t>1.</w:t>
      </w:r>
      <w:r>
        <w:rPr>
          <w:spacing w:val="-1"/>
        </w:rPr>
        <w:t>经营活动产生的现金流量净额较上年减少</w:t>
      </w:r>
      <w:r>
        <w:rPr>
          <w:rFonts w:ascii="Times New Roman" w:hAnsi="Times New Roman" w:cs="Times New Roman" w:eastAsia="Times New Roman" w:hint="default"/>
          <w:spacing w:val="-1"/>
        </w:rPr>
        <w:t>21,533,818.21</w:t>
      </w:r>
      <w:r>
        <w:rPr>
          <w:spacing w:val="-1"/>
        </w:rPr>
        <w:t>元，减幅</w:t>
      </w:r>
      <w:r>
        <w:rPr>
          <w:rFonts w:ascii="Times New Roman" w:hAnsi="Times New Roman" w:cs="Times New Roman" w:eastAsia="Times New Roman" w:hint="default"/>
          <w:spacing w:val="-1"/>
        </w:rPr>
        <w:t>75.63%</w:t>
      </w:r>
      <w:r>
        <w:rPr>
          <w:spacing w:val="-1"/>
        </w:rPr>
        <w:t>，主要是研发投入加大</w:t>
      </w:r>
      <w:r>
        <w:rPr/>
        <w:t> 及在建项目增加所致；</w:t>
      </w:r>
    </w:p>
    <w:p>
      <w:pPr>
        <w:pStyle w:val="BodyText"/>
        <w:spacing w:line="300" w:lineRule="auto" w:before="67"/>
        <w:ind w:right="2999" w:firstLine="360"/>
        <w:jc w:val="left"/>
      </w:pPr>
      <w:r>
        <w:rPr>
          <w:rFonts w:ascii="Times New Roman" w:hAnsi="Times New Roman" w:cs="Times New Roman" w:eastAsia="Times New Roman" w:hint="default"/>
        </w:rPr>
        <w:t>2.</w:t>
      </w:r>
      <w:r>
        <w:rPr/>
        <w:t>筹资活动产生的现金流量净额较上年减少</w:t>
      </w:r>
      <w:r>
        <w:rPr>
          <w:rFonts w:ascii="Times New Roman" w:hAnsi="Times New Roman" w:cs="Times New Roman" w:eastAsia="Times New Roman" w:hint="default"/>
        </w:rPr>
        <w:t>143,879,852.81</w:t>
      </w:r>
      <w:r>
        <w:rPr/>
        <w:t>元，减幅</w:t>
      </w:r>
      <w:r>
        <w:rPr>
          <w:rFonts w:ascii="Times New Roman" w:hAnsi="Times New Roman" w:cs="Times New Roman" w:eastAsia="Times New Roman" w:hint="default"/>
        </w:rPr>
        <w:t>47.82%</w:t>
      </w:r>
      <w:r>
        <w:rPr/>
        <w:t>，主要原因是</w:t>
      </w:r>
      <w:r>
        <w:rPr>
          <w:rFonts w:ascii="Times New Roman" w:hAnsi="Times New Roman" w:cs="Times New Roman" w:eastAsia="Times New Roman" w:hint="default"/>
        </w:rPr>
        <w:t>2017</w:t>
      </w:r>
      <w:r>
        <w:rPr/>
        <w:t>年 首次公开发行股票收到募集资金增加及</w:t>
      </w:r>
      <w:r>
        <w:rPr>
          <w:rFonts w:ascii="Times New Roman" w:hAnsi="Times New Roman" w:cs="Times New Roman" w:eastAsia="Times New Roman" w:hint="default"/>
        </w:rPr>
        <w:t>2017</w:t>
      </w:r>
      <w:r>
        <w:rPr/>
        <w:t>年收到限制性股票认购款</w:t>
      </w:r>
    </w:p>
    <w:p>
      <w:pPr>
        <w:pStyle w:val="BodyText"/>
        <w:spacing w:line="300" w:lineRule="auto" w:before="46"/>
        <w:ind w:right="2999" w:firstLine="360"/>
        <w:jc w:val="left"/>
      </w:pPr>
      <w:r>
        <w:rPr>
          <w:rFonts w:ascii="Times New Roman" w:hAnsi="Times New Roman" w:cs="Times New Roman" w:eastAsia="Times New Roman" w:hint="default"/>
        </w:rPr>
        <w:t>3.</w:t>
      </w:r>
      <w:r>
        <w:rPr/>
        <w:t>现金及现金等价物净增加额较去年减少</w:t>
      </w:r>
      <w:r>
        <w:rPr>
          <w:rFonts w:ascii="Times New Roman" w:hAnsi="Times New Roman" w:cs="Times New Roman" w:eastAsia="Times New Roman" w:hint="default"/>
        </w:rPr>
        <w:t>161,615,804.66</w:t>
      </w:r>
      <w:r>
        <w:rPr/>
        <w:t>元，减幅</w:t>
      </w:r>
      <w:r>
        <w:rPr>
          <w:rFonts w:ascii="Times New Roman" w:hAnsi="Times New Roman" w:cs="Times New Roman" w:eastAsia="Times New Roman" w:hint="default"/>
        </w:rPr>
        <w:t>86.84%</w:t>
      </w:r>
      <w:r>
        <w:rPr/>
        <w:t>，主要系</w:t>
      </w:r>
      <w:r>
        <w:rPr>
          <w:rFonts w:ascii="Times New Roman" w:hAnsi="Times New Roman" w:cs="Times New Roman" w:eastAsia="Times New Roman" w:hint="default"/>
        </w:rPr>
        <w:t>2017</w:t>
      </w:r>
      <w:r>
        <w:rPr/>
        <w:t>年首次公 开发行股票并收到募集资金及股权激励计划收到的资金增加所致</w:t>
      </w:r>
    </w:p>
    <w:p>
      <w:pPr>
        <w:spacing w:line="240" w:lineRule="auto" w:before="0"/>
        <w:rPr>
          <w:rFonts w:ascii="宋体" w:hAnsi="宋体" w:cs="宋体" w:eastAsia="宋体" w:hint="default"/>
          <w:sz w:val="18"/>
          <w:szCs w:val="18"/>
        </w:rPr>
      </w:pPr>
    </w:p>
    <w:p>
      <w:pPr>
        <w:pStyle w:val="BodyText"/>
        <w:spacing w:line="240" w:lineRule="auto" w:before="148"/>
        <w:ind w:right="0"/>
        <w:jc w:val="left"/>
      </w:pPr>
      <w:r>
        <w:rPr/>
        <w:t>报告期内公司经营活动产生的现金净流量与本年度净利润存在重大差异的原因说明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bookmarkStart w:name="三、非主营业务情况" w:id="38"/>
      <w:bookmarkEnd w:id="38"/>
      <w:r>
        <w:rPr>
          <w:b w:val="0"/>
          <w:bCs w:val="0"/>
        </w:rPr>
      </w:r>
      <w:r>
        <w:rPr/>
        <w:t>三、非主营业务情况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-448,391.73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-1.11%</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权益法核算的长期股权投 资收益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44"/>
              <w:jc w:val="left"/>
              <w:rPr>
                <w:rFonts w:ascii="宋体" w:hAnsi="宋体" w:cs="宋体" w:eastAsia="宋体" w:hint="default"/>
                <w:sz w:val="18"/>
                <w:szCs w:val="18"/>
              </w:rPr>
            </w:pPr>
            <w:r>
              <w:rPr>
                <w:rFonts w:ascii="宋体" w:hAnsi="宋体" w:cs="宋体" w:eastAsia="宋体" w:hint="default"/>
                <w:sz w:val="18"/>
                <w:szCs w:val="18"/>
              </w:rPr>
              <w:t>权益法核算的长期股权投资 收益具有可持续性</w:t>
            </w:r>
          </w:p>
        </w:tc>
      </w:tr>
      <w:tr>
        <w:trPr>
          <w:trHeight w:val="357"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tcPr>
          <w:p>
            <w:pPr/>
          </w:p>
        </w:tc>
        <w:tc>
          <w:tcPr>
            <w:tcW w:w="1623" w:type="dxa"/>
            <w:tcBorders>
              <w:top w:val="single" w:sz="4" w:space="0" w:color="000000"/>
              <w:left w:val="single" w:sz="4" w:space="0" w:color="000000"/>
              <w:bottom w:val="nil" w:sz="6" w:space="0" w:color="auto"/>
              <w:right w:val="single" w:sz="4" w:space="0" w:color="000000"/>
            </w:tcBorders>
          </w:tcPr>
          <w:p>
            <w:pPr/>
          </w:p>
        </w:tc>
        <w:tc>
          <w:tcPr>
            <w:tcW w:w="21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应收款项按账龄计提的坏</w:t>
            </w:r>
          </w:p>
        </w:tc>
        <w:tc>
          <w:tcPr>
            <w:tcW w:w="2340"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33,292,242.34</w:t>
            </w:r>
          </w:p>
        </w:tc>
        <w:tc>
          <w:tcPr>
            <w:tcW w:w="162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82.63%</w:t>
            </w:r>
          </w:p>
        </w:tc>
        <w:tc>
          <w:tcPr>
            <w:tcW w:w="21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账准备和存货计提的跌价</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3"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tcPr>
          <w:p>
            <w:pPr/>
          </w:p>
        </w:tc>
        <w:tc>
          <w:tcPr>
            <w:tcW w:w="1623" w:type="dxa"/>
            <w:tcBorders>
              <w:top w:val="nil" w:sz="6" w:space="0" w:color="auto"/>
              <w:left w:val="single" w:sz="4" w:space="0" w:color="000000"/>
              <w:bottom w:val="single" w:sz="4" w:space="0" w:color="000000"/>
              <w:right w:val="single" w:sz="4" w:space="0" w:color="000000"/>
            </w:tcBorders>
          </w:tcPr>
          <w:p>
            <w:pPr/>
          </w:p>
        </w:tc>
        <w:tc>
          <w:tcPr>
            <w:tcW w:w="21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损失</w:t>
            </w:r>
          </w:p>
        </w:tc>
        <w:tc>
          <w:tcPr>
            <w:tcW w:w="2340"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67,663.50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0.17%</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19,009.20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0.05%</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4,351,505.37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10.80%</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收到的增值税退税及个税 返还及政府补助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pacing w:val="-5"/>
                <w:sz w:val="18"/>
                <w:szCs w:val="18"/>
              </w:rPr>
              <w:t>增值税退税具有可持续性，政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府补助不具有可持续性。</w:t>
            </w:r>
          </w:p>
        </w:tc>
      </w:tr>
    </w:tbl>
    <w:p>
      <w:pPr>
        <w:spacing w:after="0" w:line="316"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8"/>
        <w:rPr>
          <w:rFonts w:ascii="宋体" w:hAnsi="宋体" w:cs="宋体" w:eastAsia="宋体" w:hint="default"/>
          <w:sz w:val="23"/>
          <w:szCs w:val="23"/>
        </w:rPr>
      </w:pPr>
    </w:p>
    <w:p>
      <w:pPr>
        <w:pStyle w:val="Heading4"/>
        <w:spacing w:line="240" w:lineRule="auto" w:before="26"/>
        <w:ind w:right="0"/>
        <w:jc w:val="left"/>
        <w:rPr>
          <w:b w:val="0"/>
          <w:bCs w:val="0"/>
        </w:rPr>
      </w:pPr>
      <w:bookmarkStart w:name="四、资产及负债状况" w:id="39"/>
      <w:bookmarkEnd w:id="39"/>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资产构成重大变动情况" w:id="40"/>
      <w:bookmarkEnd w:id="40"/>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184"/>
        <w:gridCol w:w="1043"/>
        <w:gridCol w:w="1195"/>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25" w:right="66"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407,308,560.68</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390,020,032.68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34.36%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-5.40%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545,859,103.03</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487,769,199.26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186,149,797.86</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112,165,676.94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21,069,415.37</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8,708,167.02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0.73%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4,948,147.98</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1,953,517.12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0.18%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419,735,429.52</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319,671,000.00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bookmarkStart w:name="2、以公允价值计量的资产和负债" w:id="41"/>
      <w:bookmarkEnd w:id="41"/>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3、截至报告期末的资产权利受限情况" w:id="42"/>
      <w:bookmarkEnd w:id="42"/>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6"/>
          <w:szCs w:val="26"/>
        </w:rPr>
      </w:pPr>
    </w:p>
    <w:p>
      <w:pPr>
        <w:pStyle w:val="BodyText"/>
        <w:spacing w:line="300" w:lineRule="auto"/>
        <w:ind w:right="0"/>
        <w:jc w:val="left"/>
      </w:pPr>
      <w:r>
        <w:rPr>
          <w:spacing w:val="-1"/>
        </w:rPr>
        <w:t>（</w:t>
      </w:r>
      <w:r>
        <w:rPr>
          <w:rFonts w:ascii="Times New Roman" w:hAnsi="Times New Roman" w:cs="Times New Roman" w:eastAsia="Times New Roman" w:hint="default"/>
          <w:spacing w:val="-1"/>
        </w:rPr>
        <w:t>1</w:t>
      </w:r>
      <w:r>
        <w:rPr>
          <w:spacing w:val="-1"/>
        </w:rPr>
        <w:t>）截至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日止，本公司受限制的货币资金总额为</w:t>
      </w:r>
      <w:r>
        <w:rPr>
          <w:rFonts w:ascii="Times New Roman" w:hAnsi="Times New Roman" w:cs="Times New Roman" w:eastAsia="Times New Roman" w:hint="default"/>
          <w:spacing w:val="-1"/>
        </w:rPr>
        <w:t>4,745,429.00</w:t>
      </w:r>
      <w:r>
        <w:rPr>
          <w:spacing w:val="-1"/>
        </w:rPr>
        <w:t>元，为履约保证金及附使用条件的政府补助。其</w:t>
      </w:r>
      <w:r>
        <w:rPr>
          <w:spacing w:val="-74"/>
        </w:rPr>
        <w:t> </w:t>
      </w:r>
      <w:r>
        <w:rPr>
          <w:spacing w:val="-74"/>
        </w:rPr>
      </w:r>
      <w:r>
        <w:rPr/>
        <w:t>中履约保证金为</w:t>
      </w:r>
      <w:r>
        <w:rPr>
          <w:rFonts w:ascii="Times New Roman" w:hAnsi="Times New Roman" w:cs="Times New Roman" w:eastAsia="Times New Roman" w:hint="default"/>
        </w:rPr>
        <w:t>4420,096.00</w:t>
      </w:r>
      <w:r>
        <w:rPr/>
        <w:t>元，附使用条件的政府补助为</w:t>
      </w:r>
      <w:r>
        <w:rPr>
          <w:spacing w:val="-11"/>
        </w:rPr>
        <w:t> </w:t>
      </w:r>
      <w:r>
        <w:rPr>
          <w:rFonts w:ascii="Times New Roman" w:hAnsi="Times New Roman" w:cs="Times New Roman" w:eastAsia="Times New Roman" w:hint="default"/>
        </w:rPr>
        <w:t>325,333.00</w:t>
      </w:r>
      <w:r>
        <w:rPr/>
        <w:t>元。</w:t>
      </w:r>
    </w:p>
    <w:p>
      <w:pPr>
        <w:pStyle w:val="BodyText"/>
        <w:spacing w:line="240" w:lineRule="auto" w:before="13"/>
        <w:ind w:right="0"/>
        <w:jc w:val="left"/>
      </w:pPr>
      <w:r>
        <w:rPr/>
        <w:t>（</w:t>
      </w: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日止，本公司受限制的应收账款余额为</w:t>
      </w:r>
      <w:r>
        <w:rPr>
          <w:rFonts w:ascii="Times New Roman" w:hAnsi="Times New Roman" w:cs="Times New Roman" w:eastAsia="Times New Roman" w:hint="default"/>
        </w:rPr>
        <w:t>180,145,882.12</w:t>
      </w:r>
      <w:r>
        <w:rPr/>
        <w:t>元，为取得银行贷款所产生的质押担保。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55"/>
        <w:ind w:right="0"/>
        <w:jc w:val="left"/>
        <w:rPr>
          <w:b w:val="0"/>
          <w:bCs w:val="0"/>
        </w:rPr>
      </w:pPr>
      <w:bookmarkStart w:name="五、投资状况分析" w:id="43"/>
      <w:bookmarkEnd w:id="43"/>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35,875,280.00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736.25%</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94"/>
        <w:gridCol w:w="693"/>
        <w:gridCol w:w="662"/>
        <w:gridCol w:w="662"/>
        <w:gridCol w:w="662"/>
        <w:gridCol w:w="662"/>
        <w:gridCol w:w="658"/>
        <w:gridCol w:w="655"/>
        <w:gridCol w:w="658"/>
        <w:gridCol w:w="629"/>
        <w:gridCol w:w="1162"/>
        <w:gridCol w:w="425"/>
        <w:gridCol w:w="620"/>
        <w:gridCol w:w="723"/>
      </w:tblGrid>
      <w:tr>
        <w:trPr>
          <w:trHeight w:val="1024"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3" w:right="69"/>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0" w:right="7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6" w:right="5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6" w:right="53"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2" w:right="50"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3"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8" w:right="39"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5" w:right="0"/>
              <w:jc w:val="left"/>
              <w:rPr>
                <w:rFonts w:ascii="宋体" w:hAnsi="宋体" w:cs="宋体" w:eastAsia="宋体" w:hint="default"/>
                <w:sz w:val="18"/>
                <w:szCs w:val="18"/>
              </w:rPr>
            </w:pPr>
            <w:r>
              <w:rPr>
                <w:rFonts w:ascii="宋体" w:hAnsi="宋体" w:cs="宋体" w:eastAsia="宋体" w:hint="default"/>
                <w:sz w:val="18"/>
                <w:szCs w:val="18"/>
              </w:rPr>
              <w:t>本期投资盈亏</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8" w:right="25"/>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5" w:right="33"/>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7"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bl>
    <w:p>
      <w:pPr>
        <w:spacing w:after="0" w:line="316" w:lineRule="auto"/>
        <w:jc w:val="both"/>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694"/>
        <w:gridCol w:w="693"/>
        <w:gridCol w:w="662"/>
        <w:gridCol w:w="662"/>
        <w:gridCol w:w="662"/>
        <w:gridCol w:w="662"/>
        <w:gridCol w:w="658"/>
        <w:gridCol w:w="655"/>
        <w:gridCol w:w="658"/>
        <w:gridCol w:w="629"/>
        <w:gridCol w:w="1162"/>
        <w:gridCol w:w="425"/>
        <w:gridCol w:w="620"/>
        <w:gridCol w:w="723"/>
      </w:tblGrid>
      <w:tr>
        <w:trPr>
          <w:trHeight w:val="1650"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9"/>
              <w:jc w:val="both"/>
              <w:rPr>
                <w:rFonts w:ascii="宋体" w:hAnsi="宋体" w:cs="宋体" w:eastAsia="宋体" w:hint="default"/>
                <w:sz w:val="18"/>
                <w:szCs w:val="18"/>
              </w:rPr>
            </w:pPr>
            <w:r>
              <w:rPr>
                <w:rFonts w:ascii="宋体" w:hAnsi="宋体" w:cs="宋体" w:eastAsia="宋体" w:hint="default"/>
                <w:sz w:val="18"/>
                <w:szCs w:val="18"/>
              </w:rPr>
              <w:t>大陆云 盾电子 认证服 务有限 公司</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19"/>
              <w:jc w:val="both"/>
              <w:rPr>
                <w:rFonts w:ascii="宋体" w:hAnsi="宋体" w:cs="宋体" w:eastAsia="宋体" w:hint="default"/>
                <w:sz w:val="18"/>
                <w:szCs w:val="18"/>
              </w:rPr>
            </w:pPr>
            <w:r>
              <w:rPr>
                <w:rFonts w:ascii="宋体" w:hAnsi="宋体" w:cs="宋体" w:eastAsia="宋体" w:hint="default"/>
                <w:sz w:val="18"/>
                <w:szCs w:val="18"/>
              </w:rPr>
              <w:t>电子安 全认证 及数据 保全服 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67"/>
              <w:jc w:val="right"/>
              <w:rPr>
                <w:rFonts w:ascii="宋体" w:hAnsi="宋体" w:cs="宋体" w:eastAsia="宋体" w:hint="default"/>
                <w:sz w:val="18"/>
                <w:szCs w:val="18"/>
              </w:rPr>
            </w:pPr>
            <w:r>
              <w:rPr>
                <w:rFonts w:ascii="宋体" w:hAnsi="宋体" w:cs="宋体" w:eastAsia="宋体" w:hint="default"/>
                <w:sz w:val="18"/>
                <w:szCs w:val="18"/>
              </w:rPr>
              <w:t>收购</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25,500,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84.27%</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4" w:right="86"/>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2" w:right="84"/>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59"/>
              <w:jc w:val="righ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1" w:right="84"/>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-874,824.92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2" w:right="120"/>
              <w:jc w:val="left"/>
              <w:rPr>
                <w:rFonts w:ascii="Times New Roman" w:hAnsi="Times New Roman" w:cs="Times New Roman" w:eastAsia="Times New Roman" w:hint="default"/>
                <w:sz w:val="18"/>
                <w:szCs w:val="18"/>
              </w:rPr>
            </w:pPr>
            <w:r>
              <w:rPr>
                <w:rFonts w:ascii="Times New Roman"/>
                <w:sz w:val="18"/>
              </w:rPr>
              <w:t>SUNJE</w:t>
            </w:r>
            <w:r>
              <w:rPr>
                <w:rFonts w:ascii="Times New Roman"/>
                <w:w w:val="99"/>
                <w:sz w:val="18"/>
              </w:rPr>
              <w:t> </w:t>
            </w:r>
            <w:r>
              <w:rPr>
                <w:rFonts w:ascii="Times New Roman"/>
                <w:sz w:val="18"/>
              </w:rPr>
              <w:t>SOFT</w:t>
            </w:r>
          </w:p>
          <w:p>
            <w:pPr>
              <w:pStyle w:val="TableParagraph"/>
              <w:spacing w:line="197" w:lineRule="exact"/>
              <w:ind w:left="22" w:right="0"/>
              <w:jc w:val="left"/>
              <w:rPr>
                <w:rFonts w:ascii="宋体" w:hAnsi="宋体" w:cs="宋体" w:eastAsia="宋体" w:hint="default"/>
                <w:sz w:val="18"/>
                <w:szCs w:val="18"/>
              </w:rPr>
            </w:pPr>
            <w:r>
              <w:rPr>
                <w:rFonts w:ascii="宋体" w:hAnsi="宋体" w:cs="宋体" w:eastAsia="宋体" w:hint="default"/>
                <w:sz w:val="18"/>
                <w:szCs w:val="18"/>
              </w:rPr>
              <w:t>株式会</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社</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数据库 软件的 开发及 服务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67"/>
              <w:jc w:val="right"/>
              <w:rPr>
                <w:rFonts w:ascii="宋体" w:hAnsi="宋体" w:cs="宋体" w:eastAsia="宋体" w:hint="default"/>
                <w:sz w:val="18"/>
                <w:szCs w:val="18"/>
              </w:rPr>
            </w:pPr>
            <w:r>
              <w:rPr>
                <w:rFonts w:ascii="宋体" w:hAnsi="宋体" w:cs="宋体" w:eastAsia="宋体" w:hint="default"/>
                <w:sz w:val="18"/>
                <w:szCs w:val="18"/>
              </w:rPr>
              <w:t>收购</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73,000,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67.15%</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4" w:right="86"/>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2" w:right="84"/>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59"/>
              <w:jc w:val="righ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1" w:right="84"/>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-1,080,605.05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62"/>
              <w:jc w:val="righ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98,500,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59"/>
              <w:jc w:val="right"/>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-1,955,429.97</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0" w:right="1132"/>
        <w:jc w:val="right"/>
      </w:pPr>
      <w:r>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5"/>
        <w:gridCol w:w="870"/>
        <w:gridCol w:w="870"/>
        <w:gridCol w:w="870"/>
        <w:gridCol w:w="870"/>
        <w:gridCol w:w="869"/>
        <w:gridCol w:w="870"/>
        <w:gridCol w:w="870"/>
        <w:gridCol w:w="870"/>
        <w:gridCol w:w="870"/>
        <w:gridCol w:w="869"/>
      </w:tblGrid>
      <w:tr>
        <w:trPr>
          <w:trHeight w:val="1338"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1" w:right="67"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0"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0"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3520"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24" w:right="114"/>
              <w:jc w:val="both"/>
              <w:rPr>
                <w:rFonts w:ascii="宋体" w:hAnsi="宋体" w:cs="宋体" w:eastAsia="宋体" w:hint="default"/>
                <w:sz w:val="18"/>
                <w:szCs w:val="18"/>
              </w:rPr>
            </w:pPr>
            <w:r>
              <w:rPr>
                <w:rFonts w:ascii="宋体" w:hAnsi="宋体" w:cs="宋体" w:eastAsia="宋体" w:hint="default"/>
                <w:sz w:val="18"/>
                <w:szCs w:val="18"/>
              </w:rPr>
              <w:t>向社会公 众公开发 行普通股</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20,378.14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5,797.69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10,318.01</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10,425.31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尚未使用 的募集资 金存放于 公司开立 的募集资 </w:t>
            </w:r>
            <w:r>
              <w:rPr>
                <w:rFonts w:ascii="宋体" w:hAnsi="宋体" w:cs="宋体" w:eastAsia="宋体" w:hint="default"/>
                <w:spacing w:val="-18"/>
                <w:sz w:val="18"/>
                <w:szCs w:val="18"/>
              </w:rPr>
              <w:t>金专户，将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用于募投 </w:t>
            </w:r>
            <w:r>
              <w:rPr>
                <w:rFonts w:ascii="宋体" w:hAnsi="宋体" w:cs="宋体" w:eastAsia="宋体" w:hint="default"/>
                <w:spacing w:val="-18"/>
                <w:sz w:val="18"/>
                <w:szCs w:val="18"/>
              </w:rPr>
              <w:t>专户，将用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于募投</w:t>
            </w:r>
            <w:r>
              <w:rPr>
                <w:rFonts w:ascii="宋体" w:hAnsi="宋体" w:cs="宋体" w:eastAsia="宋体" w:hint="default"/>
                <w:spacing w:val="1"/>
                <w:sz w:val="18"/>
                <w:szCs w:val="18"/>
              </w:rPr>
              <w:t> </w:t>
            </w:r>
            <w:r>
              <w:rPr>
                <w:rFonts w:ascii="宋体" w:hAnsi="宋体" w:cs="宋体" w:eastAsia="宋体" w:hint="default"/>
                <w:sz w:val="18"/>
                <w:szCs w:val="18"/>
              </w:rPr>
              <w:t>项</w:t>
            </w:r>
            <w:r>
              <w:rPr>
                <w:rFonts w:ascii="宋体" w:hAnsi="宋体" w:cs="宋体" w:eastAsia="宋体" w:hint="default"/>
                <w:sz w:val="18"/>
                <w:szCs w:val="18"/>
              </w:rPr>
              <w:t> 目后续资 金支付</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865"/>
        <w:gridCol w:w="870"/>
        <w:gridCol w:w="870"/>
        <w:gridCol w:w="870"/>
        <w:gridCol w:w="870"/>
        <w:gridCol w:w="869"/>
        <w:gridCol w:w="870"/>
        <w:gridCol w:w="870"/>
        <w:gridCol w:w="870"/>
        <w:gridCol w:w="870"/>
        <w:gridCol w:w="869"/>
      </w:tblGrid>
      <w:tr>
        <w:trPr>
          <w:trHeight w:val="402"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6" w:right="0"/>
              <w:jc w:val="left"/>
              <w:rPr>
                <w:rFonts w:ascii="Times New Roman" w:hAnsi="Times New Roman" w:cs="Times New Roman" w:eastAsia="Times New Roman" w:hint="default"/>
                <w:sz w:val="18"/>
                <w:szCs w:val="18"/>
              </w:rPr>
            </w:pPr>
            <w:r>
              <w:rPr>
                <w:rFonts w:ascii="Times New Roman"/>
                <w:sz w:val="18"/>
              </w:rPr>
              <w:t>20,378.14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6" w:right="0"/>
              <w:jc w:val="left"/>
              <w:rPr>
                <w:rFonts w:ascii="Times New Roman" w:hAnsi="Times New Roman" w:cs="Times New Roman" w:eastAsia="Times New Roman" w:hint="default"/>
                <w:sz w:val="18"/>
                <w:szCs w:val="18"/>
              </w:rPr>
            </w:pPr>
            <w:r>
              <w:rPr>
                <w:rFonts w:ascii="Times New Roman"/>
                <w:sz w:val="18"/>
              </w:rPr>
              <w:t>5,797.69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6" w:right="0"/>
              <w:jc w:val="left"/>
              <w:rPr>
                <w:rFonts w:ascii="Times New Roman" w:hAnsi="Times New Roman" w:cs="Times New Roman" w:eastAsia="Times New Roman" w:hint="default"/>
                <w:sz w:val="18"/>
                <w:szCs w:val="18"/>
              </w:rPr>
            </w:pPr>
            <w:r>
              <w:rPr>
                <w:rFonts w:ascii="Times New Roman"/>
                <w:sz w:val="18"/>
              </w:rPr>
              <w:t>10,318.01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3"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7" w:right="0"/>
              <w:jc w:val="left"/>
              <w:rPr>
                <w:rFonts w:ascii="Times New Roman" w:hAnsi="Times New Roman" w:cs="Times New Roman" w:eastAsia="Times New Roman" w:hint="default"/>
                <w:sz w:val="18"/>
                <w:szCs w:val="18"/>
              </w:rPr>
            </w:pPr>
            <w:r>
              <w:rPr>
                <w:rFonts w:ascii="Times New Roman"/>
                <w:sz w:val="18"/>
              </w:rPr>
              <w:t>10,425.31</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210" w:hRule="exact"/>
        </w:trPr>
        <w:tc>
          <w:tcPr>
            <w:tcW w:w="956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both"/>
              <w:rPr>
                <w:rFonts w:ascii="宋体" w:hAnsi="宋体" w:cs="宋体" w:eastAsia="宋体" w:hint="default"/>
                <w:sz w:val="18"/>
                <w:szCs w:val="18"/>
              </w:rPr>
            </w:pPr>
            <w:r>
              <w:rPr>
                <w:rFonts w:ascii="宋体" w:hAnsi="宋体" w:cs="宋体" w:eastAsia="宋体" w:hint="default"/>
                <w:sz w:val="18"/>
                <w:szCs w:val="18"/>
              </w:rPr>
              <w:t>经中国证券监督管理委员会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日证监许可</w:t>
            </w:r>
            <w:r>
              <w:rPr>
                <w:rFonts w:ascii="Times New Roman" w:hAnsi="Times New Roman" w:cs="Times New Roman" w:eastAsia="Times New Roman" w:hint="default"/>
                <w:sz w:val="18"/>
                <w:szCs w:val="18"/>
              </w:rPr>
              <w:t>[2017]690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号文《关于核准北京科蓝软件系统股份有限公司首次公</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开发行股票的批复》的核准，并经深圳证券交易所同意，</w:t>
            </w:r>
            <w:r>
              <w:rPr>
                <w:rFonts w:ascii="宋体" w:hAnsi="宋体" w:cs="宋体" w:eastAsia="宋体" w:hint="default"/>
                <w:spacing w:val="1"/>
                <w:sz w:val="18"/>
                <w:szCs w:val="18"/>
              </w:rPr>
              <w:t> </w:t>
            </w:r>
            <w:r>
              <w:rPr>
                <w:rFonts w:ascii="宋体" w:hAnsi="宋体" w:cs="宋体" w:eastAsia="宋体" w:hint="default"/>
                <w:sz w:val="18"/>
                <w:szCs w:val="18"/>
              </w:rPr>
              <w:t>本公司由主承销商海通证券股份有限公司于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向社会公众公开发行普通股（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股）股票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3286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万股，每股面值</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元，每股发行价人民币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止</w:t>
            </w:r>
            <w:r>
              <w:rPr>
                <w:rFonts w:ascii="宋体" w:hAnsi="宋体" w:cs="宋体" w:eastAsia="宋体" w:hint="default"/>
                <w:spacing w:val="-12"/>
                <w:sz w:val="18"/>
                <w:szCs w:val="18"/>
              </w:rPr>
              <w:t>，</w:t>
            </w:r>
            <w:r>
              <w:rPr>
                <w:rFonts w:ascii="宋体" w:hAnsi="宋体" w:cs="宋体" w:eastAsia="宋体" w:hint="default"/>
                <w:sz w:val="18"/>
                <w:szCs w:val="18"/>
              </w:rPr>
              <w:t>本公司共募集资金</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元</w:t>
            </w:r>
            <w:r>
              <w:rPr>
                <w:rFonts w:ascii="宋体" w:hAnsi="宋体" w:cs="宋体" w:eastAsia="宋体" w:hint="default"/>
                <w:sz w:val="18"/>
                <w:szCs w:val="18"/>
              </w:rPr>
              <w:t>（大写</w:t>
            </w:r>
            <w:r>
              <w:rPr>
                <w:rFonts w:ascii="宋体" w:hAnsi="宋体" w:cs="宋体" w:eastAsia="宋体" w:hint="default"/>
                <w:spacing w:val="-15"/>
                <w:sz w:val="18"/>
                <w:szCs w:val="18"/>
              </w:rPr>
              <w:t>：</w:t>
            </w:r>
            <w:r>
              <w:rPr>
                <w:rFonts w:ascii="宋体" w:hAnsi="宋体" w:cs="宋体" w:eastAsia="宋体" w:hint="default"/>
                <w:sz w:val="18"/>
                <w:szCs w:val="18"/>
              </w:rPr>
              <w:t>贰亿叁仟捌佰捌拾玖万贰仟贰佰元整</w:t>
            </w:r>
            <w:r>
              <w:rPr>
                <w:rFonts w:ascii="宋体" w:hAnsi="宋体" w:cs="宋体" w:eastAsia="宋体" w:hint="default"/>
                <w:spacing w:val="-89"/>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扣除发行费</w:t>
            </w:r>
            <w:r>
              <w:rPr>
                <w:rFonts w:ascii="宋体" w:hAnsi="宋体" w:cs="宋体" w:eastAsia="宋体" w:hint="default"/>
                <w:spacing w:val="-12"/>
                <w:sz w:val="18"/>
                <w:szCs w:val="18"/>
              </w:rPr>
              <w:t>用</w:t>
            </w:r>
            <w:r>
              <w:rPr>
                <w:rFonts w:ascii="宋体" w:hAnsi="宋体" w:cs="宋体" w:eastAsia="宋体" w:hint="default"/>
                <w:sz w:val="18"/>
                <w:szCs w:val="18"/>
              </w:rPr>
              <w:t>（不含增值税</w:t>
            </w:r>
            <w:r>
              <w:rPr>
                <w:rFonts w:ascii="宋体" w:hAnsi="宋体" w:cs="宋体" w:eastAsia="宋体" w:hint="default"/>
                <w:spacing w:val="-15"/>
                <w:sz w:val="18"/>
                <w:szCs w:val="18"/>
              </w:rPr>
              <w:t>）</w:t>
            </w:r>
            <w:r>
              <w:rPr>
                <w:rFonts w:ascii="宋体" w:hAnsi="宋体" w:cs="宋体" w:eastAsia="宋体" w:hint="default"/>
                <w:sz w:val="18"/>
                <w:szCs w:val="18"/>
              </w:rPr>
              <w:t>人</w:t>
            </w:r>
          </w:p>
          <w:p>
            <w:pPr>
              <w:pStyle w:val="TableParagraph"/>
              <w:spacing w:line="307" w:lineRule="auto" w:before="63"/>
              <w:ind w:left="22"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民币</w:t>
            </w:r>
            <w:r>
              <w:rPr>
                <w:rFonts w:ascii="宋体" w:hAnsi="宋体" w:cs="宋体" w:eastAsia="宋体" w:hint="default"/>
                <w:spacing w:val="-40"/>
                <w:sz w:val="18"/>
                <w:szCs w:val="18"/>
              </w:rPr>
              <w:t> </w:t>
            </w:r>
            <w:r>
              <w:rPr>
                <w:rFonts w:ascii="Times New Roman" w:hAnsi="Times New Roman" w:cs="Times New Roman" w:eastAsia="Times New Roman" w:hint="default"/>
                <w:spacing w:val="-2"/>
                <w:sz w:val="18"/>
                <w:szCs w:val="18"/>
              </w:rPr>
              <w:t>35,110,807.93</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元（大写：叁仟伍佰壹拾壹万零捌佰零柒元玖角叁分），募集资金净额为人民币</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203,781,392.07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元（大</w:t>
            </w:r>
            <w:r>
              <w:rPr>
                <w:rFonts w:ascii="宋体" w:hAnsi="宋体" w:cs="宋体" w:eastAsia="宋体" w:hint="default"/>
                <w:spacing w:val="-79"/>
                <w:sz w:val="18"/>
                <w:szCs w:val="18"/>
              </w:rPr>
              <w:t> </w:t>
            </w:r>
            <w:r>
              <w:rPr>
                <w:rFonts w:ascii="宋体" w:hAnsi="宋体" w:cs="宋体" w:eastAsia="宋体" w:hint="default"/>
                <w:spacing w:val="-2"/>
                <w:sz w:val="18"/>
                <w:szCs w:val="18"/>
              </w:rPr>
              <w:t>写：贰亿零叁佰柒拾捌万壹仟叁佰玖拾贰元零角柒分）。上述发行募集的资金已全部到位，业经大华会计师事务所（特殊</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普通合伙）出具的</w:t>
            </w:r>
            <w:r>
              <w:rPr>
                <w:rFonts w:ascii="Times New Roman" w:hAnsi="Times New Roman" w:cs="Times New Roman" w:eastAsia="Times New Roman" w:hint="default"/>
                <w:sz w:val="18"/>
                <w:szCs w:val="18"/>
              </w:rPr>
              <w:t>“</w:t>
            </w:r>
            <w:r>
              <w:rPr>
                <w:rFonts w:ascii="宋体" w:hAnsi="宋体" w:cs="宋体" w:eastAsia="宋体" w:hint="default"/>
                <w:sz w:val="18"/>
                <w:szCs w:val="18"/>
              </w:rPr>
              <w:t>大华验字</w:t>
            </w:r>
            <w:r>
              <w:rPr>
                <w:rFonts w:ascii="Times New Roman" w:hAnsi="Times New Roman" w:cs="Times New Roman" w:eastAsia="Times New Roman" w:hint="default"/>
                <w:sz w:val="18"/>
                <w:szCs w:val="18"/>
              </w:rPr>
              <w:t>[2017]000357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验资报告验证确认。</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年度公司实际使用募集资金</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57,977,067.15</w:t>
            </w:r>
            <w:r>
              <w:rPr>
                <w:rFonts w:ascii="Times New Roman" w:hAnsi="Times New Roman" w:cs="Times New Roman" w:eastAsia="Times New Roman" w:hint="default"/>
                <w:spacing w:val="-16"/>
                <w:sz w:val="18"/>
                <w:szCs w:val="18"/>
              </w:rPr>
              <w:t> </w:t>
            </w:r>
            <w:r>
              <w:rPr>
                <w:rFonts w:ascii="宋体" w:hAnsi="宋体" w:cs="宋体" w:eastAsia="宋体" w:hint="default"/>
                <w:spacing w:val="-8"/>
                <w:sz w:val="18"/>
                <w:szCs w:val="18"/>
              </w:rPr>
              <w:t>元，累计</w:t>
            </w:r>
            <w:r>
              <w:rPr>
                <w:rFonts w:ascii="宋体" w:hAnsi="宋体" w:cs="宋体" w:eastAsia="宋体" w:hint="default"/>
                <w:sz w:val="18"/>
                <w:szCs w:val="18"/>
              </w:rPr>
              <w:t> 使用募集资金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103,180,214.27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元。募集资金专用账户累计收到利息收入（包括理财收益、扣除银行手续费）</w:t>
            </w:r>
            <w:r>
              <w:rPr>
                <w:rFonts w:ascii="Times New Roman" w:hAnsi="Times New Roman" w:cs="Times New Roman" w:eastAsia="Times New Roman" w:hint="default"/>
                <w:sz w:val="18"/>
                <w:szCs w:val="18"/>
              </w:rPr>
              <w:t>3,651,950.56</w:t>
            </w:r>
          </w:p>
          <w:p>
            <w:pPr>
              <w:pStyle w:val="TableParagraph"/>
              <w:spacing w:line="300" w:lineRule="auto" w:before="7"/>
              <w:ind w:left="22" w:right="22"/>
              <w:jc w:val="both"/>
              <w:rPr>
                <w:rFonts w:ascii="宋体" w:hAnsi="宋体" w:cs="宋体" w:eastAsia="宋体" w:hint="default"/>
                <w:sz w:val="18"/>
                <w:szCs w:val="18"/>
              </w:rPr>
            </w:pPr>
            <w:r>
              <w:rPr>
                <w:rFonts w:ascii="宋体" w:hAnsi="宋体" w:cs="宋体" w:eastAsia="宋体" w:hint="default"/>
                <w:spacing w:val="-5"/>
                <w:sz w:val="18"/>
                <w:szCs w:val="18"/>
              </w:rPr>
              <w:t>元。截至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日止，募集资金余额为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104,253,128.36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元（包含累计收到的银行存款利息、理财收益扣除银行手 续费等的净额）</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132"/>
        <w:jc w:val="right"/>
      </w:pPr>
      <w:r>
        <w:rPr/>
        <w:t>单位：万元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20"/>
        <w:gridCol w:w="914"/>
        <w:gridCol w:w="722"/>
        <w:gridCol w:w="721"/>
        <w:gridCol w:w="721"/>
        <w:gridCol w:w="720"/>
        <w:gridCol w:w="722"/>
        <w:gridCol w:w="722"/>
        <w:gridCol w:w="721"/>
        <w:gridCol w:w="722"/>
        <w:gridCol w:w="722"/>
        <w:gridCol w:w="722"/>
        <w:gridCol w:w="722"/>
      </w:tblGrid>
      <w:tr>
        <w:trPr>
          <w:trHeight w:val="1650" w:hRule="exact"/>
        </w:trPr>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61" w:right="90" w:hanging="269"/>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56" w:right="53"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5" w:right="8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84"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83"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6"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2" w:right="66"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3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4" w:right="84"/>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86" w:right="8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 w:right="83"/>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86" w:right="83"/>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7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新一代互联网银行 系统建设项目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1,894.95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2,360.89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47.22%</w:t>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9"/>
              <w:jc w:val="left"/>
              <w:rPr>
                <w:rFonts w:ascii="宋体" w:hAnsi="宋体" w:cs="宋体" w:eastAsia="宋体" w:hint="default"/>
                <w:sz w:val="18"/>
                <w:szCs w:val="18"/>
              </w:rPr>
            </w:pPr>
            <w:r>
              <w:rPr>
                <w:rFonts w:ascii="宋体" w:hAnsi="宋体" w:cs="宋体" w:eastAsia="宋体" w:hint="default"/>
                <w:sz w:val="18"/>
                <w:szCs w:val="18"/>
              </w:rPr>
              <w:t>新一代银行核心业 务系统建设项目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542.2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831.77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23.76%</w:t>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新一代全渠道电子 银行系统建设项目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1,321.88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1,827.51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60.92%</w:t>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9"/>
              <w:jc w:val="left"/>
              <w:rPr>
                <w:rFonts w:ascii="宋体" w:hAnsi="宋体" w:cs="宋体" w:eastAsia="宋体" w:hint="default"/>
                <w:sz w:val="18"/>
                <w:szCs w:val="18"/>
              </w:rPr>
            </w:pPr>
            <w:r>
              <w:rPr>
                <w:rFonts w:ascii="宋体" w:hAnsi="宋体" w:cs="宋体" w:eastAsia="宋体" w:hint="default"/>
                <w:sz w:val="18"/>
                <w:szCs w:val="18"/>
              </w:rPr>
              <w:t>新一代移动支付系 统建设项目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642.93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789.69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31.59%</w:t>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企业技术中心建设 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3,578.14</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3,578.14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1,395.41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1,707.33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47.72%</w:t>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补充流动资金项目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0.32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2,800.82</w:t>
            </w: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20,378.1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20,378.1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5,797.69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5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20,378.1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20,378.1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5,797.69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10,318.0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634"/>
        <w:gridCol w:w="722"/>
        <w:gridCol w:w="7215"/>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9"/>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2" w:right="20"/>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途及使用进展情况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59"/>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22" w:right="159"/>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59"/>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日召开的第二届董事会第十九次会议和第二届监事会第十六次会议审 </w:t>
            </w:r>
            <w:r>
              <w:rPr>
                <w:rFonts w:ascii="宋体" w:hAnsi="宋体" w:cs="宋体" w:eastAsia="宋体" w:hint="default"/>
                <w:spacing w:val="-3"/>
                <w:sz w:val="18"/>
                <w:szCs w:val="18"/>
              </w:rPr>
              <w:t>议通过的《关于使用部分闲置募集资金进行现金管理的议案》，公司分别购买了上海浦东发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展银行股份有限公司、宁波银行股份有限公司及江苏银行股份有限公司共计</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6,000.00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万元的 </w:t>
            </w:r>
            <w:r>
              <w:rPr>
                <w:rFonts w:ascii="宋体" w:hAnsi="宋体" w:cs="宋体" w:eastAsia="宋体" w:hint="default"/>
                <w:spacing w:val="-2"/>
                <w:sz w:val="18"/>
                <w:szCs w:val="18"/>
              </w:rPr>
              <w:t>银行理财产品。其余尚未使用的募集资金存放于公司开立的募集资金专户，将用于募投项目</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后续资金支付。</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公司报告期不存在募集资金变更项目情况。</w:t>
      </w:r>
    </w:p>
    <w:p>
      <w:pPr>
        <w:spacing w:after="0" w:line="338" w:lineRule="auto"/>
        <w:jc w:val="left"/>
        <w:sectPr>
          <w:pgSz w:w="11910" w:h="16840"/>
          <w:pgMar w:header="746" w:footer="978" w:top="1060" w:bottom="1160" w:left="1020" w:right="0"/>
        </w:sectPr>
      </w:pPr>
    </w:p>
    <w:p>
      <w:pPr>
        <w:spacing w:line="240" w:lineRule="auto" w:before="8"/>
        <w:rPr>
          <w:rFonts w:ascii="宋体" w:hAnsi="宋体" w:cs="宋体" w:eastAsia="宋体" w:hint="default"/>
          <w:sz w:val="23"/>
          <w:szCs w:val="23"/>
        </w:rPr>
      </w:pPr>
    </w:p>
    <w:p>
      <w:pPr>
        <w:pStyle w:val="Heading4"/>
        <w:spacing w:line="240" w:lineRule="auto" w:before="26"/>
        <w:ind w:right="0"/>
        <w:jc w:val="both"/>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both"/>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公司报告期未出售重大资产。</w:t>
      </w:r>
    </w:p>
    <w:p>
      <w:pPr>
        <w:spacing w:line="240" w:lineRule="auto" w:before="3"/>
        <w:rPr>
          <w:rFonts w:ascii="宋体" w:hAnsi="宋体" w:cs="宋体" w:eastAsia="宋体" w:hint="default"/>
          <w:sz w:val="21"/>
          <w:szCs w:val="21"/>
        </w:rPr>
      </w:pPr>
    </w:p>
    <w:p>
      <w:pPr>
        <w:pStyle w:val="Heading5"/>
        <w:spacing w:line="240" w:lineRule="auto"/>
        <w:ind w:right="0"/>
        <w:jc w:val="both"/>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both"/>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公司报告期内无应当披露的重要控股参股公司信息。</w:t>
      </w:r>
    </w:p>
    <w:p>
      <w:pPr>
        <w:spacing w:line="240" w:lineRule="auto" w:before="4"/>
        <w:rPr>
          <w:rFonts w:ascii="宋体" w:hAnsi="宋体" w:cs="宋体" w:eastAsia="宋体" w:hint="default"/>
          <w:sz w:val="19"/>
          <w:szCs w:val="19"/>
        </w:rPr>
      </w:pPr>
    </w:p>
    <w:p>
      <w:pPr>
        <w:pStyle w:val="Heading4"/>
        <w:spacing w:line="240" w:lineRule="auto"/>
        <w:ind w:right="0"/>
        <w:jc w:val="both"/>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4"/>
          <w:szCs w:val="24"/>
        </w:rPr>
      </w:pPr>
    </w:p>
    <w:p>
      <w:pPr>
        <w:pStyle w:val="Heading4"/>
        <w:spacing w:line="240" w:lineRule="auto"/>
        <w:ind w:right="0"/>
        <w:jc w:val="both"/>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10"/>
        <w:rPr>
          <w:rFonts w:ascii="宋体" w:hAnsi="宋体" w:cs="宋体" w:eastAsia="宋体" w:hint="default"/>
          <w:b/>
          <w:bCs/>
          <w:sz w:val="22"/>
          <w:szCs w:val="22"/>
        </w:rPr>
      </w:pPr>
    </w:p>
    <w:p>
      <w:pPr>
        <w:pStyle w:val="Heading4"/>
        <w:spacing w:line="240" w:lineRule="auto"/>
        <w:ind w:right="0"/>
        <w:jc w:val="both"/>
        <w:rPr>
          <w:b w:val="0"/>
          <w:bCs w:val="0"/>
        </w:rPr>
      </w:pPr>
      <w:r>
        <w:rPr/>
        <w:t>（一）行业未来发展趋势</w:t>
      </w:r>
      <w:r>
        <w:rPr>
          <w:b w:val="0"/>
          <w:bCs w:val="0"/>
        </w:rPr>
      </w:r>
    </w:p>
    <w:p>
      <w:pPr>
        <w:pStyle w:val="BodyText"/>
        <w:spacing w:line="300" w:lineRule="auto" w:before="46"/>
        <w:ind w:left="472" w:right="0"/>
        <w:jc w:val="left"/>
      </w:pPr>
      <w:r>
        <w:rPr>
          <w:rFonts w:ascii="Times New Roman" w:hAnsi="Times New Roman" w:cs="Times New Roman" w:eastAsia="Times New Roman" w:hint="default"/>
        </w:rPr>
        <w:t>1</w:t>
      </w:r>
      <w:r>
        <w:rPr/>
        <w:t>、互联网银行系统建设迎来高速增长 </w:t>
      </w:r>
      <w:r>
        <w:rPr>
          <w:spacing w:val="-2"/>
        </w:rPr>
        <w:t>未来，传统银行业务将受到互联网银行业务的进一步强烈冲击，银行的互联网金融部门系统建设和服务升级的需求将爆</w:t>
      </w:r>
    </w:p>
    <w:p>
      <w:pPr>
        <w:pStyle w:val="BodyText"/>
        <w:spacing w:line="316" w:lineRule="auto" w:before="31"/>
        <w:ind w:right="1132"/>
        <w:jc w:val="both"/>
      </w:pPr>
      <w:r>
        <w:rPr>
          <w:spacing w:val="-2"/>
        </w:rPr>
        <w:t>发性增长，实际上将逐渐形成传统银行内部相对独立的互联网银行；监管机构批准设立的民营银行作为市场新进入者，凭借</w:t>
      </w:r>
      <w:r>
        <w:rPr>
          <w:spacing w:val="-65"/>
        </w:rPr>
        <w:t> </w:t>
      </w:r>
      <w:r>
        <w:rPr>
          <w:spacing w:val="-65"/>
        </w:rPr>
      </w:r>
      <w:r>
        <w:rPr>
          <w:spacing w:val="-2"/>
        </w:rPr>
        <w:t>新设物理银行网点已难以与现有银行机构抗衡，只能通过尽快建立非物理网点的互联网银行系统来抢占市场；互联网银行也</w:t>
      </w:r>
      <w:r>
        <w:rPr>
          <w:spacing w:val="-64"/>
        </w:rPr>
        <w:t> </w:t>
      </w:r>
      <w:r>
        <w:rPr>
          <w:spacing w:val="-64"/>
        </w:rPr>
      </w:r>
      <w:r>
        <w:rPr>
          <w:spacing w:val="-2"/>
        </w:rPr>
        <w:t>会迎来更快速度的发展，特别是独立法人的直销银行背靠全牌照，面向混业经营，跨行业，跨地域，使其系统建设逐步发展</w:t>
      </w:r>
      <w:r>
        <w:rPr>
          <w:spacing w:val="-65"/>
        </w:rPr>
        <w:t> </w:t>
      </w:r>
      <w:r>
        <w:rPr>
          <w:spacing w:val="-65"/>
        </w:rPr>
      </w:r>
      <w:r>
        <w:rPr>
          <w:spacing w:val="-2"/>
        </w:rPr>
        <w:t>为拥有前台（全渠道）、中台</w:t>
      </w:r>
      <w:r>
        <w:rPr>
          <w:rFonts w:ascii="Times New Roman" w:hAnsi="Times New Roman" w:cs="Times New Roman" w:eastAsia="Times New Roman" w:hint="default"/>
          <w:spacing w:val="-2"/>
        </w:rPr>
        <w:t>(</w:t>
      </w:r>
      <w:r>
        <w:rPr>
          <w:spacing w:val="-2"/>
        </w:rPr>
        <w:t>产品工厂</w:t>
      </w:r>
      <w:r>
        <w:rPr>
          <w:rFonts w:ascii="Times New Roman" w:hAnsi="Times New Roman" w:cs="Times New Roman" w:eastAsia="Times New Roman" w:hint="default"/>
          <w:spacing w:val="-2"/>
        </w:rPr>
        <w:t>)</w:t>
      </w:r>
      <w:r>
        <w:rPr>
          <w:spacing w:val="-2"/>
        </w:rPr>
        <w:t>、后台</w:t>
      </w:r>
      <w:r>
        <w:rPr>
          <w:rFonts w:ascii="Times New Roman" w:hAnsi="Times New Roman" w:cs="Times New Roman" w:eastAsia="Times New Roman" w:hint="default"/>
          <w:spacing w:val="-2"/>
        </w:rPr>
        <w:t>(</w:t>
      </w:r>
      <w:r>
        <w:rPr>
          <w:spacing w:val="-2"/>
        </w:rPr>
        <w:t>独立的互联网账户体系或互联网核心</w:t>
      </w:r>
      <w:r>
        <w:rPr>
          <w:rFonts w:ascii="Times New Roman" w:hAnsi="Times New Roman" w:cs="Times New Roman" w:eastAsia="Times New Roman" w:hint="default"/>
          <w:spacing w:val="-2"/>
        </w:rPr>
        <w:t>)</w:t>
      </w:r>
      <w:r>
        <w:rPr>
          <w:spacing w:val="-2"/>
        </w:rPr>
        <w:t>的独立银行系统。</w:t>
      </w:r>
    </w:p>
    <w:p>
      <w:pPr>
        <w:pStyle w:val="BodyText"/>
        <w:spacing w:line="300" w:lineRule="auto"/>
        <w:ind w:left="472" w:right="1174"/>
        <w:jc w:val="left"/>
      </w:pPr>
      <w:r>
        <w:rPr>
          <w:rFonts w:ascii="Times New Roman" w:hAnsi="Times New Roman" w:cs="Times New Roman" w:eastAsia="Times New Roman" w:hint="default"/>
        </w:rPr>
        <w:t>2</w:t>
      </w:r>
      <w:r>
        <w:rPr/>
        <w:t>、移动银行将成为银行最重要的电子渠道 在即将到来的</w:t>
      </w:r>
      <w:r>
        <w:rPr>
          <w:rFonts w:ascii="Times New Roman" w:hAnsi="Times New Roman" w:cs="Times New Roman" w:eastAsia="Times New Roman" w:hint="default"/>
        </w:rPr>
        <w:t>5G</w:t>
      </w:r>
      <w:r>
        <w:rPr/>
        <w:t>时代，大幅提升的移动网络带宽和网速将为金融服务提供更多的场景支撑，移动银行将成为银行电子</w:t>
      </w:r>
    </w:p>
    <w:p>
      <w:pPr>
        <w:pStyle w:val="BodyText"/>
        <w:spacing w:line="309" w:lineRule="auto" w:before="13"/>
        <w:ind w:right="0"/>
        <w:jc w:val="left"/>
      </w:pPr>
      <w:r>
        <w:rPr>
          <w:spacing w:val="-2"/>
        </w:rPr>
        <w:t>渠道最重要的组成部分。银行移动端的定位也不再只是一个电子渠道或交易工具，而是客户、数据和业务运营的平台，是金</w:t>
      </w:r>
      <w:r>
        <w:rPr>
          <w:spacing w:val="-66"/>
        </w:rPr>
        <w:t> </w:t>
      </w:r>
      <w:r>
        <w:rPr>
          <w:spacing w:val="-66"/>
        </w:rPr>
      </w:r>
      <w:r>
        <w:rPr/>
        <w:t>融机构贯彻数字化转型战略的核心主战场。随着移动互联网的发展，为客户提供全方位、综合化、智能化的一站式</w:t>
      </w:r>
      <w:r>
        <w:rPr>
          <w:rFonts w:ascii="Times New Roman" w:hAnsi="Times New Roman" w:cs="Times New Roman" w:eastAsia="Times New Roman" w:hint="default"/>
        </w:rPr>
        <w:t>“</w:t>
      </w:r>
      <w:r>
        <w:rPr/>
        <w:t>金融</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t>生活</w:t>
      </w:r>
      <w:r>
        <w:rPr>
          <w:rFonts w:ascii="Times New Roman" w:hAnsi="Times New Roman" w:cs="Times New Roman" w:eastAsia="Times New Roman" w:hint="default"/>
        </w:rPr>
        <w:t>”</w:t>
      </w:r>
      <w:r>
        <w:rPr/>
        <w:t>服务平台和</w:t>
      </w:r>
      <w:r>
        <w:rPr>
          <w:rFonts w:ascii="Times New Roman" w:hAnsi="Times New Roman" w:cs="Times New Roman" w:eastAsia="Times New Roman" w:hint="default"/>
        </w:rPr>
        <w:t>“</w:t>
      </w:r>
      <w:r>
        <w:rPr/>
        <w:t>智能、友好、多元</w:t>
      </w:r>
      <w:r>
        <w:rPr>
          <w:rFonts w:ascii="Times New Roman" w:hAnsi="Times New Roman" w:cs="Times New Roman" w:eastAsia="Times New Roman" w:hint="default"/>
        </w:rPr>
        <w:t>”</w:t>
      </w:r>
      <w:r>
        <w:rPr/>
        <w:t>的综合服务平台已然是银行移动战略的发展重点。</w:t>
      </w:r>
    </w:p>
    <w:p>
      <w:pPr>
        <w:pStyle w:val="BodyText"/>
        <w:spacing w:line="300" w:lineRule="auto" w:before="5"/>
        <w:ind w:left="472" w:right="0"/>
        <w:jc w:val="left"/>
      </w:pPr>
      <w:r>
        <w:rPr>
          <w:rFonts w:ascii="Times New Roman" w:hAnsi="Times New Roman" w:cs="Times New Roman" w:eastAsia="Times New Roman" w:hint="default"/>
        </w:rPr>
        <w:t>3</w:t>
      </w:r>
      <w:r>
        <w:rPr/>
        <w:t>、自主可控的国产化金融软件前景广阔 </w:t>
      </w:r>
      <w:r>
        <w:rPr>
          <w:spacing w:val="-4"/>
        </w:rPr>
        <w:t>实现自主可控是保障我国网络与国家安全的重要条件，已经上升到国家战略高度。政府近年来不断推出相关法规与政策，</w:t>
      </w:r>
    </w:p>
    <w:p>
      <w:pPr>
        <w:pStyle w:val="BodyText"/>
        <w:spacing w:line="316" w:lineRule="auto" w:before="31"/>
        <w:ind w:right="1132"/>
        <w:jc w:val="both"/>
      </w:pPr>
      <w:r>
        <w:rPr>
          <w:spacing w:val="-2"/>
        </w:rPr>
        <w:t>驱动行业快速发展，在研发投入、知识产权保护等方面提供了有利支持。尤其是在国家重点关注的领域，拥有自主知识产权</w:t>
      </w:r>
      <w:r>
        <w:rPr>
          <w:spacing w:val="-66"/>
        </w:rPr>
        <w:t> </w:t>
      </w:r>
      <w:r>
        <w:rPr>
          <w:spacing w:val="-66"/>
        </w:rPr>
      </w:r>
      <w:r>
        <w:rPr>
          <w:spacing w:val="-2"/>
        </w:rPr>
        <w:t>的国产软件得到大力扶持，拥有广阔的发展前景。金融行业关系到国家经济命脉，也是直接影响国计民生的重点行业，在信</w:t>
      </w:r>
      <w:r>
        <w:rPr>
          <w:spacing w:val="-66"/>
        </w:rPr>
        <w:t> </w:t>
      </w:r>
      <w:r>
        <w:rPr>
          <w:spacing w:val="-66"/>
        </w:rPr>
      </w:r>
      <w:r>
        <w:rPr/>
        <w:t>息系统建设中高度强调安全可控，因此，金融领域高端软件的国产化替代将大大加速。</w:t>
      </w:r>
    </w:p>
    <w:p>
      <w:pPr>
        <w:pStyle w:val="Heading4"/>
        <w:spacing w:line="284" w:lineRule="exact"/>
        <w:ind w:right="0"/>
        <w:jc w:val="both"/>
        <w:rPr>
          <w:b w:val="0"/>
          <w:bCs w:val="0"/>
        </w:rPr>
      </w:pPr>
      <w:r>
        <w:rPr/>
        <w:t>（二）公司发展规划</w:t>
      </w:r>
      <w:r>
        <w:rPr>
          <w:b w:val="0"/>
          <w:bCs w:val="0"/>
        </w:rPr>
      </w:r>
    </w:p>
    <w:p>
      <w:pPr>
        <w:pStyle w:val="BodyText"/>
        <w:spacing w:line="316" w:lineRule="auto" w:before="46"/>
        <w:ind w:right="1051" w:firstLine="480"/>
        <w:jc w:val="both"/>
      </w:pPr>
      <w:r>
        <w:rPr/>
        <w:t>首先，公司将以银行金融科技产品与技术解决方案为基础，坚持自主可控的原则，在大数据、云计算、区块链、人工 </w:t>
      </w:r>
      <w:r>
        <w:rPr>
          <w:spacing w:val="-2"/>
        </w:rPr>
        <w:t>智能等技术领域加大投入，进一步完善和丰富互联网银行系统、移动金融系统、全渠道电子银行系统、互联网核心业务系统</w:t>
      </w:r>
      <w:r>
        <w:rPr>
          <w:spacing w:val="-66"/>
        </w:rPr>
        <w:t> </w:t>
      </w:r>
      <w:r>
        <w:rPr>
          <w:spacing w:val="-66"/>
        </w:rPr>
      </w:r>
      <w:r>
        <w:rPr/>
        <w:t>等优势产品，建立银行金融科技的生态环境，为银行等金融机构提供更具个性化，更为丰富和便捷的金融互联网解决方案。</w:t>
      </w:r>
    </w:p>
    <w:p>
      <w:pPr>
        <w:pStyle w:val="BodyText"/>
        <w:spacing w:line="240" w:lineRule="auto" w:before="19"/>
        <w:ind w:left="472" w:right="0"/>
        <w:jc w:val="left"/>
      </w:pPr>
      <w:r>
        <w:rPr/>
        <w:t>其次，公司将充分发挥市场优势、品牌优势和技术优势，抓住互联网银行建设高速增长所带来的历史机遇，帮助和引领</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16" w:lineRule="auto" w:before="44"/>
        <w:ind w:right="1132"/>
        <w:jc w:val="both"/>
      </w:pPr>
      <w:r>
        <w:rPr>
          <w:spacing w:val="-2"/>
        </w:rPr>
        <w:t>传统银行客户加快实现金融服务的互联网化升级，同时深度服务好有强烈金融互联网建设需求的中小银行和民营银行等新增</w:t>
      </w:r>
      <w:r>
        <w:rPr>
          <w:spacing w:val="-64"/>
        </w:rPr>
        <w:t> </w:t>
      </w:r>
      <w:r>
        <w:rPr>
          <w:spacing w:val="-64"/>
        </w:rPr>
      </w:r>
      <w:r>
        <w:rPr>
          <w:spacing w:val="-2"/>
        </w:rPr>
        <w:t>客户。迅速扩大市场规模，在金融科技竞争中保持领先地位。互联网银行巨大的市场需求和发展空间将有助于公司在未来几</w:t>
      </w:r>
      <w:r>
        <w:rPr>
          <w:spacing w:val="-65"/>
        </w:rPr>
        <w:t> </w:t>
      </w:r>
      <w:r>
        <w:rPr>
          <w:spacing w:val="-65"/>
        </w:rPr>
      </w:r>
      <w:r>
        <w:rPr/>
        <w:t>年实现高速增长。</w:t>
      </w:r>
    </w:p>
    <w:p>
      <w:pPr>
        <w:pStyle w:val="BodyText"/>
        <w:spacing w:line="309" w:lineRule="auto" w:before="19"/>
        <w:ind w:right="1034" w:firstLine="360"/>
        <w:jc w:val="left"/>
      </w:pPr>
      <w:r>
        <w:rPr>
          <w:spacing w:val="-2"/>
        </w:rPr>
        <w:t>第三，公司将充分利用资本市场，在重视内生式增长的基础上，通过投资、并购等外延式扩张谋求上下游整合和跨越式</w:t>
      </w:r>
      <w:r>
        <w:rPr/>
        <w:t> </w:t>
      </w:r>
      <w:r>
        <w:rPr>
          <w:spacing w:val="-2"/>
        </w:rPr>
        <w:t>发展。通过投资、并购具有优秀技术能力或良好市场潜质的企业，公司一方面能够进一步围绕互联网银行建立起丰富的技术</w:t>
      </w:r>
      <w:r>
        <w:rPr>
          <w:spacing w:val="-65"/>
        </w:rPr>
        <w:t> </w:t>
      </w:r>
      <w:r>
        <w:rPr>
          <w:spacing w:val="-65"/>
        </w:rPr>
      </w:r>
      <w:r>
        <w:rPr>
          <w:spacing w:val="-2"/>
        </w:rPr>
        <w:t>和业务生态，另一方面公司基于显著的市场占有率也可为被投企业带来丰富的客户资源，助力其实现快速增长。公司于</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t>年通过并购</w:t>
      </w:r>
      <w:r>
        <w:rPr>
          <w:rFonts w:ascii="Times New Roman" w:hAnsi="Times New Roman" w:cs="Times New Roman" w:eastAsia="Times New Roman" w:hint="default"/>
        </w:rPr>
        <w:t>SUNJE</w:t>
      </w:r>
      <w:r>
        <w:rPr>
          <w:rFonts w:ascii="Times New Roman" w:hAnsi="Times New Roman" w:cs="Times New Roman" w:eastAsia="Times New Roman" w:hint="default"/>
          <w:spacing w:val="-10"/>
        </w:rPr>
        <w:t> </w:t>
      </w:r>
      <w:r>
        <w:rPr>
          <w:rFonts w:ascii="Times New Roman" w:hAnsi="Times New Roman" w:cs="Times New Roman" w:eastAsia="Times New Roman" w:hint="default"/>
        </w:rPr>
        <w:t>SOFT</w:t>
      </w:r>
      <w:r>
        <w:rPr/>
        <w:t>数据库公司，实现了国际领先的分布式内存数据库技术的国产化和自主可控，在未来高端数据库领 域可完全替代西方国家的数据库产品，高速的</w:t>
      </w:r>
      <w:r>
        <w:rPr>
          <w:rFonts w:ascii="Times New Roman" w:hAnsi="Times New Roman" w:cs="Times New Roman" w:eastAsia="Times New Roman" w:hint="default"/>
        </w:rPr>
        <w:t>5G</w:t>
      </w:r>
      <w:r>
        <w:rPr/>
        <w:t>网络需要配套高性能的内存数据库，公司几百家银行客户，几千个电子银 </w:t>
      </w:r>
      <w:r>
        <w:rPr>
          <w:spacing w:val="-4"/>
        </w:rPr>
        <w:t>行和金融科技项目的数据库国产化替代将给公司创造新的巨大的市场商机，带来新的利润增长点。公司并购的大陆云盾公司，</w:t>
      </w:r>
      <w:r>
        <w:rPr>
          <w:spacing w:val="-41"/>
        </w:rPr>
        <w:t> </w:t>
      </w:r>
      <w:r>
        <w:rPr>
          <w:spacing w:val="-41"/>
        </w:rPr>
      </w:r>
      <w:r>
        <w:rPr>
          <w:spacing w:val="-2"/>
        </w:rPr>
        <w:t>已经获得工信部颁发的信息安全认证牌照，在市场潜力巨大的移动端电子认证领域占得了先机，也将快速实现可持续的利润</w:t>
      </w:r>
      <w:r>
        <w:rPr>
          <w:spacing w:val="-64"/>
        </w:rPr>
        <w:t> </w:t>
      </w:r>
      <w:r>
        <w:rPr>
          <w:spacing w:val="-64"/>
        </w:rPr>
      </w:r>
      <w:r>
        <w:rPr/>
        <w:t>回报。</w:t>
      </w:r>
    </w:p>
    <w:p>
      <w:pPr>
        <w:pStyle w:val="BodyText"/>
        <w:spacing w:line="314" w:lineRule="auto" w:before="24"/>
        <w:ind w:right="0" w:firstLine="360"/>
        <w:jc w:val="left"/>
      </w:pPr>
      <w:r>
        <w:rPr>
          <w:spacing w:val="-2"/>
        </w:rPr>
        <w:t>第四，公司将与互联网行业领军企业强强联合。基于公司在银行金融科技市场的领军地位，蚂蚁金服实际控制的恒生电</w:t>
      </w:r>
      <w:r>
        <w:rPr/>
        <w:t> </w:t>
      </w:r>
      <w:r>
        <w:rPr>
          <w:spacing w:val="-4"/>
        </w:rPr>
        <w:t>子举牌科蓝公司，公司与蚂蚁金服已展开深度合作，联合研发互联网移动金融平台及金融核心系统产品，共同进行市场开拓。</w:t>
      </w:r>
      <w:r>
        <w:rPr>
          <w:spacing w:val="-42"/>
        </w:rPr>
        <w:t> </w:t>
      </w:r>
      <w:r>
        <w:rPr>
          <w:spacing w:val="-42"/>
        </w:rPr>
      </w:r>
      <w:r>
        <w:rPr/>
        <w:t>公司在蚂蚁金服的优势产品技术支持下，提前对即将爆发的</w:t>
      </w:r>
      <w:r>
        <w:rPr>
          <w:rFonts w:ascii="Times New Roman" w:hAnsi="Times New Roman" w:cs="Times New Roman" w:eastAsia="Times New Roman" w:hint="default"/>
        </w:rPr>
        <w:t>5G</w:t>
      </w:r>
      <w:r>
        <w:rPr/>
        <w:t>时代移动金融市场做出战略布局，将移动银行打造成为全零 </w:t>
      </w:r>
      <w:r>
        <w:rPr>
          <w:spacing w:val="-2"/>
        </w:rPr>
        <w:t>售移动端产品，并借助蚂蚁金服丰富的网上场景和服务资源，助力金融机构实现资源的互通共享、低成本运营、多元化营销</w:t>
      </w:r>
      <w:r>
        <w:rPr>
          <w:spacing w:val="-66"/>
        </w:rPr>
        <w:t> </w:t>
      </w:r>
      <w:r>
        <w:rPr>
          <w:spacing w:val="-66"/>
        </w:rPr>
      </w:r>
      <w:r>
        <w:rPr>
          <w:spacing w:val="-2"/>
        </w:rPr>
        <w:t>和业务的快速迭代。同时，公司也将充分发挥在银行领域的业务能力与建设经验，与蚂蚁金服进行互联网核心的解决方案整</w:t>
      </w:r>
      <w:r>
        <w:rPr>
          <w:spacing w:val="-65"/>
        </w:rPr>
        <w:t> </w:t>
      </w:r>
      <w:r>
        <w:rPr>
          <w:spacing w:val="-65"/>
        </w:rPr>
      </w:r>
      <w:r>
        <w:rPr>
          <w:spacing w:val="-2"/>
        </w:rPr>
        <w:t>合。通过与互联网行业领军企业的强强联合，公司将为银行等金融客户提供更为先进的技术服务和更为丰富的业务资源，从</w:t>
      </w:r>
      <w:r>
        <w:rPr>
          <w:spacing w:val="-65"/>
        </w:rPr>
        <w:t> </w:t>
      </w:r>
      <w:r>
        <w:rPr>
          <w:spacing w:val="-65"/>
        </w:rPr>
      </w:r>
      <w:r>
        <w:rPr/>
        <w:t>而强化市场优势地位，并实现自身的快速增长。</w:t>
      </w:r>
    </w:p>
    <w:p>
      <w:pPr>
        <w:spacing w:line="240" w:lineRule="auto" w:before="9"/>
        <w:rPr>
          <w:rFonts w:ascii="宋体" w:hAnsi="宋体" w:cs="宋体" w:eastAsia="宋体" w:hint="default"/>
          <w:sz w:val="21"/>
          <w:szCs w:val="21"/>
        </w:rPr>
      </w:pPr>
    </w:p>
    <w:p>
      <w:pPr>
        <w:pStyle w:val="Heading4"/>
        <w:spacing w:line="240" w:lineRule="auto"/>
        <w:ind w:right="0"/>
        <w:jc w:val="left"/>
        <w:rPr>
          <w:b w:val="0"/>
          <w:bCs w:val="0"/>
        </w:rPr>
      </w:pPr>
      <w:r>
        <w:rPr/>
        <w:t>（三）可能面临的风险及应对措施</w:t>
      </w:r>
      <w:r>
        <w:rPr>
          <w:b w:val="0"/>
          <w:bCs w:val="0"/>
        </w:rPr>
      </w:r>
    </w:p>
    <w:p>
      <w:pPr>
        <w:pStyle w:val="BodyText"/>
        <w:spacing w:line="300" w:lineRule="auto" w:before="46"/>
        <w:ind w:left="472" w:right="1044"/>
        <w:jc w:val="left"/>
      </w:pPr>
      <w:r>
        <w:rPr>
          <w:rFonts w:ascii="Times New Roman" w:hAnsi="Times New Roman" w:cs="Times New Roman" w:eastAsia="Times New Roman" w:hint="default"/>
        </w:rPr>
        <w:t>1</w:t>
      </w:r>
      <w:r>
        <w:rPr/>
        <w:t>、市场竞争加剧风险 随着互联网金融的发展以及商业银行信息化水平的不断提升，银行对</w:t>
      </w:r>
      <w:r>
        <w:rPr>
          <w:rFonts w:ascii="Times New Roman" w:hAnsi="Times New Roman" w:cs="Times New Roman" w:eastAsia="Times New Roman" w:hint="default"/>
        </w:rPr>
        <w:t>IT</w:t>
      </w:r>
      <w:r>
        <w:rPr/>
        <w:t>服务的需求逐年增长，市场总体规模不断扩大，</w:t>
      </w:r>
    </w:p>
    <w:p>
      <w:pPr>
        <w:pStyle w:val="BodyText"/>
        <w:spacing w:line="316" w:lineRule="auto" w:before="13"/>
        <w:ind w:right="1034"/>
        <w:jc w:val="left"/>
      </w:pPr>
      <w:r>
        <w:rPr/>
        <w:t>行业内竞争对手规模和竞争力不断提高，同时市场新进入的竞争者逐步增多，可能导致公司所处行业市场竞争加剧。据此， </w:t>
      </w:r>
      <w:r>
        <w:rPr>
          <w:spacing w:val="-4"/>
        </w:rPr>
        <w:t>为避免该风险，公司将不断提升自己，紧随行业趋势，在产品研发、技术创新、客户服务和资金规模等方面进一步增强实力。</w:t>
      </w:r>
    </w:p>
    <w:p>
      <w:pPr>
        <w:pStyle w:val="BodyText"/>
        <w:spacing w:line="300" w:lineRule="auto" w:before="19"/>
        <w:ind w:left="472" w:right="0"/>
        <w:jc w:val="left"/>
      </w:pPr>
      <w:r>
        <w:rPr>
          <w:rFonts w:ascii="Times New Roman" w:hAnsi="Times New Roman" w:cs="Times New Roman" w:eastAsia="Times New Roman" w:hint="default"/>
        </w:rPr>
        <w:t>2</w:t>
      </w:r>
      <w:r>
        <w:rPr/>
        <w:t>、人力成本上升的风险 </w:t>
      </w:r>
      <w:r>
        <w:rPr>
          <w:spacing w:val="-2"/>
        </w:rPr>
        <w:t>未来，随着公司人员进一步增多，且伴随着城市生活成本的上升、竞争对手对专业人才的争夺加剧等因素，公司人工成</w:t>
      </w:r>
    </w:p>
    <w:p>
      <w:pPr>
        <w:pStyle w:val="BodyText"/>
        <w:spacing w:line="316" w:lineRule="auto" w:before="31"/>
        <w:ind w:right="0"/>
        <w:jc w:val="left"/>
      </w:pPr>
      <w:r>
        <w:rPr>
          <w:spacing w:val="-2"/>
        </w:rPr>
        <w:t>本存在持续上升的风险，从而给公司的经营业绩带来一定影响。为此，公司将逐步建立高水平的企业管理和内控制度，不断</w:t>
      </w:r>
      <w:r>
        <w:rPr>
          <w:spacing w:val="-66"/>
        </w:rPr>
        <w:t> </w:t>
      </w:r>
      <w:r>
        <w:rPr>
          <w:spacing w:val="-66"/>
        </w:rPr>
      </w:r>
      <w:r>
        <w:rPr/>
        <w:t>提高公司治理水平，进一步实施全过程成本控制，提高公司日常运营效率，有效管控运营成本。</w:t>
      </w:r>
    </w:p>
    <w:p>
      <w:pPr>
        <w:pStyle w:val="BodyText"/>
        <w:spacing w:line="300" w:lineRule="auto" w:before="19"/>
        <w:ind w:left="472" w:right="0"/>
        <w:jc w:val="left"/>
      </w:pPr>
      <w:r>
        <w:rPr>
          <w:rFonts w:ascii="Times New Roman" w:hAnsi="Times New Roman" w:cs="Times New Roman" w:eastAsia="Times New Roman" w:hint="default"/>
        </w:rPr>
        <w:t>3</w:t>
      </w:r>
      <w:r>
        <w:rPr/>
        <w:t>、应收账款逐渐增加及账龄结构发生改变的风险 </w:t>
      </w:r>
      <w:r>
        <w:rPr>
          <w:spacing w:val="-2"/>
        </w:rPr>
        <w:t>随着公司业务规模、市场覆盖的扩大，加上项目本身的执行与验收周期较长，因此应收账款有逐渐增加及账龄结构发生</w:t>
      </w:r>
    </w:p>
    <w:p>
      <w:pPr>
        <w:pStyle w:val="BodyText"/>
        <w:spacing w:line="316" w:lineRule="auto" w:before="31"/>
        <w:ind w:right="1034"/>
        <w:jc w:val="left"/>
      </w:pPr>
      <w:r>
        <w:rPr/>
        <w:t>改变的趋势，公司的客户主要为银行、金融机构等，如果个别客户信用情况发生较大变化，将不利于公司应收账款的收回， </w:t>
      </w:r>
      <w:r>
        <w:rPr>
          <w:spacing w:val="-2"/>
        </w:rPr>
        <w:t>对公司的资产质量和经营业绩产生不利影响。为此，公司将进一步规范管理，加强对应收账款的催收力度，同时要认真总结</w:t>
      </w:r>
      <w:r>
        <w:rPr>
          <w:spacing w:val="-66"/>
        </w:rPr>
        <w:t> </w:t>
      </w:r>
      <w:r>
        <w:rPr>
          <w:spacing w:val="-66"/>
        </w:rPr>
      </w:r>
      <w:r>
        <w:rPr/>
        <w:t>经验教训，尽最大可能避免产生新的逾期应收账款</w:t>
      </w:r>
      <w:r>
        <w:rPr>
          <w:rFonts w:ascii="Times New Roman" w:hAnsi="Times New Roman" w:cs="Times New Roman" w:eastAsia="Times New Roman" w:hint="default"/>
        </w:rPr>
        <w:t>,</w:t>
      </w:r>
      <w:r>
        <w:rPr/>
        <w:t>降低应收账款风险。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8"/>
          <w:szCs w:val="18"/>
        </w:rPr>
      </w:pPr>
    </w:p>
    <w:p>
      <w:pPr>
        <w:pStyle w:val="Heading4"/>
        <w:spacing w:line="240" w:lineRule="auto"/>
        <w:ind w:right="0"/>
        <w:jc w:val="left"/>
        <w:rPr>
          <w:b w:val="0"/>
          <w:bCs w:val="0"/>
        </w:rPr>
      </w:pPr>
      <w:bookmarkStart w:name="十、接待调研、沟通、采访等活动登记表" w:id="58"/>
      <w:bookmarkEnd w:id="58"/>
      <w:r>
        <w:rPr>
          <w:b w:val="0"/>
          <w:bCs w:val="0"/>
        </w:rPr>
      </w: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公司报告期内未发生接待调研、沟通、采访等活动。</w:t>
      </w:r>
    </w:p>
    <w:p>
      <w:pPr>
        <w:spacing w:after="0" w:line="340" w:lineRule="auto"/>
        <w:jc w:val="left"/>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017"/>
        <w:jc w:val="center"/>
        <w:rPr>
          <w:b w:val="0"/>
          <w:bCs w:val="0"/>
        </w:rPr>
      </w:pPr>
      <w:bookmarkStart w:name="第五节 重要事项" w:id="60"/>
      <w:bookmarkEnd w:id="60"/>
      <w:r>
        <w:rPr>
          <w:b w:val="0"/>
          <w:bCs w:val="0"/>
        </w:rPr>
      </w:r>
      <w:bookmarkStart w:name="_bookmark3" w:id="61"/>
      <w:bookmarkEnd w:id="61"/>
      <w:r>
        <w:rPr>
          <w:b w:val="0"/>
          <w:bCs w:val="0"/>
        </w:rPr>
      </w:r>
      <w:r>
        <w:rPr/>
        <w:t>第五节</w:t>
      </w:r>
      <w:r>
        <w:rPr>
          <w:spacing w:val="-7"/>
        </w:rPr>
        <w:t> </w:t>
      </w:r>
      <w:r>
        <w:rPr/>
        <w:t>重要事项</w:t>
      </w:r>
      <w:r>
        <w:rPr>
          <w:b w:val="0"/>
          <w:bCs w:val="0"/>
        </w:rPr>
      </w:r>
    </w:p>
    <w:p>
      <w:pPr>
        <w:spacing w:line="240" w:lineRule="auto" w:before="10"/>
        <w:rPr>
          <w:rFonts w:ascii="宋体" w:hAnsi="宋体" w:cs="宋体" w:eastAsia="宋体" w:hint="default"/>
          <w:b/>
          <w:bCs/>
          <w:sz w:val="38"/>
          <w:szCs w:val="38"/>
        </w:rPr>
      </w:pPr>
    </w:p>
    <w:p>
      <w:pPr>
        <w:pStyle w:val="Heading4"/>
        <w:spacing w:line="240" w:lineRule="auto"/>
        <w:ind w:right="0"/>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40" w:lineRule="auto" w:before="117"/>
        <w:ind w:left="472" w:right="112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spacing w:val="-2"/>
        </w:rPr>
        <w:t>根据《公司章程》的要求，对公司利润分配政策进行了明确规定，确定了公司利润分配的原则和方案，尤其是现金分红</w:t>
      </w:r>
    </w:p>
    <w:p>
      <w:pPr>
        <w:pStyle w:val="BodyText"/>
        <w:spacing w:line="240" w:lineRule="auto" w:before="1"/>
        <w:ind w:right="0"/>
        <w:jc w:val="left"/>
      </w:pPr>
      <w:r>
        <w:rPr/>
        <w:t>的具体条件、比例，确定了公司利润分配的决策程序和机制以及利润分配政策调整的决策程序。</w:t>
      </w:r>
    </w:p>
    <w:p>
      <w:pPr>
        <w:pStyle w:val="BodyText"/>
        <w:spacing w:line="316" w:lineRule="auto" w:before="76"/>
        <w:ind w:right="1132" w:firstLine="360"/>
        <w:jc w:val="both"/>
      </w:pPr>
      <w:r>
        <w:rPr>
          <w:spacing w:val="-2"/>
        </w:rPr>
        <w:t>《公司章程》第一百五十六条规定，公司实施积极的利润分配政策，重视对投资者的合理投资回报，并保持利润分配政</w:t>
      </w:r>
      <w:r>
        <w:rPr/>
        <w:t> </w:t>
      </w:r>
      <w:r>
        <w:rPr>
          <w:spacing w:val="-2"/>
        </w:rPr>
        <w:t>策的连续性和稳定性。公司可以采取现金或者股票等方式分配利润，利润分配不得超过累计可分配利润的范围，不得损害公</w:t>
      </w:r>
      <w:r>
        <w:rPr>
          <w:spacing w:val="-65"/>
        </w:rPr>
        <w:t> </w:t>
      </w:r>
      <w:r>
        <w:rPr>
          <w:spacing w:val="-65"/>
        </w:rPr>
      </w:r>
      <w:r>
        <w:rPr/>
        <w:t>司持续经营能力。</w:t>
      </w:r>
    </w:p>
    <w:p>
      <w:pPr>
        <w:pStyle w:val="BodyText"/>
        <w:spacing w:line="316" w:lineRule="auto" w:before="19"/>
        <w:ind w:right="1132" w:firstLine="360"/>
        <w:jc w:val="both"/>
      </w:pPr>
      <w:r>
        <w:rPr>
          <w:spacing w:val="-2"/>
        </w:rPr>
        <w:t>（一）公司的利润分配形式：采取现金、股票或二者相结合的方式分配股利，但以现金分红为主，在具备现金分红的条</w:t>
      </w:r>
      <w:r>
        <w:rPr/>
        <w:t> 件下，应优先选择以现金形式分红。</w:t>
      </w:r>
    </w:p>
    <w:p>
      <w:pPr>
        <w:pStyle w:val="BodyText"/>
        <w:spacing w:line="312" w:lineRule="auto" w:before="19"/>
        <w:ind w:right="1132" w:firstLine="360"/>
        <w:jc w:val="both"/>
      </w:pPr>
      <w:r>
        <w:rPr>
          <w:spacing w:val="-2"/>
        </w:rPr>
        <w:t>（二）公司现金方式分红的具体条件和比例：公司主要采取现金分红的利润分配政策，即公司当年度实现盈利，在依法</w:t>
      </w:r>
      <w:r>
        <w:rPr/>
        <w:t> </w:t>
      </w:r>
      <w:r>
        <w:rPr>
          <w:spacing w:val="-2"/>
        </w:rPr>
        <w:t>弥补亏损、提取法定公积金、盈余公积金后有可分配利润的，则公司应当进行现金分红；公司利润分配不得超过累计可分配</w:t>
      </w:r>
      <w:r>
        <w:rPr>
          <w:spacing w:val="-66"/>
        </w:rPr>
        <w:t> </w:t>
      </w:r>
      <w:r>
        <w:rPr>
          <w:spacing w:val="-66"/>
        </w:rPr>
      </w:r>
      <w:r>
        <w:rPr>
          <w:spacing w:val="-2"/>
        </w:rPr>
        <w:t>利润的范围。公司如无重大投资计划或重大现金支出等事项发生，单一年度以现金方式分配的利润不少于当年度实现的可分</w:t>
      </w:r>
      <w:r>
        <w:rPr>
          <w:spacing w:val="-64"/>
        </w:rPr>
        <w:t> </w:t>
      </w:r>
      <w:r>
        <w:rPr>
          <w:spacing w:val="-64"/>
        </w:rPr>
      </w:r>
      <w:r>
        <w:rPr>
          <w:spacing w:val="-1"/>
        </w:rPr>
        <w:t>配利润的</w:t>
      </w:r>
      <w:r>
        <w:rPr>
          <w:rFonts w:ascii="Times New Roman" w:hAnsi="Times New Roman" w:cs="Times New Roman" w:eastAsia="Times New Roman" w:hint="default"/>
          <w:spacing w:val="-1"/>
        </w:rPr>
        <w:t>15%</w:t>
      </w:r>
      <w:r>
        <w:rPr>
          <w:spacing w:val="-1"/>
        </w:rPr>
        <w:t>；重大投资计划或重大现金支出是指公司在一年内购买资产以及对外投资等交易涉及的资产总额（同时存在账</w:t>
      </w:r>
      <w:r>
        <w:rPr/>
        <w:t> </w:t>
      </w:r>
      <w:r>
        <w:rPr>
          <w:spacing w:val="-1"/>
        </w:rPr>
        <w:t>面值和评估值的，以较高者计）占公司最近一期经审计总资产</w:t>
      </w:r>
      <w:r>
        <w:rPr>
          <w:rFonts w:ascii="Times New Roman" w:hAnsi="Times New Roman" w:cs="Times New Roman" w:eastAsia="Times New Roman" w:hint="default"/>
          <w:spacing w:val="-1"/>
        </w:rPr>
        <w:t>30%</w:t>
      </w:r>
      <w:r>
        <w:rPr>
          <w:spacing w:val="-1"/>
        </w:rPr>
        <w:t>以上的事项。根据公司章程的规定，重大投资计划或重大</w:t>
      </w:r>
      <w:r>
        <w:rPr/>
        <w:t> 现金支出等事项应经董事会审议后，提交股东大会表决通过。</w:t>
      </w:r>
    </w:p>
    <w:p>
      <w:pPr>
        <w:pStyle w:val="BodyText"/>
        <w:spacing w:line="316" w:lineRule="auto" w:before="22"/>
        <w:ind w:right="1132" w:firstLine="360"/>
        <w:jc w:val="both"/>
      </w:pPr>
      <w:r>
        <w:rPr>
          <w:spacing w:val="-2"/>
        </w:rPr>
        <w:t>同时，公司董事会应当综合考虑公司所处行业特点、发展阶段、自身经营模式、盈利水平以及是否有重大资金支出安排</w:t>
      </w:r>
      <w:r>
        <w:rPr/>
        <w:t> 等因素，在提出利润分配的方案时，提出差异化的现金分红政策：</w:t>
      </w:r>
    </w:p>
    <w:p>
      <w:pPr>
        <w:pStyle w:val="BodyText"/>
        <w:spacing w:line="300" w:lineRule="auto" w:before="19"/>
        <w:ind w:right="1141" w:firstLine="360"/>
        <w:jc w:val="both"/>
      </w:pPr>
      <w:r>
        <w:rPr>
          <w:rFonts w:ascii="Times New Roman" w:hAnsi="Times New Roman" w:cs="Times New Roman" w:eastAsia="Times New Roman" w:hint="default"/>
        </w:rPr>
        <w:t>1</w:t>
      </w:r>
      <w:r>
        <w:rPr/>
        <w:t>、公司发展阶段属成熟期且无重大资金支出安排的，进行利润分配时，现金分红在本次利润分配中所占比例最低应达 到</w:t>
      </w:r>
      <w:r>
        <w:rPr>
          <w:rFonts w:ascii="Times New Roman" w:hAnsi="Times New Roman" w:cs="Times New Roman" w:eastAsia="Times New Roman" w:hint="default"/>
        </w:rPr>
        <w:t>80%</w:t>
      </w:r>
      <w:r>
        <w:rPr/>
        <w:t>；</w:t>
      </w:r>
    </w:p>
    <w:p>
      <w:pPr>
        <w:pStyle w:val="BodyText"/>
        <w:spacing w:line="300" w:lineRule="auto" w:before="13"/>
        <w:ind w:right="1141" w:firstLine="360"/>
        <w:jc w:val="both"/>
      </w:pPr>
      <w:r>
        <w:rPr>
          <w:rFonts w:ascii="Times New Roman" w:hAnsi="Times New Roman" w:cs="Times New Roman" w:eastAsia="Times New Roman" w:hint="default"/>
        </w:rPr>
        <w:t>2</w:t>
      </w:r>
      <w:r>
        <w:rPr/>
        <w:t>、公司发展阶段属成熟期且有重大资金支出安排的，进行利润分配时，现金分红在本次利润分配中所占比例最低应达 到</w:t>
      </w:r>
      <w:r>
        <w:rPr>
          <w:rFonts w:ascii="Times New Roman" w:hAnsi="Times New Roman" w:cs="Times New Roman" w:eastAsia="Times New Roman" w:hint="default"/>
        </w:rPr>
        <w:t>40%</w:t>
      </w:r>
      <w:r>
        <w:rPr/>
        <w:t>；</w:t>
      </w:r>
    </w:p>
    <w:p>
      <w:pPr>
        <w:pStyle w:val="BodyText"/>
        <w:spacing w:line="300" w:lineRule="auto" w:before="13"/>
        <w:ind w:right="1141" w:firstLine="360"/>
        <w:jc w:val="both"/>
      </w:pPr>
      <w:r>
        <w:rPr>
          <w:rFonts w:ascii="Times New Roman" w:hAnsi="Times New Roman" w:cs="Times New Roman" w:eastAsia="Times New Roman" w:hint="default"/>
        </w:rPr>
        <w:t>3</w:t>
      </w:r>
      <w:r>
        <w:rPr/>
        <w:t>、公司发展阶段属成长期且有重大资金支出安排的，进行利润分配时，现金分红在本次利润分配中所占比例最低应达 到</w:t>
      </w:r>
      <w:r>
        <w:rPr>
          <w:rFonts w:ascii="Times New Roman" w:hAnsi="Times New Roman" w:cs="Times New Roman" w:eastAsia="Times New Roman" w:hint="default"/>
        </w:rPr>
        <w:t>20%</w:t>
      </w:r>
      <w:r>
        <w:rPr/>
        <w:t>；</w:t>
      </w:r>
    </w:p>
    <w:p>
      <w:pPr>
        <w:pStyle w:val="BodyText"/>
        <w:spacing w:line="240" w:lineRule="auto" w:before="13"/>
        <w:ind w:left="204" w:right="0"/>
        <w:jc w:val="left"/>
      </w:pPr>
      <w:r>
        <w:rPr/>
        <w:t>公司发展阶段不易区分但有重大资金支出安排的，可以按照前项规定处理。</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9"/>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0"/>
        <w:jc w:val="left"/>
      </w:pPr>
      <w:r>
        <w:rPr/>
        <w:t>公司报告期利润分配预案及资本公积金转增股本预案与公司章程和分红管理办法等的相关规定一致</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r>
        <w:rPr/>
        <w:pict>
          <v:shape style="position:absolute;margin-left:236.639999pt;margin-top:208.100021pt;width:298.4pt;height:19.7pt;mso-position-horizontal-relative:page;mso-position-vertical-relative:page;z-index:-1503112" type="#_x0000_t202" filled="false" stroked="false">
            <v:textbox inset="0,0,0,0">
              <w:txbxContent>
                <w:p>
                  <w:pPr>
                    <w:pStyle w:val="BodyText"/>
                    <w:spacing w:line="240" w:lineRule="auto" w:before="52"/>
                    <w:ind w:left="0" w:right="0"/>
                    <w:jc w:val="left"/>
                  </w:pPr>
                  <w:r>
                    <w:rPr/>
                    <w:t>）</w:t>
                  </w:r>
                </w:p>
              </w:txbxContent>
            </v:textbox>
            <w10:wrap type="none"/>
          </v:shape>
        </w:pict>
      </w:r>
      <w:r>
        <w:rPr/>
        <w:pict>
          <v:group style="position:absolute;margin-left:242.699997pt;margin-top:208.100021pt;width:292.3pt;height:19.850pt;mso-position-horizontal-relative:page;mso-position-vertical-relative:page;z-index:-1503088" coordorigin="4854,4162" coordsize="5846,397">
            <v:shape style="position:absolute;left:4854;top:4162;width:5846;height:397" coordorigin="4854,4162" coordsize="5846,397" path="m4854,4162l10700,4162,10700,4559,4854,4559,4854,4162xe" filled="true" fillcolor="#ffffff" stroked="false">
              <v:path arrowok="t"/>
              <v:fill type="solid"/>
            </v:shape>
            <w10:wrap type="none"/>
          </v:group>
        </w:pict>
      </w:r>
    </w:p>
    <w:p>
      <w:pPr>
        <w:pStyle w:val="BodyText"/>
        <w:spacing w:line="357" w:lineRule="auto" w:before="44"/>
        <w:ind w:right="4274"/>
        <w:jc w:val="left"/>
      </w:pPr>
      <w:r>
        <w:rPr/>
        <w:t>公司报告期利润分配预案及资本公积金转增股本预案符合公司章程等的相关规定。 本年度利润分配及资本公积金转增股本情况</w:t>
      </w:r>
    </w:p>
    <w:tbl>
      <w:tblPr>
        <w:tblW w:w="0" w:type="auto"/>
        <w:jc w:val="left"/>
        <w:tblInd w:w="10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0.35</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201,463,957</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89"/>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7,051,238.50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89"/>
                <w:sz w:val="18"/>
                <w:szCs w:val="18"/>
              </w:rPr>
              <w:t>）</w:t>
            </w:r>
            <w:r>
              <w:rPr>
                <w:rFonts w:ascii="宋体" w:hAnsi="宋体" w:cs="宋体" w:eastAsia="宋体" w:hint="default"/>
                <w:sz w:val="18"/>
                <w:szCs w:val="18"/>
              </w:rPr>
              <w:t>（元）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7,051,238.50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186,810,343.76</w:t>
            </w:r>
          </w:p>
        </w:tc>
      </w:tr>
      <w:tr>
        <w:trPr>
          <w:trHeight w:val="714"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以实施利润分配股权登记日的公司总股本为基数，向全体股东每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元人民币现金（含税</w:t>
            </w:r>
            <w:r>
              <w:rPr>
                <w:rFonts w:ascii="宋体" w:hAnsi="宋体" w:cs="宋体" w:eastAsia="宋体" w:hint="default"/>
                <w:spacing w:val="-89"/>
                <w:sz w:val="18"/>
                <w:szCs w:val="18"/>
              </w:rPr>
              <w:t>）</w:t>
            </w:r>
            <w:r>
              <w:rPr>
                <w:rFonts w:ascii="宋体" w:hAnsi="宋体" w:cs="宋体" w:eastAsia="宋体" w:hint="default"/>
                <w:sz w:val="18"/>
                <w:szCs w:val="18"/>
              </w:rPr>
              <w:t>，合计派发股利</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7,051,238.50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元；同时，以资本公积金向全体股东每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pStyle w:val="BodyText"/>
        <w:spacing w:line="240" w:lineRule="auto" w:before="68"/>
        <w:ind w:right="0"/>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年（包括本报告期）的普通股股利分配方案（预案</w:t>
      </w:r>
      <w:r>
        <w:rPr>
          <w:spacing w:val="-89"/>
        </w:rPr>
        <w:t>）</w:t>
      </w:r>
      <w:r>
        <w:rPr/>
        <w:t>、资本公积金转增股本方案（预案）情况</w:t>
      </w:r>
    </w:p>
    <w:p>
      <w:pPr>
        <w:pStyle w:val="BodyText"/>
        <w:spacing w:line="300" w:lineRule="auto" w:before="103"/>
        <w:ind w:right="1128" w:firstLine="360"/>
        <w:jc w:val="left"/>
      </w:pPr>
      <w:r>
        <w:rPr>
          <w:rFonts w:ascii="Times New Roman" w:hAnsi="Times New Roman" w:cs="Times New Roman" w:eastAsia="Times New Roman" w:hint="default"/>
          <w:spacing w:val="-2"/>
        </w:rPr>
        <w:t>2016</w:t>
      </w:r>
      <w:r>
        <w:rPr>
          <w:spacing w:val="-2"/>
        </w:rPr>
        <w:t>年分配方案：根据《公司章程》规定，考虑公司报告期资金紧张状况，公司本年度不进行利润分配，不进行资本公</w:t>
      </w:r>
      <w:r>
        <w:rPr/>
        <w:t> 积转增股本。</w:t>
      </w:r>
    </w:p>
    <w:p>
      <w:pPr>
        <w:pStyle w:val="BodyText"/>
        <w:spacing w:line="300" w:lineRule="auto" w:before="31"/>
        <w:ind w:right="0" w:firstLine="360"/>
        <w:jc w:val="left"/>
      </w:pPr>
      <w:r>
        <w:rPr>
          <w:rFonts w:ascii="Times New Roman" w:hAnsi="Times New Roman" w:cs="Times New Roman" w:eastAsia="Times New Roman" w:hint="default"/>
          <w:spacing w:val="-1"/>
        </w:rPr>
        <w:t>2017</w:t>
      </w:r>
      <w:r>
        <w:rPr>
          <w:spacing w:val="-1"/>
        </w:rPr>
        <w:t>年利润分配及资本公积金转增股本方案：以公司总股本</w:t>
      </w:r>
      <w:r>
        <w:rPr>
          <w:rFonts w:ascii="Times New Roman" w:hAnsi="Times New Roman" w:cs="Times New Roman" w:eastAsia="Times New Roman" w:hint="default"/>
          <w:spacing w:val="-1"/>
        </w:rPr>
        <w:t>134,948,619</w:t>
      </w:r>
      <w:r>
        <w:rPr>
          <w:spacing w:val="-1"/>
        </w:rPr>
        <w:t>股为基数，向全体股东每</w:t>
      </w:r>
      <w:r>
        <w:rPr>
          <w:rFonts w:ascii="Times New Roman" w:hAnsi="Times New Roman" w:cs="Times New Roman" w:eastAsia="Times New Roman" w:hint="default"/>
          <w:spacing w:val="-1"/>
        </w:rPr>
        <w:t>10</w:t>
      </w:r>
      <w:r>
        <w:rPr>
          <w:spacing w:val="-1"/>
        </w:rPr>
        <w:t>股派</w:t>
      </w:r>
      <w:r>
        <w:rPr>
          <w:rFonts w:ascii="Times New Roman" w:hAnsi="Times New Roman" w:cs="Times New Roman" w:eastAsia="Times New Roman" w:hint="default"/>
          <w:spacing w:val="-1"/>
        </w:rPr>
        <w:t>0.496294</w:t>
      </w:r>
      <w:r>
        <w:rPr>
          <w:spacing w:val="-1"/>
        </w:rPr>
        <w:t>元人民</w:t>
      </w:r>
      <w:r>
        <w:rPr/>
        <w:t> 币现金（含税），合计派发股利</w:t>
      </w:r>
      <w:r>
        <w:rPr>
          <w:rFonts w:ascii="Times New Roman" w:hAnsi="Times New Roman" w:cs="Times New Roman" w:eastAsia="Times New Roman" w:hint="default"/>
        </w:rPr>
        <w:t>6,697,430.95</w:t>
      </w:r>
      <w:r>
        <w:rPr/>
        <w:t>元；同时，以资本公积金向全体股东每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4.962948</w:t>
      </w:r>
      <w:r>
        <w:rPr/>
        <w:t>股。</w:t>
      </w:r>
    </w:p>
    <w:p>
      <w:pPr>
        <w:pStyle w:val="BodyText"/>
        <w:spacing w:line="240" w:lineRule="auto" w:before="13"/>
        <w:ind w:left="472" w:right="0"/>
        <w:jc w:val="left"/>
      </w:pPr>
      <w:r>
        <w:rPr>
          <w:rFonts w:ascii="Times New Roman" w:hAnsi="Times New Roman" w:cs="Times New Roman" w:eastAsia="Times New Roman" w:hint="default"/>
        </w:rPr>
        <w:t>2018</w:t>
      </w:r>
      <w:r>
        <w:rPr/>
        <w:t>年利润分配及资本公积金转增股本预案：以实施利润分配股权登记日的公司总股本为基数，向全体股东每</w:t>
      </w:r>
      <w:r>
        <w:rPr>
          <w:rFonts w:ascii="Times New Roman" w:hAnsi="Times New Roman" w:cs="Times New Roman" w:eastAsia="Times New Roman" w:hint="default"/>
        </w:rPr>
        <w:t>10</w:t>
      </w:r>
      <w:r>
        <w:rPr/>
        <w:t>股派</w:t>
      </w:r>
    </w:p>
    <w:p>
      <w:pPr>
        <w:pStyle w:val="BodyText"/>
        <w:spacing w:line="240" w:lineRule="auto" w:before="63"/>
        <w:ind w:right="0"/>
        <w:jc w:val="left"/>
      </w:pPr>
      <w:r>
        <w:rPr>
          <w:rFonts w:ascii="Times New Roman" w:hAnsi="Times New Roman" w:cs="Times New Roman" w:eastAsia="Times New Roman" w:hint="default"/>
        </w:rPr>
        <w:t>0.35</w:t>
      </w:r>
      <w:r>
        <w:rPr/>
        <w:t>元人民币现金（含税），合计派发股利</w:t>
      </w:r>
      <w:r>
        <w:rPr>
          <w:rFonts w:ascii="Times New Roman" w:hAnsi="Times New Roman" w:cs="Times New Roman" w:eastAsia="Times New Roman" w:hint="default"/>
        </w:rPr>
        <w:t>7,051,238.50</w:t>
      </w:r>
      <w:r>
        <w:rPr/>
        <w:t>元；同时，以资本公积金向全体股东每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w:t>
      </w:r>
    </w:p>
    <w:p>
      <w:pPr>
        <w:spacing w:line="240" w:lineRule="auto" w:before="5"/>
        <w:rPr>
          <w:rFonts w:ascii="宋体" w:hAnsi="宋体" w:cs="宋体" w:eastAsia="宋体" w:hint="default"/>
          <w:sz w:val="28"/>
          <w:szCs w:val="28"/>
        </w:rPr>
      </w:pPr>
    </w:p>
    <w:p>
      <w:pPr>
        <w:pStyle w:val="BodyText"/>
        <w:spacing w:line="240" w:lineRule="auto" w:before="44"/>
        <w:ind w:right="0"/>
        <w:jc w:val="left"/>
      </w:pPr>
      <w:r>
        <w:rPr/>
        <w:t>公司近三年（包括本报告期）普通股现金分红情况表</w:t>
      </w:r>
    </w:p>
    <w:p>
      <w:pPr>
        <w:pStyle w:val="BodyText"/>
        <w:spacing w:line="240" w:lineRule="auto" w:before="115"/>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7"/>
        <w:gridCol w:w="1195"/>
        <w:gridCol w:w="1196"/>
        <w:gridCol w:w="1196"/>
        <w:gridCol w:w="1196"/>
        <w:gridCol w:w="1196"/>
        <w:gridCol w:w="1196"/>
        <w:gridCol w:w="1196"/>
      </w:tblGrid>
      <w:tr>
        <w:trPr>
          <w:trHeight w:val="227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 w:right="52"/>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3" w:right="5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3" w:right="51" w:hanging="3"/>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 w:right="52"/>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3" w:right="141" w:hanging="272"/>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3" w:right="51" w:hanging="3"/>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7,051,238.50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42,576,019.79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7,051,238.50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16.56%</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6,697,430.95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40,080,358.35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6,697,430.95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16.71%</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42,773,543.31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公司报告期内盈利且母公司可供普通股股东分配利润为正但未提出普通股现金红利分配预案</w:t>
      </w:r>
    </w:p>
    <w:p>
      <w:pPr>
        <w:spacing w:after="0" w:line="240" w:lineRule="auto"/>
        <w:jc w:val="left"/>
        <w:sectPr>
          <w:footerReference w:type="default" r:id="rId14"/>
          <w:pgSz w:w="11910" w:h="16840"/>
          <w:pgMar w:footer="978" w:header="746" w:top="1060" w:bottom="1160" w:left="1020" w:right="0"/>
          <w:pgNumType w:start="3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5"/>
        <w:spacing w:line="256" w:lineRule="auto"/>
        <w:ind w:right="0"/>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spacing w:val="3"/>
          <w:w w:val="95"/>
        </w:rPr>
        <w:t>1</w:t>
      </w:r>
      <w:r>
        <w:rPr>
          <w:spacing w:val="3"/>
          <w:w w:val="95"/>
        </w:rPr>
        <w:t>、公司实际控制人、股东、关联方、收购人以及公司等承诺相关方在报告期内履行完毕及截至报告期末</w:t>
      </w:r>
      <w:r>
        <w:rPr>
          <w:spacing w:val="95"/>
          <w:w w:val="95"/>
        </w:rPr>
        <w:t> </w:t>
      </w:r>
      <w:r>
        <w:rPr>
          <w:spacing w:val="95"/>
          <w:w w:val="95"/>
        </w:rPr>
      </w:r>
      <w:r>
        <w:rPr/>
        <w:t>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8"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7"/>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972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316" w:lineRule="auto"/>
              <w:ind w:left="23" w:right="189"/>
              <w:jc w:val="left"/>
              <w:rPr>
                <w:rFonts w:ascii="宋体" w:hAnsi="宋体" w:cs="宋体" w:eastAsia="宋体" w:hint="default"/>
                <w:sz w:val="18"/>
                <w:szCs w:val="18"/>
              </w:rPr>
            </w:pPr>
            <w:r>
              <w:rPr>
                <w:rFonts w:ascii="宋体" w:hAnsi="宋体" w:cs="宋体" w:eastAsia="宋体" w:hint="default"/>
                <w:sz w:val="18"/>
                <w:szCs w:val="18"/>
              </w:rPr>
              <w:t>实际控制人 王安京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316" w:lineRule="auto"/>
              <w:ind w:left="24" w:right="19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0"/>
              <w:jc w:val="left"/>
              <w:rPr>
                <w:rFonts w:ascii="宋体" w:hAnsi="宋体" w:cs="宋体" w:eastAsia="宋体" w:hint="default"/>
                <w:sz w:val="18"/>
                <w:szCs w:val="18"/>
              </w:rPr>
            </w:pPr>
            <w:r>
              <w:rPr>
                <w:rFonts w:ascii="宋体" w:hAnsi="宋体" w:cs="宋体" w:eastAsia="宋体" w:hint="default"/>
                <w:sz w:val="18"/>
                <w:szCs w:val="18"/>
              </w:rPr>
              <w:t>本人直接或 间接持有的 股票，自公司 股票上市之 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内，不转让或 者委托他人 管理本人持 有的公司上 市前已发行 的股份，也不 由公司回购 该部分股份； 王安京作为 科蓝盛合的 普通合伙人， 自公司股票 上市之日起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pacing w:val="-11"/>
                <w:sz w:val="18"/>
                <w:szCs w:val="18"/>
              </w:rPr>
              <w:t>个月内，不</w:t>
            </w:r>
            <w:r>
              <w:rPr>
                <w:rFonts w:ascii="宋体" w:hAnsi="宋体" w:cs="宋体" w:eastAsia="宋体" w:hint="default"/>
                <w:sz w:val="18"/>
                <w:szCs w:val="18"/>
              </w:rPr>
              <w:t> 转让其所持 有的出资份 额；公司上市 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个月内如</w:t>
            </w:r>
          </w:p>
          <w:p>
            <w:pPr>
              <w:pStyle w:val="TableParagraph"/>
              <w:spacing w:line="312" w:lineRule="auto"/>
              <w:ind w:left="23" w:right="20"/>
              <w:jc w:val="left"/>
              <w:rPr>
                <w:rFonts w:ascii="宋体" w:hAnsi="宋体" w:cs="宋体" w:eastAsia="宋体" w:hint="default"/>
                <w:sz w:val="18"/>
                <w:szCs w:val="18"/>
              </w:rPr>
            </w:pPr>
            <w:r>
              <w:rPr>
                <w:rFonts w:ascii="宋体" w:hAnsi="宋体" w:cs="宋体" w:eastAsia="宋体" w:hint="default"/>
                <w:sz w:val="18"/>
                <w:szCs w:val="18"/>
              </w:rPr>
              <w:t>股票连续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 收盘价均低 于本次发行 </w:t>
            </w:r>
            <w:r>
              <w:rPr>
                <w:rFonts w:ascii="宋体" w:hAnsi="宋体" w:cs="宋体" w:eastAsia="宋体" w:hint="default"/>
                <w:spacing w:val="-2"/>
                <w:sz w:val="18"/>
                <w:szCs w:val="18"/>
              </w:rPr>
              <w:t>的发行价，或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者上市后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 月期末收盘 价低于本次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72"/>
              <w:jc w:val="righ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righ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361.440002pt;margin-top:199.700027pt;width:62.15pt;height:362.9pt;mso-position-horizontal-relative:page;mso-position-vertical-relative:page;z-index:-15030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60"/>
                    <w:ind w:left="0" w:right="0"/>
                    <w:jc w:val="left"/>
                  </w:pPr>
                  <w:r>
                    <w:rPr/>
                    <w:t>，</w:t>
                  </w:r>
                </w:p>
              </w:txbxContent>
            </v:textbox>
            <w10:wrap type="none"/>
          </v:shape>
        </w:pict>
      </w:r>
      <w:r>
        <w:rPr/>
        <w:pict>
          <v:group style="position:absolute;margin-left:367.5pt;margin-top:199.700027pt;width:56.05pt;height:363.05pt;mso-position-horizontal-relative:page;mso-position-vertical-relative:page;z-index:-1503040" coordorigin="7350,3994" coordsize="1121,7261">
            <v:shape style="position:absolute;left:7350;top:3994;width:1121;height:7261" coordorigin="7350,3994" coordsize="1121,7261" path="m7350,3994l8471,3994,8471,11255,7350,11255,7350,3994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发行的发行</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价，王安京持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有的公司股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票将在上述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锁定期限届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满后自动延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个月的锁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定期；</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自公司股票</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在证券交易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所上市之日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不转让或者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委托他人管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理其所持有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的股份，也不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由公司回购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科蓝盈众、科</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该部分股份；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1"/>
              <w:jc w:val="both"/>
              <w:rPr>
                <w:rFonts w:ascii="宋体" w:hAnsi="宋体" w:cs="宋体" w:eastAsia="宋体" w:hint="default"/>
                <w:sz w:val="18"/>
                <w:szCs w:val="18"/>
              </w:rPr>
            </w:pPr>
            <w:r>
              <w:rPr>
                <w:rFonts w:ascii="宋体" w:hAnsi="宋体" w:cs="宋体" w:eastAsia="宋体" w:hint="default"/>
                <w:spacing w:val="-2"/>
                <w:sz w:val="18"/>
                <w:szCs w:val="18"/>
              </w:rPr>
              <w:t>蓝银科、科蓝</w:t>
            </w:r>
            <w:r>
              <w:rPr>
                <w:rFonts w:ascii="宋体" w:hAnsi="宋体" w:cs="宋体" w:eastAsia="宋体" w:hint="default"/>
                <w:sz w:val="18"/>
                <w:szCs w:val="18"/>
              </w:rPr>
              <w:t> </w:t>
            </w:r>
            <w:r>
              <w:rPr>
                <w:rFonts w:ascii="宋体" w:hAnsi="宋体" w:cs="宋体" w:eastAsia="宋体" w:hint="default"/>
                <w:spacing w:val="-2"/>
                <w:sz w:val="18"/>
                <w:szCs w:val="18"/>
              </w:rPr>
              <w:t>融创、科蓝金</w:t>
            </w:r>
            <w:r>
              <w:rPr>
                <w:rFonts w:ascii="宋体" w:hAnsi="宋体" w:cs="宋体" w:eastAsia="宋体" w:hint="default"/>
                <w:sz w:val="18"/>
                <w:szCs w:val="18"/>
              </w:rPr>
              <w:t> </w:t>
            </w:r>
            <w:r>
              <w:rPr>
                <w:rFonts w:ascii="宋体" w:hAnsi="宋体" w:cs="宋体" w:eastAsia="宋体" w:hint="default"/>
                <w:spacing w:val="-2"/>
                <w:sz w:val="18"/>
                <w:szCs w:val="18"/>
              </w:rPr>
              <w:t>投、科蓝海联</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9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锁定期限届 </w:t>
            </w:r>
            <w:r>
              <w:rPr>
                <w:rFonts w:ascii="宋体" w:hAnsi="宋体" w:cs="宋体" w:eastAsia="宋体" w:hint="default"/>
                <w:spacing w:val="-2"/>
                <w:sz w:val="18"/>
                <w:szCs w:val="18"/>
              </w:rPr>
              <w:t>满后，每年转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让的股份不</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超过其发行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前持有的科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蓝软件股份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，上一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个期间在转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让额度内未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转让部分可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累计到下一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个期间内进</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行转让；</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自公司股票</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上市之日起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pacing w:val="-11"/>
                <w:sz w:val="18"/>
                <w:szCs w:val="18"/>
              </w:rPr>
              <w:t>个月内，不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转让或者委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托他人管理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科蓝盛合</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45"/>
              <w:ind w:left="24" w:right="19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0"/>
              <w:jc w:val="both"/>
              <w:rPr>
                <w:rFonts w:ascii="宋体" w:hAnsi="宋体" w:cs="宋体" w:eastAsia="宋体" w:hint="default"/>
                <w:sz w:val="18"/>
                <w:szCs w:val="18"/>
              </w:rPr>
            </w:pPr>
            <w:r>
              <w:rPr>
                <w:rFonts w:ascii="宋体" w:hAnsi="宋体" w:cs="宋体" w:eastAsia="宋体" w:hint="default"/>
                <w:sz w:val="18"/>
                <w:szCs w:val="18"/>
              </w:rPr>
              <w:t>本企业持有 的公司上市 前已发行的</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股份，也不由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公司回购该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部分股份；公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司发行上市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个月内如</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361.440002pt;margin-top:324.500031pt;width:62.15pt;height:347.3pt;mso-position-horizontal-relative:page;mso-position-vertical-relative:page;z-index:-15030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60"/>
                    <w:ind w:left="0" w:right="0"/>
                    <w:jc w:val="left"/>
                  </w:pPr>
                  <w:r>
                    <w:rPr/>
                    <w:t>，</w:t>
                  </w:r>
                </w:p>
              </w:txbxContent>
            </v:textbox>
            <w10:wrap type="none"/>
          </v:shape>
        </w:pict>
      </w:r>
      <w:r>
        <w:rPr/>
        <w:pict>
          <v:group style="position:absolute;margin-left:367.5pt;margin-top:324.500031pt;width:56.05pt;height:347.45pt;mso-position-horizontal-relative:page;mso-position-vertical-relative:page;z-index:-1502992" coordorigin="7350,6490" coordsize="1121,6949">
            <v:shape style="position:absolute;left:7350;top:6490;width:1121;height:6949" coordorigin="7350,6490" coordsize="1121,6949" path="m7350,6490l8471,6490,8471,13439,7350,13439,7350,6490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个交易日的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收盘价均低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于本次发行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的发行价，或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者上市后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月期末收盘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价低于本次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发行的发行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价，科蓝盛合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持有的公司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股票将在上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述锁定期限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届满后自动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延长</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锁定期；</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自公司股票</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在证券交易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所上市之日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不转让或者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委托他人管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理其所持有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249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上海文化基 金、杭州兆 富、杭州太 </w:t>
            </w:r>
            <w:r>
              <w:rPr>
                <w:rFonts w:ascii="宋体" w:hAnsi="宋体" w:cs="宋体" w:eastAsia="宋体" w:hint="default"/>
                <w:spacing w:val="-2"/>
                <w:sz w:val="18"/>
                <w:szCs w:val="18"/>
              </w:rPr>
              <w:t>一、广州司浦</w:t>
            </w:r>
            <w:r>
              <w:rPr>
                <w:rFonts w:ascii="宋体" w:hAnsi="宋体" w:cs="宋体" w:eastAsia="宋体" w:hint="default"/>
                <w:sz w:val="18"/>
                <w:szCs w:val="18"/>
              </w:rPr>
              <w:t> 林、君研丰 创、杭州先 </w:t>
            </w:r>
            <w:r>
              <w:rPr>
                <w:rFonts w:ascii="宋体" w:hAnsi="宋体" w:cs="宋体" w:eastAsia="宋体" w:hint="default"/>
                <w:spacing w:val="-2"/>
                <w:sz w:val="18"/>
                <w:szCs w:val="18"/>
              </w:rPr>
              <w:t>锋、济宁先锋</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4" w:right="19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0"/>
              <w:jc w:val="left"/>
              <w:rPr>
                <w:rFonts w:ascii="宋体" w:hAnsi="宋体" w:cs="宋体" w:eastAsia="宋体" w:hint="default"/>
                <w:sz w:val="18"/>
                <w:szCs w:val="18"/>
              </w:rPr>
            </w:pPr>
            <w:r>
              <w:rPr>
                <w:rFonts w:ascii="宋体" w:hAnsi="宋体" w:cs="宋体" w:eastAsia="宋体" w:hint="default"/>
                <w:sz w:val="18"/>
                <w:szCs w:val="18"/>
              </w:rPr>
              <w:t>的股份，也不 由公司回购 该部分股份； 锁定期届满 后，拟减持股 份时应按照 相关法律、法 规、规章、规</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范性文件及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深圳证券交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易所的相关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规定进行减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持，且不违背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已作出的承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所持股份锁</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1003"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10" w:lineRule="atLeast" w:before="70"/>
              <w:ind w:left="23" w:right="21"/>
              <w:jc w:val="both"/>
              <w:rPr>
                <w:rFonts w:ascii="宋体" w:hAnsi="宋体" w:cs="宋体" w:eastAsia="宋体" w:hint="default"/>
                <w:sz w:val="18"/>
                <w:szCs w:val="18"/>
              </w:rPr>
            </w:pPr>
            <w:r>
              <w:rPr>
                <w:rFonts w:ascii="宋体" w:hAnsi="宋体" w:cs="宋体" w:eastAsia="宋体" w:hint="default"/>
                <w:spacing w:val="-2"/>
                <w:sz w:val="18"/>
                <w:szCs w:val="18"/>
              </w:rPr>
              <w:t>王安京、王方</w:t>
            </w:r>
            <w:r>
              <w:rPr>
                <w:rFonts w:ascii="宋体" w:hAnsi="宋体" w:cs="宋体" w:eastAsia="宋体" w:hint="default"/>
                <w:sz w:val="18"/>
                <w:szCs w:val="18"/>
              </w:rPr>
              <w:t> </w:t>
            </w:r>
            <w:r>
              <w:rPr>
                <w:rFonts w:ascii="宋体" w:hAnsi="宋体" w:cs="宋体" w:eastAsia="宋体" w:hint="default"/>
                <w:spacing w:val="-3"/>
                <w:sz w:val="18"/>
                <w:szCs w:val="18"/>
              </w:rPr>
              <w:t>圆、周荣、李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国庆、周旭红</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6" w:lineRule="auto"/>
              <w:ind w:left="24" w:right="19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定期限届满 </w:t>
            </w:r>
            <w:r>
              <w:rPr>
                <w:rFonts w:ascii="宋体" w:hAnsi="宋体" w:cs="宋体" w:eastAsia="宋体" w:hint="default"/>
                <w:spacing w:val="-2"/>
                <w:sz w:val="18"/>
                <w:szCs w:val="18"/>
              </w:rPr>
              <w:t>后，在本人任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职期间，每年</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245"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转让的股份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不超过直接</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或间接持有</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公司股份总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数的</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25%</w:t>
            </w:r>
            <w:r>
              <w:rPr>
                <w:rFonts w:ascii="宋体" w:hAnsi="宋体" w:cs="宋体" w:eastAsia="宋体" w:hint="default"/>
                <w:spacing w:val="-5"/>
                <w:sz w:val="18"/>
                <w:szCs w:val="18"/>
              </w:rPr>
              <w:t>，并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且在离职后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个月内不转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接持有的公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司股份；在首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次公开发行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股票上市之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申报离职的，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自申报离职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月内不得转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让其直接或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间接持有的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公司股份；在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首次公开发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行股票上市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之日起第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月至第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月之间申报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离职的，自申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报离职之日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不得转让其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持有的公司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股份；公司发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行上市后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月内如股票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易日的收盘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价均低于本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次发行的发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行价，或者上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末收盘价低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于本次发行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的发行价，所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持有的科蓝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公司股票将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在锁定期限</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361.440002pt;margin-top:371.300018pt;width:62.15pt;height:222.5pt;mso-position-horizontal-relative:page;mso-position-vertical-relative:page;z-index:-15029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60"/>
                    <w:ind w:left="0" w:right="0"/>
                    <w:jc w:val="left"/>
                  </w:pPr>
                  <w:r>
                    <w:rPr/>
                    <w:t>，</w:t>
                  </w:r>
                </w:p>
              </w:txbxContent>
            </v:textbox>
            <w10:wrap type="none"/>
          </v:shape>
        </w:pict>
      </w:r>
      <w:r>
        <w:rPr/>
        <w:pict>
          <v:group style="position:absolute;margin-left:367.5pt;margin-top:371.300018pt;width:56.05pt;height:222.65pt;mso-position-horizontal-relative:page;mso-position-vertical-relative:page;z-index:-1502944" coordorigin="7350,7426" coordsize="1121,4453">
            <v:shape style="position:absolute;left:7350;top:7426;width:1121;height:4453" coordorigin="7350,7426" coordsize="1121,4453" path="m7350,7426l8471,7426,8471,11879,7350,11879,7350,7426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届满后自动</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延长</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锁定期，如果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因公司上市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后派发现金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红利、送股、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转增股本、增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发新股等原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因进行除权、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除息的，则按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照证券交易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所的有关规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定对发行价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作除权除息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处理；本人将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向公司及时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申报所持公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司股份及其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变动情况；</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自公司股票</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在证券交易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所上市之日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本人不转让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或者委托他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王方圆、王鹏</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人管理通过 </w:t>
            </w:r>
            <w:r>
              <w:rPr>
                <w:rFonts w:ascii="宋体" w:hAnsi="宋体" w:cs="宋体" w:eastAsia="宋体" w:hint="default"/>
                <w:spacing w:val="-2"/>
                <w:sz w:val="18"/>
                <w:szCs w:val="18"/>
              </w:rPr>
              <w:t>科蓝盈众、科</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蓝银科持有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的公司股份，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也不由公司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回购本人间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接持有的公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司股份。</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每年转让的</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股份不超过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公司在证券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交易所上市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45"/>
              <w:ind w:left="24" w:right="19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0"/>
              <w:jc w:val="both"/>
              <w:rPr>
                <w:rFonts w:ascii="宋体" w:hAnsi="宋体" w:cs="宋体" w:eastAsia="宋体" w:hint="default"/>
                <w:sz w:val="18"/>
                <w:szCs w:val="18"/>
              </w:rPr>
            </w:pPr>
            <w:r>
              <w:rPr>
                <w:rFonts w:ascii="宋体" w:hAnsi="宋体" w:cs="宋体" w:eastAsia="宋体" w:hint="default"/>
                <w:sz w:val="18"/>
                <w:szCs w:val="18"/>
              </w:rPr>
              <w:t>之日时本企 业已持有的 科蓝软件股</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份总额的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。锁定期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届满后，本人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拟减持科蓝</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软件股份的，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应按照相关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规章、规范性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文件及深圳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的相关规定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进行减持，且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不违背本人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已作出的承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诺，减持方式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包括二级市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场集中竞价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交易、大宗交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易或其他深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圳证券交易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所认可的合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法方式。锁定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期届满后两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年内，本人拟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减持科蓝软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件股份的，减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持价格根据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当时的二级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市场价格确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定，且不低于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发行价，每年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减持分别不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超过发行前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所持股份总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数的</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15%</w:t>
            </w:r>
            <w:r>
              <w:rPr>
                <w:rFonts w:ascii="宋体" w:hAnsi="宋体" w:cs="宋体" w:eastAsia="宋体" w:hint="default"/>
                <w:spacing w:val="-5"/>
                <w:sz w:val="18"/>
                <w:szCs w:val="18"/>
              </w:rPr>
              <w:t>，并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应符合相关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规范性文件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及深圳证券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交易所的相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关规定。本人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拟减持所持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公司股份时，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将在减持前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三个交易日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通过公司公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告减持意向，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本人持有的</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公司股份低</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时除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外。</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锁定期届满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后，本合伙企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业拟减持公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司股份的，减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持价格根据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当时的二级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市场价格确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定，且不低于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发行价，每年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减持分别不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15%</w:t>
            </w:r>
            <w:r>
              <w:rPr>
                <w:rFonts w:ascii="宋体" w:hAnsi="宋体" w:cs="宋体" w:eastAsia="宋体" w:hint="default"/>
                <w:spacing w:val="-5"/>
                <w:sz w:val="18"/>
                <w:szCs w:val="18"/>
              </w:rPr>
              <w:t>，并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应符合相关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宁波科蓝盛</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法律、法规、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1"/>
              <w:jc w:val="left"/>
              <w:rPr>
                <w:rFonts w:ascii="宋体" w:hAnsi="宋体" w:cs="宋体" w:eastAsia="宋体" w:hint="default"/>
                <w:sz w:val="18"/>
                <w:szCs w:val="18"/>
              </w:rPr>
            </w:pPr>
            <w:r>
              <w:rPr>
                <w:rFonts w:ascii="宋体" w:hAnsi="宋体" w:cs="宋体" w:eastAsia="宋体" w:hint="default"/>
                <w:sz w:val="18"/>
                <w:szCs w:val="18"/>
              </w:rPr>
              <w:t>合投资管理 </w:t>
            </w:r>
            <w:r>
              <w:rPr>
                <w:rFonts w:ascii="宋体" w:hAnsi="宋体" w:cs="宋体" w:eastAsia="宋体" w:hint="default"/>
                <w:spacing w:val="-2"/>
                <w:sz w:val="18"/>
                <w:szCs w:val="18"/>
              </w:rPr>
              <w:t>合伙企业（有</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0"/>
              <w:jc w:val="left"/>
              <w:rPr>
                <w:rFonts w:ascii="宋体" w:hAnsi="宋体" w:cs="宋体" w:eastAsia="宋体" w:hint="default"/>
                <w:sz w:val="18"/>
                <w:szCs w:val="18"/>
              </w:rPr>
            </w:pPr>
            <w:r>
              <w:rPr>
                <w:rFonts w:ascii="宋体" w:hAnsi="宋体" w:cs="宋体" w:eastAsia="宋体" w:hint="default"/>
                <w:sz w:val="18"/>
                <w:szCs w:val="18"/>
              </w:rPr>
              <w:t>规范性文件 及深圳证券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限合伙）</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交易所的相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关规定。本合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伙企业拟减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持所持公司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股份时，将在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减持前三个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交易日通过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公司公告减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持意向，本合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伙企业持有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的公司股份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低于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时除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外。</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锁定期届满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后两年内，本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合伙企业持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1"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有公司的股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上海文化产</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份拟减持完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189"/>
              <w:jc w:val="both"/>
              <w:rPr>
                <w:rFonts w:ascii="宋体" w:hAnsi="宋体" w:cs="宋体" w:eastAsia="宋体" w:hint="default"/>
                <w:sz w:val="18"/>
                <w:szCs w:val="18"/>
              </w:rPr>
            </w:pPr>
            <w:r>
              <w:rPr>
                <w:rFonts w:ascii="宋体" w:hAnsi="宋体" w:cs="宋体" w:eastAsia="宋体" w:hint="default"/>
                <w:sz w:val="18"/>
                <w:szCs w:val="18"/>
              </w:rPr>
              <w:t>业股权投资 基金合伙企 业（有限合</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55"/>
              <w:ind w:left="24" w:right="19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23" w:right="20"/>
              <w:jc w:val="left"/>
              <w:rPr>
                <w:rFonts w:ascii="宋体" w:hAnsi="宋体" w:cs="宋体" w:eastAsia="宋体" w:hint="default"/>
                <w:sz w:val="18"/>
                <w:szCs w:val="18"/>
              </w:rPr>
            </w:pPr>
            <w:r>
              <w:rPr>
                <w:rFonts w:ascii="宋体" w:hAnsi="宋体" w:cs="宋体" w:eastAsia="宋体" w:hint="default"/>
                <w:spacing w:val="-2"/>
                <w:sz w:val="18"/>
                <w:szCs w:val="18"/>
              </w:rPr>
              <w:t>毕，减持价格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根据当时的 二级市场价</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23"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格确定，且不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低于发行价，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并应符合相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关法律、法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规、规范性文</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化及深证证</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券交易所的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相关规定。本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合伙企业拟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减持所持公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司股份时，将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在减持前三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个交易日通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过公司公告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减持意向，本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合伙企业持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有的公司股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份低于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除外。</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锁定期届满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后两年内，本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合伙企业拟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减持公司股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份的，减持价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格根据当时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的二级市场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价格确定，且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不低于发行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价，每年减持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分别不超过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100%</w:t>
            </w:r>
            <w:r>
              <w:rPr>
                <w:rFonts w:ascii="宋体" w:hAnsi="宋体" w:cs="宋体" w:eastAsia="宋体" w:hint="default"/>
                <w:spacing w:val="-9"/>
                <w:sz w:val="18"/>
                <w:szCs w:val="18"/>
              </w:rPr>
              <w:t>，并应符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广州司浦林、</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合相关法律、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9"/>
              <w:jc w:val="both"/>
              <w:rPr>
                <w:rFonts w:ascii="宋体" w:hAnsi="宋体" w:cs="宋体" w:eastAsia="宋体" w:hint="default"/>
                <w:sz w:val="18"/>
                <w:szCs w:val="18"/>
              </w:rPr>
            </w:pPr>
            <w:r>
              <w:rPr>
                <w:rFonts w:ascii="宋体" w:hAnsi="宋体" w:cs="宋体" w:eastAsia="宋体" w:hint="default"/>
                <w:sz w:val="18"/>
                <w:szCs w:val="18"/>
              </w:rPr>
              <w:t>杭州太一天、 杭州先锋、杭 州兆富、济宁</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9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pacing w:val="-2"/>
                <w:sz w:val="18"/>
                <w:szCs w:val="18"/>
              </w:rPr>
              <w:t>法规、规范性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文件及深圳 证券交易所</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先锋</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的相关规定。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本合伙企业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拟减持所持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公司股份时，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将在减持前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三个交易日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通过科蓝软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件公告减持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意向，本合伙</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企业持有的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公司股份低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时除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0"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外。</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56"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锁定期限届</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满后，本合伙</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企业每年转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让的公司股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份不超过公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司在证券交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科蓝海联、科</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易所上市之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1"/>
              <w:jc w:val="left"/>
              <w:rPr>
                <w:rFonts w:ascii="宋体" w:hAnsi="宋体" w:cs="宋体" w:eastAsia="宋体" w:hint="default"/>
                <w:sz w:val="18"/>
                <w:szCs w:val="18"/>
              </w:rPr>
            </w:pPr>
            <w:r>
              <w:rPr>
                <w:rFonts w:ascii="宋体" w:hAnsi="宋体" w:cs="宋体" w:eastAsia="宋体" w:hint="default"/>
                <w:spacing w:val="-2"/>
                <w:sz w:val="18"/>
                <w:szCs w:val="18"/>
              </w:rPr>
              <w:t>蓝金投、科蓝</w:t>
            </w:r>
            <w:r>
              <w:rPr>
                <w:rFonts w:ascii="宋体" w:hAnsi="宋体" w:cs="宋体" w:eastAsia="宋体" w:hint="default"/>
                <w:sz w:val="18"/>
                <w:szCs w:val="18"/>
              </w:rPr>
              <w:t> </w:t>
            </w:r>
            <w:r>
              <w:rPr>
                <w:rFonts w:ascii="宋体" w:hAnsi="宋体" w:cs="宋体" w:eastAsia="宋体" w:hint="default"/>
                <w:spacing w:val="-2"/>
                <w:sz w:val="18"/>
                <w:szCs w:val="18"/>
              </w:rPr>
              <w:t>融创、科蓝银</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9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0"/>
              <w:jc w:val="left"/>
              <w:rPr>
                <w:rFonts w:ascii="宋体" w:hAnsi="宋体" w:cs="宋体" w:eastAsia="宋体" w:hint="default"/>
                <w:sz w:val="18"/>
                <w:szCs w:val="18"/>
              </w:rPr>
            </w:pPr>
            <w:r>
              <w:rPr>
                <w:rFonts w:ascii="宋体" w:hAnsi="宋体" w:cs="宋体" w:eastAsia="宋体" w:hint="default"/>
                <w:sz w:val="18"/>
                <w:szCs w:val="18"/>
              </w:rPr>
              <w:t>日时本企业 已持有的公</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科、科蓝盈众</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司股份总额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（上一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年在转让额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度内未转让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部分可累计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到下一年转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锁定期届满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后，本人拟减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持公司股份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的，应按照相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关法律法规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及深圳证券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交易所规则</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要求进行减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持，且不违背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本人已作出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承诺，减持方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式包括二级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市场集中竞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3" w:right="189"/>
              <w:jc w:val="left"/>
              <w:rPr>
                <w:rFonts w:ascii="宋体" w:hAnsi="宋体" w:cs="宋体" w:eastAsia="宋体" w:hint="default"/>
                <w:sz w:val="18"/>
                <w:szCs w:val="18"/>
              </w:rPr>
            </w:pPr>
            <w:r>
              <w:rPr>
                <w:rFonts w:ascii="宋体" w:hAnsi="宋体" w:cs="宋体" w:eastAsia="宋体" w:hint="default"/>
                <w:sz w:val="18"/>
                <w:szCs w:val="18"/>
              </w:rPr>
              <w:t>李国庆、周 荣、周旭红</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4" w:right="19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20"/>
              <w:jc w:val="left"/>
              <w:rPr>
                <w:rFonts w:ascii="宋体" w:hAnsi="宋体" w:cs="宋体" w:eastAsia="宋体" w:hint="default"/>
                <w:sz w:val="18"/>
                <w:szCs w:val="18"/>
              </w:rPr>
            </w:pPr>
            <w:r>
              <w:rPr>
                <w:rFonts w:ascii="宋体" w:hAnsi="宋体" w:cs="宋体" w:eastAsia="宋体" w:hint="default"/>
                <w:spacing w:val="-2"/>
                <w:sz w:val="18"/>
                <w:szCs w:val="18"/>
              </w:rPr>
              <w:t>价交易、大宗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交易或其他</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深圳证券交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易所认可的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合法方式。锁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定期届满后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两年内，本人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拟减持公司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股份的，减持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价格根据当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时的二级市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场价格确定，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且不低于发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行价，并应符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合相关法律</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法规及深圳</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规则要求。</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在本人及本</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人的关联自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然人在科蓝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软件担任董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事、监事、高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期间，每年转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让的股份不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超过本人持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有科蓝软件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股份总数的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；锁定期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届满后，本人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拟减持科蓝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软件股份的，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应按照相关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法律、法规、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规章、规范性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文件及深圳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王方圆</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4" w:right="19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证券交易所 的相关规定 </w:t>
            </w:r>
            <w:r>
              <w:rPr>
                <w:rFonts w:ascii="宋体" w:hAnsi="宋体" w:cs="宋体" w:eastAsia="宋体" w:hint="default"/>
                <w:spacing w:val="-2"/>
                <w:sz w:val="18"/>
                <w:szCs w:val="18"/>
              </w:rPr>
              <w:t>进行减持，且</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不违背本人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已作出的承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诺，减持方式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包括二级市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场集中竞价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交易、大宗交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易或其他深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圳证券交易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所认可的合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法方式。锁定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期届满后两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年内，本人拟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减持科蓝软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件股份的，减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持价格根据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当时的二级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市场价格确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定，且不低于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发行价，每年</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footerReference w:type="default" r:id="rId15"/>
          <w:pgSz w:w="11910" w:h="16840"/>
          <w:pgMar w:footer="978" w:header="746" w:top="1060" w:bottom="1160" w:left="1020" w:right="0"/>
          <w:pgNumType w:start="4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减持分别不</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并应符合相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规、规范性文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件及深圳证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券交易所的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相关规定。本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人拟减持所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持科蓝软件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股份时，将在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减前三个交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易日通过科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蓝软件公告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减持意向，本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人持有的科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蓝软件股份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低于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时除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外。</w:t>
            </w:r>
            <w:r>
              <w:rPr>
                <w:rFonts w:ascii="Times New Roman" w:hAnsi="Times New Roman" w:cs="Times New Roman" w:eastAsia="Times New Roman"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本企业及本</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人为科蓝软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件的关联方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期间，本人及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本人所控制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的企业（包括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王安京、广州</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但不限于独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司浦林、杭州</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自经营、合资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太一、杭州先</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经营、合作经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锋、杭州兆</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营以及直接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富、济宁先</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或间接拥有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3" w:right="189"/>
              <w:jc w:val="both"/>
              <w:rPr>
                <w:rFonts w:ascii="宋体" w:hAnsi="宋体" w:cs="宋体" w:eastAsia="宋体" w:hint="default"/>
                <w:sz w:val="18"/>
                <w:szCs w:val="18"/>
              </w:rPr>
            </w:pPr>
            <w:r>
              <w:rPr>
                <w:rFonts w:ascii="宋体" w:hAnsi="宋体" w:cs="宋体" w:eastAsia="宋体" w:hint="default"/>
                <w:sz w:val="18"/>
                <w:szCs w:val="18"/>
              </w:rPr>
              <w:t>锋、科蓝海 联、科蓝金 投、科蓝融</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4" w:right="22"/>
              <w:jc w:val="left"/>
              <w:rPr>
                <w:rFonts w:ascii="宋体" w:hAnsi="宋体" w:cs="宋体" w:eastAsia="宋体" w:hint="default"/>
                <w:sz w:val="18"/>
                <w:szCs w:val="18"/>
              </w:rPr>
            </w:pPr>
            <w:r>
              <w:rPr>
                <w:rFonts w:ascii="宋体" w:hAnsi="宋体" w:cs="宋体" w:eastAsia="宋体" w:hint="default"/>
                <w:sz w:val="18"/>
                <w:szCs w:val="18"/>
              </w:rPr>
              <w:t>关于关联交 </w:t>
            </w:r>
            <w:r>
              <w:rPr>
                <w:rFonts w:ascii="宋体" w:hAnsi="宋体" w:cs="宋体" w:eastAsia="宋体" w:hint="default"/>
                <w:spacing w:val="-2"/>
                <w:sz w:val="18"/>
                <w:szCs w:val="18"/>
              </w:rPr>
              <w:t>易、资金占用</w:t>
            </w:r>
            <w:r>
              <w:rPr>
                <w:rFonts w:ascii="宋体" w:hAnsi="宋体" w:cs="宋体" w:eastAsia="宋体" w:hint="default"/>
                <w:sz w:val="18"/>
                <w:szCs w:val="18"/>
              </w:rPr>
              <w:t> 方面的承诺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10"/>
              <w:jc w:val="left"/>
              <w:rPr>
                <w:rFonts w:ascii="宋体" w:hAnsi="宋体" w:cs="宋体" w:eastAsia="宋体" w:hint="default"/>
                <w:sz w:val="18"/>
                <w:szCs w:val="18"/>
              </w:rPr>
            </w:pPr>
            <w:r>
              <w:rPr>
                <w:rFonts w:ascii="宋体" w:hAnsi="宋体" w:cs="宋体" w:eastAsia="宋体" w:hint="default"/>
                <w:sz w:val="18"/>
                <w:szCs w:val="18"/>
              </w:rPr>
              <w:t>权益的其他 公司或企业） 将尽最大的</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创、科蓝盛</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努力减少或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合、科蓝银</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避免与科蓝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科、科蓝盈</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软件的关联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众、上海文</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交易，对于确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2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化、君研丰创</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属必要的关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联交易，应按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照公平、公允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和等价有偿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的原则进行，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并依据法律，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行政法规，中</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361.440002pt;margin-top:199.700027pt;width:62.15pt;height:563.75pt;mso-position-horizontal-relative:page;mso-position-vertical-relative:page;z-index:-1502920" type="#_x0000_t202" filled="false" stroked="false">
            <v:textbox inset="0,0,0,0">
              <w:txbxContent>
                <w:p>
                  <w:pPr>
                    <w:pStyle w:val="BodyText"/>
                    <w:spacing w:line="240" w:lineRule="auto" w:before="52"/>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7"/>
                      <w:szCs w:val="17"/>
                    </w:rPr>
                  </w:pPr>
                </w:p>
                <w:p>
                  <w:pPr>
                    <w:pStyle w:val="BodyText"/>
                    <w:spacing w:line="240" w:lineRule="auto"/>
                    <w:ind w:left="0" w:right="0"/>
                    <w:jc w:val="left"/>
                  </w:pPr>
                  <w:r>
                    <w:rPr/>
                    <w:t>、</w:t>
                  </w:r>
                </w:p>
              </w:txbxContent>
            </v:textbox>
            <w10:wrap type="none"/>
          </v:shape>
        </w:pict>
      </w:r>
      <w:r>
        <w:rPr/>
        <w:pict>
          <v:group style="position:absolute;margin-left:367.5pt;margin-top:199.700027pt;width:56.05pt;height:563.85pt;mso-position-horizontal-relative:page;mso-position-vertical-relative:page;z-index:-1502896" coordorigin="7350,3994" coordsize="1121,11277">
            <v:shape style="position:absolute;left:7350;top:3994;width:1121;height:11277" coordorigin="7350,3994" coordsize="1121,11277" path="m7350,3994l8471,3994,8471,15271,7350,15271,7350,3994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国证监会及</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的有关规定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和公司章程，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履行相应的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审议程序并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及时予以披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露。</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、预警条件</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当公司股票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个交易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日的收盘价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低于每股净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时，在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工作日内召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开投资者见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面会，与投资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者就上市公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司经营状况、</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财务指标、发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展战略进行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深入沟通；</w:t>
            </w:r>
            <w:r>
              <w:rPr>
                <w:rFonts w:ascii="Times New Roman" w:hAnsi="Times New Roman" w:cs="Times New Roman" w:eastAsia="Times New Roman" w:hint="default"/>
                <w:sz w:val="18"/>
                <w:szCs w:val="18"/>
              </w:rPr>
              <w:t>2</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启动条件：公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司股票自上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科蓝软件</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00" w:lineRule="auto" w:before="1"/>
              <w:ind w:left="24"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稳定股价 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20"/>
              <w:jc w:val="left"/>
              <w:rPr>
                <w:rFonts w:ascii="宋体" w:hAnsi="宋体" w:cs="宋体" w:eastAsia="宋体" w:hint="default"/>
                <w:sz w:val="18"/>
                <w:szCs w:val="18"/>
              </w:rPr>
            </w:pPr>
            <w:r>
              <w:rPr>
                <w:rFonts w:ascii="宋体" w:hAnsi="宋体" w:cs="宋体" w:eastAsia="宋体" w:hint="default"/>
                <w:sz w:val="18"/>
                <w:szCs w:val="18"/>
              </w:rPr>
              <w:t>市之日起三 </w:t>
            </w:r>
            <w:r>
              <w:rPr>
                <w:rFonts w:ascii="宋体" w:hAnsi="宋体" w:cs="宋体" w:eastAsia="宋体" w:hint="default"/>
                <w:spacing w:val="-2"/>
                <w:sz w:val="18"/>
                <w:szCs w:val="18"/>
              </w:rPr>
              <w:t>年内，当公司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个交易日的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收盘价低于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每股净资产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时，应当在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日内实施相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关稳定股价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的方案，并应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提前公告具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体实施方案。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、启动稳定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股价预案的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程序（</w:t>
            </w:r>
            <w:r>
              <w:rPr>
                <w:rFonts w:ascii="Times New Roman" w:hAnsi="Times New Roman" w:cs="Times New Roman" w:eastAsia="Times New Roman" w:hint="default"/>
                <w:sz w:val="18"/>
                <w:szCs w:val="18"/>
              </w:rPr>
              <w:t>1</w:t>
            </w:r>
            <w:r>
              <w:rPr>
                <w:rFonts w:ascii="宋体" w:hAnsi="宋体" w:cs="宋体" w:eastAsia="宋体" w:hint="default"/>
                <w:sz w:val="18"/>
                <w:szCs w:val="18"/>
              </w:rPr>
              <w:t>）公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司董事会办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公室负责本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公司前述触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发实施稳定</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股价方案条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件的监测，在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其监测到前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述触发实施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稳定股价方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案条件成就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4"/>
                <w:sz w:val="18"/>
                <w:szCs w:val="18"/>
              </w:rPr>
              <w:t>时，</w:t>
            </w:r>
            <w:r>
              <w:rPr>
                <w:rFonts w:ascii="Times New Roman" w:hAnsi="Times New Roman" w:cs="Times New Roman" w:eastAsia="Times New Roman" w:hint="default"/>
                <w:spacing w:val="-14"/>
                <w:sz w:val="18"/>
                <w:szCs w:val="18"/>
              </w:rPr>
              <w:t>10</w:t>
            </w:r>
            <w:r>
              <w:rPr>
                <w:rFonts w:ascii="Times New Roman" w:hAnsi="Times New Roman" w:cs="Times New Roman" w:eastAsia="Times New Roman" w:hint="default"/>
                <w:sz w:val="18"/>
                <w:szCs w:val="18"/>
              </w:rPr>
              <w:t> </w:t>
            </w:r>
            <w:r>
              <w:rPr>
                <w:rFonts w:ascii="宋体" w:hAnsi="宋体" w:cs="宋体" w:eastAsia="宋体" w:hint="default"/>
                <w:sz w:val="18"/>
                <w:szCs w:val="18"/>
              </w:rPr>
              <w:t>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日内召开董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事会讨论稳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定股价方案，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并经公司董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事会全体董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事二分之一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以上表决通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过</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5"/>
                <w:sz w:val="18"/>
                <w:szCs w:val="18"/>
              </w:rPr>
              <w:t>）</w:t>
            </w:r>
            <w:r>
              <w:rPr>
                <w:rFonts w:ascii="宋体" w:hAnsi="宋体" w:cs="宋体" w:eastAsia="宋体" w:hint="default"/>
                <w:sz w:val="18"/>
                <w:szCs w:val="18"/>
              </w:rPr>
              <w:t>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董事会应于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董事会表决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通过之日起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个交易日内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发出召开股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东大会的通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知，并于发出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股东大会会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议通知后的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个交易日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内召开股东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大会审议；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东大会对回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购股份做出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决议，须经出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席会议的股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东所持表决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权的三分之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二以上通过；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）在股东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大会审议通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过股份回购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方案后，公司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将依法通知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债权人，并向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证券监督管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理部门、证券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交易所等主</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166"/>
              <w:jc w:val="center"/>
              <w:rPr>
                <w:rFonts w:ascii="宋体" w:hAnsi="宋体" w:cs="宋体" w:eastAsia="宋体" w:hint="default"/>
                <w:sz w:val="18"/>
                <w:szCs w:val="18"/>
              </w:rPr>
            </w:pPr>
            <w:r>
              <w:rPr>
                <w:rFonts w:ascii="宋体" w:hAnsi="宋体" w:cs="宋体" w:eastAsia="宋体" w:hint="default"/>
                <w:sz w:val="18"/>
                <w:szCs w:val="18"/>
              </w:rPr>
              <w:t>管部门报送</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相关材料，办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理审批或备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案手续</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公司应在股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东大会决议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做出之日起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次日开始启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动回购程序，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并应在履行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相关法定手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9"/>
              <w:jc w:val="center"/>
              <w:rPr>
                <w:rFonts w:ascii="宋体" w:hAnsi="宋体" w:cs="宋体" w:eastAsia="宋体" w:hint="default"/>
                <w:sz w:val="18"/>
                <w:szCs w:val="18"/>
              </w:rPr>
            </w:pPr>
            <w:r>
              <w:rPr>
                <w:rFonts w:ascii="宋体" w:hAnsi="宋体" w:cs="宋体" w:eastAsia="宋体" w:hint="default"/>
                <w:sz w:val="18"/>
                <w:szCs w:val="18"/>
              </w:rPr>
              <w:t>续后的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交易日内实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施完毕</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6</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公司回购方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案实施完毕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pacing w:val="-3"/>
                <w:sz w:val="18"/>
                <w:szCs w:val="18"/>
              </w:rPr>
              <w:t>后，应在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交易日内公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告公司股份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变动报告，并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9"/>
              <w:jc w:val="center"/>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日内依法注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销所回购的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股份，办理工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商变更登记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9"/>
              <w:jc w:val="center"/>
              <w:rPr>
                <w:rFonts w:ascii="宋体" w:hAnsi="宋体" w:cs="宋体" w:eastAsia="宋体" w:hint="default"/>
                <w:sz w:val="18"/>
                <w:szCs w:val="18"/>
              </w:rPr>
            </w:pPr>
            <w:r>
              <w:rPr>
                <w:rFonts w:ascii="宋体" w:hAnsi="宋体" w:cs="宋体" w:eastAsia="宋体" w:hint="default"/>
                <w:sz w:val="18"/>
                <w:szCs w:val="18"/>
              </w:rPr>
              <w:t>手续。</w:t>
            </w:r>
            <w:r>
              <w:rPr>
                <w:rFonts w:ascii="Times New Roman" w:hAnsi="Times New Roman" w:cs="Times New Roman" w:eastAsia="Times New Roman" w:hint="default"/>
                <w:sz w:val="18"/>
                <w:szCs w:val="18"/>
              </w:rPr>
              <w:t>4</w:t>
            </w:r>
            <w:r>
              <w:rPr>
                <w:rFonts w:ascii="宋体" w:hAnsi="宋体" w:cs="宋体" w:eastAsia="宋体" w:hint="default"/>
                <w:sz w:val="18"/>
                <w:szCs w:val="18"/>
              </w:rPr>
              <w:t>、稳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定股价方案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的其他事项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9"/>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购股份的资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金为自有资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金，回购股份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的方式为集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中竞价交易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方式、要约方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式或证券监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督管理部门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认可的其他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方式。但如果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股份回购方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案实施前或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实施过程中，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22"/>
              <w:jc w:val="center"/>
              <w:rPr>
                <w:rFonts w:ascii="Times New Roman" w:hAnsi="Times New Roman" w:cs="Times New Roman" w:eastAsia="Times New Roman" w:hint="default"/>
                <w:sz w:val="18"/>
                <w:szCs w:val="18"/>
              </w:rPr>
            </w:pPr>
            <w:r>
              <w:rPr>
                <w:rFonts w:ascii="宋体" w:hAnsi="宋体" w:cs="宋体" w:eastAsia="宋体" w:hint="default"/>
                <w:sz w:val="18"/>
                <w:szCs w:val="18"/>
              </w:rPr>
              <w:t>价格连续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个交易日的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收盘价均高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于当日每股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净资产，则本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公司可不再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继续实施该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方案</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5"/>
                <w:sz w:val="18"/>
                <w:szCs w:val="18"/>
              </w:rPr>
              <w:t>）</w:t>
            </w:r>
            <w:r>
              <w:rPr>
                <w:rFonts w:ascii="宋体" w:hAnsi="宋体" w:cs="宋体" w:eastAsia="宋体" w:hint="default"/>
                <w:sz w:val="18"/>
                <w:szCs w:val="18"/>
              </w:rPr>
              <w:t>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司为稳定股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价之目的进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行股份回购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的，除应符合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相关法律法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规之要求之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外，还应符合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下列各项条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件：①公司单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一会计年度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用于回购股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份的资金总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额累计不超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过上一会计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年度经审计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的归属于母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公司的可分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配利润的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；②公司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单次回购股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份不超过当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次股份回购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方案实施前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公司总股本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；③公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司回购股份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不违反公司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签署的相关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协议的约定，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且不会导致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公司的股权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分布不符合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上市条件。</w:t>
            </w:r>
            <w:r>
              <w:rPr>
                <w:rFonts w:ascii="Times New Roman" w:hAnsi="Times New Roman" w:cs="Times New Roman" w:eastAsia="Times New Roman"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2"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、关于对公</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00" w:lineRule="auto"/>
              <w:ind w:left="24"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稳定股价 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3" w:right="190"/>
              <w:jc w:val="left"/>
              <w:rPr>
                <w:rFonts w:ascii="宋体" w:hAnsi="宋体" w:cs="宋体" w:eastAsia="宋体" w:hint="default"/>
                <w:sz w:val="18"/>
                <w:szCs w:val="18"/>
              </w:rPr>
            </w:pPr>
            <w:r>
              <w:rPr>
                <w:rFonts w:ascii="宋体" w:hAnsi="宋体" w:cs="宋体" w:eastAsia="宋体" w:hint="default"/>
                <w:sz w:val="18"/>
                <w:szCs w:val="18"/>
              </w:rPr>
              <w:t>司审议股份 回购方案进</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行投票的承</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361.440002pt;margin-top:72.400024pt;width:62.15pt;height:686.65pt;mso-position-horizontal-relative:page;mso-position-vertical-relative:page;z-index:-15028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4"/>
                      <w:szCs w:val="24"/>
                    </w:rPr>
                  </w:pPr>
                </w:p>
                <w:p>
                  <w:pPr>
                    <w:pStyle w:val="BodyText"/>
                    <w:spacing w:line="240" w:lineRule="auto"/>
                    <w:ind w:left="0" w:right="0"/>
                    <w:jc w:val="left"/>
                  </w:pPr>
                  <w:r>
                    <w:rPr/>
                    <w:t>、</w:t>
                  </w:r>
                </w:p>
              </w:txbxContent>
            </v:textbox>
            <w10:wrap type="none"/>
          </v:shape>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166"/>
              <w:jc w:val="center"/>
              <w:rPr>
                <w:rFonts w:ascii="宋体" w:hAnsi="宋体" w:cs="宋体" w:eastAsia="宋体" w:hint="default"/>
                <w:sz w:val="18"/>
                <w:szCs w:val="18"/>
              </w:rPr>
            </w:pPr>
            <w:r>
              <w:rPr>
                <w:rFonts w:ascii="宋体" w:hAnsi="宋体" w:cs="宋体" w:eastAsia="宋体" w:hint="default"/>
                <w:sz w:val="18"/>
                <w:szCs w:val="18"/>
              </w:rPr>
              <w:t>诺公司股票</w:t>
            </w:r>
          </w:p>
        </w:tc>
        <w:tc>
          <w:tcPr>
            <w:tcW w:w="1126" w:type="dxa"/>
            <w:vMerge w:val="restart"/>
            <w:tcBorders>
              <w:top w:val="single" w:sz="4" w:space="0" w:color="000000"/>
              <w:left w:val="single" w:sz="4" w:space="0" w:color="000000"/>
              <w:right w:val="single" w:sz="4" w:space="0" w:color="000000"/>
            </w:tcBorders>
          </w:tcPr>
          <w:p>
            <w:pPr>
              <w:pStyle w:val="TableParagraph"/>
              <w:spacing w:line="13733"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6.05pt;height:686.65pt;mso-position-horizontal-relative:char;mso-position-vertical-relative:line" coordorigin="0,0" coordsize="1121,13733">
                  <v:group style="position:absolute;left:0;top:0;width:1121;height:13733" coordorigin="0,0" coordsize="1121,13733">
                    <v:shape style="position:absolute;left:0;top:0;width:1121;height:13733" coordorigin="0,0" coordsize="1121,13733" path="m0,0l1121,0,1121,13733,0,13733,0,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自挂牌上市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之日起三年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内，一旦出现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9"/>
              <w:jc w:val="center"/>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易日公司股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票收盘价均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低于公司每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股净资产（每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股净资产为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公司最近一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期报告期期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末公告的每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股净资产，如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最近一期报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告期期末财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务数据公告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后至下一报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告期期末财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务数据公告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前期间因分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红、配股、转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增等情况导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致公司股份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或权益发生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变化时，则为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经调整后的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每股净资产，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下同）情形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时，则触发公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司回购股份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稳定股价的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义务。本人承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诺就公司稳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定股价方案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以本人的董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事身份在董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事会上投赞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成票，并以所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拥有的全部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表决票数在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股东大会上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6"/>
              <w:jc w:val="center"/>
              <w:rPr>
                <w:rFonts w:ascii="Times New Roman" w:hAnsi="Times New Roman" w:cs="Times New Roman" w:eastAsia="Times New Roman" w:hint="default"/>
                <w:sz w:val="18"/>
                <w:szCs w:val="18"/>
              </w:rPr>
            </w:pPr>
            <w:r>
              <w:rPr>
                <w:rFonts w:ascii="宋体" w:hAnsi="宋体" w:cs="宋体" w:eastAsia="宋体" w:hint="default"/>
                <w:sz w:val="18"/>
                <w:szCs w:val="18"/>
              </w:rPr>
              <w:t>投赞成票。</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0"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触发本人实</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166"/>
              <w:jc w:val="center"/>
              <w:rPr>
                <w:rFonts w:ascii="宋体" w:hAnsi="宋体" w:cs="宋体" w:eastAsia="宋体" w:hint="default"/>
                <w:sz w:val="18"/>
                <w:szCs w:val="18"/>
              </w:rPr>
            </w:pPr>
            <w:r>
              <w:rPr>
                <w:rFonts w:ascii="宋体" w:hAnsi="宋体" w:cs="宋体" w:eastAsia="宋体" w:hint="default"/>
                <w:sz w:val="18"/>
                <w:szCs w:val="18"/>
              </w:rPr>
              <w:t>施稳定股价</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方案的条件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在公司出现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上述需实施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稳定股价方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案的情形，且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出现公司回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购股份方案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实施期限届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满之日后的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连续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交易日，公司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的股票收盘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价均低于每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股净资产的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情形时，本人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将按照有关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法律法规的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规定，增持公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9"/>
              <w:jc w:val="center"/>
              <w:rPr>
                <w:rFonts w:ascii="宋体" w:hAnsi="宋体" w:cs="宋体" w:eastAsia="宋体" w:hint="default"/>
                <w:sz w:val="18"/>
                <w:szCs w:val="18"/>
              </w:rPr>
            </w:pPr>
            <w:r>
              <w:rPr>
                <w:rFonts w:ascii="宋体" w:hAnsi="宋体" w:cs="宋体" w:eastAsia="宋体" w:hint="default"/>
                <w:sz w:val="18"/>
                <w:szCs w:val="18"/>
              </w:rPr>
              <w:t>司股份。</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启动稳定股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价预案的程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9"/>
              <w:jc w:val="center"/>
              <w:rPr>
                <w:rFonts w:ascii="宋体" w:hAnsi="宋体" w:cs="宋体" w:eastAsia="宋体" w:hint="default"/>
                <w:sz w:val="18"/>
                <w:szCs w:val="18"/>
              </w:rPr>
            </w:pPr>
            <w:r>
              <w:rPr>
                <w:rFonts w:ascii="宋体" w:hAnsi="宋体" w:cs="宋体" w:eastAsia="宋体" w:hint="default"/>
                <w:sz w:val="18"/>
                <w:szCs w:val="18"/>
              </w:rPr>
              <w:t>序（</w:t>
            </w: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将于触发本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人实施稳定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股价方案的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23"/>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个交易日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内通知公司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董事会本人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增持公司股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份的计划，并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通过公司发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布增持公告；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9"/>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在增持公告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发布之日起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次日开始启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动增持，并应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在履行相关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法定手续后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易日内实施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9"/>
              <w:jc w:val="center"/>
              <w:rPr>
                <w:rFonts w:ascii="宋体" w:hAnsi="宋体" w:cs="宋体" w:eastAsia="宋体" w:hint="default"/>
                <w:sz w:val="18"/>
                <w:szCs w:val="18"/>
              </w:rPr>
            </w:pPr>
            <w:r>
              <w:rPr>
                <w:rFonts w:ascii="宋体" w:hAnsi="宋体" w:cs="宋体" w:eastAsia="宋体" w:hint="default"/>
                <w:sz w:val="18"/>
                <w:szCs w:val="18"/>
              </w:rPr>
              <w:t>完毕。</w:t>
            </w:r>
            <w:r>
              <w:rPr>
                <w:rFonts w:ascii="Times New Roman" w:hAnsi="Times New Roman" w:cs="Times New Roman" w:eastAsia="Times New Roman" w:hint="default"/>
                <w:sz w:val="18"/>
                <w:szCs w:val="18"/>
              </w:rPr>
              <w:t>4</w:t>
            </w:r>
            <w:r>
              <w:rPr>
                <w:rFonts w:ascii="宋体" w:hAnsi="宋体" w:cs="宋体" w:eastAsia="宋体" w:hint="default"/>
                <w:sz w:val="18"/>
                <w:szCs w:val="18"/>
              </w:rPr>
              <w:t>、稳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0"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定股价方案</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的其他事项</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增持股份的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方式为集中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竞价交易方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式、要约方式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或证券监督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管理部门认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可的其他方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式。在增持股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份不会导致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公司的股权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分布不符合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上市条件的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前提下，单次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用于增持的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资金总额不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低于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元，单次增持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股份不超过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当次股份增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持方案实施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前公司总股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如果股份增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持方案实施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前或实施过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程中，公司股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票价格连续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个交易日的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收盘价均高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于公司每股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净资产，则本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人可不再继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续实施该方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案。</w:t>
            </w:r>
            <w:r>
              <w:rPr>
                <w:rFonts w:ascii="Times New Roman" w:hAnsi="Times New Roman" w:cs="Times New Roman" w:eastAsia="Times New Roman"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2"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、触发公司</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王安京、郑仁</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董事及高级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寰、李国庆、</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管理人员实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3" w:right="9"/>
              <w:jc w:val="both"/>
              <w:rPr>
                <w:rFonts w:ascii="宋体" w:hAnsi="宋体" w:cs="宋体" w:eastAsia="宋体" w:hint="default"/>
                <w:sz w:val="18"/>
                <w:szCs w:val="18"/>
              </w:rPr>
            </w:pPr>
            <w:r>
              <w:rPr>
                <w:rFonts w:ascii="宋体" w:hAnsi="宋体" w:cs="宋体" w:eastAsia="宋体" w:hint="default"/>
                <w:sz w:val="18"/>
                <w:szCs w:val="18"/>
              </w:rPr>
              <w:t>马朝松、王方 圆、王缉志、 杨栋锐、郑晓</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00" w:lineRule="auto" w:before="157"/>
              <w:ind w:left="24"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稳定股价 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190"/>
              <w:jc w:val="both"/>
              <w:rPr>
                <w:rFonts w:ascii="宋体" w:hAnsi="宋体" w:cs="宋体" w:eastAsia="宋体" w:hint="default"/>
                <w:sz w:val="18"/>
                <w:szCs w:val="18"/>
              </w:rPr>
            </w:pPr>
            <w:r>
              <w:rPr>
                <w:rFonts w:ascii="宋体" w:hAnsi="宋体" w:cs="宋体" w:eastAsia="宋体" w:hint="default"/>
                <w:sz w:val="18"/>
                <w:szCs w:val="18"/>
              </w:rPr>
              <w:t>施稳定股价 方案的条件 在公司股票</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pacing w:val="-3"/>
                <w:sz w:val="18"/>
                <w:szCs w:val="18"/>
              </w:rPr>
              <w:t>武、周荣、周</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自挂牌上市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2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旭红</w:t>
            </w: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之日起三年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内，一旦出现</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361.440002pt;margin-top:72.400024pt;width:62.15pt;height:686.65pt;mso-position-horizontal-relative:page;mso-position-vertical-relative:page;z-index:-15028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4"/>
                      <w:szCs w:val="24"/>
                    </w:rPr>
                  </w:pPr>
                </w:p>
                <w:p>
                  <w:pPr>
                    <w:pStyle w:val="BodyText"/>
                    <w:spacing w:line="240" w:lineRule="auto"/>
                    <w:ind w:left="0" w:right="0"/>
                    <w:jc w:val="left"/>
                  </w:pPr>
                  <w:r>
                    <w:rPr/>
                    <w:t>、</w:t>
                  </w:r>
                </w:p>
              </w:txbxContent>
            </v:textbox>
            <w10:wrap type="none"/>
          </v:shape>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79"/>
              <w:jc w:val="center"/>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vMerge w:val="restart"/>
            <w:tcBorders>
              <w:top w:val="single" w:sz="4" w:space="0" w:color="000000"/>
              <w:left w:val="single" w:sz="4" w:space="0" w:color="000000"/>
              <w:right w:val="single" w:sz="4" w:space="0" w:color="000000"/>
            </w:tcBorders>
          </w:tcPr>
          <w:p>
            <w:pPr>
              <w:pStyle w:val="TableParagraph"/>
              <w:spacing w:line="13733"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6.05pt;height:686.65pt;mso-position-horizontal-relative:char;mso-position-vertical-relative:line" coordorigin="0,0" coordsize="1121,13733">
                  <v:group style="position:absolute;left:0;top:0;width:1121;height:13733" coordorigin="0,0" coordsize="1121,13733">
                    <v:shape style="position:absolute;left:0;top:0;width:1121;height:13733" coordorigin="0,0" coordsize="1121,13733" path="m0,0l1121,0,1121,13733,0,13733,0,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易日公司股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票收盘价均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低于公司每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股净资产（每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股净资产为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公司最近一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期报告期期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末公告的每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股净资产，如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最近一期报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告期期末财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务数据公告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后至下一报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告期期末财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务数据公告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前期间因分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红、配股、转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增等情况导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致公司股份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或权益发生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变化时，则为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经调整后的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每股净资产，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下同）情形，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且出现公司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控股股东、实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际控制人增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持公司股份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方案实施期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限届满之日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后的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交易日，公司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股票的收盘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价均低于公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司每股净资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产的情形时，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公司董事及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员将按照有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关法律法规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的规定，增持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6"/>
              <w:jc w:val="center"/>
              <w:rPr>
                <w:rFonts w:ascii="Times New Roman" w:hAnsi="Times New Roman" w:cs="Times New Roman" w:eastAsia="Times New Roman" w:hint="default"/>
                <w:sz w:val="18"/>
                <w:szCs w:val="18"/>
              </w:rPr>
            </w:pPr>
            <w:r>
              <w:rPr>
                <w:rFonts w:ascii="宋体" w:hAnsi="宋体" w:cs="宋体" w:eastAsia="宋体" w:hint="default"/>
                <w:sz w:val="18"/>
                <w:szCs w:val="18"/>
              </w:rPr>
              <w:t>公司股份。</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0"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实施稳定股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166"/>
              <w:jc w:val="center"/>
              <w:rPr>
                <w:rFonts w:ascii="宋体" w:hAnsi="宋体" w:cs="宋体" w:eastAsia="宋体" w:hint="default"/>
                <w:sz w:val="18"/>
                <w:szCs w:val="18"/>
              </w:rPr>
            </w:pPr>
            <w:r>
              <w:rPr>
                <w:rFonts w:ascii="宋体" w:hAnsi="宋体" w:cs="宋体" w:eastAsia="宋体" w:hint="default"/>
                <w:sz w:val="18"/>
                <w:szCs w:val="18"/>
              </w:rPr>
              <w:t>价方案的程</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9"/>
              <w:jc w:val="center"/>
              <w:rPr>
                <w:rFonts w:ascii="宋体" w:hAnsi="宋体" w:cs="宋体" w:eastAsia="宋体" w:hint="default"/>
                <w:sz w:val="18"/>
                <w:szCs w:val="18"/>
              </w:rPr>
            </w:pPr>
            <w:r>
              <w:rPr>
                <w:rFonts w:ascii="宋体" w:hAnsi="宋体" w:cs="宋体" w:eastAsia="宋体" w:hint="default"/>
                <w:sz w:val="18"/>
                <w:szCs w:val="18"/>
              </w:rPr>
              <w:t>序（</w:t>
            </w:r>
            <w:r>
              <w:rPr>
                <w:rFonts w:ascii="Times New Roman" w:hAnsi="Times New Roman" w:cs="Times New Roman" w:eastAsia="Times New Roman" w:hint="default"/>
                <w:sz w:val="18"/>
                <w:szCs w:val="18"/>
              </w:rPr>
              <w:t>1</w:t>
            </w:r>
            <w:r>
              <w:rPr>
                <w:rFonts w:ascii="宋体" w:hAnsi="宋体" w:cs="宋体" w:eastAsia="宋体" w:hint="default"/>
                <w:sz w:val="18"/>
                <w:szCs w:val="18"/>
              </w:rPr>
              <w:t>）公司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董事及高级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管理于触发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其实施稳定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股价方案的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23"/>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个交易日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内通知公司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董事会增持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公司股份的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计划，并通过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公司发布增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持公告</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公司董事及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高级管理将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在增持公告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发布之日起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次日开始启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动增持，并应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在履行相关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法定手续后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易日内实施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9"/>
              <w:jc w:val="center"/>
              <w:rPr>
                <w:rFonts w:ascii="宋体" w:hAnsi="宋体" w:cs="宋体" w:eastAsia="宋体" w:hint="default"/>
                <w:sz w:val="18"/>
                <w:szCs w:val="18"/>
              </w:rPr>
            </w:pPr>
            <w:r>
              <w:rPr>
                <w:rFonts w:ascii="宋体" w:hAnsi="宋体" w:cs="宋体" w:eastAsia="宋体" w:hint="default"/>
                <w:sz w:val="18"/>
                <w:szCs w:val="18"/>
              </w:rPr>
              <w:t>完毕。</w:t>
            </w:r>
            <w:r>
              <w:rPr>
                <w:rFonts w:ascii="Times New Roman" w:hAnsi="Times New Roman" w:cs="Times New Roman" w:eastAsia="Times New Roman" w:hint="default"/>
                <w:sz w:val="18"/>
                <w:szCs w:val="18"/>
              </w:rPr>
              <w:t>3</w:t>
            </w:r>
            <w:r>
              <w:rPr>
                <w:rFonts w:ascii="宋体" w:hAnsi="宋体" w:cs="宋体" w:eastAsia="宋体" w:hint="default"/>
                <w:sz w:val="18"/>
                <w:szCs w:val="18"/>
              </w:rPr>
              <w:t>、稳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定股价方案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的其他事项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增持股份的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方式为集中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竞价交易方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式、要约方式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或证券监督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管理部门认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可的其他方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式。在增持股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份不会导致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公司的股权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分布不符合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上市条件的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前提下，单次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用于增持的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资金总额不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低于在担任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公司董事、高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footerReference w:type="default" r:id="rId16"/>
          <w:pgSz w:w="11910" w:h="16840"/>
          <w:pgMar w:footer="978" w:header="746" w:top="1060" w:bottom="1160" w:left="1020" w:right="0"/>
          <w:pgNumType w:start="5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166"/>
              <w:jc w:val="center"/>
              <w:rPr>
                <w:rFonts w:ascii="宋体" w:hAnsi="宋体" w:cs="宋体" w:eastAsia="宋体" w:hint="default"/>
                <w:sz w:val="18"/>
                <w:szCs w:val="18"/>
              </w:rPr>
            </w:pPr>
            <w:r>
              <w:rPr>
                <w:rFonts w:ascii="宋体" w:hAnsi="宋体" w:cs="宋体" w:eastAsia="宋体" w:hint="default"/>
                <w:sz w:val="18"/>
                <w:szCs w:val="18"/>
              </w:rPr>
              <w:t>期间上一会</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计年度从公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司处领取的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税后薪酬累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2"/>
              <w:jc w:val="center"/>
              <w:rPr>
                <w:rFonts w:ascii="宋体" w:hAnsi="宋体" w:cs="宋体" w:eastAsia="宋体" w:hint="default"/>
                <w:sz w:val="18"/>
                <w:szCs w:val="18"/>
              </w:rPr>
            </w:pPr>
            <w:r>
              <w:rPr>
                <w:rFonts w:ascii="宋体" w:hAnsi="宋体" w:cs="宋体" w:eastAsia="宋体" w:hint="default"/>
                <w:sz w:val="18"/>
                <w:szCs w:val="18"/>
              </w:rPr>
              <w:t>计额的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单一年度用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以稳定股价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所动用的资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金应不超过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在担任公司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董事、高级管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理人员期间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上一会计年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度从公司处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领取的税后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薪酬累计额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50%</w:t>
            </w:r>
            <w:r>
              <w:rPr>
                <w:rFonts w:ascii="宋体" w:hAnsi="宋体" w:cs="宋体" w:eastAsia="宋体" w:hint="default"/>
                <w:spacing w:val="-4"/>
                <w:sz w:val="18"/>
                <w:szCs w:val="18"/>
              </w:rPr>
              <w:t>。但如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果股份增持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方案实施前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或实施过程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中，公司股票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价格连续</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交易日的收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盘价均高于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公司每股净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资产，则公司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董事及高级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管理人员可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不再继续实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93"/>
              <w:jc w:val="center"/>
              <w:rPr>
                <w:rFonts w:ascii="Times New Roman" w:hAnsi="Times New Roman" w:cs="Times New Roman" w:eastAsia="Times New Roman" w:hint="default"/>
                <w:sz w:val="18"/>
                <w:szCs w:val="18"/>
              </w:rPr>
            </w:pPr>
            <w:r>
              <w:rPr>
                <w:rFonts w:ascii="宋体" w:hAnsi="宋体" w:cs="宋体" w:eastAsia="宋体" w:hint="default"/>
                <w:sz w:val="18"/>
                <w:szCs w:val="18"/>
              </w:rPr>
              <w:t>施该方案。</w:t>
            </w:r>
            <w:r>
              <w:rPr>
                <w:rFonts w:ascii="Times New Roman" w:hAnsi="Times New Roman" w:cs="Times New Roman" w:eastAsia="Times New Roman"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、自承诺函</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1" w:right="0"/>
              <w:jc w:val="center"/>
              <w:rPr>
                <w:rFonts w:ascii="宋体" w:hAnsi="宋体" w:cs="宋体" w:eastAsia="宋体" w:hint="default"/>
                <w:sz w:val="18"/>
                <w:szCs w:val="18"/>
              </w:rPr>
            </w:pPr>
            <w:r>
              <w:rPr>
                <w:rFonts w:ascii="宋体" w:hAnsi="宋体" w:cs="宋体" w:eastAsia="宋体" w:hint="default"/>
                <w:sz w:val="18"/>
                <w:szCs w:val="18"/>
              </w:rPr>
              <w:t>签署之日起，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本人及本人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控制的公司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将不开发、生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产、销售任何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4" w:right="190"/>
              <w:jc w:val="left"/>
              <w:rPr>
                <w:rFonts w:ascii="宋体" w:hAnsi="宋体" w:cs="宋体" w:eastAsia="宋体" w:hint="default"/>
                <w:sz w:val="18"/>
                <w:szCs w:val="18"/>
              </w:rPr>
            </w:pPr>
            <w:r>
              <w:rPr>
                <w:rFonts w:ascii="宋体" w:hAnsi="宋体" w:cs="宋体" w:eastAsia="宋体" w:hint="default"/>
                <w:sz w:val="18"/>
                <w:szCs w:val="18"/>
              </w:rPr>
              <w:t>避免同业竞 争</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190"/>
              <w:jc w:val="left"/>
              <w:rPr>
                <w:rFonts w:ascii="宋体" w:hAnsi="宋体" w:cs="宋体" w:eastAsia="宋体" w:hint="default"/>
                <w:sz w:val="18"/>
                <w:szCs w:val="18"/>
              </w:rPr>
            </w:pPr>
            <w:r>
              <w:rPr>
                <w:rFonts w:ascii="宋体" w:hAnsi="宋体" w:cs="宋体" w:eastAsia="宋体" w:hint="default"/>
                <w:sz w:val="18"/>
                <w:szCs w:val="18"/>
              </w:rPr>
              <w:t>与科蓝软件 生产的产品</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构成竞争或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可能构成竞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争的产品，不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经营任何与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科蓝软件经</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361.440002pt;margin-top:72.400024pt;width:62.15pt;height:686.65pt;mso-position-horizontal-relative:page;mso-position-vertical-relative:page;z-index:-15027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8"/>
                    <w:ind w:left="0" w:right="0"/>
                    <w:jc w:val="left"/>
                  </w:pPr>
                  <w:r>
                    <w:rPr/>
                    <w:t>、</w:t>
                  </w:r>
                </w:p>
              </w:txbxContent>
            </v:textbox>
            <w10:wrap type="none"/>
          </v:shape>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166"/>
              <w:jc w:val="center"/>
              <w:rPr>
                <w:rFonts w:ascii="宋体" w:hAnsi="宋体" w:cs="宋体" w:eastAsia="宋体" w:hint="default"/>
                <w:sz w:val="18"/>
                <w:szCs w:val="18"/>
              </w:rPr>
            </w:pPr>
            <w:r>
              <w:rPr>
                <w:rFonts w:ascii="宋体" w:hAnsi="宋体" w:cs="宋体" w:eastAsia="宋体" w:hint="default"/>
                <w:sz w:val="18"/>
                <w:szCs w:val="18"/>
              </w:rPr>
              <w:t>营的业务构</w:t>
            </w:r>
          </w:p>
        </w:tc>
        <w:tc>
          <w:tcPr>
            <w:tcW w:w="1126" w:type="dxa"/>
            <w:vMerge w:val="restart"/>
            <w:tcBorders>
              <w:top w:val="single" w:sz="4" w:space="0" w:color="000000"/>
              <w:left w:val="single" w:sz="4" w:space="0" w:color="000000"/>
              <w:right w:val="single" w:sz="4" w:space="0" w:color="000000"/>
            </w:tcBorders>
          </w:tcPr>
          <w:p>
            <w:pPr>
              <w:pStyle w:val="TableParagraph"/>
              <w:spacing w:line="13733"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6.05pt;height:686.65pt;mso-position-horizontal-relative:char;mso-position-vertical-relative:line" coordorigin="0,0" coordsize="1121,13733">
                  <v:group style="position:absolute;left:0;top:0;width:1121;height:13733" coordorigin="0,0" coordsize="1121,13733">
                    <v:shape style="position:absolute;left:0;top:0;width:1121;height:13733" coordorigin="0,0" coordsize="1121,13733" path="m0,0l1121,0,1121,13733,0,13733,0,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成竞争或可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能构成竞争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的业务，也不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参与投资任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何与科蓝软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件生产的产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品或经营的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业务构成竞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争或可能构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成竞争的其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他企业，并保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证本人及与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本人关系密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切的家庭成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员不直接或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间接从事、参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与或进行与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科蓝软件的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生产、经营相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竞争的任何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6"/>
              <w:jc w:val="center"/>
              <w:rPr>
                <w:rFonts w:ascii="Times New Roman" w:hAnsi="Times New Roman" w:cs="Times New Roman" w:eastAsia="Times New Roman" w:hint="default"/>
                <w:sz w:val="18"/>
                <w:szCs w:val="18"/>
              </w:rPr>
            </w:pPr>
            <w:r>
              <w:rPr>
                <w:rFonts w:ascii="宋体" w:hAnsi="宋体" w:cs="宋体" w:eastAsia="宋体" w:hint="default"/>
                <w:sz w:val="18"/>
                <w:szCs w:val="18"/>
              </w:rPr>
              <w:t>经营活动；</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自承诺函签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署之日起，如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科蓝软件进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一步拓展产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品和业务范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围，本人及本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人控制的公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司将不与科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蓝软件拓展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后的产品或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业务相竞争；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若与科蓝软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件拓展后的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产品或业务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产生竞争，则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本人及本人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控制的公司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将以停止生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产或经营相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竞争的业务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或产品的方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式，或者将相</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竞争的业务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纳入到科蓝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软件经营的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方式，或者将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相竞争的业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务转让给无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关联关系的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第三方的方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式避免同业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竞争；</w:t>
            </w:r>
            <w:r>
              <w:rPr>
                <w:rFonts w:ascii="Times New Roman" w:hAnsi="Times New Roman" w:cs="Times New Roman" w:eastAsia="Times New Roman" w:hint="default"/>
                <w:sz w:val="18"/>
                <w:szCs w:val="18"/>
              </w:rPr>
              <w:t>3</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人愿意承担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由于违反上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述承诺给科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蓝软件造成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的直接、间接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的经济损失、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索赔责任及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额外的费用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支出；</w:t>
            </w:r>
            <w:r>
              <w:rPr>
                <w:rFonts w:ascii="Times New Roman" w:hAnsi="Times New Roman" w:cs="Times New Roman" w:eastAsia="Times New Roman" w:hint="default"/>
                <w:sz w:val="18"/>
                <w:szCs w:val="18"/>
              </w:rPr>
              <w:t>4</w:t>
            </w:r>
            <w:r>
              <w:rPr>
                <w:rFonts w:ascii="宋体" w:hAnsi="宋体" w:cs="宋体" w:eastAsia="宋体" w:hint="default"/>
                <w:sz w:val="18"/>
                <w:szCs w:val="18"/>
              </w:rPr>
              <w:t>、在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本人及本人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控制的公司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与科蓝软件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存在关联关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系期间，本承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诺函有效。</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公司首次公</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开发行招股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说明书不存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在虚假记载、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误导性陈述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2808"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3" w:right="9"/>
              <w:jc w:val="left"/>
              <w:rPr>
                <w:rFonts w:ascii="宋体" w:hAnsi="宋体" w:cs="宋体" w:eastAsia="宋体" w:hint="default"/>
                <w:sz w:val="18"/>
                <w:szCs w:val="18"/>
              </w:rPr>
            </w:pPr>
            <w:r>
              <w:rPr>
                <w:rFonts w:ascii="宋体" w:hAnsi="宋体" w:cs="宋体" w:eastAsia="宋体" w:hint="default"/>
                <w:sz w:val="18"/>
                <w:szCs w:val="18"/>
              </w:rPr>
              <w:t>王安京、郑仁 寰、李国庆、 马朝松、王方 圆、王缉志、 杨栋锐、郑晓 武、周海朗、 宋建彪、周 荣、周旭红</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0"/>
              <w:ind w:left="24" w:right="22"/>
              <w:jc w:val="left"/>
              <w:rPr>
                <w:rFonts w:ascii="宋体" w:hAnsi="宋体" w:cs="宋体" w:eastAsia="宋体" w:hint="default"/>
                <w:sz w:val="18"/>
                <w:szCs w:val="18"/>
              </w:rPr>
            </w:pPr>
            <w:r>
              <w:rPr>
                <w:rFonts w:ascii="宋体" w:hAnsi="宋体" w:cs="宋体" w:eastAsia="宋体" w:hint="default"/>
                <w:sz w:val="18"/>
                <w:szCs w:val="18"/>
              </w:rPr>
              <w:t>不存在虚假 </w:t>
            </w:r>
            <w:r>
              <w:rPr>
                <w:rFonts w:ascii="宋体" w:hAnsi="宋体" w:cs="宋体" w:eastAsia="宋体" w:hint="default"/>
                <w:spacing w:val="-2"/>
                <w:sz w:val="18"/>
                <w:szCs w:val="18"/>
              </w:rPr>
              <w:t>记载、误导性</w:t>
            </w:r>
            <w:r>
              <w:rPr>
                <w:rFonts w:ascii="宋体" w:hAnsi="宋体" w:cs="宋体" w:eastAsia="宋体" w:hint="default"/>
                <w:sz w:val="18"/>
                <w:szCs w:val="18"/>
              </w:rPr>
              <w:t> 陈述或重大 遗漏的承诺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或者重大遗 漏。</w:t>
            </w:r>
            <w:r>
              <w:rPr>
                <w:rFonts w:ascii="Times New Roman" w:hAnsi="Times New Roman" w:cs="Times New Roman" w:eastAsia="Times New Roman" w:hint="default"/>
                <w:sz w:val="18"/>
                <w:szCs w:val="18"/>
              </w:rPr>
              <w:t>2.</w:t>
            </w:r>
            <w:r>
              <w:rPr>
                <w:rFonts w:ascii="宋体" w:hAnsi="宋体" w:cs="宋体" w:eastAsia="宋体" w:hint="default"/>
                <w:sz w:val="18"/>
                <w:szCs w:val="18"/>
              </w:rPr>
              <w:t>如公司 本次公开发 行招股说明 书有虚假记 </w:t>
            </w:r>
            <w:r>
              <w:rPr>
                <w:rFonts w:ascii="宋体" w:hAnsi="宋体" w:cs="宋体" w:eastAsia="宋体" w:hint="default"/>
                <w:spacing w:val="-2"/>
                <w:sz w:val="18"/>
                <w:szCs w:val="18"/>
              </w:rPr>
              <w:t>载、误导性陈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述或者重大 </w:t>
            </w:r>
            <w:r>
              <w:rPr>
                <w:rFonts w:ascii="宋体" w:hAnsi="宋体" w:cs="宋体" w:eastAsia="宋体" w:hint="default"/>
                <w:spacing w:val="-2"/>
                <w:sz w:val="18"/>
                <w:szCs w:val="18"/>
              </w:rPr>
              <w:t>遗漏，致使投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资者在证券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交易中遭受</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损失的，本人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将在该等违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法事实被中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国证监会认</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group style="position:absolute;margin-left:367.5pt;margin-top:121.700027pt;width:56.05pt;height:641.85pt;mso-position-horizontal-relative:page;mso-position-vertical-relative:page;z-index:-1502728" coordorigin="7350,2434" coordsize="1121,12837">
            <v:shape style="position:absolute;left:7350;top:2434;width:1121;height:12837" coordorigin="7350,2434" coordsize="1121,12837" path="m7350,2434l8471,2434,8471,15271,7350,15271,7350,2434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79"/>
              <w:jc w:val="center"/>
              <w:rPr>
                <w:rFonts w:ascii="宋体" w:hAnsi="宋体" w:cs="宋体" w:eastAsia="宋体" w:hint="default"/>
                <w:sz w:val="18"/>
                <w:szCs w:val="18"/>
              </w:rPr>
            </w:pPr>
            <w:r>
              <w:rPr>
                <w:rFonts w:ascii="宋体" w:hAnsi="宋体" w:cs="宋体" w:eastAsia="宋体" w:hint="default"/>
                <w:sz w:val="18"/>
                <w:szCs w:val="18"/>
              </w:rPr>
              <w:t>定后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天内</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依法赔偿投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资者损失。</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一）利润分配</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的原则：公司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实施连续、稳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定的利润分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配政策，公司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利润分配应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重视对投资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者的合理投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资回报，并兼</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顾公司的可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持续发展。在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满足公司正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常生产经营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的资金需求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情况下，如无</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重大投资计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划或重大现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金支出等事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项发生，公司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51"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科蓝软件</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4" w:right="190"/>
              <w:jc w:val="both"/>
              <w:rPr>
                <w:rFonts w:ascii="宋体" w:hAnsi="宋体" w:cs="宋体" w:eastAsia="宋体" w:hint="default"/>
                <w:sz w:val="18"/>
                <w:szCs w:val="18"/>
              </w:rPr>
            </w:pPr>
            <w:r>
              <w:rPr>
                <w:rFonts w:ascii="宋体" w:hAnsi="宋体" w:cs="宋体" w:eastAsia="宋体" w:hint="default"/>
                <w:sz w:val="18"/>
                <w:szCs w:val="18"/>
              </w:rPr>
              <w:t>关于执行利 润分配的承 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133"/>
              <w:jc w:val="both"/>
              <w:rPr>
                <w:rFonts w:ascii="宋体" w:hAnsi="宋体" w:cs="宋体" w:eastAsia="宋体" w:hint="default"/>
                <w:sz w:val="18"/>
                <w:szCs w:val="18"/>
              </w:rPr>
            </w:pPr>
            <w:r>
              <w:rPr>
                <w:rFonts w:ascii="宋体" w:hAnsi="宋体" w:cs="宋体" w:eastAsia="宋体" w:hint="default"/>
                <w:sz w:val="18"/>
                <w:szCs w:val="18"/>
              </w:rPr>
              <w:t>将积极采取 现金方式分 配利润。</w:t>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12" w:lineRule="exact"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p>
            <w:pPr>
              <w:pStyle w:val="TableParagraph"/>
              <w:spacing w:line="199" w:lineRule="exact"/>
              <w:ind w:left="-145"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利润分配的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方式：公司可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以采用现金、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股票、现金与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股票相结合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或者法律法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规允许的其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他方式分配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利润。其中，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在利润分配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方式的分配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顺序上现金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分红优先于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股票分配。具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备现金分红</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条件的，公司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应当优先采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用现金分红</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进行利润分</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配，且每年以</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现金方式分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配的利润应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不低于当年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实现的可分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配利润的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。其中，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公司实施现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金分红时须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同时满足下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列条件：</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公司该年度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实现的可分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配利润（即公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司弥补亏损、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提取公积金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后所余的税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后利润）为正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值、且现金流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充裕，实施现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金分红不会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影响公司后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续持续经营；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11"/>
                <w:sz w:val="18"/>
                <w:szCs w:val="18"/>
              </w:rPr>
              <w:t> </w:t>
            </w:r>
            <w:r>
              <w:rPr>
                <w:rFonts w:ascii="宋体" w:hAnsi="宋体" w:cs="宋体" w:eastAsia="宋体" w:hint="default"/>
                <w:sz w:val="18"/>
                <w:szCs w:val="18"/>
              </w:rPr>
              <w:t>审计机构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对公司的该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年度财务报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告出具标准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无保留意见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的审计报告。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三）公司应保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持利润分配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政策的连续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性与稳定性，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并综合考虑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所处行业特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点、发展阶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段、自身经营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模式、盈利水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平以及是否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有重大资金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支出安排等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因素，制定以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下差异化的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现金分红政</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策：</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11"/>
                <w:sz w:val="18"/>
                <w:szCs w:val="18"/>
              </w:rPr>
              <w:t> </w:t>
            </w:r>
            <w:r>
              <w:rPr>
                <w:rFonts w:ascii="宋体" w:hAnsi="宋体" w:cs="宋体" w:eastAsia="宋体" w:hint="default"/>
                <w:sz w:val="18"/>
                <w:szCs w:val="18"/>
              </w:rPr>
              <w:t>当公</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司发展阶段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属成熟期且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无重大资金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支出安排的，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进行利润分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配时，现金分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红在本次利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润分配中所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占比例最低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应达到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80%;2</w:t>
            </w:r>
            <w:r>
              <w:rPr>
                <w:rFonts w:ascii="宋体" w:hAnsi="宋体" w:cs="宋体" w:eastAsia="宋体" w:hint="default"/>
                <w:sz w:val="18"/>
                <w:szCs w:val="18"/>
              </w:rPr>
              <w:t>、</w:t>
            </w:r>
            <w:r>
              <w:rPr>
                <w:rFonts w:ascii="宋体" w:hAnsi="宋体" w:cs="宋体" w:eastAsia="宋体" w:hint="default"/>
                <w:spacing w:val="-34"/>
                <w:sz w:val="18"/>
                <w:szCs w:val="18"/>
              </w:rPr>
              <w:t> </w:t>
            </w:r>
            <w:r>
              <w:rPr>
                <w:rFonts w:ascii="宋体" w:hAnsi="宋体" w:cs="宋体" w:eastAsia="宋体" w:hint="default"/>
                <w:sz w:val="18"/>
                <w:szCs w:val="18"/>
              </w:rPr>
              <w:t>当公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司发展阶段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属成熟期且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有重大资金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支出安排的，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进行利润分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配时，现金分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红在本次利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润分配中所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占比例最低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应达到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40%;3</w:t>
            </w:r>
            <w:r>
              <w:rPr>
                <w:rFonts w:ascii="宋体" w:hAnsi="宋体" w:cs="宋体" w:eastAsia="宋体" w:hint="default"/>
                <w:sz w:val="18"/>
                <w:szCs w:val="18"/>
              </w:rPr>
              <w:t>、</w:t>
            </w:r>
            <w:r>
              <w:rPr>
                <w:rFonts w:ascii="宋体" w:hAnsi="宋体" w:cs="宋体" w:eastAsia="宋体" w:hint="default"/>
                <w:spacing w:val="-34"/>
                <w:sz w:val="18"/>
                <w:szCs w:val="18"/>
              </w:rPr>
              <w:t> </w:t>
            </w:r>
            <w:r>
              <w:rPr>
                <w:rFonts w:ascii="宋体" w:hAnsi="宋体" w:cs="宋体" w:eastAsia="宋体" w:hint="default"/>
                <w:sz w:val="18"/>
                <w:szCs w:val="18"/>
              </w:rPr>
              <w:t>当公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司发展阶段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属成长期且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有重大资金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支出安排的，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进行利润分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配时，现金分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红在本次利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润分配中所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占比例最低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2"/>
              <w:jc w:val="left"/>
              <w:rPr>
                <w:rFonts w:ascii="宋体" w:hAnsi="宋体" w:cs="宋体" w:eastAsia="宋体" w:hint="default"/>
                <w:sz w:val="18"/>
                <w:szCs w:val="18"/>
              </w:rPr>
            </w:pPr>
            <w:r>
              <w:rPr>
                <w:rFonts w:ascii="宋体" w:hAnsi="宋体" w:cs="宋体" w:eastAsia="宋体" w:hint="default"/>
                <w:sz w:val="18"/>
                <w:szCs w:val="18"/>
              </w:rPr>
              <w:t>应达到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公司发展阶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段不易区分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但有重大资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金支出安排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的，可以按照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前项规定处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0"/>
                <w:sz w:val="18"/>
                <w:szCs w:val="18"/>
              </w:rPr>
              <w:t>理。</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四）在符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合现金分红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条件情况下，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公司原则上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每年进行一</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次现金分红，</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可以根据公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司的盈利状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况及资金需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求状况提议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公司进行中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期现金分红。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五）公司可以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根据年度的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盈利情况及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现金流状况，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在保证最低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现金分红比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例和公司股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本规模及股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权结构合理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的前提下，注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重股本扩张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与业绩增长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保持同步，在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确保足额现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金股利分配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的前提下，公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司可以另行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采取股票股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利分配的方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式进行利润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0"/>
                <w:sz w:val="18"/>
                <w:szCs w:val="18"/>
              </w:rPr>
              <w:t>分配。</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六）公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司利润分配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不得超过累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计可分配利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润的范围，不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得损害公司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持续经营能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0"/>
                <w:sz w:val="18"/>
                <w:szCs w:val="18"/>
              </w:rPr>
              <w:t>力。</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七）公司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每年利润分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配预案由公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司管理层、董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事会结合公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司章程的规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定、盈利情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况、资金需求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和股东回报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group style="position:absolute;margin-left:367.5pt;margin-top:72.400024pt;width:56.05pt;height:686.65pt;mso-position-horizontal-relative:page;mso-position-vertical-relative:page;z-index:-1502704" coordorigin="7350,1448" coordsize="1121,13733">
            <v:shape style="position:absolute;left:7350;top:1448;width:1121;height:13733" coordorigin="7350,1448" coordsize="1121,13733" path="m7350,1448l8471,1448,8471,15181,7350,15181,7350,1448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规划提出、拟</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定，经董事会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审议通过后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提交股东大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会批准。董事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会、独立董事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和符合一定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条件的股东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可以向公司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股东征集其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在股东大会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上的投票权。</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独立董事应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对利润分配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预案独立发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表意见并公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9"/>
              <w:jc w:val="center"/>
              <w:rPr>
                <w:rFonts w:ascii="宋体" w:hAnsi="宋体" w:cs="宋体" w:eastAsia="宋体" w:hint="default"/>
                <w:sz w:val="18"/>
                <w:szCs w:val="18"/>
              </w:rPr>
            </w:pPr>
            <w:r>
              <w:rPr>
                <w:rFonts w:ascii="宋体" w:hAnsi="宋体" w:cs="宋体" w:eastAsia="宋体" w:hint="default"/>
                <w:sz w:val="18"/>
                <w:szCs w:val="18"/>
              </w:rPr>
              <w:t>开披露。</w:t>
            </w:r>
            <w:r>
              <w:rPr>
                <w:rFonts w:ascii="Times New Roman" w:hAnsi="Times New Roman" w:cs="Times New Roman" w:eastAsia="Times New Roman" w:hint="default"/>
                <w:sz w:val="18"/>
                <w:szCs w:val="18"/>
              </w:rPr>
              <w:t>(</w:t>
            </w:r>
            <w:r>
              <w:rPr>
                <w:rFonts w:ascii="宋体" w:hAnsi="宋体" w:cs="宋体" w:eastAsia="宋体" w:hint="default"/>
                <w:sz w:val="18"/>
                <w:szCs w:val="18"/>
              </w:rPr>
              <w:t>八</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45"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董事会审议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现金分红具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体方案时，应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当认真研究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和论证公司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现金分红的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时机、条件和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最低比例、调</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整的条件及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其决策程序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要求等事宜，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独立董事应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当发表明确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pacing w:val="-10"/>
                <w:sz w:val="18"/>
                <w:szCs w:val="18"/>
              </w:rPr>
              <w:t>意见。</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九）股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东大会对现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金分红具体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方案进行审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议时，应当通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过多种渠道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主动与股东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特别是中小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股东进行沟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通和交流（包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括但不限于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提供网络投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票表决、邀请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中小股东参</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79"/>
              <w:jc w:val="center"/>
              <w:rPr>
                <w:rFonts w:ascii="宋体" w:hAnsi="宋体" w:cs="宋体" w:eastAsia="宋体" w:hint="default"/>
                <w:sz w:val="18"/>
                <w:szCs w:val="18"/>
              </w:rPr>
            </w:pPr>
            <w:r>
              <w:rPr>
                <w:rFonts w:ascii="宋体" w:hAnsi="宋体" w:cs="宋体" w:eastAsia="宋体" w:hint="default"/>
                <w:sz w:val="18"/>
                <w:szCs w:val="18"/>
              </w:rPr>
              <w:t>会等</w:t>
            </w:r>
            <w:r>
              <w:rPr>
                <w:rFonts w:ascii="宋体" w:hAnsi="宋体" w:cs="宋体" w:eastAsia="宋体" w:hint="default"/>
                <w:spacing w:val="-92"/>
                <w:sz w:val="18"/>
                <w:szCs w:val="18"/>
              </w:rPr>
              <w:t>）</w:t>
            </w:r>
            <w:r>
              <w:rPr>
                <w:rFonts w:ascii="宋体" w:hAnsi="宋体" w:cs="宋体" w:eastAsia="宋体" w:hint="default"/>
                <w:sz w:val="18"/>
                <w:szCs w:val="18"/>
              </w:rPr>
              <w:t>，充分</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听取中小股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东的意见和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诉求，并及时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答复中小股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东关心的问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题。分红预案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应由出席股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东大会的股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东或股东代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理人以所持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二分之一以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上的表决权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pacing w:val="-10"/>
                <w:sz w:val="18"/>
                <w:szCs w:val="18"/>
              </w:rPr>
              <w:t>通过。</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十）公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1" w:right="0"/>
              <w:jc w:val="center"/>
              <w:rPr>
                <w:rFonts w:ascii="宋体" w:hAnsi="宋体" w:cs="宋体" w:eastAsia="宋体" w:hint="default"/>
                <w:sz w:val="18"/>
                <w:szCs w:val="18"/>
              </w:rPr>
            </w:pPr>
            <w:r>
              <w:rPr>
                <w:rFonts w:ascii="宋体" w:hAnsi="宋体" w:cs="宋体" w:eastAsia="宋体" w:hint="default"/>
                <w:sz w:val="18"/>
                <w:szCs w:val="18"/>
              </w:rPr>
              <w:t>司年度盈利，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管理层、董事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会未提出、拟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定现金分红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预案的，管理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层需就此向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董事会提交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详细的情况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说明，包括未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分红的原因、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未用于分红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的资金留存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公司的用途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和使用计划，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并由独立董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事对利润分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配预案发表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独立意见并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公开披露；董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事会审议通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过后提交股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东大会通过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现场或网络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投票的方式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审议批准，并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由董事会向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股东大会做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出情况说明。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十一）监事会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0"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应对董事会</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group style="position:absolute;margin-left:367.5pt;margin-top:72.400024pt;width:56.05pt;height:686.65pt;mso-position-horizontal-relative:page;mso-position-vertical-relative:page;z-index:-1502680" coordorigin="7350,1448" coordsize="1121,13733">
            <v:shape style="position:absolute;left:7350;top:1448;width:1121;height:13733" coordorigin="7350,1448" coordsize="1121,13733" path="m7350,1448l8471,1448,8471,15181,7350,15181,7350,1448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166"/>
              <w:jc w:val="center"/>
              <w:rPr>
                <w:rFonts w:ascii="宋体" w:hAnsi="宋体" w:cs="宋体" w:eastAsia="宋体" w:hint="default"/>
                <w:sz w:val="18"/>
                <w:szCs w:val="18"/>
              </w:rPr>
            </w:pPr>
            <w:r>
              <w:rPr>
                <w:rFonts w:ascii="宋体" w:hAnsi="宋体" w:cs="宋体" w:eastAsia="宋体" w:hint="default"/>
                <w:sz w:val="18"/>
                <w:szCs w:val="18"/>
              </w:rPr>
              <w:t>和管理层执</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行公司利润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分配政策和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股东回报规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划的情况及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决策程序进</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行监督，并应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对年度内盈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利但未提出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利润分配的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预案，就相关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政策、规划执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行情况发表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专项说明和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9"/>
              <w:jc w:val="center"/>
              <w:rPr>
                <w:rFonts w:ascii="宋体" w:hAnsi="宋体" w:cs="宋体" w:eastAsia="宋体" w:hint="default"/>
                <w:sz w:val="18"/>
                <w:szCs w:val="18"/>
              </w:rPr>
            </w:pPr>
            <w:r>
              <w:rPr>
                <w:rFonts w:ascii="宋体" w:hAnsi="宋体" w:cs="宋体" w:eastAsia="宋体" w:hint="default"/>
                <w:sz w:val="18"/>
                <w:szCs w:val="18"/>
              </w:rPr>
              <w:t>意见。</w:t>
            </w:r>
            <w:r>
              <w:rPr>
                <w:rFonts w:ascii="Times New Roman" w:hAnsi="Times New Roman" w:cs="Times New Roman" w:eastAsia="Times New Roman" w:hint="default"/>
                <w:sz w:val="18"/>
                <w:szCs w:val="18"/>
              </w:rPr>
              <w:t>(</w:t>
            </w:r>
            <w:r>
              <w:rPr>
                <w:rFonts w:ascii="宋体" w:hAnsi="宋体" w:cs="宋体" w:eastAsia="宋体" w:hint="default"/>
                <w:sz w:val="18"/>
                <w:szCs w:val="18"/>
              </w:rPr>
              <w:t>十二</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45"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公司应严格</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按照有关规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定在定期报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告中披露利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润分配预案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和现金分红</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政策执行情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况，说明是否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符合公司章</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程的规定或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者股东大会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决议的要求，</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分红标准和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比例是否明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确和清晰，相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关的决策程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序和机制是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否完备，独立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董事是否尽</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职履责并发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挥了应有的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作用，中小股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东是否有充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分表达意见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和诉求的机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会，中小股东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的合法权益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是否得到充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分维护等。对</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footerReference w:type="default" r:id="rId17"/>
          <w:pgSz w:w="11910" w:h="16840"/>
          <w:pgMar w:footer="978" w:header="746" w:top="1060" w:bottom="1160" w:left="1020" w:right="0"/>
          <w:pgNumType w:start="6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166"/>
              <w:jc w:val="center"/>
              <w:rPr>
                <w:rFonts w:ascii="宋体" w:hAnsi="宋体" w:cs="宋体" w:eastAsia="宋体" w:hint="default"/>
                <w:sz w:val="18"/>
                <w:szCs w:val="18"/>
              </w:rPr>
            </w:pPr>
            <w:r>
              <w:rPr>
                <w:rFonts w:ascii="宋体" w:hAnsi="宋体" w:cs="宋体" w:eastAsia="宋体" w:hint="default"/>
                <w:sz w:val="18"/>
                <w:szCs w:val="18"/>
              </w:rPr>
              <w:t>现金分红政</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策进行调整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或变更的，还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要详细说明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调整或变更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的条件和程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序是否合规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和透明等。若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公司年度盈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利但未提出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现金分红预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案，应在年报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中详细说明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未分红的原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因、未用于分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红的资金留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存公司的用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途和使用计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pacing w:val="-10"/>
                <w:sz w:val="18"/>
                <w:szCs w:val="18"/>
              </w:rPr>
              <w:t>划。</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十三）公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司应当严格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执行公司章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程确定的现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金分红政策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以及股东大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9"/>
              <w:jc w:val="center"/>
              <w:rPr>
                <w:rFonts w:ascii="宋体" w:hAnsi="宋体" w:cs="宋体" w:eastAsia="宋体" w:hint="default"/>
                <w:sz w:val="18"/>
                <w:szCs w:val="18"/>
              </w:rPr>
            </w:pPr>
            <w:r>
              <w:rPr>
                <w:rFonts w:ascii="宋体" w:hAnsi="宋体" w:cs="宋体" w:eastAsia="宋体" w:hint="default"/>
                <w:sz w:val="18"/>
                <w:szCs w:val="18"/>
              </w:rPr>
              <w:t>会审议</w:t>
            </w:r>
            <w:r>
              <w:rPr>
                <w:rFonts w:ascii="宋体" w:hAnsi="宋体" w:cs="宋体" w:eastAsia="宋体" w:hint="default"/>
                <w:spacing w:val="-2"/>
                <w:sz w:val="18"/>
                <w:szCs w:val="18"/>
              </w:rPr>
              <w:t> </w:t>
            </w:r>
            <w:r>
              <w:rPr>
                <w:rFonts w:ascii="宋体" w:hAnsi="宋体" w:cs="宋体" w:eastAsia="宋体" w:hint="default"/>
                <w:sz w:val="18"/>
                <w:szCs w:val="18"/>
              </w:rPr>
              <w:t>批准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的现金分红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具体方案。公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司根据生产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经营情况、投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资规划和长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期发展的需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9"/>
              <w:jc w:val="center"/>
              <w:rPr>
                <w:rFonts w:ascii="宋体" w:hAnsi="宋体" w:cs="宋体" w:eastAsia="宋体" w:hint="default"/>
                <w:sz w:val="18"/>
                <w:szCs w:val="18"/>
              </w:rPr>
            </w:pPr>
            <w:r>
              <w:rPr>
                <w:rFonts w:ascii="宋体" w:hAnsi="宋体" w:cs="宋体" w:eastAsia="宋体" w:hint="default"/>
                <w:sz w:val="18"/>
                <w:szCs w:val="18"/>
              </w:rPr>
              <w:t>要</w:t>
            </w:r>
            <w:r>
              <w:rPr>
                <w:rFonts w:ascii="宋体" w:hAnsi="宋体" w:cs="宋体" w:eastAsia="宋体" w:hint="default"/>
                <w:spacing w:val="-2"/>
                <w:sz w:val="18"/>
                <w:szCs w:val="18"/>
              </w:rPr>
              <w:t> </w:t>
            </w:r>
            <w:r>
              <w:rPr>
                <w:rFonts w:ascii="宋体" w:hAnsi="宋体" w:cs="宋体" w:eastAsia="宋体" w:hint="default"/>
                <w:sz w:val="18"/>
                <w:szCs w:val="18"/>
              </w:rPr>
              <w:t>或因外部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经营环境发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生重大变化，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确需调整利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润分配政策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和股东回报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规划的，调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整后的利润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分配政策不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得违反相关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法律法规、规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范性文件、公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司章程的有</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group style="position:absolute;margin-left:367.5pt;margin-top:72.400024pt;width:56.05pt;height:579.450pt;mso-position-horizontal-relative:page;mso-position-vertical-relative:page;z-index:-1502656" coordorigin="7350,1448" coordsize="1121,11589">
            <v:shape style="position:absolute;left:7350;top:1448;width:1121;height:11589" coordorigin="7350,1448" coordsize="1121,11589" path="m7350,1448l8471,1448,8471,13037,7350,13037,7350,1448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关规定</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有关</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调整利润分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配政策的议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案，由独立董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事、监事会发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表意见，经公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司董事会审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议后提交公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司股东大会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批准，并经出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席股东大会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的股东所持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以上通</w:t>
            </w:r>
            <w:r>
              <w:rPr>
                <w:rFonts w:ascii="宋体" w:hAnsi="宋体" w:cs="宋体" w:eastAsia="宋体" w:hint="default"/>
                <w:spacing w:val="-2"/>
                <w:sz w:val="18"/>
                <w:szCs w:val="18"/>
              </w:rPr>
              <w:t> </w:t>
            </w:r>
            <w:r>
              <w:rPr>
                <w:rFonts w:ascii="宋体" w:hAnsi="宋体" w:cs="宋体" w:eastAsia="宋体" w:hint="default"/>
                <w:sz w:val="18"/>
                <w:szCs w:val="18"/>
              </w:rPr>
              <w:t>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公司同时应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当提供网络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投票方式以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方便中小股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东参与股东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大会表决。董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事会、</w:t>
            </w:r>
            <w:r>
              <w:rPr>
                <w:rFonts w:ascii="宋体" w:hAnsi="宋体" w:cs="宋体" w:eastAsia="宋体" w:hint="default"/>
                <w:spacing w:val="-2"/>
                <w:sz w:val="18"/>
                <w:szCs w:val="18"/>
              </w:rPr>
              <w:t> </w:t>
            </w:r>
            <w:r>
              <w:rPr>
                <w:rFonts w:ascii="宋体" w:hAnsi="宋体" w:cs="宋体" w:eastAsia="宋体" w:hint="default"/>
                <w:sz w:val="18"/>
                <w:szCs w:val="18"/>
              </w:rPr>
              <w:t>独立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董事和符合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一定条件的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股东可以向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公司股东征</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集其在股东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大会上的投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票权。</w:t>
            </w:r>
            <w:r>
              <w:rPr>
                <w:rFonts w:ascii="Times New Roman" w:hAnsi="Times New Roman" w:cs="Times New Roman" w:eastAsia="Times New Roman" w:hint="default"/>
                <w:sz w:val="18"/>
                <w:szCs w:val="18"/>
              </w:rPr>
              <w:t>(</w:t>
            </w:r>
            <w:r>
              <w:rPr>
                <w:rFonts w:ascii="宋体" w:hAnsi="宋体" w:cs="宋体" w:eastAsia="宋体" w:hint="default"/>
                <w:sz w:val="18"/>
                <w:szCs w:val="18"/>
              </w:rPr>
              <w:t>十四</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45"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存在股东违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规占用公司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资金情况的，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公司应当扣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减该股东所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分配的</w:t>
            </w:r>
            <w:r>
              <w:rPr>
                <w:rFonts w:ascii="宋体" w:hAnsi="宋体" w:cs="宋体" w:eastAsia="宋体" w:hint="default"/>
                <w:spacing w:val="-2"/>
                <w:sz w:val="18"/>
                <w:szCs w:val="18"/>
              </w:rPr>
              <w:t> </w:t>
            </w:r>
            <w:r>
              <w:rPr>
                <w:rFonts w:ascii="宋体" w:hAnsi="宋体" w:cs="宋体" w:eastAsia="宋体" w:hint="default"/>
                <w:sz w:val="18"/>
                <w:szCs w:val="18"/>
              </w:rPr>
              <w:t>现金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红利，以偿还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其占用的资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w:t>
            </w:r>
            <w:r>
              <w:rPr>
                <w:rFonts w:ascii="Times New Roman" w:hAnsi="Times New Roman" w:cs="Times New Roman" w:eastAsia="Times New Roman" w:hint="default"/>
                <w:sz w:val="18"/>
                <w:szCs w:val="18"/>
              </w:rPr>
              <w:t>"</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为降低本次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公开发行摊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科蓝软件</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4" w:right="190"/>
              <w:jc w:val="both"/>
              <w:rPr>
                <w:rFonts w:ascii="宋体" w:hAnsi="宋体" w:cs="宋体" w:eastAsia="宋体" w:hint="default"/>
                <w:sz w:val="18"/>
                <w:szCs w:val="18"/>
              </w:rPr>
            </w:pPr>
            <w:r>
              <w:rPr>
                <w:rFonts w:ascii="宋体" w:hAnsi="宋体" w:cs="宋体" w:eastAsia="宋体" w:hint="default"/>
                <w:sz w:val="18"/>
                <w:szCs w:val="18"/>
              </w:rPr>
              <w:t>填补被摊薄 即期回报的 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20"/>
              <w:jc w:val="left"/>
              <w:rPr>
                <w:rFonts w:ascii="宋体" w:hAnsi="宋体" w:cs="宋体" w:eastAsia="宋体" w:hint="default"/>
                <w:sz w:val="18"/>
                <w:szCs w:val="18"/>
              </w:rPr>
            </w:pPr>
            <w:r>
              <w:rPr>
                <w:rFonts w:ascii="宋体" w:hAnsi="宋体" w:cs="宋体" w:eastAsia="宋体" w:hint="default"/>
                <w:sz w:val="18"/>
                <w:szCs w:val="18"/>
              </w:rPr>
              <w:t>薄即期回报 </w:t>
            </w:r>
            <w:r>
              <w:rPr>
                <w:rFonts w:ascii="宋体" w:hAnsi="宋体" w:cs="宋体" w:eastAsia="宋体" w:hint="default"/>
                <w:spacing w:val="-2"/>
                <w:sz w:val="18"/>
                <w:szCs w:val="18"/>
              </w:rPr>
              <w:t>的影响，公司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将通过加大</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互联网银行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类产品市场</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为降低本次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公开发行摊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薄即期回报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的影响，公司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将通过加大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互联网银行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类产品市场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开拓力度，强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化募集资金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管理，加快募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投项目建设，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争取早日实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现项目预期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收益，强化投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资者回报机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制及权益保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护等综合措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施提高公司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盈利能力，增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厚未来收益，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以填补股东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被摊薄的即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期回报。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关于首次公</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开发行股票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摊薄即期回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报采取填补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措施的承诺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函，公司董</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事、高级管理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2184"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300" w:lineRule="auto" w:before="147"/>
              <w:ind w:left="23" w:right="89"/>
              <w:jc w:val="both"/>
              <w:rPr>
                <w:rFonts w:ascii="宋体" w:hAnsi="宋体" w:cs="宋体" w:eastAsia="宋体" w:hint="default"/>
                <w:sz w:val="18"/>
                <w:szCs w:val="18"/>
              </w:rPr>
            </w:pPr>
            <w:r>
              <w:rPr>
                <w:rFonts w:ascii="宋体" w:hAnsi="宋体" w:cs="宋体" w:eastAsia="宋体" w:hint="default"/>
                <w:sz w:val="18"/>
                <w:szCs w:val="18"/>
              </w:rPr>
              <w:t>王安京</w:t>
            </w:r>
            <w:r>
              <w:rPr>
                <w:rFonts w:ascii="Times New Roman" w:hAnsi="Times New Roman" w:cs="Times New Roman" w:eastAsia="Times New Roman" w:hint="default"/>
                <w:sz w:val="18"/>
                <w:szCs w:val="18"/>
              </w:rPr>
              <w:t>;</w:t>
            </w:r>
            <w:r>
              <w:rPr>
                <w:rFonts w:ascii="宋体" w:hAnsi="宋体" w:cs="宋体" w:eastAsia="宋体" w:hint="default"/>
                <w:sz w:val="18"/>
                <w:szCs w:val="18"/>
              </w:rPr>
              <w:t>郑仁 寰</w:t>
            </w:r>
            <w:r>
              <w:rPr>
                <w:rFonts w:ascii="Times New Roman" w:hAnsi="Times New Roman" w:cs="Times New Roman" w:eastAsia="Times New Roman" w:hint="default"/>
                <w:sz w:val="18"/>
                <w:szCs w:val="18"/>
              </w:rPr>
              <w:t>;</w:t>
            </w:r>
            <w:r>
              <w:rPr>
                <w:rFonts w:ascii="宋体" w:hAnsi="宋体" w:cs="宋体" w:eastAsia="宋体" w:hint="default"/>
                <w:sz w:val="18"/>
                <w:szCs w:val="18"/>
              </w:rPr>
              <w:t>李国庆</w:t>
            </w:r>
            <w:r>
              <w:rPr>
                <w:rFonts w:ascii="Times New Roman" w:hAnsi="Times New Roman" w:cs="Times New Roman" w:eastAsia="Times New Roman" w:hint="default"/>
                <w:sz w:val="18"/>
                <w:szCs w:val="18"/>
              </w:rPr>
              <w:t>;</w:t>
            </w:r>
            <w:r>
              <w:rPr>
                <w:rFonts w:ascii="宋体" w:hAnsi="宋体" w:cs="宋体" w:eastAsia="宋体" w:hint="default"/>
                <w:sz w:val="18"/>
                <w:szCs w:val="18"/>
              </w:rPr>
              <w:t>马 朝松</w:t>
            </w:r>
            <w:r>
              <w:rPr>
                <w:rFonts w:ascii="Times New Roman" w:hAnsi="Times New Roman" w:cs="Times New Roman" w:eastAsia="Times New Roman" w:hint="default"/>
                <w:sz w:val="18"/>
                <w:szCs w:val="18"/>
              </w:rPr>
              <w:t>;</w:t>
            </w:r>
            <w:r>
              <w:rPr>
                <w:rFonts w:ascii="宋体" w:hAnsi="宋体" w:cs="宋体" w:eastAsia="宋体" w:hint="default"/>
                <w:sz w:val="18"/>
                <w:szCs w:val="18"/>
              </w:rPr>
              <w:t>王方圆</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王缉志</w:t>
            </w:r>
            <w:r>
              <w:rPr>
                <w:rFonts w:ascii="Times New Roman" w:hAnsi="Times New Roman" w:cs="Times New Roman" w:eastAsia="Times New Roman" w:hint="default"/>
                <w:sz w:val="18"/>
                <w:szCs w:val="18"/>
              </w:rPr>
              <w:t>;</w:t>
            </w:r>
            <w:r>
              <w:rPr>
                <w:rFonts w:ascii="宋体" w:hAnsi="宋体" w:cs="宋体" w:eastAsia="宋体" w:hint="default"/>
                <w:sz w:val="18"/>
                <w:szCs w:val="18"/>
              </w:rPr>
              <w:t>杨栋 锐</w:t>
            </w:r>
            <w:r>
              <w:rPr>
                <w:rFonts w:ascii="Times New Roman" w:hAnsi="Times New Roman" w:cs="Times New Roman" w:eastAsia="Times New Roman" w:hint="default"/>
                <w:sz w:val="18"/>
                <w:szCs w:val="18"/>
              </w:rPr>
              <w:t>;</w:t>
            </w:r>
            <w:r>
              <w:rPr>
                <w:rFonts w:ascii="宋体" w:hAnsi="宋体" w:cs="宋体" w:eastAsia="宋体" w:hint="default"/>
                <w:sz w:val="18"/>
                <w:szCs w:val="18"/>
              </w:rPr>
              <w:t>郑晓武</w:t>
            </w:r>
            <w:r>
              <w:rPr>
                <w:rFonts w:ascii="Times New Roman" w:hAnsi="Times New Roman" w:cs="Times New Roman" w:eastAsia="Times New Roman" w:hint="default"/>
                <w:sz w:val="18"/>
                <w:szCs w:val="18"/>
              </w:rPr>
              <w:t>;</w:t>
            </w:r>
            <w:r>
              <w:rPr>
                <w:rFonts w:ascii="宋体" w:hAnsi="宋体" w:cs="宋体" w:eastAsia="宋体" w:hint="default"/>
                <w:sz w:val="18"/>
                <w:szCs w:val="18"/>
              </w:rPr>
              <w:t>周 荣</w:t>
            </w:r>
            <w:r>
              <w:rPr>
                <w:rFonts w:ascii="Times New Roman" w:hAnsi="Times New Roman" w:cs="Times New Roman" w:eastAsia="Times New Roman" w:hint="default"/>
                <w:sz w:val="18"/>
                <w:szCs w:val="18"/>
              </w:rPr>
              <w:t>;</w:t>
            </w:r>
            <w:r>
              <w:rPr>
                <w:rFonts w:ascii="宋体" w:hAnsi="宋体" w:cs="宋体" w:eastAsia="宋体" w:hint="default"/>
                <w:sz w:val="18"/>
                <w:szCs w:val="18"/>
              </w:rPr>
              <w:t>周旭红</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人员承诺如 下：</w:t>
            </w:r>
            <w:r>
              <w:rPr>
                <w:rFonts w:ascii="Times New Roman" w:hAnsi="Times New Roman" w:cs="Times New Roman" w:eastAsia="Times New Roman" w:hint="default"/>
                <w:sz w:val="18"/>
                <w:szCs w:val="18"/>
              </w:rPr>
              <w:t>1</w:t>
            </w:r>
            <w:r>
              <w:rPr>
                <w:rFonts w:ascii="宋体" w:hAnsi="宋体" w:cs="宋体" w:eastAsia="宋体" w:hint="default"/>
                <w:sz w:val="18"/>
                <w:szCs w:val="18"/>
              </w:rPr>
              <w:t>、承诺 不无偿或以 不公平条件 向其他单位 或者个人输 </w:t>
            </w:r>
            <w:r>
              <w:rPr>
                <w:rFonts w:ascii="宋体" w:hAnsi="宋体" w:cs="宋体" w:eastAsia="宋体" w:hint="default"/>
                <w:spacing w:val="-2"/>
                <w:sz w:val="18"/>
                <w:szCs w:val="18"/>
              </w:rPr>
              <w:t>送利益，也不</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采用其他方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式损害公司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利益。</w:t>
            </w:r>
            <w:r>
              <w:rPr>
                <w:rFonts w:ascii="Times New Roman" w:hAnsi="Times New Roman" w:cs="Times New Roman" w:eastAsia="Times New Roman" w:hint="default"/>
                <w:sz w:val="18"/>
                <w:szCs w:val="18"/>
              </w:rPr>
              <w:t>2</w:t>
            </w:r>
            <w:r>
              <w:rPr>
                <w:rFonts w:ascii="宋体" w:hAnsi="宋体" w:cs="宋体" w:eastAsia="宋体" w:hint="default"/>
                <w:sz w:val="18"/>
                <w:szCs w:val="18"/>
              </w:rPr>
              <w:t>、承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诺对董事和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员的职务消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费行为进行</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361.440002pt;margin-top:72.400024pt;width:62.15pt;height:376.65pt;mso-position-horizontal-relative:page;mso-position-vertical-relative:page;z-index:-15026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6"/>
                    <w:ind w:left="0" w:right="0"/>
                    <w:jc w:val="left"/>
                  </w:pPr>
                  <w:r>
                    <w:rPr/>
                    <w:t>、</w:t>
                  </w:r>
                </w:p>
              </w:txbxContent>
            </v:textbox>
            <w10:wrap type="none"/>
          </v:shape>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约束。</w:t>
            </w:r>
            <w:r>
              <w:rPr>
                <w:rFonts w:ascii="Times New Roman" w:hAnsi="Times New Roman" w:cs="Times New Roman" w:eastAsia="Times New Roman" w:hint="default"/>
                <w:sz w:val="18"/>
                <w:szCs w:val="18"/>
              </w:rPr>
              <w:t>3</w:t>
            </w:r>
            <w:r>
              <w:rPr>
                <w:rFonts w:ascii="宋体" w:hAnsi="宋体" w:cs="宋体" w:eastAsia="宋体" w:hint="default"/>
                <w:sz w:val="18"/>
                <w:szCs w:val="18"/>
              </w:rPr>
              <w:t>、承</w:t>
            </w:r>
          </w:p>
        </w:tc>
        <w:tc>
          <w:tcPr>
            <w:tcW w:w="1126" w:type="dxa"/>
            <w:vMerge w:val="restart"/>
            <w:tcBorders>
              <w:top w:val="single" w:sz="4" w:space="0" w:color="000000"/>
              <w:left w:val="single" w:sz="4" w:space="0" w:color="000000"/>
              <w:right w:val="single" w:sz="4" w:space="0" w:color="000000"/>
            </w:tcBorders>
          </w:tcPr>
          <w:p>
            <w:pPr>
              <w:pStyle w:val="TableParagraph"/>
              <w:spacing w:line="7533"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0"/>
                <w:sz w:val="20"/>
                <w:szCs w:val="20"/>
              </w:rPr>
              <w:pict>
                <v:group style="width:56.05pt;height:376.65pt;mso-position-horizontal-relative:char;mso-position-vertical-relative:line" coordorigin="0,0" coordsize="1121,7533">
                  <v:group style="position:absolute;left:0;top:0;width:1121;height:7533" coordorigin="0,0" coordsize="1121,7533">
                    <v:shape style="position:absolute;left:0;top:0;width:1121;height:7533" coordorigin="0,0" coordsize="1121,7533" path="m0,0l1121,0,1121,7533,0,7533,0,0xe" filled="true" fillcolor="#ffffff" stroked="false">
                      <v:path arrowok="t"/>
                      <v:fill type="solid"/>
                    </v:shape>
                  </v:group>
                </v:group>
              </w:pict>
            </w:r>
            <w:r>
              <w:rPr>
                <w:rFonts w:ascii="Times New Roman" w:hAnsi="Times New Roman" w:cs="Times New Roman" w:eastAsia="Times New Roman" w:hint="default"/>
                <w:position w:val="-150"/>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诺不动用公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司资产从事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与其履行职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责无关的投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资、消费活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动。</w:t>
            </w:r>
            <w:r>
              <w:rPr>
                <w:rFonts w:ascii="Times New Roman" w:hAnsi="Times New Roman" w:cs="Times New Roman" w:eastAsia="Times New Roman" w:hint="default"/>
                <w:sz w:val="18"/>
                <w:szCs w:val="18"/>
              </w:rPr>
              <w:t>4</w:t>
            </w:r>
            <w:r>
              <w:rPr>
                <w:rFonts w:ascii="宋体" w:hAnsi="宋体" w:cs="宋体" w:eastAsia="宋体" w:hint="default"/>
                <w:sz w:val="18"/>
                <w:szCs w:val="18"/>
              </w:rPr>
              <w:t>、承诺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由董事会或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薪酬委员会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制定的薪酬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制度与公司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填补回报措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施的执行情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况相挂钩。</w:t>
            </w:r>
            <w:r>
              <w:rPr>
                <w:rFonts w:ascii="Times New Roman" w:hAnsi="Times New Roman" w:cs="Times New Roman" w:eastAsia="Times New Roman" w:hint="default"/>
                <w:sz w:val="18"/>
                <w:szCs w:val="18"/>
              </w:rPr>
              <w:t>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如公司未来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实施股权激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励方案，承诺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未来股权激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励方案的行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权条件将与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公司填补回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报措施的执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行情况相挂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钩。</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公司控股股</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东、实际控制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人王安京出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具承诺</w:t>
            </w:r>
            <w:r>
              <w:rPr>
                <w:rFonts w:ascii="宋体" w:hAnsi="宋体" w:cs="宋体" w:eastAsia="宋体" w:hint="default"/>
                <w:spacing w:val="-84"/>
                <w:sz w:val="18"/>
                <w:szCs w:val="18"/>
              </w:rPr>
              <w:t>：</w:t>
            </w:r>
            <w:r>
              <w:rPr>
                <w:rFonts w:ascii="Times New Roman" w:hAnsi="Times New Roman" w:cs="Times New Roman" w:eastAsia="Times New Roman" w:hint="default"/>
                <w:w w:val="99"/>
                <w:sz w:val="18"/>
                <w:szCs w:val="18"/>
              </w:rPr>
              <w:t>"</w:t>
            </w:r>
            <w:r>
              <w:rPr>
                <w:rFonts w:ascii="宋体" w:hAnsi="宋体" w:cs="宋体" w:eastAsia="宋体" w:hint="default"/>
                <w:sz w:val="18"/>
                <w:szCs w:val="18"/>
              </w:rPr>
              <w:t>科蓝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软件在本次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发行上市之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前未为员工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缴纳或未按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时、足额缴纳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20"/>
              <w:jc w:val="left"/>
              <w:rPr>
                <w:rFonts w:ascii="宋体" w:hAnsi="宋体" w:cs="宋体" w:eastAsia="宋体" w:hint="default"/>
                <w:sz w:val="18"/>
                <w:szCs w:val="18"/>
              </w:rPr>
            </w:pPr>
            <w:r>
              <w:rPr>
                <w:rFonts w:ascii="宋体" w:hAnsi="宋体" w:cs="宋体" w:eastAsia="宋体" w:hint="default"/>
                <w:spacing w:val="-2"/>
                <w:sz w:val="18"/>
                <w:szCs w:val="18"/>
              </w:rPr>
              <w:t>社会保险、住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房公积金而</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被政府部门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处以罚款、滞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纳金或被员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工要求承担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经济补偿、赔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偿，或使科蓝</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软件或其子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公司产生其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他任何费用</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36"/>
        <w:gridCol w:w="1125"/>
        <w:gridCol w:w="1126"/>
        <w:gridCol w:w="1126"/>
        <w:gridCol w:w="1126"/>
        <w:gridCol w:w="1121"/>
        <w:gridCol w:w="1107"/>
      </w:tblGrid>
      <w:tr>
        <w:trPr>
          <w:trHeight w:val="31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或支出的，由</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本人承担相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应的经济赔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偿责任。</w:t>
            </w:r>
            <w:r>
              <w:rPr>
                <w:rFonts w:ascii="Times New Roman" w:hAnsi="Times New Roman" w:cs="Times New Roman" w:eastAsia="Times New Roman"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5"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58"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如承诺超期未履行完毕的，应当详</w:t>
            </w:r>
          </w:p>
        </w:tc>
        <w:tc>
          <w:tcPr>
            <w:tcW w:w="6731" w:type="dxa"/>
            <w:gridSpan w:val="6"/>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细说明未完成履行的具体原因及下</w:t>
            </w:r>
          </w:p>
        </w:tc>
        <w:tc>
          <w:tcPr>
            <w:tcW w:w="6731"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截止本报告期末，所有承诺人严格信守承诺，未出现违反承诺的情况</w:t>
            </w:r>
          </w:p>
        </w:tc>
      </w:tr>
      <w:tr>
        <w:trPr>
          <w:trHeight w:val="356"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一步的工作计划</w:t>
            </w:r>
          </w:p>
        </w:tc>
        <w:tc>
          <w:tcPr>
            <w:tcW w:w="6731" w:type="dxa"/>
            <w:gridSpan w:val="6"/>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1"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0"/>
        <w:rPr>
          <w:rFonts w:ascii="Times New Roman" w:hAnsi="Times New Roman" w:cs="Times New Roman" w:eastAsia="Times New Roman" w:hint="default"/>
          <w:sz w:val="22"/>
          <w:szCs w:val="22"/>
        </w:rPr>
      </w:pPr>
    </w:p>
    <w:p>
      <w:pPr>
        <w:pStyle w:val="Heading5"/>
        <w:spacing w:line="256" w:lineRule="auto" w:before="34"/>
        <w:ind w:right="1128"/>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spacing w:val="3"/>
          <w:w w:val="95"/>
        </w:rPr>
        <w:t>2</w:t>
      </w:r>
      <w:r>
        <w:rPr>
          <w:spacing w:val="3"/>
          <w:w w:val="95"/>
        </w:rPr>
        <w:t>、公司资产或项目存在盈利预测，且报告期仍处在盈利预测期间，公司就资产或项目达到原盈利预测及</w:t>
      </w:r>
      <w:r>
        <w:rPr>
          <w:spacing w:val="96"/>
          <w:w w:val="95"/>
        </w:rPr>
        <w:t> </w:t>
      </w:r>
      <w:r>
        <w:rPr>
          <w:spacing w:val="96"/>
          <w:w w:val="95"/>
        </w:rPr>
      </w:r>
      <w:r>
        <w:rPr/>
        <w:t>其原因做出说明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4"/>
        <w:spacing w:line="240" w:lineRule="auto"/>
        <w:ind w:right="0"/>
        <w:jc w:val="left"/>
        <w:rPr>
          <w:b w:val="0"/>
          <w:bCs w:val="0"/>
        </w:rPr>
      </w:pPr>
      <w:bookmarkStart w:name="四、董事会对最近一期“非标准审计报告”相关情况的说明" w:id="67"/>
      <w:bookmarkEnd w:id="67"/>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14" w:lineRule="auto" w:before="101"/>
        <w:ind w:right="1132" w:firstLine="360"/>
        <w:jc w:val="both"/>
      </w:pPr>
      <w:r>
        <w:rPr>
          <w:rFonts w:ascii="Times New Roman" w:hAnsi="Times New Roman" w:cs="Times New Roman" w:eastAsia="Times New Roman" w:hint="default"/>
        </w:rPr>
        <w:t>1</w:t>
      </w:r>
      <w:r>
        <w:rPr/>
        <w:t>、根据《关于修订印发</w:t>
      </w:r>
      <w:r>
        <w:rPr>
          <w:rFonts w:ascii="Times New Roman" w:hAnsi="Times New Roman" w:cs="Times New Roman" w:eastAsia="Times New Roman" w:hint="default"/>
        </w:rPr>
        <w:t>2018</w:t>
      </w:r>
      <w:r>
        <w:rPr/>
        <w:t>年度一般企业财务报表格式的通知》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[2018]15</w:t>
      </w:r>
      <w:r>
        <w:rPr/>
        <w:t>号），将应收票据和应收账款合并计入 </w:t>
      </w:r>
      <w:r>
        <w:rPr>
          <w:spacing w:val="-2"/>
        </w:rPr>
        <w:t>应收票据及应收账款项目、将应收利息、应收股利和其他应收款合并计入其他应收款项目、将应付票据和应付账款合并计入</w:t>
      </w:r>
      <w:r>
        <w:rPr>
          <w:spacing w:val="-65"/>
        </w:rPr>
        <w:t> </w:t>
      </w:r>
      <w:r>
        <w:rPr>
          <w:spacing w:val="-65"/>
        </w:rPr>
      </w:r>
      <w:r>
        <w:rPr>
          <w:spacing w:val="-2"/>
        </w:rPr>
        <w:t>应付票据及应付账款项目、将应付利息、应付股利和其他应付款合并计入其他应付款项目、将原计入管理费用项目的研发费</w:t>
      </w:r>
      <w:r>
        <w:rPr>
          <w:spacing w:val="-65"/>
        </w:rPr>
        <w:t> </w:t>
      </w:r>
      <w:r>
        <w:rPr>
          <w:spacing w:val="-65"/>
        </w:rPr>
      </w:r>
      <w:r>
        <w:rPr>
          <w:spacing w:val="-2"/>
        </w:rPr>
        <w:t>用单独列示。公司本次会计政策变更只涉及财务报表列报和调整，不存在追溯调整事项，对公司资产总额、净资产、营业收</w:t>
      </w:r>
      <w:r>
        <w:rPr>
          <w:spacing w:val="-65"/>
        </w:rPr>
        <w:t> </w:t>
      </w:r>
      <w:r>
        <w:rPr>
          <w:spacing w:val="-65"/>
        </w:rPr>
      </w:r>
      <w:r>
        <w:rPr/>
        <w:t>入、净利润均无实质性影响。</w:t>
      </w:r>
    </w:p>
    <w:p>
      <w:pPr>
        <w:spacing w:line="240" w:lineRule="auto" w:before="13"/>
        <w:rPr>
          <w:rFonts w:ascii="宋体" w:hAnsi="宋体" w:cs="宋体" w:eastAsia="宋体" w:hint="default"/>
          <w:sz w:val="20"/>
          <w:szCs w:val="20"/>
        </w:rPr>
      </w:pPr>
    </w:p>
    <w:p>
      <w:pPr>
        <w:pStyle w:val="Heading4"/>
        <w:spacing w:line="240" w:lineRule="auto"/>
        <w:ind w:right="0"/>
        <w:jc w:val="left"/>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Heading5"/>
        <w:spacing w:line="240" w:lineRule="auto" w:before="78"/>
        <w:ind w:left="429" w:right="0"/>
        <w:jc w:val="left"/>
        <w:rPr>
          <w:b w:val="0"/>
          <w:bCs w:val="0"/>
        </w:rPr>
      </w:pPr>
      <w:r>
        <w:rPr/>
        <w:t>（一）非同一控制下企业合并</w:t>
      </w:r>
      <w:r>
        <w:rPr>
          <w:b w:val="0"/>
          <w:bCs w:val="0"/>
        </w:rPr>
      </w:r>
    </w:p>
    <w:p>
      <w:pPr>
        <w:spacing w:after="0" w:line="240" w:lineRule="auto"/>
        <w:jc w:val="left"/>
        <w:sectPr>
          <w:pgSz w:w="11910" w:h="16840"/>
          <w:pgMar w:header="746" w:footer="978" w:top="1060" w:bottom="1160" w:left="1020" w:right="0"/>
        </w:sectPr>
      </w:pPr>
    </w:p>
    <w:p>
      <w:pPr>
        <w:spacing w:line="240" w:lineRule="auto" w:before="10"/>
        <w:rPr>
          <w:rFonts w:ascii="宋体" w:hAnsi="宋体" w:cs="宋体" w:eastAsia="宋体" w:hint="default"/>
          <w:b/>
          <w:bCs/>
          <w:sz w:val="24"/>
          <w:szCs w:val="24"/>
        </w:rPr>
      </w:pPr>
    </w:p>
    <w:p>
      <w:pPr>
        <w:pStyle w:val="Heading5"/>
        <w:spacing w:line="240" w:lineRule="auto" w:before="34"/>
        <w:ind w:left="532"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本期发生的非同一控制下企业合并</w:t>
      </w:r>
      <w:r>
        <w:rPr>
          <w:b w:val="0"/>
          <w:bCs w:val="0"/>
        </w:rPr>
      </w:r>
    </w:p>
    <w:p>
      <w:pPr>
        <w:spacing w:line="240" w:lineRule="auto" w:before="9"/>
        <w:rPr>
          <w:rFonts w:ascii="宋体" w:hAnsi="宋体" w:cs="宋体" w:eastAsia="宋体" w:hint="default"/>
          <w:b/>
          <w:bCs/>
          <w:sz w:val="2"/>
          <w:szCs w:val="2"/>
        </w:rPr>
      </w:pPr>
    </w:p>
    <w:tbl>
      <w:tblPr>
        <w:tblW w:w="0" w:type="auto"/>
        <w:jc w:val="left"/>
        <w:tblInd w:w="106" w:type="dxa"/>
        <w:tblLayout w:type="fixed"/>
        <w:tblCellMar>
          <w:top w:w="0" w:type="dxa"/>
          <w:left w:w="0" w:type="dxa"/>
          <w:bottom w:w="0" w:type="dxa"/>
          <w:right w:w="0" w:type="dxa"/>
        </w:tblCellMar>
        <w:tblLook w:val="01E0"/>
      </w:tblPr>
      <w:tblGrid>
        <w:gridCol w:w="1134"/>
        <w:gridCol w:w="882"/>
        <w:gridCol w:w="1134"/>
        <w:gridCol w:w="678"/>
        <w:gridCol w:w="850"/>
        <w:gridCol w:w="993"/>
        <w:gridCol w:w="1275"/>
        <w:gridCol w:w="1036"/>
        <w:gridCol w:w="1134"/>
      </w:tblGrid>
      <w:tr>
        <w:trPr>
          <w:trHeight w:val="330" w:hRule="exact"/>
        </w:trPr>
        <w:tc>
          <w:tcPr>
            <w:tcW w:w="113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0"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8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74" w:right="0"/>
              <w:jc w:val="left"/>
              <w:rPr>
                <w:rFonts w:ascii="宋体" w:hAnsi="宋体" w:cs="宋体" w:eastAsia="宋体" w:hint="default"/>
                <w:sz w:val="18"/>
                <w:szCs w:val="18"/>
              </w:rPr>
            </w:pPr>
            <w:r>
              <w:rPr>
                <w:rFonts w:ascii="宋体" w:hAnsi="宋体" w:cs="宋体" w:eastAsia="宋体" w:hint="default"/>
                <w:sz w:val="18"/>
                <w:szCs w:val="18"/>
              </w:rPr>
              <w:t>股权取得</w:t>
            </w:r>
          </w:p>
        </w:tc>
        <w:tc>
          <w:tcPr>
            <w:tcW w:w="113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股权取得成本</w:t>
            </w:r>
          </w:p>
        </w:tc>
        <w:tc>
          <w:tcPr>
            <w:tcW w:w="67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62" w:right="0"/>
              <w:jc w:val="left"/>
              <w:rPr>
                <w:rFonts w:ascii="宋体" w:hAnsi="宋体" w:cs="宋体" w:eastAsia="宋体" w:hint="default"/>
                <w:sz w:val="18"/>
                <w:szCs w:val="18"/>
              </w:rPr>
            </w:pPr>
            <w:r>
              <w:rPr>
                <w:rFonts w:ascii="宋体" w:hAnsi="宋体" w:cs="宋体" w:eastAsia="宋体" w:hint="default"/>
                <w:sz w:val="18"/>
                <w:szCs w:val="18"/>
              </w:rPr>
              <w:t>股权取</w:t>
            </w:r>
          </w:p>
        </w:tc>
        <w:tc>
          <w:tcPr>
            <w:tcW w:w="85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股权取得</w:t>
            </w:r>
          </w:p>
        </w:tc>
        <w:tc>
          <w:tcPr>
            <w:tcW w:w="99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19"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27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90" w:right="0"/>
              <w:jc w:val="left"/>
              <w:rPr>
                <w:rFonts w:ascii="宋体" w:hAnsi="宋体" w:cs="宋体" w:eastAsia="宋体" w:hint="default"/>
                <w:sz w:val="18"/>
                <w:szCs w:val="18"/>
              </w:rPr>
            </w:pPr>
            <w:r>
              <w:rPr>
                <w:rFonts w:ascii="宋体" w:hAnsi="宋体" w:cs="宋体" w:eastAsia="宋体" w:hint="default"/>
                <w:sz w:val="18"/>
                <w:szCs w:val="18"/>
              </w:rPr>
              <w:t>购买日的确定</w:t>
            </w:r>
          </w:p>
        </w:tc>
        <w:tc>
          <w:tcPr>
            <w:tcW w:w="103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58"/>
              <w:jc w:val="right"/>
              <w:rPr>
                <w:rFonts w:ascii="宋体" w:hAnsi="宋体" w:cs="宋体" w:eastAsia="宋体" w:hint="default"/>
                <w:sz w:val="18"/>
                <w:szCs w:val="18"/>
              </w:rPr>
            </w:pPr>
            <w:r>
              <w:rPr>
                <w:rFonts w:ascii="宋体" w:hAnsi="宋体" w:cs="宋体" w:eastAsia="宋体" w:hint="default"/>
                <w:sz w:val="18"/>
                <w:szCs w:val="18"/>
              </w:rPr>
              <w:t>购买日至期</w:t>
            </w:r>
          </w:p>
        </w:tc>
        <w:tc>
          <w:tcPr>
            <w:tcW w:w="1134" w:type="dxa"/>
            <w:tcBorders>
              <w:top w:val="single" w:sz="6" w:space="0" w:color="000000"/>
              <w:left w:val="single" w:sz="6" w:space="0" w:color="000000"/>
              <w:bottom w:val="nil" w:sz="6" w:space="0" w:color="auto"/>
              <w:right w:val="nil" w:sz="6" w:space="0" w:color="auto"/>
            </w:tcBorders>
          </w:tcPr>
          <w:p>
            <w:pPr>
              <w:pStyle w:val="TableParagraph"/>
              <w:spacing w:line="240" w:lineRule="auto" w:before="21"/>
              <w:ind w:right="25"/>
              <w:jc w:val="right"/>
              <w:rPr>
                <w:rFonts w:ascii="宋体" w:hAnsi="宋体" w:cs="宋体" w:eastAsia="宋体" w:hint="default"/>
                <w:sz w:val="18"/>
                <w:szCs w:val="18"/>
              </w:rPr>
            </w:pPr>
            <w:r>
              <w:rPr>
                <w:rFonts w:ascii="宋体" w:hAnsi="宋体" w:cs="宋体" w:eastAsia="宋体" w:hint="default"/>
                <w:sz w:val="18"/>
                <w:szCs w:val="18"/>
              </w:rPr>
              <w:t>购买日至期末</w:t>
            </w:r>
          </w:p>
        </w:tc>
      </w:tr>
      <w:tr>
        <w:trPr>
          <w:trHeight w:val="312" w:hRule="exact"/>
        </w:trPr>
        <w:tc>
          <w:tcPr>
            <w:tcW w:w="1134" w:type="dxa"/>
            <w:tcBorders>
              <w:top w:val="nil" w:sz="6" w:space="0" w:color="auto"/>
              <w:left w:val="single" w:sz="6" w:space="0" w:color="000000"/>
              <w:bottom w:val="nil" w:sz="6" w:space="0" w:color="auto"/>
              <w:right w:val="single" w:sz="6" w:space="0" w:color="000000"/>
            </w:tcBorders>
          </w:tcPr>
          <w:p>
            <w:pPr/>
          </w:p>
        </w:tc>
        <w:tc>
          <w:tcPr>
            <w:tcW w:w="88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54" w:right="0"/>
              <w:jc w:val="left"/>
              <w:rPr>
                <w:rFonts w:ascii="宋体" w:hAnsi="宋体" w:cs="宋体" w:eastAsia="宋体" w:hint="default"/>
                <w:sz w:val="18"/>
                <w:szCs w:val="18"/>
              </w:rPr>
            </w:pPr>
            <w:r>
              <w:rPr>
                <w:rFonts w:ascii="宋体" w:hAnsi="宋体" w:cs="宋体" w:eastAsia="宋体" w:hint="default"/>
                <w:sz w:val="18"/>
                <w:szCs w:val="18"/>
              </w:rPr>
              <w:t>时点</w:t>
            </w:r>
          </w:p>
        </w:tc>
        <w:tc>
          <w:tcPr>
            <w:tcW w:w="1134" w:type="dxa"/>
            <w:tcBorders>
              <w:top w:val="nil" w:sz="6" w:space="0" w:color="auto"/>
              <w:left w:val="single" w:sz="6" w:space="0" w:color="000000"/>
              <w:bottom w:val="nil" w:sz="6" w:space="0" w:color="auto"/>
              <w:right w:val="single" w:sz="6" w:space="0" w:color="000000"/>
            </w:tcBorders>
          </w:tcPr>
          <w:p>
            <w:pPr/>
          </w:p>
        </w:tc>
        <w:tc>
          <w:tcPr>
            <w:tcW w:w="67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62" w:right="0"/>
              <w:jc w:val="left"/>
              <w:rPr>
                <w:rFonts w:ascii="宋体" w:hAnsi="宋体" w:cs="宋体" w:eastAsia="宋体" w:hint="default"/>
                <w:sz w:val="18"/>
                <w:szCs w:val="18"/>
              </w:rPr>
            </w:pPr>
            <w:r>
              <w:rPr>
                <w:rFonts w:ascii="宋体" w:hAnsi="宋体" w:cs="宋体" w:eastAsia="宋体" w:hint="default"/>
                <w:sz w:val="18"/>
                <w:szCs w:val="18"/>
              </w:rPr>
              <w:t>得比例</w:t>
            </w:r>
          </w:p>
        </w:tc>
        <w:tc>
          <w:tcPr>
            <w:tcW w:w="85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方式</w:t>
            </w:r>
          </w:p>
        </w:tc>
        <w:tc>
          <w:tcPr>
            <w:tcW w:w="993" w:type="dxa"/>
            <w:tcBorders>
              <w:top w:val="nil" w:sz="6" w:space="0" w:color="auto"/>
              <w:left w:val="single" w:sz="6" w:space="0" w:color="000000"/>
              <w:bottom w:val="nil" w:sz="6" w:space="0" w:color="auto"/>
              <w:right w:val="single" w:sz="6" w:space="0" w:color="000000"/>
            </w:tcBorders>
          </w:tcPr>
          <w:p>
            <w:pPr/>
          </w:p>
        </w:tc>
        <w:tc>
          <w:tcPr>
            <w:tcW w:w="127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依据</w:t>
            </w:r>
          </w:p>
        </w:tc>
        <w:tc>
          <w:tcPr>
            <w:tcW w:w="103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58"/>
              <w:jc w:val="right"/>
              <w:rPr>
                <w:rFonts w:ascii="宋体" w:hAnsi="宋体" w:cs="宋体" w:eastAsia="宋体" w:hint="default"/>
                <w:sz w:val="18"/>
                <w:szCs w:val="18"/>
              </w:rPr>
            </w:pPr>
            <w:r>
              <w:rPr>
                <w:rFonts w:ascii="宋体" w:hAnsi="宋体" w:cs="宋体" w:eastAsia="宋体" w:hint="default"/>
                <w:sz w:val="18"/>
                <w:szCs w:val="18"/>
              </w:rPr>
              <w:t>末被购买方</w:t>
            </w:r>
          </w:p>
        </w:tc>
        <w:tc>
          <w:tcPr>
            <w:tcW w:w="1134" w:type="dxa"/>
            <w:tcBorders>
              <w:top w:val="nil" w:sz="6" w:space="0" w:color="auto"/>
              <w:left w:val="single" w:sz="6" w:space="0" w:color="000000"/>
              <w:bottom w:val="nil" w:sz="6" w:space="0" w:color="auto"/>
              <w:right w:val="nil" w:sz="6" w:space="0" w:color="auto"/>
            </w:tcBorders>
          </w:tcPr>
          <w:p>
            <w:pPr>
              <w:pStyle w:val="TableParagraph"/>
              <w:spacing w:line="240" w:lineRule="auto" w:before="10"/>
              <w:ind w:right="25"/>
              <w:jc w:val="right"/>
              <w:rPr>
                <w:rFonts w:ascii="宋体" w:hAnsi="宋体" w:cs="宋体" w:eastAsia="宋体" w:hint="default"/>
                <w:sz w:val="18"/>
                <w:szCs w:val="18"/>
              </w:rPr>
            </w:pPr>
            <w:r>
              <w:rPr>
                <w:rFonts w:ascii="宋体" w:hAnsi="宋体" w:cs="宋体" w:eastAsia="宋体" w:hint="default"/>
                <w:sz w:val="18"/>
                <w:szCs w:val="18"/>
              </w:rPr>
              <w:t>被购买方的净</w:t>
            </w:r>
          </w:p>
        </w:tc>
      </w:tr>
      <w:tr>
        <w:trPr>
          <w:trHeight w:val="336" w:hRule="exact"/>
        </w:trPr>
        <w:tc>
          <w:tcPr>
            <w:tcW w:w="1134" w:type="dxa"/>
            <w:tcBorders>
              <w:top w:val="nil" w:sz="6" w:space="0" w:color="auto"/>
              <w:left w:val="single" w:sz="6" w:space="0" w:color="000000"/>
              <w:bottom w:val="single" w:sz="12" w:space="0" w:color="000000"/>
              <w:right w:val="single" w:sz="6" w:space="0" w:color="000000"/>
            </w:tcBorders>
          </w:tcPr>
          <w:p>
            <w:pPr/>
          </w:p>
        </w:tc>
        <w:tc>
          <w:tcPr>
            <w:tcW w:w="882" w:type="dxa"/>
            <w:tcBorders>
              <w:top w:val="nil" w:sz="6" w:space="0" w:color="auto"/>
              <w:left w:val="single" w:sz="6" w:space="0" w:color="000000"/>
              <w:bottom w:val="single" w:sz="12" w:space="0" w:color="000000"/>
              <w:right w:val="single" w:sz="6" w:space="0" w:color="000000"/>
            </w:tcBorders>
          </w:tcPr>
          <w:p>
            <w:pPr/>
          </w:p>
        </w:tc>
        <w:tc>
          <w:tcPr>
            <w:tcW w:w="1134" w:type="dxa"/>
            <w:tcBorders>
              <w:top w:val="nil" w:sz="6" w:space="0" w:color="auto"/>
              <w:left w:val="single" w:sz="6" w:space="0" w:color="000000"/>
              <w:bottom w:val="single" w:sz="12" w:space="0" w:color="000000"/>
              <w:right w:val="single" w:sz="6" w:space="0" w:color="000000"/>
            </w:tcBorders>
          </w:tcPr>
          <w:p>
            <w:pPr/>
          </w:p>
        </w:tc>
        <w:tc>
          <w:tcPr>
            <w:tcW w:w="678"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52"/>
              <w:ind w:left="196" w:right="0"/>
              <w:jc w:val="left"/>
              <w:rPr>
                <w:rFonts w:ascii="Times New Roman" w:hAnsi="Times New Roman" w:cs="Times New Roman" w:eastAsia="Times New Roman" w:hint="default"/>
                <w:sz w:val="18"/>
                <w:szCs w:val="18"/>
              </w:rPr>
            </w:pPr>
            <w:r>
              <w:rPr>
                <w:rFonts w:ascii="Times New Roman"/>
                <w:sz w:val="18"/>
              </w:rPr>
              <w:t>(%)</w:t>
            </w:r>
          </w:p>
        </w:tc>
        <w:tc>
          <w:tcPr>
            <w:tcW w:w="850" w:type="dxa"/>
            <w:tcBorders>
              <w:top w:val="nil" w:sz="6" w:space="0" w:color="auto"/>
              <w:left w:val="single" w:sz="6" w:space="0" w:color="000000"/>
              <w:bottom w:val="single" w:sz="12" w:space="0" w:color="000000"/>
              <w:right w:val="single" w:sz="6" w:space="0" w:color="000000"/>
            </w:tcBorders>
          </w:tcPr>
          <w:p>
            <w:pPr/>
          </w:p>
        </w:tc>
        <w:tc>
          <w:tcPr>
            <w:tcW w:w="993" w:type="dxa"/>
            <w:tcBorders>
              <w:top w:val="nil" w:sz="6" w:space="0" w:color="auto"/>
              <w:left w:val="single" w:sz="6" w:space="0" w:color="000000"/>
              <w:bottom w:val="single" w:sz="12" w:space="0" w:color="000000"/>
              <w:right w:val="single" w:sz="6" w:space="0" w:color="000000"/>
            </w:tcBorders>
          </w:tcPr>
          <w:p>
            <w:pPr/>
          </w:p>
        </w:tc>
        <w:tc>
          <w:tcPr>
            <w:tcW w:w="1275" w:type="dxa"/>
            <w:tcBorders>
              <w:top w:val="nil" w:sz="6" w:space="0" w:color="auto"/>
              <w:left w:val="single" w:sz="6" w:space="0" w:color="000000"/>
              <w:bottom w:val="single" w:sz="12" w:space="0" w:color="000000"/>
              <w:right w:val="single" w:sz="6" w:space="0" w:color="000000"/>
            </w:tcBorders>
          </w:tcPr>
          <w:p>
            <w:pPr/>
          </w:p>
        </w:tc>
        <w:tc>
          <w:tcPr>
            <w:tcW w:w="1036"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0"/>
              <w:ind w:left="240" w:right="0"/>
              <w:jc w:val="left"/>
              <w:rPr>
                <w:rFonts w:ascii="宋体" w:hAnsi="宋体" w:cs="宋体" w:eastAsia="宋体" w:hint="default"/>
                <w:sz w:val="18"/>
                <w:szCs w:val="18"/>
              </w:rPr>
            </w:pPr>
            <w:r>
              <w:rPr>
                <w:rFonts w:ascii="宋体" w:hAnsi="宋体" w:cs="宋体" w:eastAsia="宋体" w:hint="default"/>
                <w:sz w:val="18"/>
                <w:szCs w:val="18"/>
              </w:rPr>
              <w:t>的收入</w:t>
            </w:r>
          </w:p>
        </w:tc>
        <w:tc>
          <w:tcPr>
            <w:tcW w:w="1134" w:type="dxa"/>
            <w:tcBorders>
              <w:top w:val="nil" w:sz="6" w:space="0" w:color="auto"/>
              <w:left w:val="single" w:sz="6" w:space="0" w:color="000000"/>
              <w:bottom w:val="single" w:sz="12" w:space="0" w:color="000000"/>
              <w:right w:val="nil" w:sz="6" w:space="0" w:color="auto"/>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利润</w:t>
            </w:r>
          </w:p>
        </w:tc>
      </w:tr>
      <w:tr>
        <w:trPr>
          <w:trHeight w:val="342" w:hRule="exact"/>
        </w:trPr>
        <w:tc>
          <w:tcPr>
            <w:tcW w:w="1134"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pacing w:val="5"/>
                <w:sz w:val="18"/>
                <w:szCs w:val="18"/>
              </w:rPr>
              <w:t>大陆云盾电子</w:t>
            </w:r>
          </w:p>
        </w:tc>
        <w:tc>
          <w:tcPr>
            <w:tcW w:w="882"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22"/>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tc>
        <w:tc>
          <w:tcPr>
            <w:tcW w:w="1134"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62"/>
              <w:ind w:left="81" w:right="0"/>
              <w:jc w:val="center"/>
              <w:rPr>
                <w:rFonts w:ascii="Times New Roman" w:hAnsi="Times New Roman" w:cs="Times New Roman" w:eastAsia="Times New Roman" w:hint="default"/>
                <w:sz w:val="18"/>
                <w:szCs w:val="18"/>
              </w:rPr>
            </w:pPr>
            <w:r>
              <w:rPr>
                <w:rFonts w:ascii="Times New Roman"/>
                <w:sz w:val="18"/>
              </w:rPr>
              <w:t>25,500,000.00</w:t>
            </w:r>
          </w:p>
        </w:tc>
        <w:tc>
          <w:tcPr>
            <w:tcW w:w="678"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84.27</w:t>
            </w:r>
          </w:p>
        </w:tc>
        <w:tc>
          <w:tcPr>
            <w:tcW w:w="850"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22"/>
              <w:ind w:right="106"/>
              <w:jc w:val="center"/>
              <w:rPr>
                <w:rFonts w:ascii="宋体" w:hAnsi="宋体" w:cs="宋体" w:eastAsia="宋体" w:hint="default"/>
                <w:sz w:val="18"/>
                <w:szCs w:val="18"/>
              </w:rPr>
            </w:pPr>
            <w:r>
              <w:rPr>
                <w:rFonts w:ascii="宋体" w:hAnsi="宋体" w:cs="宋体" w:eastAsia="宋体" w:hint="default"/>
                <w:sz w:val="18"/>
                <w:szCs w:val="18"/>
              </w:rPr>
              <w:t>现金购买</w:t>
            </w:r>
          </w:p>
        </w:tc>
        <w:tc>
          <w:tcPr>
            <w:tcW w:w="993"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p>
        </w:tc>
        <w:tc>
          <w:tcPr>
            <w:tcW w:w="1275"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pacing w:val="2"/>
                <w:sz w:val="18"/>
                <w:szCs w:val="18"/>
              </w:rPr>
              <w:t>支付超过</w:t>
            </w:r>
            <w:r>
              <w:rPr>
                <w:rFonts w:ascii="Times New Roman" w:hAnsi="Times New Roman" w:cs="Times New Roman" w:eastAsia="Times New Roman" w:hint="default"/>
                <w:spacing w:val="2"/>
                <w:sz w:val="18"/>
                <w:szCs w:val="18"/>
              </w:rPr>
              <w:t>50%</w:t>
            </w:r>
            <w:r>
              <w:rPr>
                <w:rFonts w:ascii="宋体" w:hAnsi="宋体" w:cs="宋体" w:eastAsia="宋体" w:hint="default"/>
                <w:spacing w:val="2"/>
                <w:sz w:val="18"/>
                <w:szCs w:val="18"/>
              </w:rPr>
              <w:t>的</w:t>
            </w:r>
          </w:p>
        </w:tc>
        <w:tc>
          <w:tcPr>
            <w:tcW w:w="1036"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4" w:type="dxa"/>
            <w:tcBorders>
              <w:top w:val="single" w:sz="12" w:space="0" w:color="000000"/>
              <w:left w:val="single" w:sz="6" w:space="0" w:color="000000"/>
              <w:bottom w:val="nil" w:sz="6" w:space="0" w:color="auto"/>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-874,824.92</w:t>
            </w:r>
          </w:p>
        </w:tc>
      </w:tr>
      <w:tr>
        <w:trPr>
          <w:trHeight w:val="312" w:hRule="exact"/>
        </w:trPr>
        <w:tc>
          <w:tcPr>
            <w:tcW w:w="1134"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3" w:right="0"/>
              <w:jc w:val="left"/>
              <w:rPr>
                <w:rFonts w:ascii="宋体" w:hAnsi="宋体" w:cs="宋体" w:eastAsia="宋体" w:hint="default"/>
                <w:sz w:val="18"/>
                <w:szCs w:val="18"/>
              </w:rPr>
            </w:pPr>
            <w:r>
              <w:rPr>
                <w:rFonts w:ascii="宋体" w:hAnsi="宋体" w:cs="宋体" w:eastAsia="宋体" w:hint="default"/>
                <w:spacing w:val="5"/>
                <w:sz w:val="18"/>
                <w:szCs w:val="18"/>
              </w:rPr>
              <w:t>认证服务有限</w:t>
            </w:r>
          </w:p>
        </w:tc>
        <w:tc>
          <w:tcPr>
            <w:tcW w:w="88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134" w:type="dxa"/>
            <w:tcBorders>
              <w:top w:val="nil" w:sz="6" w:space="0" w:color="auto"/>
              <w:left w:val="single" w:sz="6" w:space="0" w:color="000000"/>
              <w:bottom w:val="nil" w:sz="6" w:space="0" w:color="auto"/>
              <w:right w:val="single" w:sz="6" w:space="0" w:color="000000"/>
            </w:tcBorders>
          </w:tcPr>
          <w:p>
            <w:pPr/>
          </w:p>
        </w:tc>
        <w:tc>
          <w:tcPr>
            <w:tcW w:w="678"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93"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127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3" w:right="0"/>
              <w:jc w:val="left"/>
              <w:rPr>
                <w:rFonts w:ascii="宋体" w:hAnsi="宋体" w:cs="宋体" w:eastAsia="宋体" w:hint="default"/>
                <w:sz w:val="18"/>
                <w:szCs w:val="18"/>
              </w:rPr>
            </w:pPr>
            <w:r>
              <w:rPr>
                <w:rFonts w:ascii="宋体" w:hAnsi="宋体" w:cs="宋体" w:eastAsia="宋体" w:hint="default"/>
                <w:sz w:val="18"/>
                <w:szCs w:val="18"/>
              </w:rPr>
              <w:t>购买价款，并取</w:t>
            </w:r>
          </w:p>
        </w:tc>
        <w:tc>
          <w:tcPr>
            <w:tcW w:w="1036"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nil" w:sz="6" w:space="0" w:color="auto"/>
            </w:tcBorders>
          </w:tcPr>
          <w:p>
            <w:pPr/>
          </w:p>
        </w:tc>
      </w:tr>
      <w:tr>
        <w:trPr>
          <w:trHeight w:val="332" w:hRule="exact"/>
        </w:trPr>
        <w:tc>
          <w:tcPr>
            <w:tcW w:w="1134"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6"/>
              <w:ind w:left="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82" w:type="dxa"/>
            <w:tcBorders>
              <w:top w:val="nil" w:sz="6" w:space="0" w:color="auto"/>
              <w:left w:val="single" w:sz="6" w:space="0" w:color="000000"/>
              <w:bottom w:val="single" w:sz="12" w:space="0" w:color="000000"/>
              <w:right w:val="single" w:sz="6" w:space="0" w:color="000000"/>
            </w:tcBorders>
          </w:tcPr>
          <w:p>
            <w:pPr/>
          </w:p>
        </w:tc>
        <w:tc>
          <w:tcPr>
            <w:tcW w:w="1134" w:type="dxa"/>
            <w:tcBorders>
              <w:top w:val="nil" w:sz="6" w:space="0" w:color="auto"/>
              <w:left w:val="single" w:sz="6" w:space="0" w:color="000000"/>
              <w:bottom w:val="single" w:sz="12" w:space="0" w:color="000000"/>
              <w:right w:val="single" w:sz="6" w:space="0" w:color="000000"/>
            </w:tcBorders>
          </w:tcPr>
          <w:p>
            <w:pPr/>
          </w:p>
        </w:tc>
        <w:tc>
          <w:tcPr>
            <w:tcW w:w="678" w:type="dxa"/>
            <w:tcBorders>
              <w:top w:val="nil" w:sz="6" w:space="0" w:color="auto"/>
              <w:left w:val="single" w:sz="6" w:space="0" w:color="000000"/>
              <w:bottom w:val="single" w:sz="12" w:space="0" w:color="000000"/>
              <w:right w:val="single" w:sz="6" w:space="0" w:color="000000"/>
            </w:tcBorders>
          </w:tcPr>
          <w:p>
            <w:pPr/>
          </w:p>
        </w:tc>
        <w:tc>
          <w:tcPr>
            <w:tcW w:w="850" w:type="dxa"/>
            <w:tcBorders>
              <w:top w:val="nil" w:sz="6" w:space="0" w:color="auto"/>
              <w:left w:val="single" w:sz="6" w:space="0" w:color="000000"/>
              <w:bottom w:val="single" w:sz="12" w:space="0" w:color="000000"/>
              <w:right w:val="single" w:sz="6" w:space="0" w:color="000000"/>
            </w:tcBorders>
          </w:tcPr>
          <w:p>
            <w:pPr/>
          </w:p>
        </w:tc>
        <w:tc>
          <w:tcPr>
            <w:tcW w:w="993" w:type="dxa"/>
            <w:tcBorders>
              <w:top w:val="nil" w:sz="6" w:space="0" w:color="auto"/>
              <w:left w:val="single" w:sz="6" w:space="0" w:color="000000"/>
              <w:bottom w:val="single" w:sz="12" w:space="0" w:color="000000"/>
              <w:right w:val="single" w:sz="6" w:space="0" w:color="000000"/>
            </w:tcBorders>
          </w:tcPr>
          <w:p>
            <w:pPr/>
          </w:p>
        </w:tc>
        <w:tc>
          <w:tcPr>
            <w:tcW w:w="1275"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6"/>
              <w:ind w:left="3" w:right="0"/>
              <w:jc w:val="left"/>
              <w:rPr>
                <w:rFonts w:ascii="宋体" w:hAnsi="宋体" w:cs="宋体" w:eastAsia="宋体" w:hint="default"/>
                <w:sz w:val="18"/>
                <w:szCs w:val="18"/>
              </w:rPr>
            </w:pPr>
            <w:r>
              <w:rPr>
                <w:rFonts w:ascii="宋体" w:hAnsi="宋体" w:cs="宋体" w:eastAsia="宋体" w:hint="default"/>
                <w:sz w:val="18"/>
                <w:szCs w:val="18"/>
              </w:rPr>
              <w:t>得控制权</w:t>
            </w:r>
          </w:p>
        </w:tc>
        <w:tc>
          <w:tcPr>
            <w:tcW w:w="1036" w:type="dxa"/>
            <w:tcBorders>
              <w:top w:val="nil" w:sz="6" w:space="0" w:color="auto"/>
              <w:left w:val="single" w:sz="6" w:space="0" w:color="000000"/>
              <w:bottom w:val="single" w:sz="12" w:space="0" w:color="000000"/>
              <w:right w:val="single" w:sz="6" w:space="0" w:color="000000"/>
            </w:tcBorders>
          </w:tcPr>
          <w:p>
            <w:pPr/>
          </w:p>
        </w:tc>
        <w:tc>
          <w:tcPr>
            <w:tcW w:w="1134" w:type="dxa"/>
            <w:tcBorders>
              <w:top w:val="nil" w:sz="6" w:space="0" w:color="auto"/>
              <w:left w:val="single" w:sz="6" w:space="0" w:color="000000"/>
              <w:bottom w:val="single" w:sz="12" w:space="0" w:color="000000"/>
              <w:right w:val="nil" w:sz="6" w:space="0" w:color="auto"/>
            </w:tcBorders>
          </w:tcPr>
          <w:p>
            <w:pPr/>
          </w:p>
        </w:tc>
      </w:tr>
      <w:tr>
        <w:trPr>
          <w:trHeight w:val="342" w:hRule="exact"/>
        </w:trPr>
        <w:tc>
          <w:tcPr>
            <w:tcW w:w="1134"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62"/>
              <w:ind w:left="3" w:right="-5"/>
              <w:jc w:val="left"/>
              <w:rPr>
                <w:rFonts w:ascii="Times New Roman" w:hAnsi="Times New Roman" w:cs="Times New Roman" w:eastAsia="Times New Roman" w:hint="default"/>
                <w:sz w:val="18"/>
                <w:szCs w:val="18"/>
              </w:rPr>
            </w:pPr>
            <w:r>
              <w:rPr>
                <w:rFonts w:ascii="Times New Roman"/>
                <w:sz w:val="18"/>
              </w:rPr>
              <w:t>SUNJE </w:t>
            </w:r>
            <w:r>
              <w:rPr>
                <w:rFonts w:ascii="Times New Roman"/>
                <w:spacing w:val="44"/>
                <w:sz w:val="18"/>
              </w:rPr>
              <w:t> </w:t>
            </w:r>
            <w:r>
              <w:rPr>
                <w:rFonts w:ascii="Times New Roman"/>
                <w:sz w:val="18"/>
              </w:rPr>
              <w:t>SOFT</w:t>
            </w:r>
          </w:p>
        </w:tc>
        <w:tc>
          <w:tcPr>
            <w:tcW w:w="882"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22"/>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p>
        </w:tc>
        <w:tc>
          <w:tcPr>
            <w:tcW w:w="1134"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62"/>
              <w:ind w:left="81" w:right="0"/>
              <w:jc w:val="center"/>
              <w:rPr>
                <w:rFonts w:ascii="Times New Roman" w:hAnsi="Times New Roman" w:cs="Times New Roman" w:eastAsia="Times New Roman" w:hint="default"/>
                <w:sz w:val="18"/>
                <w:szCs w:val="18"/>
              </w:rPr>
            </w:pPr>
            <w:r>
              <w:rPr>
                <w:rFonts w:ascii="Times New Roman"/>
                <w:sz w:val="18"/>
              </w:rPr>
              <w:t>73,000,000.00</w:t>
            </w:r>
          </w:p>
        </w:tc>
        <w:tc>
          <w:tcPr>
            <w:tcW w:w="678"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67.15</w:t>
            </w:r>
          </w:p>
        </w:tc>
        <w:tc>
          <w:tcPr>
            <w:tcW w:w="850"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22"/>
              <w:ind w:right="106"/>
              <w:jc w:val="center"/>
              <w:rPr>
                <w:rFonts w:ascii="宋体" w:hAnsi="宋体" w:cs="宋体" w:eastAsia="宋体" w:hint="default"/>
                <w:sz w:val="18"/>
                <w:szCs w:val="18"/>
              </w:rPr>
            </w:pPr>
            <w:r>
              <w:rPr>
                <w:rFonts w:ascii="宋体" w:hAnsi="宋体" w:cs="宋体" w:eastAsia="宋体" w:hint="default"/>
                <w:sz w:val="18"/>
                <w:szCs w:val="18"/>
              </w:rPr>
              <w:t>现金购买</w:t>
            </w:r>
          </w:p>
        </w:tc>
        <w:tc>
          <w:tcPr>
            <w:tcW w:w="993"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p>
        </w:tc>
        <w:tc>
          <w:tcPr>
            <w:tcW w:w="1275"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pacing w:val="2"/>
                <w:sz w:val="18"/>
                <w:szCs w:val="18"/>
              </w:rPr>
              <w:t>支付超过</w:t>
            </w:r>
            <w:r>
              <w:rPr>
                <w:rFonts w:ascii="Times New Roman" w:hAnsi="Times New Roman" w:cs="Times New Roman" w:eastAsia="Times New Roman" w:hint="default"/>
                <w:spacing w:val="2"/>
                <w:sz w:val="18"/>
                <w:szCs w:val="18"/>
              </w:rPr>
              <w:t>50%</w:t>
            </w:r>
            <w:r>
              <w:rPr>
                <w:rFonts w:ascii="宋体" w:hAnsi="宋体" w:cs="宋体" w:eastAsia="宋体" w:hint="default"/>
                <w:spacing w:val="2"/>
                <w:sz w:val="18"/>
                <w:szCs w:val="18"/>
              </w:rPr>
              <w:t>的</w:t>
            </w:r>
          </w:p>
        </w:tc>
        <w:tc>
          <w:tcPr>
            <w:tcW w:w="1036"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2,664,675.12</w:t>
            </w:r>
          </w:p>
        </w:tc>
        <w:tc>
          <w:tcPr>
            <w:tcW w:w="1134" w:type="dxa"/>
            <w:tcBorders>
              <w:top w:val="single" w:sz="12" w:space="0" w:color="000000"/>
              <w:left w:val="single" w:sz="6" w:space="0" w:color="000000"/>
              <w:bottom w:val="nil" w:sz="6" w:space="0" w:color="auto"/>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-1,080,605.05</w:t>
            </w:r>
          </w:p>
        </w:tc>
      </w:tr>
      <w:tr>
        <w:trPr>
          <w:trHeight w:val="312" w:hRule="exact"/>
        </w:trPr>
        <w:tc>
          <w:tcPr>
            <w:tcW w:w="1134"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3" w:right="0"/>
              <w:jc w:val="left"/>
              <w:rPr>
                <w:rFonts w:ascii="宋体" w:hAnsi="宋体" w:cs="宋体" w:eastAsia="宋体" w:hint="default"/>
                <w:sz w:val="18"/>
                <w:szCs w:val="18"/>
              </w:rPr>
            </w:pPr>
            <w:r>
              <w:rPr>
                <w:rFonts w:ascii="宋体" w:hAnsi="宋体" w:cs="宋体" w:eastAsia="宋体" w:hint="default"/>
                <w:sz w:val="18"/>
                <w:szCs w:val="18"/>
              </w:rPr>
              <w:t>株式会社</w:t>
            </w:r>
          </w:p>
        </w:tc>
        <w:tc>
          <w:tcPr>
            <w:tcW w:w="88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1134" w:type="dxa"/>
            <w:tcBorders>
              <w:top w:val="nil" w:sz="6" w:space="0" w:color="auto"/>
              <w:left w:val="single" w:sz="6" w:space="0" w:color="000000"/>
              <w:bottom w:val="nil" w:sz="6" w:space="0" w:color="auto"/>
              <w:right w:val="single" w:sz="6" w:space="0" w:color="000000"/>
            </w:tcBorders>
          </w:tcPr>
          <w:p>
            <w:pPr/>
          </w:p>
        </w:tc>
        <w:tc>
          <w:tcPr>
            <w:tcW w:w="678" w:type="dxa"/>
            <w:tcBorders>
              <w:top w:val="nil" w:sz="6" w:space="0" w:color="auto"/>
              <w:left w:val="single" w:sz="6" w:space="0" w:color="000000"/>
              <w:bottom w:val="nil" w:sz="6" w:space="0" w:color="auto"/>
              <w:right w:val="single" w:sz="6" w:space="0" w:color="000000"/>
            </w:tcBorders>
          </w:tcPr>
          <w:p>
            <w:pPr/>
          </w:p>
        </w:tc>
        <w:tc>
          <w:tcPr>
            <w:tcW w:w="850" w:type="dxa"/>
            <w:tcBorders>
              <w:top w:val="nil" w:sz="6" w:space="0" w:color="auto"/>
              <w:left w:val="single" w:sz="6" w:space="0" w:color="000000"/>
              <w:bottom w:val="nil" w:sz="6" w:space="0" w:color="auto"/>
              <w:right w:val="single" w:sz="6" w:space="0" w:color="000000"/>
            </w:tcBorders>
          </w:tcPr>
          <w:p>
            <w:pPr/>
          </w:p>
        </w:tc>
        <w:tc>
          <w:tcPr>
            <w:tcW w:w="993"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127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3" w:right="0"/>
              <w:jc w:val="left"/>
              <w:rPr>
                <w:rFonts w:ascii="宋体" w:hAnsi="宋体" w:cs="宋体" w:eastAsia="宋体" w:hint="default"/>
                <w:sz w:val="18"/>
                <w:szCs w:val="18"/>
              </w:rPr>
            </w:pPr>
            <w:r>
              <w:rPr>
                <w:rFonts w:ascii="宋体" w:hAnsi="宋体" w:cs="宋体" w:eastAsia="宋体" w:hint="default"/>
                <w:sz w:val="18"/>
                <w:szCs w:val="18"/>
              </w:rPr>
              <w:t>购买价款，并取</w:t>
            </w:r>
          </w:p>
        </w:tc>
        <w:tc>
          <w:tcPr>
            <w:tcW w:w="1036" w:type="dxa"/>
            <w:tcBorders>
              <w:top w:val="nil" w:sz="6" w:space="0" w:color="auto"/>
              <w:left w:val="single" w:sz="6" w:space="0" w:color="000000"/>
              <w:bottom w:val="nil" w:sz="6" w:space="0" w:color="auto"/>
              <w:right w:val="single" w:sz="6" w:space="0" w:color="000000"/>
            </w:tcBorders>
          </w:tcPr>
          <w:p>
            <w:pPr/>
          </w:p>
        </w:tc>
        <w:tc>
          <w:tcPr>
            <w:tcW w:w="1134" w:type="dxa"/>
            <w:tcBorders>
              <w:top w:val="nil" w:sz="6" w:space="0" w:color="auto"/>
              <w:left w:val="single" w:sz="6" w:space="0" w:color="000000"/>
              <w:bottom w:val="nil" w:sz="6" w:space="0" w:color="auto"/>
              <w:right w:val="nil" w:sz="6" w:space="0" w:color="auto"/>
            </w:tcBorders>
          </w:tcPr>
          <w:p>
            <w:pPr/>
          </w:p>
        </w:tc>
      </w:tr>
      <w:tr>
        <w:trPr>
          <w:trHeight w:val="332" w:hRule="exact"/>
        </w:trPr>
        <w:tc>
          <w:tcPr>
            <w:tcW w:w="1134" w:type="dxa"/>
            <w:tcBorders>
              <w:top w:val="nil" w:sz="6" w:space="0" w:color="auto"/>
              <w:left w:val="single" w:sz="6" w:space="0" w:color="000000"/>
              <w:bottom w:val="single" w:sz="12" w:space="0" w:color="000000"/>
              <w:right w:val="single" w:sz="6" w:space="0" w:color="000000"/>
            </w:tcBorders>
          </w:tcPr>
          <w:p>
            <w:pPr/>
          </w:p>
        </w:tc>
        <w:tc>
          <w:tcPr>
            <w:tcW w:w="882" w:type="dxa"/>
            <w:tcBorders>
              <w:top w:val="nil" w:sz="6" w:space="0" w:color="auto"/>
              <w:left w:val="single" w:sz="6" w:space="0" w:color="000000"/>
              <w:bottom w:val="single" w:sz="12" w:space="0" w:color="000000"/>
              <w:right w:val="single" w:sz="6" w:space="0" w:color="000000"/>
            </w:tcBorders>
          </w:tcPr>
          <w:p>
            <w:pPr/>
          </w:p>
        </w:tc>
        <w:tc>
          <w:tcPr>
            <w:tcW w:w="1134" w:type="dxa"/>
            <w:tcBorders>
              <w:top w:val="nil" w:sz="6" w:space="0" w:color="auto"/>
              <w:left w:val="single" w:sz="6" w:space="0" w:color="000000"/>
              <w:bottom w:val="single" w:sz="12" w:space="0" w:color="000000"/>
              <w:right w:val="single" w:sz="6" w:space="0" w:color="000000"/>
            </w:tcBorders>
          </w:tcPr>
          <w:p>
            <w:pPr/>
          </w:p>
        </w:tc>
        <w:tc>
          <w:tcPr>
            <w:tcW w:w="678" w:type="dxa"/>
            <w:tcBorders>
              <w:top w:val="nil" w:sz="6" w:space="0" w:color="auto"/>
              <w:left w:val="single" w:sz="6" w:space="0" w:color="000000"/>
              <w:bottom w:val="single" w:sz="12" w:space="0" w:color="000000"/>
              <w:right w:val="single" w:sz="6" w:space="0" w:color="000000"/>
            </w:tcBorders>
          </w:tcPr>
          <w:p>
            <w:pPr/>
          </w:p>
        </w:tc>
        <w:tc>
          <w:tcPr>
            <w:tcW w:w="850" w:type="dxa"/>
            <w:tcBorders>
              <w:top w:val="nil" w:sz="6" w:space="0" w:color="auto"/>
              <w:left w:val="single" w:sz="6" w:space="0" w:color="000000"/>
              <w:bottom w:val="single" w:sz="12" w:space="0" w:color="000000"/>
              <w:right w:val="single" w:sz="6" w:space="0" w:color="000000"/>
            </w:tcBorders>
          </w:tcPr>
          <w:p>
            <w:pPr/>
          </w:p>
        </w:tc>
        <w:tc>
          <w:tcPr>
            <w:tcW w:w="993" w:type="dxa"/>
            <w:tcBorders>
              <w:top w:val="nil" w:sz="6" w:space="0" w:color="auto"/>
              <w:left w:val="single" w:sz="6" w:space="0" w:color="000000"/>
              <w:bottom w:val="single" w:sz="12" w:space="0" w:color="000000"/>
              <w:right w:val="single" w:sz="6" w:space="0" w:color="000000"/>
            </w:tcBorders>
          </w:tcPr>
          <w:p>
            <w:pPr/>
          </w:p>
        </w:tc>
        <w:tc>
          <w:tcPr>
            <w:tcW w:w="1275"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6"/>
              <w:ind w:left="3" w:right="0"/>
              <w:jc w:val="left"/>
              <w:rPr>
                <w:rFonts w:ascii="宋体" w:hAnsi="宋体" w:cs="宋体" w:eastAsia="宋体" w:hint="default"/>
                <w:sz w:val="18"/>
                <w:szCs w:val="18"/>
              </w:rPr>
            </w:pPr>
            <w:r>
              <w:rPr>
                <w:rFonts w:ascii="宋体" w:hAnsi="宋体" w:cs="宋体" w:eastAsia="宋体" w:hint="default"/>
                <w:sz w:val="18"/>
                <w:szCs w:val="18"/>
              </w:rPr>
              <w:t>得控制权</w:t>
            </w:r>
          </w:p>
        </w:tc>
        <w:tc>
          <w:tcPr>
            <w:tcW w:w="1036" w:type="dxa"/>
            <w:tcBorders>
              <w:top w:val="nil" w:sz="6" w:space="0" w:color="auto"/>
              <w:left w:val="single" w:sz="6" w:space="0" w:color="000000"/>
              <w:bottom w:val="single" w:sz="12" w:space="0" w:color="000000"/>
              <w:right w:val="single" w:sz="6" w:space="0" w:color="000000"/>
            </w:tcBorders>
          </w:tcPr>
          <w:p>
            <w:pPr/>
          </w:p>
        </w:tc>
        <w:tc>
          <w:tcPr>
            <w:tcW w:w="1134" w:type="dxa"/>
            <w:tcBorders>
              <w:top w:val="nil" w:sz="6" w:space="0" w:color="auto"/>
              <w:left w:val="single" w:sz="6" w:space="0" w:color="000000"/>
              <w:bottom w:val="single" w:sz="12" w:space="0" w:color="000000"/>
              <w:right w:val="nil" w:sz="6" w:space="0" w:color="auto"/>
            </w:tcBorders>
          </w:tcPr>
          <w:p>
            <w:pPr/>
          </w:p>
        </w:tc>
      </w:tr>
    </w:tbl>
    <w:p>
      <w:pPr>
        <w:spacing w:line="240" w:lineRule="auto" w:before="8"/>
        <w:rPr>
          <w:rFonts w:ascii="宋体" w:hAnsi="宋体" w:cs="宋体" w:eastAsia="宋体" w:hint="default"/>
          <w:b/>
          <w:bCs/>
          <w:sz w:val="6"/>
          <w:szCs w:val="6"/>
        </w:rPr>
      </w:pPr>
    </w:p>
    <w:p>
      <w:pPr>
        <w:pStyle w:val="BodyText"/>
        <w:spacing w:line="240" w:lineRule="auto" w:before="44"/>
        <w:ind w:left="532" w:right="0"/>
        <w:jc w:val="left"/>
      </w:pPr>
      <w:r>
        <w:rPr/>
        <w:t>其他说明：</w:t>
      </w:r>
    </w:p>
    <w:p>
      <w:pPr>
        <w:pStyle w:val="BodyText"/>
        <w:spacing w:line="316" w:lineRule="auto" w:before="76"/>
        <w:ind w:right="1034" w:firstLine="360"/>
        <w:jc w:val="left"/>
      </w:pPr>
      <w:r>
        <w:rPr/>
        <w:t>（1）大陆云盾电子认证服务有限公司（以下简称大陆云盾公司）原公司章程规定，注册资本人民币5000万元，其中姜 </w:t>
      </w:r>
      <w:r>
        <w:rPr>
          <w:spacing w:val="-2"/>
        </w:rPr>
        <w:t>晓崑认缴出资人民币2,700万元，占认缴出资比例的54%。2018年11月28日，大陆云盾公司股东会决议修改了公司章程，修改</w:t>
      </w:r>
      <w:r>
        <w:rPr>
          <w:spacing w:val="-56"/>
        </w:rPr>
        <w:t> </w:t>
      </w:r>
      <w:r>
        <w:rPr>
          <w:spacing w:val="-56"/>
        </w:rPr>
      </w:r>
      <w:r>
        <w:rPr>
          <w:spacing w:val="-3"/>
        </w:rPr>
        <w:t>后，注册资本为人民币5,000万元，其中本公司认缴出资人民币2,550万元，占认缴出资比例的51%，姜晓崑认缴出资150万元，</w:t>
      </w:r>
      <w:r>
        <w:rPr>
          <w:spacing w:val="-82"/>
        </w:rPr>
        <w:t> </w:t>
      </w:r>
      <w:r>
        <w:rPr>
          <w:spacing w:val="-82"/>
        </w:rPr>
      </w:r>
      <w:r>
        <w:rPr/>
        <w:t>占认缴出资比例的3%。同时，章程规定，各股东“按照其实缴的出资比例分取红利”、“按照实缴出资比例行使表决权”、</w:t>
      </w:r>
      <w:r>
        <w:rPr/>
        <w:t> “公司终止后，按其实缴的出资比例分得公司的剩余财产”。</w:t>
      </w:r>
    </w:p>
    <w:p>
      <w:pPr>
        <w:pStyle w:val="BodyText"/>
        <w:spacing w:line="316" w:lineRule="auto" w:before="19"/>
        <w:ind w:right="1130" w:firstLine="420"/>
        <w:jc w:val="both"/>
      </w:pPr>
      <w:r>
        <w:rPr/>
        <w:t>2018年11月27日，本公司第二届董事会第二十次会议审议通过了《关于公司对外投资的议案》，决议以现金收购姜晓 崑持有的大陆云盾公司51%的股权。本公司支付股权收购款前，大陆云盾公司实收资本为625.82万元，其中，姜晓崑实际出 资300万元，占实际出资比例为47.94%。2018年12月12日，本公司按章程和协议约定支付现金150万元购买姜晓崑150万元实 </w:t>
      </w:r>
      <w:r>
        <w:rPr>
          <w:spacing w:val="-2"/>
        </w:rPr>
        <w:t>际出资股份，占实际出资比例为23.97%，并缴足剩余认缴出资款2400万元。本公司缴足认缴出资额后，大陆云盾公司实收资</w:t>
      </w:r>
      <w:r>
        <w:rPr>
          <w:spacing w:val="-59"/>
        </w:rPr>
        <w:t> </w:t>
      </w:r>
      <w:r>
        <w:rPr>
          <w:spacing w:val="-59"/>
        </w:rPr>
      </w:r>
      <w:r>
        <w:rPr>
          <w:spacing w:val="-2"/>
        </w:rPr>
        <w:t>本为3,025.82万元，本公司占实际出资比例的84.27%。两次出资为不可分割的交易，公司于缴纳出资当日能够控制其经营和</w:t>
      </w:r>
      <w:r>
        <w:rPr>
          <w:spacing w:val="-56"/>
        </w:rPr>
        <w:t> </w:t>
      </w:r>
      <w:r>
        <w:rPr>
          <w:spacing w:val="-56"/>
        </w:rPr>
      </w:r>
      <w:r>
        <w:rPr/>
        <w:t>财务决策，将2018年12月12日确定为购买日，并按实际出资比例纳入合并范围。</w:t>
      </w:r>
    </w:p>
    <w:p>
      <w:pPr>
        <w:pStyle w:val="BodyText"/>
        <w:spacing w:line="316" w:lineRule="auto" w:before="139"/>
        <w:ind w:right="1129" w:firstLine="420"/>
        <w:jc w:val="both"/>
      </w:pPr>
      <w:r>
        <w:rPr>
          <w:spacing w:val="-1"/>
        </w:rPr>
        <w:t>（2）2018年8月1日，本公司第二届董事会第十七次会议审议通过了《关于公司香港全资子公司境外投资的议案》，决</w:t>
      </w:r>
      <w:r>
        <w:rPr/>
        <w:t> 议以现金方式7300万元人民币收购SUNJE</w:t>
      </w:r>
      <w:r>
        <w:rPr>
          <w:spacing w:val="57"/>
        </w:rPr>
        <w:t> </w:t>
      </w:r>
      <w:r>
        <w:rPr/>
        <w:t>SOFT株式会社67.15%股权。2018年10月19日本公司按照协议约定分别向株式会社</w:t>
      </w:r>
      <w:r>
        <w:rPr>
          <w:spacing w:val="-71"/>
        </w:rPr>
        <w:t> </w:t>
      </w:r>
      <w:r>
        <w:rPr>
          <w:spacing w:val="-71"/>
        </w:rPr>
      </w:r>
      <w:r>
        <w:rPr>
          <w:spacing w:val="-2"/>
        </w:rPr>
        <w:t>EXEM、株式会社ATDATA和金起完等自然人股东支付股权收购款人民币2,250万元、1,750万元和1,979.15万元，支付了</w:t>
      </w:r>
      <w:r>
        <w:rPr>
          <w:spacing w:val="31"/>
        </w:rPr>
        <w:t> </w:t>
      </w:r>
      <w:r>
        <w:rPr>
          <w:spacing w:val="-1"/>
        </w:rPr>
        <w:t>57.1%</w:t>
      </w:r>
      <w:r>
        <w:rPr>
          <w:spacing w:val="-82"/>
        </w:rPr>
        <w:t> </w:t>
      </w:r>
      <w:r>
        <w:rPr>
          <w:spacing w:val="-82"/>
        </w:rPr>
      </w:r>
      <w:r>
        <w:rPr>
          <w:spacing w:val="-2"/>
        </w:rPr>
        <w:t>的股权收购款，能够控制其经营和财务决策，剩余的应支付金起完等自然人股东的人民币1,320.85万元股权收购尾款于2018</w:t>
      </w:r>
      <w:r>
        <w:rPr>
          <w:spacing w:val="-56"/>
        </w:rPr>
        <w:t> </w:t>
      </w:r>
      <w:r>
        <w:rPr>
          <w:spacing w:val="-56"/>
        </w:rPr>
      </w:r>
      <w:r>
        <w:rPr/>
        <w:t>年12月12日支付完毕。公司将2018年10月19日确定为购买日。</w:t>
      </w:r>
    </w:p>
    <w:p>
      <w:pPr>
        <w:pStyle w:val="Heading5"/>
        <w:spacing w:line="240" w:lineRule="auto" w:before="116"/>
        <w:ind w:left="532"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合并成本及商誉</w:t>
      </w:r>
      <w:r>
        <w:rPr>
          <w:b w:val="0"/>
          <w:bCs w:val="0"/>
        </w:rPr>
      </w:r>
    </w:p>
    <w:p>
      <w:pPr>
        <w:spacing w:line="240" w:lineRule="auto" w:before="8"/>
        <w:rPr>
          <w:rFonts w:ascii="宋体" w:hAnsi="宋体" w:cs="宋体" w:eastAsia="宋体" w:hint="default"/>
          <w:b/>
          <w:bCs/>
          <w:sz w:val="2"/>
          <w:szCs w:val="2"/>
        </w:rPr>
      </w:pPr>
    </w:p>
    <w:tbl>
      <w:tblPr>
        <w:tblW w:w="0" w:type="auto"/>
        <w:jc w:val="left"/>
        <w:tblInd w:w="106" w:type="dxa"/>
        <w:tblLayout w:type="fixed"/>
        <w:tblCellMar>
          <w:top w:w="0" w:type="dxa"/>
          <w:left w:w="0" w:type="dxa"/>
          <w:bottom w:w="0" w:type="dxa"/>
          <w:right w:w="0" w:type="dxa"/>
        </w:tblCellMar>
        <w:tblLook w:val="01E0"/>
      </w:tblPr>
      <w:tblGrid>
        <w:gridCol w:w="3402"/>
        <w:gridCol w:w="2835"/>
        <w:gridCol w:w="1990"/>
      </w:tblGrid>
      <w:tr>
        <w:trPr>
          <w:trHeight w:val="354" w:hRule="exact"/>
        </w:trPr>
        <w:tc>
          <w:tcPr>
            <w:tcW w:w="34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28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48" w:right="0"/>
              <w:jc w:val="left"/>
              <w:rPr>
                <w:rFonts w:ascii="宋体" w:hAnsi="宋体" w:cs="宋体" w:eastAsia="宋体" w:hint="default"/>
                <w:sz w:val="18"/>
                <w:szCs w:val="18"/>
              </w:rPr>
            </w:pPr>
            <w:r>
              <w:rPr>
                <w:rFonts w:ascii="宋体" w:hAnsi="宋体" w:cs="宋体" w:eastAsia="宋体" w:hint="default"/>
                <w:sz w:val="18"/>
                <w:szCs w:val="18"/>
              </w:rPr>
              <w:t>大陆云盾电子认证服务有限公司</w:t>
            </w:r>
          </w:p>
        </w:tc>
        <w:tc>
          <w:tcPr>
            <w:tcW w:w="199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1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SUNJESOFT</w:t>
            </w:r>
            <w:r>
              <w:rPr>
                <w:rFonts w:ascii="宋体" w:hAnsi="宋体" w:cs="宋体" w:eastAsia="宋体" w:hint="default"/>
                <w:sz w:val="18"/>
                <w:szCs w:val="18"/>
              </w:rPr>
              <w:t>株式会社</w:t>
            </w:r>
          </w:p>
        </w:tc>
      </w:tr>
      <w:tr>
        <w:trPr>
          <w:trHeight w:val="362" w:hRule="exact"/>
        </w:trPr>
        <w:tc>
          <w:tcPr>
            <w:tcW w:w="34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320"/>
              <w:jc w:val="center"/>
              <w:rPr>
                <w:rFonts w:ascii="宋体" w:hAnsi="宋体" w:cs="宋体" w:eastAsia="宋体" w:hint="default"/>
                <w:sz w:val="18"/>
                <w:szCs w:val="18"/>
              </w:rPr>
            </w:pPr>
            <w:r>
              <w:rPr>
                <w:rFonts w:ascii="宋体" w:hAnsi="宋体" w:cs="宋体" w:eastAsia="宋体" w:hint="default"/>
                <w:sz w:val="18"/>
                <w:szCs w:val="18"/>
              </w:rPr>
              <w:t>现金</w:t>
            </w:r>
          </w:p>
        </w:tc>
        <w:tc>
          <w:tcPr>
            <w:tcW w:w="28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1,500,000.00</w:t>
            </w:r>
          </w:p>
        </w:tc>
        <w:tc>
          <w:tcPr>
            <w:tcW w:w="19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73,000,000.00</w:t>
            </w:r>
          </w:p>
        </w:tc>
      </w:tr>
      <w:tr>
        <w:trPr>
          <w:trHeight w:val="362" w:hRule="exact"/>
        </w:trPr>
        <w:tc>
          <w:tcPr>
            <w:tcW w:w="34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合并成本合计</w:t>
            </w:r>
          </w:p>
        </w:tc>
        <w:tc>
          <w:tcPr>
            <w:tcW w:w="28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1,500,000.00</w:t>
            </w:r>
          </w:p>
        </w:tc>
        <w:tc>
          <w:tcPr>
            <w:tcW w:w="19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spacing w:val="-1"/>
                <w:sz w:val="18"/>
              </w:rPr>
              <w:t>73,000,000.00</w:t>
            </w:r>
          </w:p>
        </w:tc>
      </w:tr>
      <w:tr>
        <w:trPr>
          <w:trHeight w:val="362" w:hRule="exact"/>
        </w:trPr>
        <w:tc>
          <w:tcPr>
            <w:tcW w:w="34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28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345,227.66</w:t>
            </w:r>
          </w:p>
        </w:tc>
        <w:tc>
          <w:tcPr>
            <w:tcW w:w="19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spacing w:val="-1"/>
                <w:sz w:val="18"/>
              </w:rPr>
              <w:t>32,057,558.40</w:t>
            </w:r>
          </w:p>
        </w:tc>
      </w:tr>
      <w:tr>
        <w:trPr>
          <w:trHeight w:val="674" w:hRule="exact"/>
        </w:trPr>
        <w:tc>
          <w:tcPr>
            <w:tcW w:w="3402"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21"/>
              <w:ind w:left="3" w:right="0"/>
              <w:jc w:val="left"/>
              <w:rPr>
                <w:rFonts w:ascii="宋体" w:hAnsi="宋体" w:cs="宋体" w:eastAsia="宋体" w:hint="default"/>
                <w:sz w:val="18"/>
                <w:szCs w:val="18"/>
              </w:rPr>
            </w:pPr>
            <w:r>
              <w:rPr>
                <w:rFonts w:ascii="宋体" w:hAnsi="宋体" w:cs="宋体" w:eastAsia="宋体" w:hint="default"/>
                <w:spacing w:val="4"/>
                <w:sz w:val="18"/>
                <w:szCs w:val="18"/>
              </w:rPr>
              <w:t>商誉</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合并成本小于取得的可辨认净资产公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允价值份额的金额</w:t>
            </w:r>
          </w:p>
        </w:tc>
        <w:tc>
          <w:tcPr>
            <w:tcW w:w="28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1,154,772.34</w:t>
            </w:r>
          </w:p>
        </w:tc>
        <w:tc>
          <w:tcPr>
            <w:tcW w:w="199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spacing w:val="-1"/>
                <w:sz w:val="18"/>
              </w:rPr>
              <w:t>40,942,441.60</w:t>
            </w:r>
          </w:p>
        </w:tc>
      </w:tr>
    </w:tbl>
    <w:p>
      <w:pPr>
        <w:spacing w:line="240" w:lineRule="auto" w:before="9"/>
        <w:rPr>
          <w:rFonts w:ascii="宋体" w:hAnsi="宋体" w:cs="宋体" w:eastAsia="宋体" w:hint="default"/>
          <w:b/>
          <w:bCs/>
          <w:sz w:val="6"/>
          <w:szCs w:val="6"/>
        </w:rPr>
      </w:pPr>
    </w:p>
    <w:p>
      <w:pPr>
        <w:pStyle w:val="BodyText"/>
        <w:spacing w:line="240" w:lineRule="auto" w:before="44"/>
        <w:ind w:left="472" w:right="0"/>
        <w:jc w:val="left"/>
      </w:pPr>
      <w:r>
        <w:rPr/>
        <w:t>（1）合并成本公允价值的确定、或有对价及其变动的说明</w:t>
      </w:r>
    </w:p>
    <w:p>
      <w:pPr>
        <w:pStyle w:val="BodyText"/>
        <w:spacing w:line="430" w:lineRule="atLeast" w:before="2"/>
        <w:ind w:left="532" w:right="0"/>
        <w:jc w:val="left"/>
      </w:pPr>
      <w:r>
        <w:rPr/>
        <w:t>①收购大陆云盾电子认证服务有限公司股权 </w:t>
      </w:r>
      <w:r>
        <w:rPr>
          <w:spacing w:val="-3"/>
        </w:rPr>
        <w:t>合并对价以现金形式支付。合并对价依据开元资产评估有限公司出具的开元评报字[2018]652号《资产评估报告》确定，</w:t>
      </w:r>
    </w:p>
    <w:p>
      <w:pPr>
        <w:pStyle w:val="BodyText"/>
        <w:spacing w:line="240" w:lineRule="auto" w:before="76"/>
        <w:ind w:right="0"/>
        <w:jc w:val="left"/>
      </w:pPr>
      <w:r>
        <w:rPr/>
        <w:t>评估基准日为2018年10月31日，评估值为人民币269.92万元。根据该估值，确定股权转让价款为人民币150万元。</w:t>
      </w:r>
    </w:p>
    <w:p>
      <w:pPr>
        <w:spacing w:line="240" w:lineRule="auto" w:before="0"/>
        <w:rPr>
          <w:rFonts w:ascii="宋体" w:hAnsi="宋体" w:cs="宋体" w:eastAsia="宋体" w:hint="default"/>
          <w:sz w:val="15"/>
          <w:szCs w:val="15"/>
        </w:rPr>
      </w:pPr>
    </w:p>
    <w:p>
      <w:pPr>
        <w:pStyle w:val="BodyText"/>
        <w:spacing w:line="439" w:lineRule="auto"/>
        <w:ind w:left="532" w:right="0"/>
        <w:jc w:val="left"/>
      </w:pPr>
      <w:r>
        <w:rPr/>
        <w:t>②收购SUNJE</w:t>
      </w:r>
      <w:r>
        <w:rPr>
          <w:spacing w:val="-1"/>
        </w:rPr>
        <w:t> </w:t>
      </w:r>
      <w:r>
        <w:rPr/>
        <w:t>SOFT株式会社股权</w:t>
      </w:r>
      <w:r>
        <w:rPr/>
        <w:t> </w:t>
      </w:r>
      <w:r>
        <w:rPr>
          <w:spacing w:val="5"/>
        </w:rPr>
        <w:t>合并对价以现金形式支付。合并对价参考道衡美评国际资产评估有限公司出具的道衡美评估值报字[2018]第026号</w:t>
      </w:r>
    </w:p>
    <w:p>
      <w:pPr>
        <w:spacing w:after="0" w:line="439"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16" w:lineRule="auto" w:before="44"/>
        <w:ind w:right="1132"/>
        <w:jc w:val="both"/>
      </w:pPr>
      <w:r>
        <w:rPr/>
        <w:t>《Sunje</w:t>
      </w:r>
      <w:r>
        <w:rPr>
          <w:spacing w:val="-44"/>
        </w:rPr>
        <w:t> </w:t>
      </w:r>
      <w:r>
        <w:rPr/>
        <w:t>Soft</w:t>
      </w:r>
      <w:r>
        <w:rPr>
          <w:spacing w:val="-44"/>
        </w:rPr>
        <w:t> </w:t>
      </w:r>
      <w:r>
        <w:rPr/>
        <w:t>Inc.</w:t>
      </w:r>
      <w:r>
        <w:rPr>
          <w:spacing w:val="-8"/>
        </w:rPr>
        <w:t> </w:t>
      </w:r>
      <w:r>
        <w:rPr/>
        <w:t>股东全部权益价值估值报告》确定，评估基准日为2018年3月31日，评估值为2,070,100万韩元，按照基</w:t>
      </w:r>
      <w:r>
        <w:rPr/>
        <w:t> 准日中国人民银行韩元对人民币汇率中间价1：0.005902折算为人民币12,200万元。根据该估值，确定股权转让价款为人民 币7,300万元。</w:t>
      </w:r>
    </w:p>
    <w:p>
      <w:pPr>
        <w:pStyle w:val="Heading5"/>
        <w:spacing w:line="240" w:lineRule="auto" w:before="113"/>
        <w:ind w:left="532" w:right="0"/>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被购买方于购买日可辨认资产、负债</w:t>
      </w:r>
      <w:r>
        <w:rPr>
          <w:b w:val="0"/>
          <w:bCs w:val="0"/>
        </w:rPr>
      </w:r>
    </w:p>
    <w:p>
      <w:pPr>
        <w:spacing w:line="240" w:lineRule="auto" w:before="9"/>
        <w:rPr>
          <w:rFonts w:ascii="宋体" w:hAnsi="宋体" w:cs="宋体" w:eastAsia="宋体" w:hint="default"/>
          <w:b/>
          <w:bCs/>
          <w:sz w:val="2"/>
          <w:szCs w:val="2"/>
        </w:rPr>
      </w:pPr>
    </w:p>
    <w:tbl>
      <w:tblPr>
        <w:tblW w:w="0" w:type="auto"/>
        <w:jc w:val="left"/>
        <w:tblInd w:w="106" w:type="dxa"/>
        <w:tblLayout w:type="fixed"/>
        <w:tblCellMar>
          <w:top w:w="0" w:type="dxa"/>
          <w:left w:w="0" w:type="dxa"/>
          <w:bottom w:w="0" w:type="dxa"/>
          <w:right w:w="0" w:type="dxa"/>
        </w:tblCellMar>
        <w:tblLook w:val="01E0"/>
      </w:tblPr>
      <w:tblGrid>
        <w:gridCol w:w="1951"/>
        <w:gridCol w:w="1620"/>
        <w:gridCol w:w="1668"/>
        <w:gridCol w:w="1605"/>
        <w:gridCol w:w="1684"/>
      </w:tblGrid>
      <w:tr>
        <w:trPr>
          <w:trHeight w:val="354" w:hRule="exact"/>
        </w:trPr>
        <w:tc>
          <w:tcPr>
            <w:tcW w:w="1951"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75" w:right="0"/>
              <w:jc w:val="left"/>
              <w:rPr>
                <w:rFonts w:ascii="宋体" w:hAnsi="宋体" w:cs="宋体" w:eastAsia="宋体" w:hint="default"/>
                <w:sz w:val="18"/>
                <w:szCs w:val="18"/>
              </w:rPr>
            </w:pPr>
            <w:r>
              <w:rPr>
                <w:rFonts w:ascii="宋体" w:hAnsi="宋体" w:cs="宋体" w:eastAsia="宋体" w:hint="default"/>
                <w:sz w:val="18"/>
                <w:szCs w:val="18"/>
              </w:rPr>
              <w:t>大陆云盾电子认证服务有限公司</w:t>
            </w:r>
          </w:p>
        </w:tc>
        <w:tc>
          <w:tcPr>
            <w:tcW w:w="3289"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7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SUNJESOFT</w:t>
            </w:r>
            <w:r>
              <w:rPr>
                <w:rFonts w:ascii="宋体" w:hAnsi="宋体" w:cs="宋体" w:eastAsia="宋体" w:hint="default"/>
                <w:sz w:val="18"/>
                <w:szCs w:val="18"/>
              </w:rPr>
              <w:t>株式会社</w:t>
            </w:r>
          </w:p>
        </w:tc>
      </w:tr>
      <w:tr>
        <w:trPr>
          <w:trHeight w:val="362" w:hRule="exact"/>
        </w:trPr>
        <w:tc>
          <w:tcPr>
            <w:tcW w:w="1951" w:type="dxa"/>
            <w:vMerge/>
            <w:tcBorders>
              <w:left w:val="single" w:sz="6" w:space="0" w:color="000000"/>
              <w:bottom w:val="single" w:sz="12" w:space="0" w:color="000000"/>
              <w:right w:val="single" w:sz="6" w:space="0" w:color="000000"/>
            </w:tcBorders>
          </w:tcPr>
          <w:p>
            <w:pPr/>
          </w:p>
        </w:tc>
        <w:tc>
          <w:tcPr>
            <w:tcW w:w="16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17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6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195"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6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68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7"/>
              <w:jc w:val="righ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62" w:hRule="exact"/>
        </w:trPr>
        <w:tc>
          <w:tcPr>
            <w:tcW w:w="19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24,602.01</w:t>
            </w:r>
          </w:p>
        </w:tc>
        <w:tc>
          <w:tcPr>
            <w:tcW w:w="16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24,602.01</w:t>
            </w:r>
          </w:p>
        </w:tc>
        <w:tc>
          <w:tcPr>
            <w:tcW w:w="16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13,571,362.11</w:t>
            </w:r>
          </w:p>
        </w:tc>
        <w:tc>
          <w:tcPr>
            <w:tcW w:w="168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8"/>
              <w:jc w:val="right"/>
              <w:rPr>
                <w:rFonts w:ascii="Times New Roman" w:hAnsi="Times New Roman" w:cs="Times New Roman" w:eastAsia="Times New Roman" w:hint="default"/>
                <w:sz w:val="18"/>
                <w:szCs w:val="18"/>
              </w:rPr>
            </w:pPr>
            <w:r>
              <w:rPr>
                <w:rFonts w:ascii="Times New Roman"/>
                <w:spacing w:val="-1"/>
                <w:sz w:val="18"/>
              </w:rPr>
              <w:t>13,571,362.11</w:t>
            </w:r>
          </w:p>
        </w:tc>
      </w:tr>
      <w:tr>
        <w:trPr>
          <w:trHeight w:val="362" w:hRule="exact"/>
        </w:trPr>
        <w:tc>
          <w:tcPr>
            <w:tcW w:w="19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3"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6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2,862,580.62</w:t>
            </w:r>
          </w:p>
        </w:tc>
        <w:tc>
          <w:tcPr>
            <w:tcW w:w="168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2,862,580.62</w:t>
            </w:r>
          </w:p>
        </w:tc>
      </w:tr>
      <w:tr>
        <w:trPr>
          <w:trHeight w:val="362" w:hRule="exact"/>
        </w:trPr>
        <w:tc>
          <w:tcPr>
            <w:tcW w:w="19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6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673,800.77</w:t>
            </w:r>
          </w:p>
        </w:tc>
        <w:tc>
          <w:tcPr>
            <w:tcW w:w="16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673,800.77</w:t>
            </w:r>
          </w:p>
        </w:tc>
        <w:tc>
          <w:tcPr>
            <w:tcW w:w="16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5,783,690.38</w:t>
            </w:r>
          </w:p>
        </w:tc>
        <w:tc>
          <w:tcPr>
            <w:tcW w:w="168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6"/>
              <w:jc w:val="right"/>
              <w:rPr>
                <w:rFonts w:ascii="Times New Roman" w:hAnsi="Times New Roman" w:cs="Times New Roman" w:eastAsia="Times New Roman" w:hint="default"/>
                <w:sz w:val="18"/>
                <w:szCs w:val="18"/>
              </w:rPr>
            </w:pPr>
            <w:r>
              <w:rPr>
                <w:rFonts w:ascii="Times New Roman"/>
                <w:spacing w:val="-1"/>
                <w:sz w:val="18"/>
              </w:rPr>
              <w:t>5,783,690.38</w:t>
            </w:r>
          </w:p>
        </w:tc>
      </w:tr>
      <w:tr>
        <w:trPr>
          <w:trHeight w:val="362" w:hRule="exact"/>
        </w:trPr>
        <w:tc>
          <w:tcPr>
            <w:tcW w:w="19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2,137,390.59</w:t>
            </w:r>
          </w:p>
        </w:tc>
        <w:tc>
          <w:tcPr>
            <w:tcW w:w="16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2,126,643.87</w:t>
            </w:r>
          </w:p>
        </w:tc>
        <w:tc>
          <w:tcPr>
            <w:tcW w:w="16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155,598.91</w:t>
            </w:r>
          </w:p>
        </w:tc>
        <w:tc>
          <w:tcPr>
            <w:tcW w:w="168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8"/>
              <w:jc w:val="right"/>
              <w:rPr>
                <w:rFonts w:ascii="Times New Roman" w:hAnsi="Times New Roman" w:cs="Times New Roman" w:eastAsia="Times New Roman" w:hint="default"/>
                <w:sz w:val="18"/>
                <w:szCs w:val="18"/>
              </w:rPr>
            </w:pPr>
            <w:r>
              <w:rPr>
                <w:rFonts w:ascii="Times New Roman"/>
                <w:spacing w:val="-1"/>
                <w:sz w:val="18"/>
              </w:rPr>
              <w:t>155,598.91</w:t>
            </w:r>
          </w:p>
        </w:tc>
      </w:tr>
      <w:tr>
        <w:trPr>
          <w:trHeight w:val="362" w:hRule="exact"/>
        </w:trPr>
        <w:tc>
          <w:tcPr>
            <w:tcW w:w="19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6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885,049.75</w:t>
            </w:r>
          </w:p>
        </w:tc>
        <w:tc>
          <w:tcPr>
            <w:tcW w:w="16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786,366.55</w:t>
            </w:r>
          </w:p>
        </w:tc>
        <w:tc>
          <w:tcPr>
            <w:tcW w:w="16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32,457,982.63</w:t>
            </w:r>
          </w:p>
        </w:tc>
        <w:tc>
          <w:tcPr>
            <w:tcW w:w="168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8"/>
              <w:jc w:val="right"/>
              <w:rPr>
                <w:rFonts w:ascii="Times New Roman" w:hAnsi="Times New Roman" w:cs="Times New Roman" w:eastAsia="Times New Roman" w:hint="default"/>
                <w:sz w:val="18"/>
                <w:szCs w:val="18"/>
              </w:rPr>
            </w:pPr>
            <w:r>
              <w:rPr>
                <w:rFonts w:ascii="Times New Roman"/>
                <w:spacing w:val="-1"/>
                <w:sz w:val="18"/>
              </w:rPr>
              <w:t>7,193.97</w:t>
            </w:r>
          </w:p>
        </w:tc>
      </w:tr>
      <w:tr>
        <w:trPr>
          <w:trHeight w:val="362" w:hRule="exact"/>
        </w:trPr>
        <w:tc>
          <w:tcPr>
            <w:tcW w:w="19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6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1,805,975.30</w:t>
            </w:r>
          </w:p>
        </w:tc>
        <w:tc>
          <w:tcPr>
            <w:tcW w:w="16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1,805,975.30</w:t>
            </w:r>
          </w:p>
        </w:tc>
        <w:tc>
          <w:tcPr>
            <w:tcW w:w="16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2,322,442.58</w:t>
            </w:r>
          </w:p>
        </w:tc>
        <w:tc>
          <w:tcPr>
            <w:tcW w:w="168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2,322,442.58</w:t>
            </w:r>
          </w:p>
        </w:tc>
      </w:tr>
      <w:tr>
        <w:trPr>
          <w:trHeight w:val="362" w:hRule="exact"/>
        </w:trPr>
        <w:tc>
          <w:tcPr>
            <w:tcW w:w="19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减：流动负债</w:t>
            </w:r>
          </w:p>
        </w:tc>
        <w:tc>
          <w:tcPr>
            <w:tcW w:w="16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4,058,834.33</w:t>
            </w:r>
          </w:p>
        </w:tc>
        <w:tc>
          <w:tcPr>
            <w:tcW w:w="16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4,058,834.33</w:t>
            </w:r>
          </w:p>
        </w:tc>
        <w:tc>
          <w:tcPr>
            <w:tcW w:w="16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2,185,487.00</w:t>
            </w:r>
          </w:p>
        </w:tc>
        <w:tc>
          <w:tcPr>
            <w:tcW w:w="168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2,185,487.00</w:t>
            </w:r>
          </w:p>
        </w:tc>
      </w:tr>
      <w:tr>
        <w:trPr>
          <w:trHeight w:val="362" w:hRule="exact"/>
        </w:trPr>
        <w:tc>
          <w:tcPr>
            <w:tcW w:w="19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42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27,357.48</w:t>
            </w:r>
          </w:p>
        </w:tc>
        <w:tc>
          <w:tcPr>
            <w:tcW w:w="16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7,227,949.22</w:t>
            </w:r>
          </w:p>
        </w:tc>
        <w:tc>
          <w:tcPr>
            <w:tcW w:w="168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88,775.72</w:t>
            </w:r>
          </w:p>
        </w:tc>
      </w:tr>
      <w:tr>
        <w:trPr>
          <w:trHeight w:val="362" w:hRule="exact"/>
        </w:trPr>
        <w:tc>
          <w:tcPr>
            <w:tcW w:w="19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6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1,440,626.61</w:t>
            </w:r>
          </w:p>
        </w:tc>
        <w:tc>
          <w:tcPr>
            <w:tcW w:w="16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1,358,554.17</w:t>
            </w:r>
          </w:p>
        </w:tc>
        <w:tc>
          <w:tcPr>
            <w:tcW w:w="16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47,740,221.01</w:t>
            </w:r>
          </w:p>
        </w:tc>
        <w:tc>
          <w:tcPr>
            <w:tcW w:w="168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8"/>
              <w:jc w:val="right"/>
              <w:rPr>
                <w:rFonts w:ascii="Times New Roman" w:hAnsi="Times New Roman" w:cs="Times New Roman" w:eastAsia="Times New Roman" w:hint="default"/>
                <w:sz w:val="18"/>
                <w:szCs w:val="18"/>
              </w:rPr>
            </w:pPr>
            <w:r>
              <w:rPr>
                <w:rFonts w:ascii="Times New Roman"/>
                <w:spacing w:val="-1"/>
                <w:sz w:val="18"/>
              </w:rPr>
              <w:t>22,428,605.85</w:t>
            </w:r>
          </w:p>
        </w:tc>
      </w:tr>
      <w:tr>
        <w:trPr>
          <w:trHeight w:val="362" w:hRule="exact"/>
        </w:trPr>
        <w:tc>
          <w:tcPr>
            <w:tcW w:w="19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6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1,095,398.95</w:t>
            </w:r>
          </w:p>
        </w:tc>
        <w:tc>
          <w:tcPr>
            <w:tcW w:w="16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1,032,999.28</w:t>
            </w:r>
          </w:p>
        </w:tc>
        <w:tc>
          <w:tcPr>
            <w:tcW w:w="16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15,682,662.61</w:t>
            </w:r>
          </w:p>
        </w:tc>
        <w:tc>
          <w:tcPr>
            <w:tcW w:w="168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6"/>
              <w:jc w:val="right"/>
              <w:rPr>
                <w:rFonts w:ascii="Times New Roman" w:hAnsi="Times New Roman" w:cs="Times New Roman" w:eastAsia="Times New Roman" w:hint="default"/>
                <w:sz w:val="18"/>
                <w:szCs w:val="18"/>
              </w:rPr>
            </w:pPr>
            <w:r>
              <w:rPr>
                <w:rFonts w:ascii="Times New Roman"/>
                <w:spacing w:val="-1"/>
                <w:sz w:val="18"/>
              </w:rPr>
              <w:t>7,367,797.02</w:t>
            </w:r>
          </w:p>
        </w:tc>
      </w:tr>
      <w:tr>
        <w:trPr>
          <w:trHeight w:val="362" w:hRule="exact"/>
        </w:trPr>
        <w:tc>
          <w:tcPr>
            <w:tcW w:w="19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6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345,227.66</w:t>
            </w:r>
          </w:p>
        </w:tc>
        <w:tc>
          <w:tcPr>
            <w:tcW w:w="16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325,554.89</w:t>
            </w:r>
          </w:p>
        </w:tc>
        <w:tc>
          <w:tcPr>
            <w:tcW w:w="16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32,057,558.40</w:t>
            </w:r>
          </w:p>
        </w:tc>
        <w:tc>
          <w:tcPr>
            <w:tcW w:w="168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8"/>
              <w:jc w:val="right"/>
              <w:rPr>
                <w:rFonts w:ascii="Times New Roman" w:hAnsi="Times New Roman" w:cs="Times New Roman" w:eastAsia="Times New Roman" w:hint="default"/>
                <w:sz w:val="18"/>
                <w:szCs w:val="18"/>
              </w:rPr>
            </w:pPr>
            <w:r>
              <w:rPr>
                <w:rFonts w:ascii="Times New Roman"/>
                <w:spacing w:val="-1"/>
                <w:sz w:val="18"/>
              </w:rPr>
              <w:t>15,060,808.83</w:t>
            </w:r>
          </w:p>
        </w:tc>
      </w:tr>
    </w:tbl>
    <w:p>
      <w:pPr>
        <w:spacing w:line="240" w:lineRule="auto" w:before="10"/>
        <w:rPr>
          <w:rFonts w:ascii="宋体" w:hAnsi="宋体" w:cs="宋体" w:eastAsia="宋体" w:hint="default"/>
          <w:b/>
          <w:bCs/>
          <w:sz w:val="6"/>
          <w:szCs w:val="6"/>
        </w:rPr>
      </w:pPr>
    </w:p>
    <w:p>
      <w:pPr>
        <w:pStyle w:val="BodyText"/>
        <w:spacing w:line="240" w:lineRule="auto" w:before="44"/>
        <w:ind w:left="472" w:right="0"/>
        <w:jc w:val="left"/>
      </w:pPr>
      <w:r>
        <w:rPr/>
        <w:t>（1）可辨认资产、负债公允价值的确定方法</w:t>
      </w:r>
    </w:p>
    <w:p>
      <w:pPr>
        <w:pStyle w:val="BodyText"/>
        <w:spacing w:line="430" w:lineRule="atLeast" w:before="2"/>
        <w:ind w:left="532" w:right="0"/>
        <w:jc w:val="left"/>
      </w:pPr>
      <w:r>
        <w:rPr/>
        <w:t>①大陆云盾电子认证服务有限公司可辨认资产、负债公允价值的确定 本公司采用估值技术来确定大陆云盾电子认证服务有限公司的资产负债于购买日的公允价值。开元资产评估有限公司</w:t>
      </w:r>
    </w:p>
    <w:p>
      <w:pPr>
        <w:pStyle w:val="BodyText"/>
        <w:spacing w:line="316" w:lineRule="auto" w:before="76"/>
        <w:ind w:right="0"/>
        <w:jc w:val="left"/>
      </w:pPr>
      <w:r>
        <w:rPr>
          <w:spacing w:val="-3"/>
        </w:rPr>
        <w:t>于2018年11月26日出具了报告号为开元评报字[2018]652号《资产评估报告》，采用资产基础法进行评估，评估基准日为2018</w:t>
      </w:r>
      <w:r>
        <w:rPr>
          <w:spacing w:val="-78"/>
        </w:rPr>
        <w:t> </w:t>
      </w:r>
      <w:r>
        <w:rPr>
          <w:spacing w:val="-78"/>
        </w:rPr>
      </w:r>
      <w:r>
        <w:rPr/>
        <w:t>年10月31日。主要资产的评估方法及其关键假设列示如下：</w:t>
      </w:r>
    </w:p>
    <w:p>
      <w:pPr>
        <w:pStyle w:val="BodyText"/>
        <w:spacing w:line="316" w:lineRule="auto" w:before="139"/>
        <w:ind w:right="1132" w:firstLine="420"/>
        <w:jc w:val="left"/>
      </w:pPr>
      <w:r>
        <w:rPr/>
        <w:t>设备类固定资产的评估方法为重置成本法，使用的关键假设如下：成新率=（经济使用寿命年限-已使用年限）÷经济 使用寿命年限×100%，成新率：85%-98%。</w:t>
      </w:r>
    </w:p>
    <w:p>
      <w:pPr>
        <w:pStyle w:val="BodyText"/>
        <w:spacing w:line="439" w:lineRule="auto" w:before="139"/>
        <w:ind w:left="532" w:right="6554"/>
        <w:jc w:val="left"/>
      </w:pPr>
      <w:r>
        <w:rPr/>
        <w:t>外购软件按现行市价扣除升级费用确定评估值。 企业合并中承担的被购买方的或有负债：无。</w:t>
      </w:r>
    </w:p>
    <w:p>
      <w:pPr>
        <w:pStyle w:val="BodyText"/>
        <w:spacing w:line="240" w:lineRule="auto" w:before="47"/>
        <w:ind w:left="532" w:right="0"/>
        <w:jc w:val="left"/>
      </w:pPr>
      <w:r>
        <w:rPr/>
        <w:t>②SUNJE</w:t>
      </w:r>
      <w:r>
        <w:rPr>
          <w:spacing w:val="-4"/>
        </w:rPr>
        <w:t> </w:t>
      </w:r>
      <w:r>
        <w:rPr/>
        <w:t>SOFT株式会社可辨认资产、负债公允价值的确定</w:t>
      </w:r>
    </w:p>
    <w:p>
      <w:pPr>
        <w:spacing w:line="240" w:lineRule="auto" w:before="0"/>
        <w:rPr>
          <w:rFonts w:ascii="宋体" w:hAnsi="宋体" w:cs="宋体" w:eastAsia="宋体" w:hint="default"/>
          <w:sz w:val="15"/>
          <w:szCs w:val="15"/>
        </w:rPr>
      </w:pPr>
    </w:p>
    <w:p>
      <w:pPr>
        <w:pStyle w:val="BodyText"/>
        <w:spacing w:line="316" w:lineRule="auto"/>
        <w:ind w:right="1130" w:firstLine="420"/>
        <w:jc w:val="both"/>
      </w:pPr>
      <w:r>
        <w:rPr/>
        <w:t>本公司采用估值技术来确定对SUNJE</w:t>
      </w:r>
      <w:r>
        <w:rPr>
          <w:spacing w:val="22"/>
        </w:rPr>
        <w:t> </w:t>
      </w:r>
      <w:r>
        <w:rPr/>
        <w:t>SOFT株式会社的无形资产于购买日的公允价值。道衡美评国际资产评估有限公司</w:t>
      </w:r>
      <w:r>
        <w:rPr/>
        <w:t> 于2019年3月18日出具了报告号为道衡美评估值报字[2019]第1017号《北京科蓝软件系统股份有限公司内部财务管理所涉及 的Sunje Soft Inc.若干无形资产估值报告》，采用收益法对商标、专有技术和客户关系进行了估值，估值基准日为2018年 10月31日。主要资产的评估方法及其关键假设列示如下：</w:t>
      </w:r>
    </w:p>
    <w:p>
      <w:pPr>
        <w:pStyle w:val="BodyText"/>
        <w:spacing w:line="316" w:lineRule="auto" w:before="139"/>
        <w:ind w:right="1064" w:firstLine="420"/>
        <w:jc w:val="left"/>
      </w:pPr>
      <w:r>
        <w:rPr/>
        <w:t>无形资产中的商标采用收益法中的特许权使用费节省法进行估值。使用的关键假设如下：使用费率：3%；折现率20%； 剩余使用年限预测：使用寿命不确定；</w:t>
      </w:r>
    </w:p>
    <w:p>
      <w:pPr>
        <w:pStyle w:val="BodyText"/>
        <w:spacing w:line="316" w:lineRule="auto" w:before="139"/>
        <w:ind w:right="0" w:firstLine="420"/>
        <w:jc w:val="left"/>
      </w:pPr>
      <w:r>
        <w:rPr/>
        <w:t>无形资产中的专有技术采用收益法中的特许权使用费节省法进行估值。使用的关键假设如下：使用费率：8%；折现率 20%；剩余使用年限预测：10年；</w:t>
      </w:r>
    </w:p>
    <w:p>
      <w:pPr>
        <w:pStyle w:val="BodyText"/>
        <w:spacing w:line="316" w:lineRule="auto" w:before="139"/>
        <w:ind w:right="0" w:firstLine="420"/>
        <w:jc w:val="left"/>
      </w:pPr>
      <w:r>
        <w:rPr/>
        <w:t>无形资产中的客户关系采用收益法中的超额收益法进行估值。使用的关键假设如下：未来现有客户的维保费收入的衰 </w:t>
      </w:r>
      <w:r>
        <w:rPr>
          <w:spacing w:val="-2"/>
        </w:rPr>
        <w:t>减率为10%；相关贡献资产包括净营运资本、固定资产、人力资本、商标以及专有技术，贡献资产回报率分别为4.4%、6.1%、</w:t>
      </w:r>
      <w:r>
        <w:rPr>
          <w:spacing w:val="-59"/>
        </w:rPr>
        <w:t> </w:t>
      </w:r>
      <w:r>
        <w:rPr>
          <w:spacing w:val="-59"/>
        </w:rPr>
      </w:r>
      <w:r>
        <w:rPr/>
        <w:t>23%、20%和20%；折现率20%；剩余使用年限预测：7年。</w:t>
      </w:r>
    </w:p>
    <w:p>
      <w:pPr>
        <w:spacing w:after="0" w:line="316"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16" w:lineRule="auto" w:before="44"/>
        <w:ind w:right="1130" w:firstLine="420"/>
        <w:jc w:val="both"/>
      </w:pPr>
      <w:r>
        <w:rPr/>
        <w:t>公司管理层评估了该公司行业特点、业务模式、资产负债构成等，该公司所属行业信息技术服务业，除上述无形资产 </w:t>
      </w:r>
      <w:r>
        <w:rPr>
          <w:spacing w:val="-2"/>
        </w:rPr>
        <w:t>以外的其他各项资产、负债主要为流动资产、流动负债，认为公允价值与账面价值接近，公司管理层确认除无形资产以外的</w:t>
      </w:r>
      <w:r>
        <w:rPr>
          <w:spacing w:val="-64"/>
        </w:rPr>
        <w:t> </w:t>
      </w:r>
      <w:r>
        <w:rPr>
          <w:spacing w:val="-64"/>
        </w:rPr>
      </w:r>
      <w:r>
        <w:rPr/>
        <w:t>其他各项资产、负债的公允价值与账面价值一致。</w:t>
      </w:r>
    </w:p>
    <w:p>
      <w:pPr>
        <w:pStyle w:val="BodyText"/>
        <w:spacing w:line="240" w:lineRule="auto" w:before="139"/>
        <w:ind w:left="532" w:right="0"/>
        <w:jc w:val="left"/>
      </w:pPr>
      <w:r>
        <w:rPr/>
        <w:t>企业合并中承担的被购买方的或有负债：无。</w:t>
      </w:r>
    </w:p>
    <w:p>
      <w:pPr>
        <w:spacing w:line="240" w:lineRule="auto" w:before="1"/>
        <w:rPr>
          <w:rFonts w:ascii="宋体" w:hAnsi="宋体" w:cs="宋体" w:eastAsia="宋体" w:hint="default"/>
          <w:sz w:val="13"/>
          <w:szCs w:val="13"/>
        </w:rPr>
      </w:pPr>
    </w:p>
    <w:p>
      <w:pPr>
        <w:pStyle w:val="Heading5"/>
        <w:spacing w:line="240" w:lineRule="auto"/>
        <w:ind w:left="638" w:right="0"/>
        <w:jc w:val="left"/>
        <w:rPr>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39"/>
        </w:rPr>
        <w:t> </w:t>
      </w:r>
      <w:r>
        <w:rPr/>
        <w:t>购买日之前持有的股权按照公允价值重新计量产生的利得或损失：无。</w:t>
      </w:r>
      <w:r>
        <w:rPr>
          <w:b w:val="0"/>
          <w:bCs w:val="0"/>
        </w:rPr>
      </w:r>
    </w:p>
    <w:p>
      <w:pPr>
        <w:pStyle w:val="Heading5"/>
        <w:spacing w:line="240" w:lineRule="auto" w:before="141"/>
        <w:ind w:left="532" w:right="0"/>
        <w:jc w:val="left"/>
        <w:rPr>
          <w:b w:val="0"/>
          <w:bCs w:val="0"/>
        </w:rPr>
      </w:pPr>
      <w:r>
        <w:rPr/>
        <w:t>（二）其他原因的合并范围变动</w:t>
      </w:r>
      <w:r>
        <w:rPr>
          <w:b w:val="0"/>
          <w:bCs w:val="0"/>
        </w:rPr>
      </w:r>
    </w:p>
    <w:p>
      <w:pPr>
        <w:pStyle w:val="BodyText"/>
        <w:spacing w:line="432" w:lineRule="exact" w:before="47"/>
        <w:ind w:left="532" w:right="1128" w:firstLine="105"/>
        <w:jc w:val="left"/>
      </w:pPr>
      <w:r>
        <w:rPr/>
        <w:t>新设子公司： 2018年6月11日，公司总经理王安京召开总经理办公会，决议公司以自有资金210万元设立全资子公司北京数蚂科蓝科</w:t>
      </w:r>
    </w:p>
    <w:p>
      <w:pPr>
        <w:pStyle w:val="BodyText"/>
        <w:spacing w:line="316" w:lineRule="auto" w:before="15"/>
        <w:ind w:right="1129"/>
        <w:jc w:val="both"/>
      </w:pPr>
      <w:r>
        <w:rPr>
          <w:spacing w:val="-3"/>
        </w:rPr>
        <w:t>技有限公司（以下简称数蚂科蓝公司）。2018年6月28日，数蚂科蓝公司获得了由北京市工商行政管理局朝阳分局颁发的《营</w:t>
      </w:r>
      <w:r>
        <w:rPr/>
        <w:t> 业执照》，统一社会信用代码91110105MA01D65314，注册资本210万元，法定代表人：王安京。截止2018年12月31日，数蚂 科蓝公司尚未开始营业，母公司尚未缴纳认缴出资款。</w:t>
      </w:r>
    </w:p>
    <w:p>
      <w:pPr>
        <w:pStyle w:val="BodyText"/>
        <w:spacing w:line="316" w:lineRule="auto" w:before="139"/>
        <w:ind w:right="1129" w:firstLine="420"/>
        <w:jc w:val="both"/>
      </w:pPr>
      <w:r>
        <w:rPr/>
        <w:t>2018年7月30日，公司总经理王安京召开总经理办公会，决议公司以自有资金500万元设立全资子公司北京尼客矩阵科 </w:t>
      </w:r>
      <w:r>
        <w:rPr>
          <w:spacing w:val="-2"/>
        </w:rPr>
        <w:t>技有限公司（以下简称尼客矩阵公司）。2018年9月7日，尼客矩阵公司获得了由北京市工商行政管理局朝阳分局颁发的《营</w:t>
      </w:r>
      <w:r>
        <w:rPr>
          <w:spacing w:val="-59"/>
        </w:rPr>
        <w:t> </w:t>
      </w:r>
      <w:r>
        <w:rPr>
          <w:spacing w:val="-59"/>
        </w:rPr>
      </w:r>
      <w:r>
        <w:rPr/>
        <w:t>业执照》，统一社会信用代码91110105MA01EHGW4W，注册资本500万元，法定代表人：周海朗。</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pStyle w:val="Heading4"/>
        <w:spacing w:line="240" w:lineRule="auto"/>
        <w:ind w:right="0"/>
        <w:jc w:val="both"/>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现聘任的会计事务所</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91"/>
        <w:gridCol w:w="4777"/>
      </w:tblGrid>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56</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叶金福、刘黎</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1"/>
        <w:ind w:right="0"/>
        <w:jc w:val="left"/>
      </w:pPr>
      <w:r>
        <w:rPr/>
        <w:t>是否改聘会计师事务所</w:t>
      </w:r>
    </w:p>
    <w:p>
      <w:pPr>
        <w:pStyle w:val="BodyText"/>
        <w:spacing w:line="338" w:lineRule="auto" w:before="117"/>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聘请内部控制审计会计师事务所、财务顾问或保荐人情况</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4"/>
          <w:szCs w:val="24"/>
        </w:rPr>
      </w:pPr>
    </w:p>
    <w:p>
      <w:pPr>
        <w:pStyle w:val="Heading4"/>
        <w:spacing w:line="240" w:lineRule="auto"/>
        <w:ind w:right="0"/>
        <w:jc w:val="left"/>
        <w:rPr>
          <w:b w:val="0"/>
          <w:bCs w:val="0"/>
        </w:rPr>
      </w:pPr>
      <w:bookmarkStart w:name="十、破产重整相关事项" w:id="73"/>
      <w:bookmarkEnd w:id="73"/>
      <w:r>
        <w:rPr>
          <w:b w:val="0"/>
          <w:bCs w:val="0"/>
        </w:rPr>
      </w: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公司报告期未发生破产重整相关事项。</w:t>
      </w:r>
    </w:p>
    <w:p>
      <w:pPr>
        <w:spacing w:after="0" w:line="340" w:lineRule="auto"/>
        <w:jc w:val="left"/>
        <w:sectPr>
          <w:pgSz w:w="11910" w:h="16840"/>
          <w:pgMar w:header="746" w:footer="978" w:top="1060" w:bottom="1160" w:left="1020" w:right="0"/>
        </w:sectPr>
      </w:pPr>
    </w:p>
    <w:p>
      <w:pPr>
        <w:spacing w:line="240" w:lineRule="auto" w:before="8"/>
        <w:rPr>
          <w:rFonts w:ascii="宋体" w:hAnsi="宋体" w:cs="宋体" w:eastAsia="宋体" w:hint="default"/>
          <w:sz w:val="23"/>
          <w:szCs w:val="23"/>
        </w:rPr>
      </w:pPr>
    </w:p>
    <w:p>
      <w:pPr>
        <w:pStyle w:val="Heading4"/>
        <w:spacing w:line="240" w:lineRule="auto" w:before="26"/>
        <w:ind w:right="0"/>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本年度公司无重大诉讼、仲裁事项。</w:t>
      </w:r>
    </w:p>
    <w:p>
      <w:pPr>
        <w:spacing w:line="240" w:lineRule="auto" w:before="4"/>
        <w:rPr>
          <w:rFonts w:ascii="宋体" w:hAnsi="宋体" w:cs="宋体" w:eastAsia="宋体" w:hint="default"/>
          <w:sz w:val="19"/>
          <w:szCs w:val="19"/>
        </w:rPr>
      </w:pPr>
    </w:p>
    <w:p>
      <w:pPr>
        <w:pStyle w:val="Heading4"/>
        <w:spacing w:line="240" w:lineRule="auto"/>
        <w:ind w:right="0"/>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4"/>
        <w:spacing w:line="240" w:lineRule="auto"/>
        <w:ind w:right="0"/>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07" w:lineRule="auto" w:before="103"/>
        <w:ind w:right="1129" w:firstLine="451"/>
        <w:jc w:val="both"/>
      </w:pPr>
      <w:r>
        <w:rPr>
          <w:rFonts w:ascii="Times New Roman" w:hAnsi="Times New Roman" w:cs="Times New Roman" w:eastAsia="Times New Roman" w:hint="default"/>
          <w:spacing w:val="-6"/>
        </w:rPr>
        <w:t>1</w:t>
      </w:r>
      <w:r>
        <w:rPr>
          <w:spacing w:val="-6"/>
        </w:rPr>
        <w:t>、</w:t>
      </w:r>
      <w:r>
        <w:rPr>
          <w:rFonts w:ascii="Times New Roman" w:hAnsi="Times New Roman" w:cs="Times New Roman" w:eastAsia="Times New Roman" w:hint="default"/>
          <w:spacing w:val="-6"/>
        </w:rPr>
        <w:t>2017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13 </w:t>
      </w:r>
      <w:r>
        <w:rPr/>
        <w:t>日，公司第二届董事会第八次会议审议通过了《关于</w:t>
      </w:r>
      <w:r>
        <w:rPr>
          <w:rFonts w:ascii="Times New Roman" w:hAnsi="Times New Roman" w:cs="Times New Roman" w:eastAsia="Times New Roman" w:hint="default"/>
        </w:rPr>
        <w:t>&lt;</w:t>
      </w:r>
      <w:r>
        <w:rPr/>
        <w:t>北京科蓝软件系统股份有限公司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 限 制性股票激励计划（草案）</w:t>
      </w:r>
      <w:r>
        <w:rPr>
          <w:rFonts w:ascii="Times New Roman" w:hAnsi="Times New Roman" w:cs="Times New Roman" w:eastAsia="Times New Roman" w:hint="default"/>
        </w:rPr>
        <w:t>&gt;</w:t>
      </w:r>
      <w:r>
        <w:rPr/>
        <w:t>及其摘要的议案》、《关于</w:t>
      </w:r>
      <w:r>
        <w:rPr>
          <w:rFonts w:ascii="Times New Roman" w:hAnsi="Times New Roman" w:cs="Times New Roman" w:eastAsia="Times New Roman" w:hint="default"/>
        </w:rPr>
        <w:t>&lt;</w:t>
      </w:r>
      <w:r>
        <w:rPr/>
        <w:t>北京科蓝软件系统股份有限公司 </w:t>
      </w:r>
      <w:r>
        <w:rPr>
          <w:rFonts w:ascii="Times New Roman" w:hAnsi="Times New Roman" w:cs="Times New Roman" w:eastAsia="Times New Roman" w:hint="default"/>
        </w:rPr>
        <w:t>2017</w:t>
      </w:r>
      <w:r>
        <w:rPr>
          <w:rFonts w:ascii="Times New Roman" w:hAnsi="Times New Roman" w:cs="Times New Roman" w:eastAsia="Times New Roman" w:hint="default"/>
          <w:spacing w:val="25"/>
        </w:rPr>
        <w:t> </w:t>
      </w:r>
      <w:r>
        <w:rPr/>
        <w:t>年限制性股票激励计划 实施 考核管理办法</w:t>
      </w:r>
      <w:r>
        <w:rPr>
          <w:rFonts w:ascii="Times New Roman" w:hAnsi="Times New Roman" w:cs="Times New Roman" w:eastAsia="Times New Roman" w:hint="default"/>
        </w:rPr>
        <w:t>&gt;</w:t>
      </w:r>
      <w:r>
        <w:rPr/>
        <w:t>的议案》、《关于提请公司股东大会授权董事会办理</w:t>
      </w:r>
      <w:r>
        <w:rPr>
          <w:spacing w:val="-2"/>
        </w:rPr>
        <w:t> </w:t>
      </w:r>
      <w:r>
        <w:rPr>
          <w:rFonts w:ascii="Times New Roman" w:hAnsi="Times New Roman" w:cs="Times New Roman" w:eastAsia="Times New Roman" w:hint="default"/>
        </w:rPr>
        <w:t>2017</w:t>
      </w:r>
      <w:r>
        <w:rPr/>
        <w:t>年限制性股票激励计划有关事项的议案》， 公司第</w:t>
      </w:r>
      <w:r>
        <w:rPr>
          <w:spacing w:val="1"/>
        </w:rPr>
        <w:t> </w:t>
      </w:r>
      <w:r>
        <w:rPr/>
        <w:t>二届监事会第五次会议审议通过上述议案。公司已对激励对象名单在公司内部进行了公示，公示期满后，监事会对</w:t>
      </w:r>
      <w:r>
        <w:rPr/>
        <w:t> </w:t>
      </w:r>
      <w:r>
        <w:rPr>
          <w:spacing w:val="-2"/>
        </w:rPr>
        <w:t>本次股权激励计划首次授予激励对象名单进行了核查并对公示情况进行了说明，公司独立董事就本次股权激励计划是否有利</w:t>
      </w:r>
      <w:r>
        <w:rPr>
          <w:spacing w:val="-64"/>
        </w:rPr>
        <w:t> </w:t>
      </w:r>
      <w:r>
        <w:rPr>
          <w:spacing w:val="-64"/>
        </w:rPr>
      </w:r>
      <w:r>
        <w:rPr/>
        <w:t>于公司的</w:t>
      </w:r>
      <w:r>
        <w:rPr>
          <w:spacing w:val="1"/>
        </w:rPr>
        <w:t> </w:t>
      </w:r>
      <w:r>
        <w:rPr/>
        <w:t>持续发展及是否存在损害公司及全体股东利益的情形发表了独立意见。</w:t>
      </w:r>
    </w:p>
    <w:p>
      <w:pPr>
        <w:pStyle w:val="BodyText"/>
        <w:spacing w:line="240" w:lineRule="auto" w:before="26"/>
        <w:ind w:left="564"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2  </w:t>
      </w:r>
      <w:r>
        <w:rPr/>
        <w:t>日，公司 </w:t>
      </w:r>
      <w:r>
        <w:rPr>
          <w:rFonts w:ascii="Times New Roman" w:hAnsi="Times New Roman" w:cs="Times New Roman" w:eastAsia="Times New Roman" w:hint="default"/>
        </w:rPr>
        <w:t>2017</w:t>
      </w:r>
      <w:r>
        <w:rPr>
          <w:rFonts w:ascii="Times New Roman" w:hAnsi="Times New Roman" w:cs="Times New Roman" w:eastAsia="Times New Roman" w:hint="default"/>
          <w:spacing w:val="38"/>
        </w:rPr>
        <w:t> </w:t>
      </w:r>
      <w:r>
        <w:rPr/>
        <w:t>年第三次临时股东大会审议并通过了关于《</w:t>
      </w:r>
      <w:r>
        <w:rPr>
          <w:rFonts w:ascii="Times New Roman" w:hAnsi="Times New Roman" w:cs="Times New Roman" w:eastAsia="Times New Roman" w:hint="default"/>
        </w:rPr>
        <w:t>&lt;</w:t>
      </w:r>
      <w:r>
        <w:rPr/>
        <w:t>北京科蓝软件系统股份有限公司</w:t>
      </w:r>
    </w:p>
    <w:p>
      <w:pPr>
        <w:pStyle w:val="BodyText"/>
        <w:spacing w:line="300" w:lineRule="auto" w:before="63"/>
        <w:ind w:right="1125"/>
        <w:jc w:val="left"/>
      </w:pPr>
      <w:r>
        <w:rPr>
          <w:rFonts w:ascii="Times New Roman" w:hAnsi="Times New Roman" w:cs="Times New Roman" w:eastAsia="Times New Roman" w:hint="default"/>
        </w:rPr>
        <w:t>2017 </w:t>
      </w:r>
      <w:r>
        <w:rPr/>
        <w:t>年 限制性股票激励计划（草案）</w:t>
      </w:r>
      <w:r>
        <w:rPr>
          <w:rFonts w:ascii="Times New Roman" w:hAnsi="Times New Roman" w:cs="Times New Roman" w:eastAsia="Times New Roman" w:hint="default"/>
        </w:rPr>
        <w:t>&gt;</w:t>
      </w:r>
      <w:r>
        <w:rPr/>
        <w:t>及其摘要的议案》、《关于</w:t>
      </w:r>
      <w:r>
        <w:rPr>
          <w:rFonts w:ascii="Times New Roman" w:hAnsi="Times New Roman" w:cs="Times New Roman" w:eastAsia="Times New Roman" w:hint="default"/>
        </w:rPr>
        <w:t>&lt;</w:t>
      </w:r>
      <w:r>
        <w:rPr/>
        <w:t>北京科蓝软件系统股份有限公司 </w:t>
      </w:r>
      <w:r>
        <w:rPr>
          <w:rFonts w:ascii="Times New Roman" w:hAnsi="Times New Roman" w:cs="Times New Roman" w:eastAsia="Times New Roman" w:hint="default"/>
        </w:rPr>
        <w:t>2017</w:t>
      </w:r>
      <w:r>
        <w:rPr>
          <w:rFonts w:ascii="Times New Roman" w:hAnsi="Times New Roman" w:cs="Times New Roman" w:eastAsia="Times New Roman" w:hint="default"/>
          <w:spacing w:val="40"/>
        </w:rPr>
        <w:t> </w:t>
      </w:r>
      <w:r>
        <w:rPr/>
        <w:t>年限制性股票 激励计划实 施考核管理办法</w:t>
      </w:r>
      <w:r>
        <w:rPr>
          <w:rFonts w:ascii="Times New Roman" w:hAnsi="Times New Roman" w:cs="Times New Roman" w:eastAsia="Times New Roman" w:hint="default"/>
        </w:rPr>
        <w:t>&gt;</w:t>
      </w:r>
      <w:r>
        <w:rPr/>
        <w:t>的议案》、《关于提请公司股东大会授权董事会办理 </w:t>
      </w:r>
      <w:r>
        <w:rPr>
          <w:rFonts w:ascii="Times New Roman" w:hAnsi="Times New Roman" w:cs="Times New Roman" w:eastAsia="Times New Roman" w:hint="default"/>
        </w:rPr>
        <w:t>2017</w:t>
      </w:r>
      <w:r>
        <w:rPr>
          <w:rFonts w:ascii="Times New Roman" w:hAnsi="Times New Roman" w:cs="Times New Roman" w:eastAsia="Times New Roman" w:hint="default"/>
          <w:spacing w:val="43"/>
        </w:rPr>
        <w:t> </w:t>
      </w:r>
      <w:r>
        <w:rPr/>
        <w:t>年限制性股票激励计划有关事项 的议案》。公 司实施 </w:t>
      </w:r>
      <w:r>
        <w:rPr>
          <w:rFonts w:ascii="Times New Roman" w:hAnsi="Times New Roman" w:cs="Times New Roman" w:eastAsia="Times New Roman" w:hint="default"/>
        </w:rPr>
        <w:t>2017</w:t>
      </w:r>
      <w:r>
        <w:rPr>
          <w:rFonts w:ascii="Times New Roman" w:hAnsi="Times New Roman" w:cs="Times New Roman" w:eastAsia="Times New Roman" w:hint="default"/>
          <w:spacing w:val="44"/>
        </w:rPr>
        <w:t> </w:t>
      </w:r>
      <w:r>
        <w:rPr/>
        <w:t>年限制性股票激励计划获得批准，董事会被授权确定授予日、在激励对象符合条件时向激励对 象授予限制性股</w:t>
      </w:r>
      <w:r>
        <w:rPr>
          <w:spacing w:val="1"/>
        </w:rPr>
        <w:t> </w:t>
      </w:r>
      <w:r>
        <w:rPr/>
        <w:t>票，并办理授予所必需的全部事宜。</w:t>
      </w:r>
    </w:p>
    <w:p>
      <w:pPr>
        <w:pStyle w:val="BodyText"/>
        <w:spacing w:line="309" w:lineRule="auto" w:before="31"/>
        <w:ind w:right="1141" w:firstLine="451"/>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22</w:t>
      </w:r>
      <w:r>
        <w:rPr>
          <w:rFonts w:ascii="Times New Roman" w:hAnsi="Times New Roman" w:cs="Times New Roman" w:eastAsia="Times New Roman" w:hint="default"/>
          <w:spacing w:val="41"/>
        </w:rPr>
        <w:t> </w:t>
      </w:r>
      <w:r>
        <w:rPr/>
        <w:t>日，公司第二届董事会第十次会议和第二届监事会第七次会议审议通过了《关于向激励对象首 次</w:t>
      </w:r>
      <w:r>
        <w:rPr>
          <w:spacing w:val="1"/>
        </w:rPr>
        <w:t> </w:t>
      </w:r>
      <w:r>
        <w:rPr/>
        <w:t>授予限制性股票的议案》。公司独立董事对此发表了独立意见，认为激励对象主体资格合法、有效，确定的授予日符合</w:t>
      </w:r>
      <w:r>
        <w:rPr/>
        <w:t> 相关</w:t>
      </w:r>
      <w:r>
        <w:rPr>
          <w:spacing w:val="1"/>
        </w:rPr>
        <w:t> </w:t>
      </w:r>
      <w:r>
        <w:rPr/>
        <w:t>规定。</w:t>
      </w:r>
    </w:p>
    <w:p>
      <w:pPr>
        <w:pStyle w:val="BodyText"/>
        <w:spacing w:line="240" w:lineRule="auto" w:before="24"/>
        <w:ind w:left="472" w:right="0"/>
        <w:jc w:val="left"/>
      </w:pPr>
      <w:r>
        <w:rPr>
          <w:rFonts w:ascii="Times New Roman" w:hAnsi="Times New Roman" w:cs="Times New Roman" w:eastAsia="Times New Roman" w:hint="default"/>
          <w:spacing w:val="-5"/>
        </w:rPr>
        <w:t>4</w:t>
      </w:r>
      <w:r>
        <w:rPr>
          <w:spacing w:val="-5"/>
        </w:rPr>
        <w:t>、</w:t>
      </w:r>
      <w:r>
        <w:rPr>
          <w:rFonts w:ascii="Times New Roman" w:hAnsi="Times New Roman" w:cs="Times New Roman" w:eastAsia="Times New Roman" w:hint="default"/>
          <w:spacing w:val="-5"/>
        </w:rPr>
        <w:t>2018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2 </w:t>
      </w:r>
      <w:r>
        <w:rPr/>
        <w:t>日，公司第二届董事会第十二次会议和第二届监事会第九次会议审议通过了《关于向激励对象授予</w:t>
      </w:r>
    </w:p>
    <w:p>
      <w:pPr>
        <w:pStyle w:val="BodyText"/>
        <w:spacing w:line="240" w:lineRule="auto" w:before="63"/>
        <w:ind w:right="0"/>
        <w:jc w:val="left"/>
      </w:pPr>
      <w:r>
        <w:rPr/>
        <w:t>预留限制性股票的议案》，同意向 </w:t>
      </w:r>
      <w:r>
        <w:rPr>
          <w:rFonts w:ascii="Times New Roman" w:hAnsi="Times New Roman" w:cs="Times New Roman" w:eastAsia="Times New Roman" w:hint="default"/>
        </w:rPr>
        <w:t>50  </w:t>
      </w:r>
      <w:r>
        <w:rPr/>
        <w:t>名激励对象授予 </w:t>
      </w:r>
      <w:r>
        <w:rPr>
          <w:rFonts w:ascii="Times New Roman" w:hAnsi="Times New Roman" w:cs="Times New Roman" w:eastAsia="Times New Roman" w:hint="default"/>
        </w:rPr>
        <w:t>100  </w:t>
      </w:r>
      <w:r>
        <w:rPr/>
        <w:t>万股限制性股票。公司董事会认为公司 </w:t>
      </w:r>
      <w:r>
        <w:rPr>
          <w:rFonts w:ascii="Times New Roman" w:hAnsi="Times New Roman" w:cs="Times New Roman" w:eastAsia="Times New Roman" w:hint="default"/>
        </w:rPr>
        <w:t>2017</w:t>
      </w:r>
      <w:r>
        <w:rPr>
          <w:rFonts w:ascii="Times New Roman" w:hAnsi="Times New Roman" w:cs="Times New Roman" w:eastAsia="Times New Roman" w:hint="default"/>
          <w:spacing w:val="42"/>
        </w:rPr>
        <w:t> </w:t>
      </w:r>
      <w:r>
        <w:rPr/>
        <w:t>年限制性股票激</w:t>
      </w:r>
    </w:p>
    <w:p>
      <w:pPr>
        <w:pStyle w:val="BodyText"/>
        <w:spacing w:line="300" w:lineRule="auto" w:before="63"/>
        <w:ind w:right="1128"/>
        <w:jc w:val="left"/>
      </w:pPr>
      <w:r>
        <w:rPr/>
        <w:t>励 计划预留部分限制性股票的授予条件已经成就，同意公司以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3</w:t>
      </w:r>
      <w:r>
        <w:rPr/>
        <w:t>月 </w:t>
      </w:r>
      <w:r>
        <w:rPr>
          <w:rFonts w:ascii="Times New Roman" w:hAnsi="Times New Roman" w:cs="Times New Roman" w:eastAsia="Times New Roman" w:hint="default"/>
        </w:rPr>
        <w:t>2 </w:t>
      </w:r>
      <w:r>
        <w:rPr>
          <w:spacing w:val="-6"/>
        </w:rPr>
        <w:t>日为授予日，向 </w:t>
      </w:r>
      <w:r>
        <w:rPr>
          <w:rFonts w:ascii="Times New Roman" w:hAnsi="Times New Roman" w:cs="Times New Roman" w:eastAsia="Times New Roman" w:hint="default"/>
        </w:rPr>
        <w:t>50</w:t>
      </w:r>
      <w:r>
        <w:rPr>
          <w:rFonts w:ascii="Times New Roman" w:hAnsi="Times New Roman" w:cs="Times New Roman" w:eastAsia="Times New Roman" w:hint="default"/>
          <w:spacing w:val="6"/>
        </w:rPr>
        <w:t> </w:t>
      </w:r>
      <w:r>
        <w:rPr/>
        <w:t>名激励对象授予激励计 划预 留部分 </w:t>
      </w:r>
      <w:r>
        <w:rPr>
          <w:rFonts w:ascii="Times New Roman" w:hAnsi="Times New Roman" w:cs="Times New Roman" w:eastAsia="Times New Roman" w:hint="default"/>
        </w:rPr>
        <w:t>100 </w:t>
      </w:r>
      <w:r>
        <w:rPr/>
        <w:t>万股限制性股票，占授予前股本总额的 </w:t>
      </w:r>
      <w:r>
        <w:rPr>
          <w:rFonts w:ascii="Times New Roman" w:hAnsi="Times New Roman" w:cs="Times New Roman" w:eastAsia="Times New Roman" w:hint="default"/>
        </w:rPr>
        <w:t>0.75% </w:t>
      </w:r>
      <w:r>
        <w:rPr/>
        <w:t>。</w:t>
      </w:r>
      <w:r>
        <w:rPr>
          <w:spacing w:val="-6"/>
        </w:rPr>
        <w:t> </w:t>
      </w:r>
      <w:r>
        <w:rPr/>
        <w:t>公司独立董事对此发表了独立意见，认为激励对象主</w:t>
      </w:r>
      <w:r>
        <w:rPr/>
        <w:t> 体资格 合法、有效，确定的授予日符合相关规定。</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日，公司完成</w:t>
      </w:r>
      <w:r>
        <w:rPr>
          <w:rFonts w:ascii="Times New Roman" w:hAnsi="Times New Roman" w:cs="Times New Roman" w:eastAsia="Times New Roman" w:hint="default"/>
        </w:rPr>
        <w:t>2017</w:t>
      </w:r>
      <w:r>
        <w:rPr>
          <w:rFonts w:ascii="Times New Roman" w:hAnsi="Times New Roman" w:cs="Times New Roman" w:eastAsia="Times New Roman" w:hint="default"/>
          <w:spacing w:val="41"/>
        </w:rPr>
        <w:t> </w:t>
      </w:r>
      <w:r>
        <w:rPr/>
        <w:t>年限制性股票预留授予登记。</w:t>
      </w:r>
    </w:p>
    <w:p>
      <w:pPr>
        <w:pStyle w:val="BodyText"/>
        <w:spacing w:line="300" w:lineRule="auto" w:before="13"/>
        <w:ind w:right="1132" w:firstLine="360"/>
        <w:jc w:val="both"/>
      </w:pP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21</w:t>
      </w:r>
      <w:r>
        <w:rPr>
          <w:spacing w:val="-2"/>
        </w:rPr>
        <w:t>日，公司召开第二届董事会第十五次会议和第二届监事会第十二次会议，会议审议通过了《关于回购注</w:t>
      </w:r>
      <w:r>
        <w:rPr/>
        <w:t> </w:t>
      </w:r>
      <w:r>
        <w:rPr>
          <w:spacing w:val="-2"/>
        </w:rPr>
        <w:t>销</w:t>
      </w:r>
      <w:r>
        <w:rPr>
          <w:rFonts w:ascii="Times New Roman" w:hAnsi="Times New Roman" w:cs="Times New Roman" w:eastAsia="Times New Roman" w:hint="default"/>
          <w:spacing w:val="-2"/>
        </w:rPr>
        <w:t>2017</w:t>
      </w:r>
      <w:r>
        <w:rPr>
          <w:spacing w:val="-2"/>
        </w:rPr>
        <w:t>年股权激励计划部分首次授予限制性股票的议案》。公司独立董事对上述事项发表了独立意见，国浩律师（北京）事</w:t>
      </w:r>
      <w:r>
        <w:rPr>
          <w:spacing w:val="-63"/>
        </w:rPr>
        <w:t> </w:t>
      </w:r>
      <w:r>
        <w:rPr>
          <w:spacing w:val="-63"/>
        </w:rPr>
      </w:r>
      <w:r>
        <w:rPr/>
        <w:t>务所也出具了相应的法律意见书。</w:t>
      </w:r>
    </w:p>
    <w:p>
      <w:pPr>
        <w:pStyle w:val="BodyText"/>
        <w:spacing w:line="240" w:lineRule="auto" w:before="31"/>
        <w:ind w:left="472" w:right="0"/>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日，公司召开第二届董事会第十六次会议和第二届监</w:t>
      </w:r>
      <w:r>
        <w:rPr>
          <w:spacing w:val="-3"/>
        </w:rPr>
        <w:t> </w:t>
      </w:r>
      <w:r>
        <w:rPr/>
        <w:t>事会第十三次会议，会议审议通过了《关于调整</w:t>
      </w:r>
    </w:p>
    <w:p>
      <w:pPr>
        <w:pStyle w:val="BodyText"/>
        <w:spacing w:line="240" w:lineRule="auto" w:before="63"/>
        <w:ind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43"/>
        </w:rPr>
        <w:t> </w:t>
      </w:r>
      <w:r>
        <w:rPr/>
        <w:t>年股权激励计划限制性股票数量及回购价格的议案》。因实施了</w:t>
      </w:r>
      <w:r>
        <w:rPr>
          <w:rFonts w:ascii="Times New Roman" w:hAnsi="Times New Roman" w:cs="Times New Roman" w:eastAsia="Times New Roman" w:hint="default"/>
        </w:rPr>
        <w:t>2017</w:t>
      </w:r>
      <w:r>
        <w:rPr/>
        <w:t>年度权益分派，公司对限制性股票回购数量及价</w:t>
      </w:r>
    </w:p>
    <w:p>
      <w:pPr>
        <w:pStyle w:val="BodyText"/>
        <w:spacing w:line="240" w:lineRule="auto" w:before="63"/>
        <w:ind w:right="0"/>
        <w:jc w:val="left"/>
      </w:pPr>
      <w:r>
        <w:rPr/>
        <w:t>格进行调整。调整后，首次授予部分限制性股票数量由 </w:t>
      </w:r>
      <w:r>
        <w:rPr>
          <w:rFonts w:ascii="Times New Roman" w:hAnsi="Times New Roman" w:cs="Times New Roman" w:eastAsia="Times New Roman" w:hint="default"/>
        </w:rPr>
        <w:t>2,521,900.00  </w:t>
      </w:r>
      <w:r>
        <w:rPr/>
        <w:t>股调整为 </w:t>
      </w:r>
      <w:r>
        <w:rPr>
          <w:rFonts w:ascii="Times New Roman" w:hAnsi="Times New Roman" w:cs="Times New Roman" w:eastAsia="Times New Roman" w:hint="default"/>
        </w:rPr>
        <w:t>3,773,505.8561</w:t>
      </w:r>
      <w:r>
        <w:rPr>
          <w:rFonts w:ascii="Times New Roman" w:hAnsi="Times New Roman" w:cs="Times New Roman" w:eastAsia="Times New Roman" w:hint="default"/>
          <w:spacing w:val="33"/>
        </w:rPr>
        <w:t> </w:t>
      </w:r>
      <w:r>
        <w:rPr/>
        <w:t>股。预留授予部分限制性股</w:t>
      </w:r>
    </w:p>
    <w:p>
      <w:pPr>
        <w:pStyle w:val="BodyText"/>
        <w:spacing w:line="240" w:lineRule="auto" w:before="63"/>
        <w:ind w:right="0"/>
        <w:jc w:val="left"/>
        <w:rPr>
          <w:rFonts w:ascii="Times New Roman" w:hAnsi="Times New Roman" w:cs="Times New Roman" w:eastAsia="Times New Roman" w:hint="default"/>
        </w:rPr>
      </w:pPr>
      <w:r>
        <w:rPr/>
        <w:t>票数量 由 </w:t>
      </w:r>
      <w:r>
        <w:rPr>
          <w:rFonts w:ascii="Times New Roman" w:hAnsi="Times New Roman" w:cs="Times New Roman" w:eastAsia="Times New Roman" w:hint="default"/>
        </w:rPr>
        <w:t>1,000,000.00  </w:t>
      </w:r>
      <w:r>
        <w:rPr/>
        <w:t>股调整为 </w:t>
      </w:r>
      <w:r>
        <w:rPr>
          <w:rFonts w:ascii="Times New Roman" w:hAnsi="Times New Roman" w:cs="Times New Roman" w:eastAsia="Times New Roman" w:hint="default"/>
        </w:rPr>
        <w:t>1,496,294.8000  </w:t>
      </w:r>
      <w:r>
        <w:rPr/>
        <w:t>股。首次授予部分限制性股票的回购价格由 </w:t>
      </w:r>
      <w:r>
        <w:rPr>
          <w:rFonts w:ascii="Times New Roman" w:hAnsi="Times New Roman" w:cs="Times New Roman" w:eastAsia="Times New Roman" w:hint="default"/>
        </w:rPr>
        <w:t>13.87  </w:t>
      </w:r>
      <w:r>
        <w:rPr/>
        <w:t>元</w:t>
      </w:r>
      <w:r>
        <w:rPr>
          <w:rFonts w:ascii="Times New Roman" w:hAnsi="Times New Roman" w:cs="Times New Roman" w:eastAsia="Times New Roman" w:hint="default"/>
        </w:rPr>
        <w:t>/</w:t>
      </w:r>
      <w:r>
        <w:rPr/>
        <w:t>股调整为</w:t>
      </w:r>
      <w:r>
        <w:rPr>
          <w:spacing w:val="-18"/>
        </w:rPr>
        <w:t> </w:t>
      </w:r>
      <w:r>
        <w:rPr>
          <w:rFonts w:ascii="Times New Roman" w:hAnsi="Times New Roman" w:cs="Times New Roman" w:eastAsia="Times New Roman" w:hint="default"/>
        </w:rPr>
        <w:t>9.2364</w:t>
      </w:r>
    </w:p>
    <w:p>
      <w:pPr>
        <w:pStyle w:val="BodyText"/>
        <w:spacing w:line="240" w:lineRule="auto" w:before="63"/>
        <w:ind w:right="0"/>
        <w:jc w:val="left"/>
      </w:pPr>
      <w:r>
        <w:rPr/>
        <w:t>元</w:t>
      </w:r>
      <w:r>
        <w:rPr>
          <w:rFonts w:ascii="Times New Roman" w:hAnsi="Times New Roman" w:cs="Times New Roman" w:eastAsia="Times New Roman" w:hint="default"/>
        </w:rPr>
        <w:t>/</w:t>
      </w:r>
      <w:r>
        <w:rPr/>
        <w:t>股。预留部分限制性股票回购价格由 </w:t>
      </w:r>
      <w:r>
        <w:rPr>
          <w:rFonts w:ascii="Times New Roman" w:hAnsi="Times New Roman" w:cs="Times New Roman" w:eastAsia="Times New Roman" w:hint="default"/>
        </w:rPr>
        <w:t>13.90  </w:t>
      </w:r>
      <w:r>
        <w:rPr/>
        <w:t>元</w:t>
      </w:r>
      <w:r>
        <w:rPr>
          <w:rFonts w:ascii="Times New Roman" w:hAnsi="Times New Roman" w:cs="Times New Roman" w:eastAsia="Times New Roman" w:hint="default"/>
        </w:rPr>
        <w:t>/</w:t>
      </w:r>
      <w:r>
        <w:rPr/>
        <w:t>股调整为 </w:t>
      </w:r>
      <w:r>
        <w:rPr>
          <w:rFonts w:ascii="Times New Roman" w:hAnsi="Times New Roman" w:cs="Times New Roman" w:eastAsia="Times New Roman" w:hint="default"/>
        </w:rPr>
        <w:t>9.2564</w:t>
      </w:r>
      <w:r>
        <w:rPr>
          <w:rFonts w:ascii="Times New Roman" w:hAnsi="Times New Roman" w:cs="Times New Roman" w:eastAsia="Times New Roman" w:hint="default"/>
          <w:spacing w:val="38"/>
        </w:rPr>
        <w:t> </w:t>
      </w:r>
      <w:r>
        <w:rPr/>
        <w:t>元</w:t>
      </w:r>
      <w:r>
        <w:rPr>
          <w:rFonts w:ascii="Times New Roman" w:hAnsi="Times New Roman" w:cs="Times New Roman" w:eastAsia="Times New Roman" w:hint="default"/>
        </w:rPr>
        <w:t>/</w:t>
      </w:r>
      <w:r>
        <w:rPr/>
        <w:t>股。</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00" w:lineRule="auto" w:before="44"/>
        <w:ind w:right="1124" w:firstLine="360"/>
        <w:jc w:val="left"/>
      </w:pPr>
      <w:r>
        <w:rPr>
          <w:rFonts w:ascii="Times New Roman" w:hAnsi="Times New Roman" w:cs="Times New Roman" w:eastAsia="Times New Roman" w:hint="default"/>
        </w:rPr>
        <w:t>7</w:t>
      </w:r>
      <w:r>
        <w:rPr/>
        <w:t>、公司</w:t>
      </w:r>
      <w:r>
        <w:rPr>
          <w:rFonts w:ascii="Times New Roman" w:hAnsi="Times New Roman" w:cs="Times New Roman" w:eastAsia="Times New Roman" w:hint="default"/>
        </w:rPr>
        <w:t>2017</w:t>
      </w:r>
      <w:r>
        <w:rPr/>
        <w:t>年限制性股票激励计划激励对象中</w:t>
      </w:r>
      <w:r>
        <w:rPr>
          <w:rFonts w:ascii="Times New Roman" w:hAnsi="Times New Roman" w:cs="Times New Roman" w:eastAsia="Times New Roman" w:hint="default"/>
        </w:rPr>
        <w:t>16</w:t>
      </w:r>
      <w:r>
        <w:rPr/>
        <w:t>人因个人原因已离职，公司回购注销其持有的已获授但尚未解除限售 </w:t>
      </w:r>
      <w:r>
        <w:rPr>
          <w:spacing w:val="-4"/>
        </w:rPr>
        <w:t>的共计</w:t>
      </w:r>
      <w:r>
        <w:rPr>
          <w:rFonts w:ascii="Times New Roman" w:hAnsi="Times New Roman" w:cs="Times New Roman" w:eastAsia="Times New Roman" w:hint="default"/>
          <w:spacing w:val="-4"/>
        </w:rPr>
        <w:t>90,677</w:t>
      </w:r>
      <w:r>
        <w:rPr>
          <w:spacing w:val="-4"/>
        </w:rPr>
        <w:t>股限制性股票，回购价格为 </w:t>
      </w:r>
      <w:r>
        <w:rPr>
          <w:rFonts w:ascii="Times New Roman" w:hAnsi="Times New Roman" w:cs="Times New Roman" w:eastAsia="Times New Roman" w:hint="default"/>
        </w:rPr>
        <w:t>9.2364</w:t>
      </w:r>
      <w:r>
        <w:rPr/>
        <w:t>元</w:t>
      </w:r>
      <w:r>
        <w:rPr>
          <w:rFonts w:ascii="Times New Roman" w:hAnsi="Times New Roman" w:cs="Times New Roman" w:eastAsia="Times New Roman" w:hint="default"/>
        </w:rPr>
        <w:t>/</w:t>
      </w:r>
      <w:r>
        <w:rPr/>
        <w:t>股。 同时由于公司</w:t>
      </w:r>
      <w:r>
        <w:rPr>
          <w:rFonts w:ascii="Times New Roman" w:hAnsi="Times New Roman" w:cs="Times New Roman" w:eastAsia="Times New Roman" w:hint="default"/>
        </w:rPr>
        <w:t>2017</w:t>
      </w:r>
      <w:r>
        <w:rPr/>
        <w:t>年度业绩未达到限制性股票激励计划首次授予</w:t>
      </w:r>
      <w:r>
        <w:rPr>
          <w:spacing w:val="-56"/>
        </w:rPr>
        <w:t> </w:t>
      </w:r>
      <w:r>
        <w:rPr/>
        <w:t>的</w:t>
      </w:r>
      <w:r>
        <w:rPr/>
        <w:t> 第一期的解除限售条件，公司回购注销第一个解除限售期的限制性股票，回购数量共计</w:t>
      </w:r>
      <w:r>
        <w:rPr>
          <w:rFonts w:ascii="Times New Roman" w:hAnsi="Times New Roman" w:cs="Times New Roman" w:eastAsia="Times New Roman" w:hint="default"/>
        </w:rPr>
        <w:t>368,282</w:t>
      </w:r>
      <w:r>
        <w:rPr/>
        <w:t>股，回购价格为</w:t>
      </w:r>
      <w:r>
        <w:rPr>
          <w:rFonts w:ascii="Times New Roman" w:hAnsi="Times New Roman" w:cs="Times New Roman" w:eastAsia="Times New Roman" w:hint="default"/>
        </w:rPr>
        <w:t>9.2364</w:t>
      </w:r>
      <w:r>
        <w:rPr>
          <w:rFonts w:ascii="Times New Roman" w:hAnsi="Times New Roman" w:cs="Times New Roman" w:eastAsia="Times New Roman" w:hint="default"/>
          <w:spacing w:val="43"/>
        </w:rPr>
        <w:t> </w:t>
      </w:r>
      <w:r>
        <w:rPr/>
        <w:t>元</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spacing w:val="-2"/>
        </w:rPr>
        <w:t>股，且支付银行同期存款利息，共涉及</w:t>
      </w:r>
      <w:r>
        <w:rPr>
          <w:rFonts w:ascii="Times New Roman" w:hAnsi="Times New Roman" w:cs="Times New Roman" w:eastAsia="Times New Roman" w:hint="default"/>
          <w:spacing w:val="-2"/>
        </w:rPr>
        <w:t>266</w:t>
      </w:r>
      <w:r>
        <w:rPr>
          <w:spacing w:val="-2"/>
        </w:rPr>
        <w:t>名股权激励对象。</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27</w:t>
      </w:r>
      <w:r>
        <w:rPr>
          <w:spacing w:val="-2"/>
        </w:rPr>
        <w:t>日，公司完成回购注销登记，回购完成后，公司股</w:t>
      </w:r>
      <w:r>
        <w:rPr>
          <w:spacing w:val="-61"/>
        </w:rPr>
        <w:t> </w:t>
      </w:r>
      <w:r>
        <w:rPr>
          <w:spacing w:val="-61"/>
        </w:rPr>
      </w:r>
      <w:r>
        <w:rPr/>
        <w:t>本变更为</w:t>
      </w:r>
      <w:r>
        <w:rPr>
          <w:spacing w:val="-5"/>
        </w:rPr>
        <w:t> </w:t>
      </w:r>
      <w:r>
        <w:rPr>
          <w:rFonts w:ascii="Times New Roman" w:hAnsi="Times New Roman" w:cs="Times New Roman" w:eastAsia="Times New Roman" w:hint="default"/>
        </w:rPr>
        <w:t>201,463,957</w:t>
      </w:r>
      <w:r>
        <w:rPr/>
        <w:t>股。</w:t>
      </w:r>
    </w:p>
    <w:p>
      <w:pPr>
        <w:pStyle w:val="BodyText"/>
        <w:spacing w:line="340" w:lineRule="auto" w:before="51"/>
        <w:ind w:right="1845"/>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截至报告期末，公司限制性股票激励计划未解除限售，不存在实际授予股权激励的情况。</w:t>
      </w:r>
    </w:p>
    <w:p>
      <w:pPr>
        <w:spacing w:line="240" w:lineRule="auto" w:before="4"/>
        <w:rPr>
          <w:rFonts w:ascii="宋体" w:hAnsi="宋体" w:cs="宋体" w:eastAsia="宋体" w:hint="default"/>
          <w:sz w:val="19"/>
          <w:szCs w:val="19"/>
        </w:rPr>
      </w:pPr>
    </w:p>
    <w:p>
      <w:pPr>
        <w:pStyle w:val="Heading4"/>
        <w:spacing w:line="240" w:lineRule="auto"/>
        <w:ind w:right="0"/>
        <w:jc w:val="left"/>
        <w:rPr>
          <w:b w:val="0"/>
          <w:bCs w:val="0"/>
        </w:rPr>
      </w:pPr>
      <w:bookmarkStart w:name="十五、重大关联交易" w:id="78"/>
      <w:bookmarkEnd w:id="78"/>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公司报告期未发生与日常经营相关的关联交易。</w:t>
      </w:r>
    </w:p>
    <w:p>
      <w:pPr>
        <w:spacing w:line="240" w:lineRule="auto" w:before="5"/>
        <w:rPr>
          <w:rFonts w:ascii="宋体" w:hAnsi="宋体" w:cs="宋体" w:eastAsia="宋体" w:hint="default"/>
          <w:sz w:val="21"/>
          <w:szCs w:val="21"/>
        </w:rPr>
      </w:pPr>
    </w:p>
    <w:p>
      <w:pPr>
        <w:pStyle w:val="Heading5"/>
        <w:spacing w:line="240" w:lineRule="auto"/>
        <w:ind w:right="0"/>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公司报告期未发生共同对外投资的关联交易。</w:t>
      </w:r>
    </w:p>
    <w:p>
      <w:pPr>
        <w:spacing w:line="240" w:lineRule="auto" w:before="3"/>
        <w:rPr>
          <w:rFonts w:ascii="宋体" w:hAnsi="宋体" w:cs="宋体" w:eastAsia="宋体" w:hint="default"/>
          <w:sz w:val="21"/>
          <w:szCs w:val="21"/>
        </w:rPr>
      </w:pPr>
    </w:p>
    <w:p>
      <w:pPr>
        <w:pStyle w:val="Heading5"/>
        <w:spacing w:line="240" w:lineRule="auto"/>
        <w:ind w:right="0"/>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公司报告期不存在关联债权债务往来。</w:t>
      </w:r>
    </w:p>
    <w:p>
      <w:pPr>
        <w:spacing w:line="240" w:lineRule="auto" w:before="3"/>
        <w:rPr>
          <w:rFonts w:ascii="宋体" w:hAnsi="宋体" w:cs="宋体" w:eastAsia="宋体" w:hint="default"/>
          <w:sz w:val="21"/>
          <w:szCs w:val="21"/>
        </w:rPr>
      </w:pPr>
    </w:p>
    <w:p>
      <w:pPr>
        <w:pStyle w:val="Heading5"/>
        <w:spacing w:line="240" w:lineRule="auto"/>
        <w:ind w:right="0"/>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公司报告期无其他重大关联交易。</w:t>
      </w:r>
    </w:p>
    <w:p>
      <w:pPr>
        <w:spacing w:line="240" w:lineRule="auto" w:before="6"/>
        <w:rPr>
          <w:rFonts w:ascii="宋体" w:hAnsi="宋体" w:cs="宋体" w:eastAsia="宋体" w:hint="default"/>
          <w:sz w:val="19"/>
          <w:szCs w:val="19"/>
        </w:rPr>
      </w:pPr>
    </w:p>
    <w:p>
      <w:pPr>
        <w:pStyle w:val="Heading4"/>
        <w:spacing w:line="240" w:lineRule="auto"/>
        <w:ind w:right="0"/>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公司报告期不存在托管情况。</w:t>
      </w:r>
    </w:p>
    <w:p>
      <w:pPr>
        <w:spacing w:after="0" w:line="340" w:lineRule="auto"/>
        <w:jc w:val="left"/>
        <w:sectPr>
          <w:footerReference w:type="default" r:id="rId18"/>
          <w:pgSz w:w="11910" w:h="16840"/>
          <w:pgMar w:footer="978" w:header="746" w:top="1060" w:bottom="1160" w:left="1020" w:right="0"/>
          <w:pgNumType w:start="70"/>
        </w:sectPr>
      </w:pPr>
    </w:p>
    <w:p>
      <w:pPr>
        <w:spacing w:line="240" w:lineRule="auto" w:before="10"/>
        <w:rPr>
          <w:rFonts w:ascii="宋体" w:hAnsi="宋体" w:cs="宋体" w:eastAsia="宋体" w:hint="default"/>
          <w:sz w:val="24"/>
          <w:szCs w:val="24"/>
        </w:rPr>
      </w:pPr>
    </w:p>
    <w:p>
      <w:pPr>
        <w:pStyle w:val="Heading5"/>
        <w:spacing w:line="240" w:lineRule="auto" w:before="34"/>
        <w:ind w:right="0"/>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公司报告期不存在承包情况。</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7"/>
        <w:rPr>
          <w:rFonts w:ascii="宋体" w:hAnsi="宋体" w:cs="宋体" w:eastAsia="宋体" w:hint="default"/>
          <w:b/>
          <w:bCs/>
          <w:sz w:val="26"/>
          <w:szCs w:val="26"/>
        </w:rPr>
      </w:pPr>
    </w:p>
    <w:p>
      <w:pPr>
        <w:pStyle w:val="BodyText"/>
        <w:spacing w:line="348"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租赁情况说明 租赁情况说明</w:t>
      </w:r>
    </w:p>
    <w:p>
      <w:pPr>
        <w:pStyle w:val="BodyText"/>
        <w:spacing w:line="231" w:lineRule="exact"/>
        <w:ind w:right="0"/>
        <w:jc w:val="left"/>
      </w:pPr>
      <w:r>
        <w:rPr/>
        <w:t>（1）本公司自2018年2月1日至2020年1月31日租赁丰联广场1601-03/1612单元，月租金133319.00元。</w:t>
      </w:r>
    </w:p>
    <w:p>
      <w:pPr>
        <w:pStyle w:val="BodyText"/>
        <w:spacing w:line="316" w:lineRule="auto" w:before="76"/>
        <w:ind w:right="0"/>
        <w:jc w:val="left"/>
      </w:pPr>
      <w:r>
        <w:rPr>
          <w:spacing w:val="-2"/>
        </w:rPr>
        <w:t>（2）本公司自2018年8月1日至2021年7月31日租赁中国人寿大厦401-403单元，月租金335585.01元。本公司自2017年10月10</w:t>
      </w:r>
      <w:r>
        <w:rPr>
          <w:spacing w:val="-40"/>
        </w:rPr>
        <w:t> </w:t>
      </w:r>
      <w:r>
        <w:rPr>
          <w:spacing w:val="-40"/>
        </w:rPr>
      </w:r>
      <w:r>
        <w:rPr/>
        <w:t>日至2019年10月9日租赁中国人寿大厦3层，月租金246,390.50元。</w:t>
      </w:r>
    </w:p>
    <w:p>
      <w:pPr>
        <w:pStyle w:val="BodyText"/>
        <w:spacing w:line="316" w:lineRule="auto" w:before="19"/>
        <w:ind w:right="0"/>
        <w:jc w:val="left"/>
      </w:pPr>
      <w:r>
        <w:rPr>
          <w:spacing w:val="-2"/>
        </w:rPr>
        <w:t>（3）本公司自2019年01月1日至2021年12月31日租赁上海市浦东新区浦东南路256号1802室，月租金59,916.00元；本公司自</w:t>
      </w:r>
      <w:r>
        <w:rPr>
          <w:spacing w:val="-47"/>
        </w:rPr>
        <w:t> </w:t>
      </w:r>
      <w:r>
        <w:rPr>
          <w:spacing w:val="-47"/>
        </w:rPr>
      </w:r>
      <w:r>
        <w:rPr/>
        <w:t>2016年10月01日至2019年9月30日租赁上海市淞虹路207号明基商务广场C楼4楼A单元，月租金83,045.10元。</w:t>
      </w:r>
    </w:p>
    <w:p>
      <w:pPr>
        <w:pStyle w:val="BodyText"/>
        <w:spacing w:line="240" w:lineRule="auto" w:before="19"/>
        <w:ind w:right="0"/>
        <w:jc w:val="left"/>
      </w:pPr>
      <w:r>
        <w:rPr/>
        <w:t>（4）本公司自2016年3月11日起至2019年3月10日租赁成都市武侯区领事馆路7号</w:t>
      </w:r>
      <w:r>
        <w:rPr>
          <w:spacing w:val="-16"/>
        </w:rPr>
        <w:t> </w:t>
      </w:r>
      <w:r>
        <w:rPr/>
        <w:t>1栋2单元5层507号，月租金24,717.00元</w:t>
      </w:r>
    </w:p>
    <w:p>
      <w:pPr>
        <w:pStyle w:val="BodyText"/>
        <w:spacing w:line="316" w:lineRule="auto" w:before="76"/>
        <w:ind w:right="1128"/>
        <w:jc w:val="left"/>
      </w:pPr>
      <w:r>
        <w:rPr>
          <w:spacing w:val="2"/>
        </w:rPr>
        <w:t>（5）本公司自2018年6月1日起至2021年5月30日租赁广东省深圳市南山区高新南环路旁留学生创业大厦二期25B，月租金</w:t>
      </w:r>
      <w:r>
        <w:rPr>
          <w:spacing w:val="-59"/>
        </w:rPr>
        <w:t> </w:t>
      </w:r>
      <w:r>
        <w:rPr>
          <w:spacing w:val="-59"/>
        </w:rPr>
      </w:r>
      <w:r>
        <w:rPr/>
        <w:t>80,000.00元。</w:t>
      </w:r>
    </w:p>
    <w:p>
      <w:pPr>
        <w:pStyle w:val="BodyText"/>
        <w:spacing w:line="360" w:lineRule="auto" w:before="19"/>
        <w:ind w:right="1124"/>
        <w:jc w:val="left"/>
      </w:pPr>
      <w:r>
        <w:rPr/>
        <w:t>（6）本公司自2017年3月10日至2019年3月9日租赁南京市建邺区富春江东街69号方中大厦8楼南，半年租金216,372.00元。 为公司带来的损益达到公司报告期利润总额</w:t>
      </w:r>
      <w:r>
        <w:rPr>
          <w:spacing w:val="-48"/>
        </w:rPr>
        <w:t> </w:t>
      </w:r>
      <w:r>
        <w:rPr>
          <w:rFonts w:ascii="Times New Roman" w:hAnsi="Times New Roman" w:cs="Times New Roman" w:eastAsia="Times New Roman" w:hint="default"/>
        </w:rPr>
        <w:t>10%</w:t>
      </w:r>
      <w:r>
        <w:rPr/>
        <w:t>以上的项目</w:t>
      </w:r>
    </w:p>
    <w:p>
      <w:pPr>
        <w:pStyle w:val="BodyText"/>
        <w:spacing w:line="240" w:lineRule="auto" w:before="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right="0"/>
        <w:jc w:val="left"/>
      </w:pPr>
      <w:r>
        <w:rPr/>
        <w:t>公司报告期不存在为公司带来的损益达到公司报告期利润总额</w:t>
      </w:r>
      <w:r>
        <w:rPr>
          <w:spacing w:val="-48"/>
        </w:rPr>
        <w:t> </w:t>
      </w:r>
      <w:r>
        <w:rPr>
          <w:rFonts w:ascii="Times New Roman" w:hAnsi="Times New Roman" w:cs="Times New Roman" w:eastAsia="Times New Roman" w:hint="default"/>
        </w:rPr>
        <w:t>10%</w:t>
      </w:r>
      <w:r>
        <w:rPr/>
        <w:t>以上的租赁项目。</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公司报告期不存在担保情况。</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bookmarkStart w:name="3、委托他人进行现金资产管理情况" w:id="90"/>
      <w:bookmarkEnd w:id="90"/>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委托理财情况" w:id="91"/>
      <w:bookmarkEnd w:id="91"/>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8" w:top="1060" w:bottom="1160" w:left="1020" w:right="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1020" w:right="0"/>
          <w:cols w:num="2" w:equalWidth="0">
            <w:col w:w="1913" w:space="6825"/>
            <w:col w:w="2152"/>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68"/>
        <w:gridCol w:w="1962"/>
        <w:gridCol w:w="1981"/>
        <w:gridCol w:w="1909"/>
        <w:gridCol w:w="1847"/>
      </w:tblGrid>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22,000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6,000</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0"/>
        <w:jc w:val="left"/>
      </w:pPr>
      <w:r>
        <w:rPr/>
        <w:t>单项金额重大或安全性较低、流动性较差、不保本的高风险委托理财具体情况</w:t>
      </w:r>
    </w:p>
    <w:p>
      <w:pPr>
        <w:pStyle w:val="BodyText"/>
        <w:spacing w:line="338" w:lineRule="auto" w:before="117"/>
        <w:ind w:right="5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委托理财出现预期无法收回本金或存在其他可能导致减值的情形</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type w:val="continuous"/>
          <w:pgSz w:w="11910" w:h="16840"/>
          <w:pgMar w:top="1060" w:bottom="1160" w:left="1020" w:right="0"/>
        </w:sectPr>
      </w:pPr>
    </w:p>
    <w:p>
      <w:pPr>
        <w:spacing w:line="240" w:lineRule="auto" w:before="10"/>
        <w:rPr>
          <w:rFonts w:ascii="宋体" w:hAnsi="宋体" w:cs="宋体" w:eastAsia="宋体" w:hint="default"/>
          <w:sz w:val="24"/>
          <w:szCs w:val="24"/>
        </w:rPr>
      </w:pPr>
    </w:p>
    <w:p>
      <w:pPr>
        <w:pStyle w:val="Heading5"/>
        <w:spacing w:line="240" w:lineRule="auto" w:before="34"/>
        <w:ind w:right="0"/>
        <w:jc w:val="left"/>
        <w:rPr>
          <w:b w:val="0"/>
          <w:bCs w:val="0"/>
        </w:rPr>
      </w:pPr>
      <w:bookmarkStart w:name="（2）委托贷款情况" w:id="92"/>
      <w:bookmarkEnd w:id="92"/>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公司报告期不存在委托贷款。</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bookmarkStart w:name="4、其他重大合同" w:id="93"/>
      <w:bookmarkEnd w:id="93"/>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公司报告期不存在其他重大合同。</w:t>
      </w:r>
    </w:p>
    <w:p>
      <w:pPr>
        <w:spacing w:line="240" w:lineRule="auto" w:before="4"/>
        <w:rPr>
          <w:rFonts w:ascii="宋体" w:hAnsi="宋体" w:cs="宋体" w:eastAsia="宋体" w:hint="default"/>
          <w:sz w:val="19"/>
          <w:szCs w:val="19"/>
        </w:rPr>
      </w:pPr>
    </w:p>
    <w:p>
      <w:pPr>
        <w:pStyle w:val="Heading4"/>
        <w:spacing w:line="240" w:lineRule="auto"/>
        <w:ind w:right="0"/>
        <w:jc w:val="left"/>
        <w:rPr>
          <w:b w:val="0"/>
          <w:bCs w:val="0"/>
        </w:rPr>
      </w:pPr>
      <w:bookmarkStart w:name="十七、社会责任情况" w:id="94"/>
      <w:bookmarkEnd w:id="94"/>
      <w:r>
        <w:rPr>
          <w:b w:val="0"/>
          <w:bCs w:val="0"/>
        </w:rPr>
      </w:r>
      <w:r>
        <w:rPr/>
        <w:t>十七、社会责任情况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履行社会责任情况" w:id="95"/>
      <w:bookmarkEnd w:id="95"/>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2、履行精准扶贫社会责任情况" w:id="96"/>
      <w:bookmarkEnd w:id="96"/>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bookmarkStart w:name="（1）精准扶贫规划" w:id="97"/>
      <w:bookmarkEnd w:id="97"/>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bookmarkStart w:name="（2）年度精准扶贫概要" w:id="98"/>
      <w:bookmarkEnd w:id="98"/>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3）精准扶贫成效" w:id="99"/>
      <w:bookmarkEnd w:id="99"/>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624"/>
        <w:gridCol w:w="1553"/>
        <w:gridCol w:w="4391"/>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10"/>
        <w:rPr>
          <w:rFonts w:ascii="宋体" w:hAnsi="宋体" w:cs="宋体" w:eastAsia="宋体" w:hint="default"/>
          <w:b/>
          <w:bCs/>
          <w:sz w:val="24"/>
          <w:szCs w:val="24"/>
        </w:rPr>
      </w:pPr>
    </w:p>
    <w:p>
      <w:pPr>
        <w:pStyle w:val="Heading5"/>
        <w:spacing w:line="240" w:lineRule="auto" w:before="34"/>
        <w:ind w:right="0"/>
        <w:jc w:val="both"/>
        <w:rPr>
          <w:b w:val="0"/>
          <w:bCs w:val="0"/>
        </w:rPr>
      </w:pPr>
      <w:bookmarkStart w:name="（4）后续精准扶贫计划" w:id="100"/>
      <w:bookmarkEnd w:id="100"/>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bookmarkStart w:name="3、环境保护相关的情况" w:id="101"/>
      <w:bookmarkEnd w:id="101"/>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5714"/>
        <w:jc w:val="left"/>
      </w:pPr>
      <w:r>
        <w:rPr/>
        <w:t>上市公司及其子公司是否属于环境保护部门公布的重点排污单位 否</w:t>
      </w:r>
    </w:p>
    <w:p>
      <w:pPr>
        <w:pStyle w:val="BodyText"/>
        <w:spacing w:line="240" w:lineRule="auto" w:before="27"/>
        <w:ind w:right="0"/>
        <w:jc w:val="both"/>
      </w:pPr>
      <w:r>
        <w:rPr/>
        <w:t>不适用</w:t>
      </w:r>
    </w:p>
    <w:p>
      <w:pPr>
        <w:spacing w:line="240" w:lineRule="auto" w:before="1"/>
        <w:rPr>
          <w:rFonts w:ascii="宋体" w:hAnsi="宋体" w:cs="宋体" w:eastAsia="宋体" w:hint="default"/>
          <w:sz w:val="25"/>
          <w:szCs w:val="25"/>
        </w:rPr>
      </w:pPr>
    </w:p>
    <w:p>
      <w:pPr>
        <w:pStyle w:val="Heading4"/>
        <w:spacing w:line="240" w:lineRule="auto"/>
        <w:ind w:right="0"/>
        <w:jc w:val="both"/>
        <w:rPr>
          <w:b w:val="0"/>
          <w:bCs w:val="0"/>
        </w:rPr>
      </w:pPr>
      <w:bookmarkStart w:name="十八、其他重大事项的说明" w:id="102"/>
      <w:bookmarkEnd w:id="102"/>
      <w:r>
        <w:rPr>
          <w:b w:val="0"/>
          <w:bCs w:val="0"/>
        </w:rPr>
      </w: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07" w:lineRule="auto" w:before="103"/>
        <w:ind w:right="1132" w:firstLine="360"/>
        <w:jc w:val="both"/>
      </w:pPr>
      <w:r>
        <w:rPr>
          <w:rFonts w:ascii="Times New Roman" w:hAnsi="Times New Roman" w:cs="Times New Roman" w:eastAsia="Times New Roman" w:hint="default"/>
        </w:rPr>
        <w:t>1</w:t>
      </w:r>
      <w:r>
        <w:rPr/>
        <w:t>、、公司于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27</w:t>
      </w:r>
      <w:r>
        <w:rPr>
          <w:rFonts w:ascii="Times New Roman" w:hAnsi="Times New Roman" w:cs="Times New Roman" w:eastAsia="Times New Roman" w:hint="default"/>
          <w:spacing w:val="41"/>
        </w:rPr>
        <w:t> </w:t>
      </w:r>
      <w:r>
        <w:rPr/>
        <w:t>日召开第二届董事会第二十次会议，审议通过《关于公司对外投资的议案》。通过本 次收购，公司持有大陆云盾</w:t>
      </w:r>
      <w:r>
        <w:rPr>
          <w:spacing w:val="-1"/>
        </w:rPr>
        <w:t> </w:t>
      </w:r>
      <w:r>
        <w:rPr>
          <w:rFonts w:ascii="Times New Roman" w:hAnsi="Times New Roman" w:cs="Times New Roman" w:eastAsia="Times New Roman" w:hint="default"/>
        </w:rPr>
        <w:t>51%</w:t>
      </w:r>
      <w:r>
        <w:rPr/>
        <w:t>的股权，大陆云盾成为公司的控股子公司。通过对大陆云盾的收购，实现了公司在电子认 </w:t>
      </w:r>
      <w:r>
        <w:rPr>
          <w:spacing w:val="-2"/>
        </w:rPr>
        <w:t>证服务及云上信息安全服务系列产业的布局，将进一步提升科蓝软件在信息安全领域的核心竞争力。大陆云盾的电子认证及</w:t>
      </w:r>
      <w:r>
        <w:rPr>
          <w:spacing w:val="-64"/>
        </w:rPr>
        <w:t> </w:t>
      </w:r>
      <w:r>
        <w:rPr>
          <w:spacing w:val="-64"/>
        </w:rPr>
      </w:r>
      <w:r>
        <w:rPr/>
        <w:t>与数字证书服务与公司的业务高度匹配，将为互联网金融、互联网银行用户提供全方位的信息安全解决方案。</w:t>
      </w:r>
    </w:p>
    <w:p>
      <w:pPr>
        <w:pStyle w:val="BodyText"/>
        <w:spacing w:line="314" w:lineRule="auto" w:before="26"/>
        <w:ind w:right="0" w:firstLine="36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12</w:t>
      </w:r>
      <w:r>
        <w:rPr/>
        <w:t>月 </w:t>
      </w:r>
      <w:r>
        <w:rPr>
          <w:rFonts w:ascii="Times New Roman" w:hAnsi="Times New Roman" w:cs="Times New Roman" w:eastAsia="Times New Roman" w:hint="default"/>
        </w:rPr>
        <w:t>12 </w:t>
      </w:r>
      <w:r>
        <w:rPr/>
        <w:t>日公司完成 </w:t>
      </w:r>
      <w:r>
        <w:rPr>
          <w:rFonts w:ascii="Times New Roman" w:hAnsi="Times New Roman" w:cs="Times New Roman" w:eastAsia="Times New Roman" w:hint="default"/>
        </w:rPr>
        <w:t>SUNJE SOFT </w:t>
      </w:r>
      <w:r>
        <w:rPr/>
        <w:t>株式会社股权交割，公司取得 </w:t>
      </w:r>
      <w:r>
        <w:rPr>
          <w:rFonts w:ascii="Times New Roman" w:hAnsi="Times New Roman" w:cs="Times New Roman" w:eastAsia="Times New Roman" w:hint="default"/>
        </w:rPr>
        <w:t>SUNJE SOFT</w:t>
      </w:r>
      <w:r>
        <w:rPr>
          <w:rFonts w:ascii="Times New Roman" w:hAnsi="Times New Roman" w:cs="Times New Roman" w:eastAsia="Times New Roman" w:hint="default"/>
          <w:spacing w:val="25"/>
        </w:rPr>
        <w:t> </w:t>
      </w:r>
      <w:r>
        <w:rPr/>
        <w:t>株式会社</w:t>
      </w:r>
      <w:r>
        <w:rPr>
          <w:rFonts w:ascii="Times New Roman" w:hAnsi="Times New Roman" w:cs="Times New Roman" w:eastAsia="Times New Roman" w:hint="default"/>
        </w:rPr>
        <w:t>67.15%</w:t>
      </w:r>
      <w:r>
        <w:rPr/>
        <w:t>的股权， </w:t>
      </w:r>
      <w:r>
        <w:rPr>
          <w:spacing w:val="-2"/>
        </w:rPr>
        <w:t>成为控股股东。通过对韩国数据库公司的收购，公司将掌握发展最新的分布式内存数据库技术，打破国外传统高端的数据库</w:t>
      </w:r>
      <w:r>
        <w:rPr>
          <w:spacing w:val="-65"/>
        </w:rPr>
        <w:t> </w:t>
      </w:r>
      <w:r>
        <w:rPr>
          <w:spacing w:val="-65"/>
        </w:rPr>
      </w:r>
      <w:r>
        <w:rPr>
          <w:spacing w:val="-2"/>
        </w:rPr>
        <w:t>产品的垄断，填补高端国产数据库在市场上的空白。数据库软件属于国家高度重视及重点发展的基础软件，开展基础软件业</w:t>
      </w:r>
      <w:r>
        <w:rPr>
          <w:spacing w:val="-65"/>
        </w:rPr>
        <w:t> </w:t>
      </w:r>
      <w:r>
        <w:rPr>
          <w:spacing w:val="-65"/>
        </w:rPr>
      </w:r>
      <w:r>
        <w:rPr>
          <w:spacing w:val="-2"/>
        </w:rPr>
        <w:t>务符合国家鼓励发展基础软件的国产化战略，且具有极强的生命力，有利于提高公司互联网银行业务的拓展性，从而在根本</w:t>
      </w:r>
      <w:r>
        <w:rPr>
          <w:spacing w:val="-65"/>
        </w:rPr>
        <w:t> </w:t>
      </w:r>
      <w:r>
        <w:rPr>
          <w:spacing w:val="-65"/>
        </w:rPr>
      </w:r>
      <w:r>
        <w:rPr>
          <w:spacing w:val="-2"/>
        </w:rPr>
        <w:t>上解决一直以来困扰互联网金融业务发展的高并发和高性能问题。为此公司投入了大量研发资源以加速数据库产品的国产化</w:t>
      </w:r>
      <w:r>
        <w:rPr>
          <w:spacing w:val="-64"/>
        </w:rPr>
        <w:t> </w:t>
      </w:r>
      <w:r>
        <w:rPr>
          <w:spacing w:val="-64"/>
        </w:rPr>
      </w:r>
      <w:r>
        <w:rPr/>
        <w:t>进程，占领国内新一代数据库的制高点。。</w:t>
      </w:r>
    </w:p>
    <w:p>
      <w:pPr>
        <w:pStyle w:val="BodyText"/>
        <w:spacing w:line="240" w:lineRule="auto" w:before="20"/>
        <w:ind w:left="472"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18</w:t>
      </w:r>
      <w:r>
        <w:rPr>
          <w:rFonts w:ascii="Times New Roman" w:hAnsi="Times New Roman" w:cs="Times New Roman" w:eastAsia="Times New Roman" w:hint="default"/>
          <w:spacing w:val="43"/>
        </w:rPr>
        <w:t> </w:t>
      </w:r>
      <w:r>
        <w:rPr/>
        <w:t>日，浙江蚂蚁小微金融服务集团股份有限公司的全资子公司上海云鑫创业投资有限公司通过深圳</w:t>
      </w:r>
    </w:p>
    <w:p>
      <w:pPr>
        <w:pStyle w:val="BodyText"/>
        <w:spacing w:line="309" w:lineRule="auto" w:before="63"/>
        <w:ind w:right="1132"/>
        <w:jc w:val="both"/>
      </w:pPr>
      <w:r>
        <w:rPr/>
        <w:t>证券交易系统大宗交易合计受让公司的无限售流通股</w:t>
      </w:r>
      <w:r>
        <w:rPr>
          <w:rFonts w:ascii="Times New Roman" w:hAnsi="Times New Roman" w:cs="Times New Roman" w:eastAsia="Times New Roman" w:hint="default"/>
        </w:rPr>
        <w:t>6,849,774 </w:t>
      </w:r>
      <w:r>
        <w:rPr/>
        <w:t>股，占公司总股本的 </w:t>
      </w:r>
      <w:r>
        <w:rPr>
          <w:rFonts w:ascii="Times New Roman" w:hAnsi="Times New Roman" w:cs="Times New Roman" w:eastAsia="Times New Roman" w:hint="default"/>
        </w:rPr>
        <w:t>3.4%</w:t>
      </w:r>
      <w:r>
        <w:rPr/>
        <w:t>。公司于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19</w:t>
      </w:r>
      <w:r>
        <w:rPr>
          <w:rFonts w:ascii="Times New Roman" w:hAnsi="Times New Roman" w:cs="Times New Roman" w:eastAsia="Times New Roman" w:hint="default"/>
          <w:spacing w:val="27"/>
        </w:rPr>
        <w:t> </w:t>
      </w:r>
      <w:r>
        <w:rPr/>
        <w:t>日与 </w:t>
      </w:r>
      <w:r>
        <w:rPr>
          <w:spacing w:val="-2"/>
        </w:rPr>
        <w:t>蚂蚁金融云签署了《业务合作协议》，双方将借助各自及关联方的优势，致力于在为金融行业提供移动互联网金融平台方案</w:t>
      </w:r>
      <w:r>
        <w:rPr>
          <w:spacing w:val="-66"/>
        </w:rPr>
        <w:t> </w:t>
      </w:r>
      <w:r>
        <w:rPr>
          <w:spacing w:val="-66"/>
        </w:rPr>
      </w:r>
      <w:r>
        <w:rPr/>
        <w:t>等方面开展深度合作。</w:t>
      </w:r>
    </w:p>
    <w:p>
      <w:pPr>
        <w:pStyle w:val="BodyText"/>
        <w:spacing w:line="290" w:lineRule="auto" w:before="24"/>
        <w:ind w:right="0" w:firstLine="360"/>
        <w:jc w:val="left"/>
        <w:rPr>
          <w:sz w:val="24"/>
          <w:szCs w:val="24"/>
        </w:rPr>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5</w:t>
      </w:r>
      <w:r>
        <w:rPr/>
        <w:t>日召开第二届董事会第二十一次会议，审议通过《关于公司投资设立全资子公司的议案》，基于公司发 展战略，公司将在苏州设立全资子公司北京科蓝软件系统（苏州）有限公司，公司已于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日取得了苏州市相城区 行政审批局登记确认的《营业执照》，经营范围为：计算机系统服务，软件开发，应用软件服务，数据处理；网络科技领域 </w:t>
      </w:r>
      <w:r>
        <w:rPr>
          <w:spacing w:val="-1"/>
        </w:rPr>
        <w:t>内的技术开发、技术服务、技术咨询、技术推广、技术转让（依法须经批准的项目，经相关部门批准后方可开展经营活动</w:t>
      </w:r>
      <w:r>
        <w:rPr>
          <w:spacing w:val="-1"/>
          <w:sz w:val="24"/>
          <w:szCs w:val="24"/>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8"/>
          <w:szCs w:val="18"/>
        </w:rPr>
      </w:pPr>
    </w:p>
    <w:p>
      <w:pPr>
        <w:pStyle w:val="Heading4"/>
        <w:spacing w:line="240" w:lineRule="auto"/>
        <w:ind w:right="0"/>
        <w:jc w:val="both"/>
        <w:rPr>
          <w:b w:val="0"/>
          <w:bCs w:val="0"/>
        </w:rPr>
      </w:pPr>
      <w:bookmarkStart w:name="十九、公司子公司重大事项" w:id="103"/>
      <w:bookmarkEnd w:id="103"/>
      <w:r>
        <w:rPr>
          <w:b w:val="0"/>
          <w:bCs w:val="0"/>
        </w:rPr>
      </w:r>
      <w:r>
        <w:rPr/>
        <w:t>十九、公司子公司重大事项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both"/>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28" w:right="0"/>
        <w:jc w:val="left"/>
        <w:rPr>
          <w:b w:val="0"/>
          <w:bCs w:val="0"/>
        </w:rPr>
      </w:pPr>
      <w:bookmarkStart w:name="第六节 股份变动及股东情况" w:id="104"/>
      <w:bookmarkEnd w:id="104"/>
      <w:r>
        <w:rPr>
          <w:b w:val="0"/>
          <w:bCs w:val="0"/>
        </w:rPr>
      </w:r>
      <w:bookmarkStart w:name="_bookmark4" w:id="105"/>
      <w:bookmarkEnd w:id="105"/>
      <w:r>
        <w:rPr>
          <w:b w:val="0"/>
          <w:bCs w:val="0"/>
        </w:rPr>
      </w:r>
      <w:r>
        <w:rPr/>
        <w:t>第六节</w:t>
      </w:r>
      <w:r>
        <w:rPr>
          <w:spacing w:val="-13"/>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0"/>
        <w:jc w:val="left"/>
        <w:rPr>
          <w:b w:val="0"/>
          <w:bCs w:val="0"/>
        </w:rPr>
      </w:pPr>
      <w:bookmarkStart w:name="一、股份变动情况" w:id="106"/>
      <w:bookmarkEnd w:id="106"/>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股份变动情况" w:id="107"/>
      <w:bookmarkEnd w:id="10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单位：股</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27"/>
        <w:gridCol w:w="1034"/>
        <w:gridCol w:w="612"/>
        <w:gridCol w:w="823"/>
        <w:gridCol w:w="549"/>
        <w:gridCol w:w="1095"/>
        <w:gridCol w:w="822"/>
        <w:gridCol w:w="918"/>
        <w:gridCol w:w="992"/>
        <w:gridCol w:w="500"/>
      </w:tblGrid>
      <w:tr>
        <w:trPr>
          <w:trHeight w:val="402" w:hRule="exact"/>
        </w:trPr>
        <w:tc>
          <w:tcPr>
            <w:tcW w:w="2227" w:type="dxa"/>
            <w:vMerge w:val="restart"/>
            <w:tcBorders>
              <w:top w:val="single" w:sz="4" w:space="0" w:color="000000"/>
              <w:left w:val="single" w:sz="4" w:space="0" w:color="000000"/>
              <w:right w:val="single" w:sz="4" w:space="0" w:color="000000"/>
            </w:tcBorders>
            <w:shd w:val="clear" w:color="auto" w:fill="D2D2D2"/>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0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8"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4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02" w:hRule="exact"/>
        </w:trPr>
        <w:tc>
          <w:tcPr>
            <w:tcW w:w="2227" w:type="dxa"/>
            <w:vMerge/>
            <w:tcBorders>
              <w:left w:val="single" w:sz="4" w:space="0" w:color="000000"/>
              <w:bottom w:val="single" w:sz="4" w:space="0" w:color="000000"/>
              <w:right w:val="single" w:sz="4" w:space="0" w:color="000000"/>
            </w:tcBorders>
            <w:shd w:val="clear" w:color="auto" w:fill="D2D2D2"/>
          </w:tcPr>
          <w:p>
            <w:pP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89"/>
              <w:jc w:val="right"/>
              <w:rPr>
                <w:rFonts w:ascii="宋体" w:hAnsi="宋体" w:cs="宋体" w:eastAsia="宋体" w:hint="default"/>
                <w:sz w:val="18"/>
                <w:szCs w:val="18"/>
              </w:rPr>
            </w:pPr>
            <w:r>
              <w:rPr>
                <w:rFonts w:ascii="宋体" w:hAnsi="宋体" w:cs="宋体" w:eastAsia="宋体" w:hint="default"/>
                <w:sz w:val="18"/>
                <w:szCs w:val="18"/>
              </w:rPr>
              <w:t>送股</w:t>
            </w: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6"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101,088,619</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75.47%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50,666,050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-74,425,6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-22,759,55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78,329,065</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38.88</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5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5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101,088,619</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75.47%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50,666,050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-74,425,6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-22,759,55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78,329,065</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left"/>
              <w:rPr>
                <w:rFonts w:ascii="Times New Roman" w:hAnsi="Times New Roman" w:cs="Times New Roman" w:eastAsia="Times New Roman" w:hint="default"/>
                <w:sz w:val="18"/>
                <w:szCs w:val="18"/>
              </w:rPr>
            </w:pPr>
            <w:r>
              <w:rPr>
                <w:rFonts w:ascii="Times New Roman"/>
                <w:sz w:val="18"/>
              </w:rPr>
              <w:t>38.88</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57,047,966</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56.43%</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28,312,608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-72,262,4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-43,949,83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13,098,135</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center"/>
              <w:rPr>
                <w:rFonts w:ascii="Times New Roman" w:hAnsi="Times New Roman" w:cs="Times New Roman" w:eastAsia="Times New Roman" w:hint="default"/>
                <w:sz w:val="18"/>
                <w:szCs w:val="18"/>
              </w:rPr>
            </w:pPr>
            <w:r>
              <w:rPr>
                <w:rFonts w:ascii="Times New Roman"/>
                <w:sz w:val="18"/>
              </w:rPr>
              <w:t>6.50</w:t>
            </w:r>
          </w:p>
          <w:p>
            <w:pPr>
              <w:pStyle w:val="TableParagraph"/>
              <w:spacing w:line="240" w:lineRule="auto" w:before="105"/>
              <w:ind w:left="29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44,040,653</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43.57%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22,353,442</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-2,163,16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21,190,277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65,230,930</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left"/>
              <w:rPr>
                <w:rFonts w:ascii="Times New Roman" w:hAnsi="Times New Roman" w:cs="Times New Roman" w:eastAsia="Times New Roman" w:hint="default"/>
                <w:sz w:val="18"/>
                <w:szCs w:val="18"/>
              </w:rPr>
            </w:pPr>
            <w:r>
              <w:rPr>
                <w:rFonts w:ascii="Times New Roman"/>
                <w:sz w:val="18"/>
              </w:rPr>
              <w:t>32.38</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5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5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5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32,860,000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24.53%</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16,308,247</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73,966,64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90,274,892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123,134,892</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left"/>
              <w:rPr>
                <w:rFonts w:ascii="Times New Roman" w:hAnsi="Times New Roman" w:cs="Times New Roman" w:eastAsia="Times New Roman" w:hint="default"/>
                <w:sz w:val="18"/>
                <w:szCs w:val="18"/>
              </w:rPr>
            </w:pPr>
            <w:r>
              <w:rPr>
                <w:rFonts w:ascii="Times New Roman"/>
                <w:sz w:val="18"/>
              </w:rPr>
              <w:t>61.12</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32,860,000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24.53%</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16,308,247</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73,966,64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90,274,892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123,134,892</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61.12</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5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5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5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133,948,619</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66,974,297</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-458,959</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67,515,338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201,463,957</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0"/>
        <w:ind w:right="0"/>
        <w:jc w:val="left"/>
      </w:pPr>
      <w:r>
        <w:rPr/>
        <w:t>股份变动的原因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472" w:right="0"/>
        <w:jc w:val="left"/>
        <w:rPr>
          <w:rFonts w:ascii="Times New Roman" w:hAnsi="Times New Roman" w:cs="Times New Roman" w:eastAsia="Times New Roman" w:hint="default"/>
        </w:rPr>
      </w:pPr>
      <w:r>
        <w:rPr>
          <w:rFonts w:ascii="Times New Roman" w:hAnsi="Times New Roman" w:cs="Times New Roman" w:eastAsia="Times New Roman" w:hint="default"/>
          <w:spacing w:val="-8"/>
        </w:rPr>
        <w:t>1</w:t>
      </w:r>
      <w:r>
        <w:rPr>
          <w:spacing w:val="-8"/>
        </w:rPr>
        <w:t>、公司于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20</w:t>
      </w:r>
      <w:r>
        <w:rPr/>
        <w:t>日完成授予 </w:t>
      </w:r>
      <w:r>
        <w:rPr>
          <w:rFonts w:ascii="Times New Roman" w:hAnsi="Times New Roman" w:cs="Times New Roman" w:eastAsia="Times New Roman" w:hint="default"/>
        </w:rPr>
        <w:t>50  </w:t>
      </w:r>
      <w:r>
        <w:rPr/>
        <w:t>名股权激励对象共计 </w:t>
      </w:r>
      <w:r>
        <w:rPr>
          <w:rFonts w:ascii="Times New Roman" w:hAnsi="Times New Roman" w:cs="Times New Roman" w:eastAsia="Times New Roman" w:hint="default"/>
        </w:rPr>
        <w:t>100 </w:t>
      </w:r>
      <w:r>
        <w:rPr/>
        <w:t>万股预留限制性股票，公司总股本由</w:t>
      </w:r>
      <w:r>
        <w:rPr>
          <w:rFonts w:ascii="Times New Roman" w:hAnsi="Times New Roman" w:cs="Times New Roman" w:eastAsia="Times New Roman" w:hint="default"/>
        </w:rPr>
        <w:t>133,948,619</w:t>
      </w:r>
    </w:p>
    <w:p>
      <w:pPr>
        <w:pStyle w:val="BodyText"/>
        <w:spacing w:line="240" w:lineRule="auto" w:before="63"/>
        <w:ind w:right="0"/>
        <w:jc w:val="left"/>
      </w:pPr>
      <w:r>
        <w:rPr/>
        <w:t>股增至 </w:t>
      </w:r>
      <w:r>
        <w:rPr>
          <w:rFonts w:ascii="Times New Roman" w:hAnsi="Times New Roman" w:cs="Times New Roman" w:eastAsia="Times New Roman" w:hint="default"/>
        </w:rPr>
        <w:t>134,948,619</w:t>
      </w:r>
      <w:r>
        <w:rPr>
          <w:rFonts w:ascii="Times New Roman" w:hAnsi="Times New Roman" w:cs="Times New Roman" w:eastAsia="Times New Roman" w:hint="default"/>
          <w:spacing w:val="39"/>
        </w:rPr>
        <w:t> </w:t>
      </w:r>
      <w:r>
        <w:rPr/>
        <w:t>股。</w:t>
      </w:r>
    </w:p>
    <w:p>
      <w:pPr>
        <w:pStyle w:val="BodyText"/>
        <w:spacing w:line="240" w:lineRule="auto" w:before="63"/>
        <w:ind w:left="472" w:right="0"/>
        <w:jc w:val="left"/>
      </w:pPr>
      <w:r>
        <w:rPr>
          <w:rFonts w:ascii="Times New Roman" w:hAnsi="Times New Roman" w:cs="Times New Roman" w:eastAsia="Times New Roman" w:hint="default"/>
        </w:rPr>
        <w:t>2</w:t>
      </w:r>
      <w:r>
        <w:rPr/>
        <w:t>、公司以</w:t>
      </w:r>
      <w:r>
        <w:rPr>
          <w:rFonts w:ascii="Times New Roman" w:hAnsi="Times New Roman" w:cs="Times New Roman" w:eastAsia="Times New Roman" w:hint="default"/>
        </w:rPr>
        <w:t>134,948,619</w:t>
      </w:r>
      <w:r>
        <w:rPr/>
        <w:t>股为基数，以现金股利方式向全体股东派发红利 </w:t>
      </w:r>
      <w:r>
        <w:rPr>
          <w:rFonts w:ascii="Times New Roman" w:hAnsi="Times New Roman" w:cs="Times New Roman" w:eastAsia="Times New Roman" w:hint="default"/>
        </w:rPr>
        <w:t>6,697,430.95  </w:t>
      </w:r>
      <w:r>
        <w:rPr/>
        <w:t>元，计每 </w:t>
      </w:r>
      <w:r>
        <w:rPr>
          <w:rFonts w:ascii="Times New Roman" w:hAnsi="Times New Roman" w:cs="Times New Roman" w:eastAsia="Times New Roman" w:hint="default"/>
        </w:rPr>
        <w:t>10</w:t>
      </w:r>
      <w:r>
        <w:rPr>
          <w:rFonts w:ascii="Times New Roman" w:hAnsi="Times New Roman" w:cs="Times New Roman" w:eastAsia="Times New Roman" w:hint="default"/>
          <w:spacing w:val="33"/>
        </w:rPr>
        <w:t> </w:t>
      </w:r>
      <w:r>
        <w:rPr/>
        <w:t>股分配现金红利</w:t>
      </w:r>
    </w:p>
    <w:p>
      <w:pPr>
        <w:pStyle w:val="BodyText"/>
        <w:spacing w:line="240" w:lineRule="auto" w:before="63"/>
        <w:ind w:right="0"/>
        <w:jc w:val="left"/>
      </w:pPr>
      <w:r>
        <w:rPr>
          <w:rFonts w:ascii="Times New Roman" w:hAnsi="Times New Roman" w:cs="Times New Roman" w:eastAsia="Times New Roman" w:hint="default"/>
        </w:rPr>
        <w:t>0.496294</w:t>
      </w:r>
      <w:r>
        <w:rPr/>
        <w:t>元（含税），以资本公积金向全体股东每 </w:t>
      </w:r>
      <w:r>
        <w:rPr>
          <w:rFonts w:ascii="Times New Roman" w:hAnsi="Times New Roman" w:cs="Times New Roman" w:eastAsia="Times New Roman" w:hint="default"/>
        </w:rPr>
        <w:t>10  </w:t>
      </w:r>
      <w:r>
        <w:rPr/>
        <w:t>股转增 </w:t>
      </w:r>
      <w:r>
        <w:rPr>
          <w:rFonts w:ascii="Times New Roman" w:hAnsi="Times New Roman" w:cs="Times New Roman" w:eastAsia="Times New Roman" w:hint="default"/>
        </w:rPr>
        <w:t>4.962948  </w:t>
      </w:r>
      <w:r>
        <w:rPr/>
        <w:t>股。合计转增股本 </w:t>
      </w:r>
      <w:r>
        <w:rPr>
          <w:rFonts w:ascii="Times New Roman" w:hAnsi="Times New Roman" w:cs="Times New Roman" w:eastAsia="Times New Roman" w:hint="default"/>
        </w:rPr>
        <w:t>66,974,297</w:t>
      </w:r>
      <w:r>
        <w:rPr>
          <w:rFonts w:ascii="Times New Roman" w:hAnsi="Times New Roman" w:cs="Times New Roman" w:eastAsia="Times New Roman" w:hint="default"/>
          <w:spacing w:val="31"/>
        </w:rPr>
        <w:t> </w:t>
      </w:r>
      <w:r>
        <w:rPr/>
        <w:t>股</w:t>
      </w:r>
      <w:r>
        <w:rPr>
          <w:rFonts w:ascii="Times New Roman" w:hAnsi="Times New Roman" w:cs="Times New Roman" w:eastAsia="Times New Roman" w:hint="default"/>
        </w:rPr>
        <w:t>,</w:t>
      </w:r>
      <w:r>
        <w:rPr/>
        <w:t>转增后总股本增</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加至 </w:t>
      </w:r>
      <w:r>
        <w:rPr>
          <w:rFonts w:ascii="Times New Roman" w:hAnsi="Times New Roman" w:cs="Times New Roman" w:eastAsia="Times New Roman" w:hint="default"/>
        </w:rPr>
        <w:t>201,922,916</w:t>
      </w:r>
      <w:r>
        <w:rPr>
          <w:rFonts w:ascii="Times New Roman" w:hAnsi="Times New Roman" w:cs="Times New Roman" w:eastAsia="Times New Roman" w:hint="default"/>
          <w:spacing w:val="39"/>
        </w:rPr>
        <w:t> </w:t>
      </w:r>
      <w:r>
        <w:rPr/>
        <w:t>股。</w:t>
      </w:r>
    </w:p>
    <w:p>
      <w:pPr>
        <w:pStyle w:val="BodyText"/>
        <w:spacing w:line="300" w:lineRule="auto" w:before="63"/>
        <w:ind w:right="0" w:firstLine="360"/>
        <w:jc w:val="left"/>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2017</w:t>
      </w:r>
      <w:r>
        <w:rPr/>
        <w:t>年限制性股票激励计划中激励对象</w:t>
      </w:r>
      <w:r>
        <w:rPr>
          <w:rFonts w:ascii="Times New Roman" w:hAnsi="Times New Roman" w:cs="Times New Roman" w:eastAsia="Times New Roman" w:hint="default"/>
        </w:rPr>
        <w:t>16</w:t>
      </w:r>
      <w:r>
        <w:rPr/>
        <w:t>人因个人原因已离职，公司回购注销其持有的已获授但尚未解除限售 </w:t>
      </w:r>
      <w:r>
        <w:rPr>
          <w:spacing w:val="-3"/>
        </w:rPr>
        <w:t>的共计</w:t>
      </w:r>
      <w:r>
        <w:rPr>
          <w:rFonts w:ascii="Times New Roman" w:hAnsi="Times New Roman" w:cs="Times New Roman" w:eastAsia="Times New Roman" w:hint="default"/>
          <w:spacing w:val="-3"/>
        </w:rPr>
        <w:t>90,677</w:t>
      </w:r>
      <w:r>
        <w:rPr>
          <w:spacing w:val="-3"/>
        </w:rPr>
        <w:t>股限制性股票。同时由于公司</w:t>
      </w:r>
      <w:r>
        <w:rPr>
          <w:rFonts w:ascii="Times New Roman" w:hAnsi="Times New Roman" w:cs="Times New Roman" w:eastAsia="Times New Roman" w:hint="default"/>
          <w:spacing w:val="-3"/>
        </w:rPr>
        <w:t>2017</w:t>
      </w:r>
      <w:r>
        <w:rPr>
          <w:spacing w:val="-3"/>
        </w:rPr>
        <w:t>年度业绩未达到限制性股票激励计划（首次授予）第一期的解除限售的条件，</w:t>
      </w:r>
      <w:r>
        <w:rPr>
          <w:spacing w:val="-42"/>
        </w:rPr>
        <w:t> </w:t>
      </w:r>
      <w:r>
        <w:rPr>
          <w:spacing w:val="-42"/>
        </w:rPr>
      </w:r>
      <w:r>
        <w:rPr/>
        <w:t>公司回购注销第一个解除限售期的限制性股票，回购数量共计</w:t>
      </w:r>
      <w:r>
        <w:rPr>
          <w:rFonts w:ascii="Times New Roman" w:hAnsi="Times New Roman" w:cs="Times New Roman" w:eastAsia="Times New Roman" w:hint="default"/>
        </w:rPr>
        <w:t>368,282</w:t>
      </w:r>
      <w:r>
        <w:rPr/>
        <w:t>股。本次回购注销后，总股本由</w:t>
      </w:r>
      <w:r>
        <w:rPr>
          <w:spacing w:val="-23"/>
        </w:rPr>
        <w:t> </w:t>
      </w:r>
      <w:r>
        <w:rPr>
          <w:rFonts w:ascii="Times New Roman" w:hAnsi="Times New Roman" w:cs="Times New Roman" w:eastAsia="Times New Roman" w:hint="default"/>
        </w:rPr>
        <w:t>201,922,916</w:t>
      </w:r>
      <w:r>
        <w:rPr/>
        <w:t>股减少至 </w:t>
      </w:r>
      <w:r>
        <w:rPr>
          <w:rFonts w:ascii="Times New Roman" w:hAnsi="Times New Roman" w:cs="Times New Roman" w:eastAsia="Times New Roman" w:hint="default"/>
        </w:rPr>
        <w:t>201,463,957</w:t>
      </w:r>
      <w:r>
        <w:rPr/>
        <w:t>股。</w:t>
      </w:r>
    </w:p>
    <w:p>
      <w:pPr>
        <w:pStyle w:val="BodyText"/>
        <w:spacing w:line="307" w:lineRule="auto" w:before="13"/>
        <w:ind w:right="1124" w:firstLine="360"/>
        <w:jc w:val="left"/>
      </w:pPr>
      <w:r>
        <w:rPr>
          <w:rFonts w:ascii="Times New Roman" w:hAnsi="Times New Roman" w:cs="Times New Roman" w:eastAsia="Times New Roman" w:hint="default"/>
        </w:rPr>
        <w:t>4</w:t>
      </w:r>
      <w:r>
        <w:rPr/>
        <w:t>、杭州兆富投资合伙企业（有限合伙）、杭州太一天择投资管理合伙企业（有限合伙）、上海文化产业股权投资基金 </w:t>
      </w:r>
      <w:r>
        <w:rPr>
          <w:spacing w:val="-2"/>
        </w:rPr>
        <w:t>合伙企业（有限合伙）、广州司浦林信息产业创业投资企业（有限合伙）、新余高新区君研丰创资本股权投资管理中心（有</w:t>
      </w:r>
      <w:r>
        <w:rPr>
          <w:spacing w:val="-65"/>
        </w:rPr>
        <w:t> </w:t>
      </w:r>
      <w:r>
        <w:rPr>
          <w:spacing w:val="-65"/>
        </w:rPr>
      </w:r>
      <w:r>
        <w:rPr>
          <w:spacing w:val="-2"/>
        </w:rPr>
        <w:t>限合伙）、宁波科蓝盈众投资管理合伙企业（有限合伙）、杭州先锋基石股权投资合伙企业（有限合伙）、济宁先锋基石股</w:t>
      </w:r>
      <w:r>
        <w:rPr>
          <w:spacing w:val="-66"/>
        </w:rPr>
        <w:t> </w:t>
      </w:r>
      <w:r>
        <w:rPr>
          <w:spacing w:val="-66"/>
        </w:rPr>
      </w:r>
      <w:r>
        <w:rPr/>
        <w:t>权投资企业（有限合伙）、宁波科蓝融创投资管理合伙企业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 </w:t>
      </w:r>
      <w:r>
        <w:rPr/>
        <w:t>、宁波科蓝银科投资管理合伙企业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 </w:t>
      </w:r>
      <w:r>
        <w:rPr/>
        <w:t>、</w:t>
      </w:r>
      <w:r>
        <w:rPr>
          <w:spacing w:val="-52"/>
        </w:rPr>
        <w:t> </w:t>
      </w:r>
      <w:r>
        <w:rPr/>
        <w:t>宁</w:t>
      </w:r>
      <w:r>
        <w:rPr/>
        <w:t> 波科蓝金投投资管理合伙企业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 </w:t>
      </w:r>
      <w:r>
        <w:rPr/>
        <w:t>、 宁波科蓝海联投资管理合伙企业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 </w:t>
      </w:r>
      <w:r>
        <w:rPr/>
        <w:t>、孙湘燕共 </w:t>
      </w:r>
      <w:r>
        <w:rPr>
          <w:rFonts w:ascii="Times New Roman" w:hAnsi="Times New Roman" w:cs="Times New Roman" w:eastAsia="Times New Roman" w:hint="default"/>
        </w:rPr>
        <w:t>13</w:t>
      </w:r>
      <w:r>
        <w:rPr>
          <w:rFonts w:ascii="Times New Roman" w:hAnsi="Times New Roman" w:cs="Times New Roman" w:eastAsia="Times New Roman" w:hint="default"/>
          <w:spacing w:val="43"/>
        </w:rPr>
        <w:t> </w:t>
      </w:r>
      <w:r>
        <w:rPr/>
        <w:t>名股东所持有 </w:t>
      </w:r>
      <w:r>
        <w:rPr>
          <w:rFonts w:ascii="Times New Roman" w:hAnsi="Times New Roman" w:cs="Times New Roman" w:eastAsia="Times New Roman" w:hint="default"/>
        </w:rPr>
        <w:t>73,966,645</w:t>
      </w:r>
      <w:r>
        <w:rPr>
          <w:rFonts w:ascii="Times New Roman" w:hAnsi="Times New Roman" w:cs="Times New Roman" w:eastAsia="Times New Roman" w:hint="default"/>
          <w:spacing w:val="39"/>
        </w:rPr>
        <w:t> </w:t>
      </w:r>
      <w:r>
        <w:rPr/>
        <w:t>股首发限售股于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日上市流通。</w:t>
      </w:r>
    </w:p>
    <w:p>
      <w:pPr>
        <w:pStyle w:val="BodyText"/>
        <w:spacing w:line="240" w:lineRule="auto" w:before="45"/>
        <w:ind w:right="0"/>
        <w:jc w:val="left"/>
      </w:pPr>
      <w:r>
        <w:rPr/>
        <w:t>股份变动的批准情况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300" w:lineRule="auto" w:before="103"/>
        <w:ind w:right="1118" w:firstLine="360"/>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2017</w:t>
      </w:r>
      <w:r>
        <w:rPr>
          <w:rFonts w:ascii="Times New Roman" w:hAnsi="Times New Roman" w:cs="Times New Roman" w:eastAsia="Times New Roman" w:hint="default"/>
          <w:spacing w:val="39"/>
        </w:rPr>
        <w:t> </w:t>
      </w:r>
      <w:r>
        <w:rPr/>
        <w:t>年第三次临时股东大会审议通过《北京科蓝软件系统股份有限公司</w:t>
      </w:r>
      <w:r>
        <w:rPr>
          <w:rFonts w:ascii="Times New Roman" w:hAnsi="Times New Roman" w:cs="Times New Roman" w:eastAsia="Times New Roman" w:hint="default"/>
        </w:rPr>
        <w:t>&lt;</w:t>
      </w:r>
      <w:r>
        <w:rPr/>
        <w:t>限制性股票激励计划（草案）及其摘 要</w:t>
      </w:r>
      <w:r>
        <w:rPr>
          <w:rFonts w:ascii="Times New Roman" w:hAnsi="Times New Roman" w:cs="Times New Roman" w:eastAsia="Times New Roman" w:hint="default"/>
        </w:rPr>
        <w:t>&gt;</w:t>
      </w:r>
      <w:r>
        <w:rPr/>
        <w:t>的议案</w:t>
      </w:r>
      <w:r>
        <w:rPr>
          <w:rFonts w:ascii="Times New Roman" w:hAnsi="Times New Roman" w:cs="Times New Roman" w:eastAsia="Times New Roman" w:hint="default"/>
        </w:rPr>
        <w:t>&gt;</w:t>
      </w:r>
      <w:r>
        <w:rPr/>
        <w:t>》以及第二届董事会第十二次会议的相关决议</w:t>
      </w:r>
      <w:r>
        <w:rPr>
          <w:rFonts w:ascii="Times New Roman" w:hAnsi="Times New Roman" w:cs="Times New Roman" w:eastAsia="Times New Roman" w:hint="default"/>
        </w:rPr>
        <w:t>,</w:t>
      </w:r>
      <w:r>
        <w:rPr/>
        <w:t>公司于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20</w:t>
      </w:r>
      <w:r>
        <w:rPr/>
        <w:t>日完成授予 </w:t>
      </w:r>
      <w:r>
        <w:rPr>
          <w:rFonts w:ascii="Times New Roman" w:hAnsi="Times New Roman" w:cs="Times New Roman" w:eastAsia="Times New Roman" w:hint="default"/>
        </w:rPr>
        <w:t>50</w:t>
      </w:r>
      <w:r>
        <w:rPr>
          <w:rFonts w:ascii="Times New Roman" w:hAnsi="Times New Roman" w:cs="Times New Roman" w:eastAsia="Times New Roman" w:hint="default"/>
          <w:spacing w:val="39"/>
        </w:rPr>
        <w:t> </w:t>
      </w:r>
      <w:r>
        <w:rPr/>
        <w:t>名股权激励对象共计</w:t>
      </w:r>
    </w:p>
    <w:p>
      <w:pPr>
        <w:pStyle w:val="BodyText"/>
        <w:spacing w:line="240" w:lineRule="auto" w:before="13"/>
        <w:ind w:right="0"/>
        <w:jc w:val="left"/>
      </w:pPr>
      <w:r>
        <w:rPr>
          <w:rFonts w:ascii="Times New Roman" w:hAnsi="Times New Roman" w:cs="Times New Roman" w:eastAsia="Times New Roman" w:hint="default"/>
        </w:rPr>
        <w:t>100</w:t>
      </w:r>
      <w:r>
        <w:rPr>
          <w:rFonts w:ascii="Times New Roman" w:hAnsi="Times New Roman" w:cs="Times New Roman" w:eastAsia="Times New Roman" w:hint="default"/>
          <w:spacing w:val="44"/>
        </w:rPr>
        <w:t> </w:t>
      </w:r>
      <w:r>
        <w:rPr/>
        <w:t>万股预留限制性股票。</w:t>
      </w:r>
    </w:p>
    <w:p>
      <w:pPr>
        <w:pStyle w:val="BodyText"/>
        <w:spacing w:line="240" w:lineRule="auto" w:before="63"/>
        <w:ind w:left="472" w:right="0"/>
        <w:jc w:val="left"/>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2017  </w:t>
      </w:r>
      <w:r>
        <w:rPr/>
        <w:t>年年度股东大会审议通过《关于公司 </w:t>
      </w:r>
      <w:r>
        <w:rPr>
          <w:rFonts w:ascii="Times New Roman" w:hAnsi="Times New Roman" w:cs="Times New Roman" w:eastAsia="Times New Roman" w:hint="default"/>
        </w:rPr>
        <w:t>2017</w:t>
      </w:r>
      <w:r>
        <w:rPr>
          <w:rFonts w:ascii="Times New Roman" w:hAnsi="Times New Roman" w:cs="Times New Roman" w:eastAsia="Times New Roman" w:hint="default"/>
          <w:spacing w:val="41"/>
        </w:rPr>
        <w:t> </w:t>
      </w:r>
      <w:r>
        <w:rPr/>
        <w:t>年度利润分配及资本公积金转增股本预案的议案》。公司以</w:t>
      </w:r>
    </w:p>
    <w:p>
      <w:pPr>
        <w:pStyle w:val="BodyText"/>
        <w:spacing w:line="240" w:lineRule="auto" w:before="63"/>
        <w:ind w:right="0"/>
        <w:jc w:val="left"/>
      </w:pPr>
      <w:r>
        <w:rPr>
          <w:rFonts w:ascii="Times New Roman" w:hAnsi="Times New Roman" w:cs="Times New Roman" w:eastAsia="Times New Roman" w:hint="default"/>
        </w:rPr>
        <w:t>134,948,619</w:t>
      </w:r>
      <w:r>
        <w:rPr/>
        <w:t>股为基数，以资本公积金向全体股东每 </w:t>
      </w:r>
      <w:r>
        <w:rPr>
          <w:rFonts w:ascii="Times New Roman" w:hAnsi="Times New Roman" w:cs="Times New Roman" w:eastAsia="Times New Roman" w:hint="default"/>
        </w:rPr>
        <w:t>10  </w:t>
      </w:r>
      <w:r>
        <w:rPr/>
        <w:t>股转增 </w:t>
      </w:r>
      <w:r>
        <w:rPr>
          <w:rFonts w:ascii="Times New Roman" w:hAnsi="Times New Roman" w:cs="Times New Roman" w:eastAsia="Times New Roman" w:hint="default"/>
        </w:rPr>
        <w:t>4.962948</w:t>
      </w:r>
      <w:r>
        <w:rPr>
          <w:rFonts w:ascii="Times New Roman" w:hAnsi="Times New Roman" w:cs="Times New Roman" w:eastAsia="Times New Roman" w:hint="default"/>
          <w:spacing w:val="33"/>
        </w:rPr>
        <w:t> </w:t>
      </w:r>
      <w:r>
        <w:rPr/>
        <w:t>股，并于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日实施完毕。</w:t>
      </w:r>
    </w:p>
    <w:p>
      <w:pPr>
        <w:pStyle w:val="BodyText"/>
        <w:spacing w:line="240" w:lineRule="auto" w:before="63"/>
        <w:ind w:left="472" w:right="0"/>
        <w:jc w:val="left"/>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2018</w:t>
      </w:r>
      <w:r>
        <w:rPr/>
        <w:t>年第二次临时股东大会审议通过《关于回购注销</w:t>
      </w:r>
      <w:r>
        <w:rPr>
          <w:spacing w:val="-42"/>
        </w:rPr>
        <w:t> </w:t>
      </w:r>
      <w:r>
        <w:rPr>
          <w:rFonts w:ascii="Times New Roman" w:hAnsi="Times New Roman" w:cs="Times New Roman" w:eastAsia="Times New Roman" w:hint="default"/>
        </w:rPr>
        <w:t>2017 </w:t>
      </w:r>
      <w:r>
        <w:rPr/>
        <w:t>年股权激励计划部分首次授予限制性股票的议案》；</w:t>
      </w:r>
    </w:p>
    <w:p>
      <w:pPr>
        <w:pStyle w:val="BodyText"/>
        <w:spacing w:line="240" w:lineRule="auto" w:before="63"/>
        <w:ind w:right="0"/>
        <w:jc w:val="left"/>
        <w:rPr>
          <w:rFonts w:ascii="Times New Roman" w:hAnsi="Times New Roman" w:cs="Times New Roman" w:eastAsia="Times New Roman" w:hint="default"/>
        </w:rPr>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日公司</w:t>
      </w:r>
      <w:r>
        <w:rPr>
          <w:rFonts w:ascii="Times New Roman" w:hAnsi="Times New Roman" w:cs="Times New Roman" w:eastAsia="Times New Roman" w:hint="default"/>
        </w:rPr>
        <w:t>2018 </w:t>
      </w:r>
      <w:r>
        <w:rPr/>
        <w:t>年第四次临时股东大会，审议通过《关于变更公司注册资本的议案》 </w:t>
      </w:r>
      <w:r>
        <w:rPr>
          <w:spacing w:val="-3"/>
        </w:rPr>
        <w:t>，公司总股本由</w:t>
      </w:r>
      <w:r>
        <w:rPr>
          <w:spacing w:val="-28"/>
        </w:rPr>
        <w:t> </w:t>
      </w:r>
      <w:r>
        <w:rPr>
          <w:rFonts w:ascii="Times New Roman" w:hAnsi="Times New Roman" w:cs="Times New Roman" w:eastAsia="Times New Roman" w:hint="default"/>
        </w:rPr>
        <w:t>201,922,916</w:t>
      </w:r>
    </w:p>
    <w:p>
      <w:pPr>
        <w:pStyle w:val="BodyText"/>
        <w:spacing w:line="240" w:lineRule="auto" w:before="63"/>
        <w:ind w:right="0"/>
        <w:jc w:val="left"/>
      </w:pPr>
      <w:r>
        <w:rPr/>
        <w:t>股减少至</w:t>
      </w:r>
      <w:r>
        <w:rPr>
          <w:rFonts w:ascii="Times New Roman" w:hAnsi="Times New Roman" w:cs="Times New Roman" w:eastAsia="Times New Roman" w:hint="default"/>
        </w:rPr>
        <w:t>201,463,957</w:t>
      </w:r>
      <w:r>
        <w:rPr/>
        <w:t>股。</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BodyText"/>
        <w:spacing w:line="240" w:lineRule="auto"/>
        <w:ind w:right="0"/>
        <w:jc w:val="left"/>
      </w:pPr>
      <w:r>
        <w:rPr/>
        <w:t>股份变动的过户情况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left="472"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日，公司在中国证券登记结算有限责任公司深圳分公司完成</w:t>
      </w:r>
      <w:r>
        <w:rPr>
          <w:rFonts w:ascii="Times New Roman" w:hAnsi="Times New Roman" w:cs="Times New Roman" w:eastAsia="Times New Roman" w:hint="default"/>
        </w:rPr>
        <w:t>100</w:t>
      </w:r>
      <w:r>
        <w:rPr/>
        <w:t>万股预留限制性股票授予登记。</w:t>
      </w:r>
    </w:p>
    <w:p>
      <w:pPr>
        <w:pStyle w:val="BodyText"/>
        <w:spacing w:line="300" w:lineRule="auto" w:before="63"/>
        <w:ind w:right="1174" w:firstLine="36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日，公司收到中国证券登记结算有限责任公司深圳分公司《</w:t>
      </w:r>
      <w:r>
        <w:rPr>
          <w:rFonts w:ascii="Times New Roman" w:hAnsi="Times New Roman" w:cs="Times New Roman" w:eastAsia="Times New Roman" w:hint="default"/>
        </w:rPr>
        <w:t>A</w:t>
      </w:r>
      <w:r>
        <w:rPr/>
        <w:t>股权益分派结果反馈表》，公司</w:t>
      </w:r>
      <w:r>
        <w:rPr>
          <w:rFonts w:ascii="Times New Roman" w:hAnsi="Times New Roman" w:cs="Times New Roman" w:eastAsia="Times New Roman" w:hint="default"/>
        </w:rPr>
        <w:t>2017</w:t>
      </w:r>
      <w:r>
        <w:rPr/>
        <w:t>年年 度权益分派完成，本次送转股股份及现金红利到账日为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w:t>
      </w:r>
    </w:p>
    <w:p>
      <w:pPr>
        <w:pStyle w:val="BodyText"/>
        <w:spacing w:line="357" w:lineRule="auto" w:before="13"/>
        <w:ind w:right="3107" w:firstLine="360"/>
        <w:jc w:val="left"/>
      </w:pPr>
      <w:r>
        <w:rPr/>
        <w:t>3、2018</w:t>
      </w:r>
      <w:r>
        <w:rPr>
          <w:spacing w:val="-3"/>
        </w:rPr>
        <w:t> </w:t>
      </w:r>
      <w:r>
        <w:rPr/>
        <w:t>年8月27日，公司在中国证券登记结算有限责任公司深圳分公司完成回购注销登记。</w:t>
      </w:r>
      <w:r>
        <w:rPr/>
        <w:t> 股份回购的实施进展情况</w:t>
      </w:r>
    </w:p>
    <w:p>
      <w:pPr>
        <w:pStyle w:val="BodyText"/>
        <w:spacing w:line="340" w:lineRule="auto" w:before="29"/>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采用集中竞价方式减持回购股份的实施进展情况</w:t>
      </w:r>
    </w:p>
    <w:p>
      <w:pPr>
        <w:pStyle w:val="BodyText"/>
        <w:spacing w:line="340" w:lineRule="auto" w:before="39"/>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股份变动对最近一年和最近一期基本每股收益和稀释每股收益、归属于公司普通股股东的每股净资产等财务指标的影响</w:t>
      </w:r>
    </w:p>
    <w:p>
      <w:pPr>
        <w:pStyle w:val="BodyText"/>
        <w:spacing w:line="338" w:lineRule="auto" w:before="41"/>
        <w:ind w:left="472" w:right="185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报告期内，公司</w:t>
      </w:r>
      <w:r>
        <w:rPr>
          <w:rFonts w:ascii="Times New Roman" w:hAnsi="Times New Roman" w:cs="Times New Roman" w:eastAsia="Times New Roman" w:hint="default"/>
        </w:rPr>
        <w:t>2017</w:t>
      </w:r>
      <w:r>
        <w:rPr/>
        <w:t>年度利润分配及资本公积金转增股本方案实施后，公司的总股本由</w:t>
      </w:r>
      <w:r>
        <w:rPr>
          <w:rFonts w:ascii="Times New Roman" w:hAnsi="Times New Roman" w:cs="Times New Roman" w:eastAsia="Times New Roman" w:hint="default"/>
        </w:rPr>
        <w:t>134,948,619</w:t>
      </w:r>
      <w:r>
        <w:rPr>
          <w:rFonts w:ascii="Times New Roman" w:hAnsi="Times New Roman" w:cs="Times New Roman" w:eastAsia="Times New Roman" w:hint="default"/>
          <w:spacing w:val="39"/>
        </w:rPr>
        <w:t> </w:t>
      </w:r>
      <w:r>
        <w:rPr/>
        <w:t>股增加至</w:t>
      </w:r>
    </w:p>
    <w:p>
      <w:pPr>
        <w:pStyle w:val="BodyText"/>
        <w:spacing w:line="230" w:lineRule="exact"/>
        <w:ind w:right="0"/>
        <w:jc w:val="left"/>
      </w:pPr>
      <w:r>
        <w:rPr>
          <w:rFonts w:ascii="Times New Roman" w:hAnsi="Times New Roman" w:cs="Times New Roman" w:eastAsia="Times New Roman" w:hint="default"/>
        </w:rPr>
        <w:t>201,922,916  </w:t>
      </w:r>
      <w:r>
        <w:rPr/>
        <w:t>股。本次权益分派方案实施后，按新股本</w:t>
      </w:r>
      <w:r>
        <w:rPr>
          <w:rFonts w:ascii="Times New Roman" w:hAnsi="Times New Roman" w:cs="Times New Roman" w:eastAsia="Times New Roman" w:hint="default"/>
        </w:rPr>
        <w:t>201,922,916</w:t>
      </w:r>
      <w:r>
        <w:rPr>
          <w:rFonts w:ascii="Times New Roman" w:hAnsi="Times New Roman" w:cs="Times New Roman" w:eastAsia="Times New Roman" w:hint="default"/>
          <w:spacing w:val="31"/>
        </w:rPr>
        <w:t> </w:t>
      </w:r>
      <w:r>
        <w:rPr/>
        <w:t>股计算，</w:t>
      </w:r>
      <w:r>
        <w:rPr>
          <w:rFonts w:ascii="Times New Roman" w:hAnsi="Times New Roman" w:cs="Times New Roman" w:eastAsia="Times New Roman" w:hint="default"/>
        </w:rPr>
        <w:t>2017</w:t>
      </w:r>
      <w:r>
        <w:rPr/>
        <w:t>年基本每股净收益为</w:t>
      </w:r>
      <w:r>
        <w:rPr>
          <w:rFonts w:ascii="Times New Roman" w:hAnsi="Times New Roman" w:cs="Times New Roman" w:eastAsia="Times New Roman" w:hint="default"/>
        </w:rPr>
        <w:t>0.1985</w:t>
      </w:r>
      <w:r>
        <w:rPr/>
        <w:t>元。</w:t>
      </w:r>
    </w:p>
    <w:p>
      <w:pPr>
        <w:pStyle w:val="BodyText"/>
        <w:spacing w:line="240" w:lineRule="auto" w:before="103"/>
        <w:ind w:right="0"/>
        <w:jc w:val="left"/>
      </w:pPr>
      <w:r>
        <w:rPr/>
        <w:t>公司认为必要或证券监管机构要求披露的其他内容</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2、限售股份变动情况" w:id="108"/>
      <w:bookmarkEnd w:id="10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footerReference w:type="default" r:id="rId19"/>
          <w:pgSz w:w="11910" w:h="16840"/>
          <w:pgMar w:footer="978" w:header="746" w:top="1060" w:bottom="1160" w:left="1020" w:right="0"/>
          <w:pgNumType w:start="75"/>
        </w:sectPr>
      </w:pPr>
    </w:p>
    <w:p>
      <w:pPr>
        <w:spacing w:line="240" w:lineRule="auto" w:before="12"/>
        <w:rPr>
          <w:rFonts w:ascii="宋体" w:hAnsi="宋体" w:cs="宋体" w:eastAsia="宋体" w:hint="default"/>
          <w:sz w:val="25"/>
          <w:szCs w:val="25"/>
        </w:rPr>
      </w:pPr>
    </w:p>
    <w:p>
      <w:pPr>
        <w:pStyle w:val="BodyText"/>
        <w:spacing w:line="240" w:lineRule="auto" w:before="44"/>
        <w:ind w:left="0" w:right="1132"/>
        <w:jc w:val="right"/>
      </w:pPr>
      <w:r>
        <w:rPr/>
        <w:t>单位：股</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2"/>
        <w:gridCol w:w="1369"/>
        <w:gridCol w:w="1369"/>
        <w:gridCol w:w="1369"/>
        <w:gridCol w:w="1369"/>
        <w:gridCol w:w="1369"/>
        <w:gridCol w:w="1362"/>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89"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88" w:right="49"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358"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王安京作为公司</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股东，承诺自公</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司股票上市之日</w:t>
            </w:r>
          </w:p>
        </w:tc>
      </w:tr>
      <w:tr>
        <w:trPr>
          <w:trHeight w:val="316"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pacing w:val="-9"/>
                <w:sz w:val="18"/>
                <w:szCs w:val="18"/>
              </w:rPr>
              <w:t>个月内，不</w:t>
            </w:r>
          </w:p>
        </w:tc>
      </w:tr>
      <w:tr>
        <w:trPr>
          <w:trHeight w:val="1244"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40,379,803</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20,040,286</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60,420,089</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22" w:right="75"/>
              <w:jc w:val="both"/>
              <w:rPr>
                <w:rFonts w:ascii="宋体" w:hAnsi="宋体" w:cs="宋体" w:eastAsia="宋体" w:hint="default"/>
                <w:sz w:val="18"/>
                <w:szCs w:val="18"/>
              </w:rPr>
            </w:pPr>
            <w:r>
              <w:rPr>
                <w:rFonts w:ascii="宋体" w:hAnsi="宋体" w:cs="宋体" w:eastAsia="宋体" w:hint="default"/>
                <w:sz w:val="18"/>
                <w:szCs w:val="18"/>
              </w:rPr>
              <w:t>首发前限售股及 对应的资本公积 金转股</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3" w:right="66"/>
              <w:jc w:val="both"/>
              <w:rPr>
                <w:rFonts w:ascii="宋体" w:hAnsi="宋体" w:cs="宋体" w:eastAsia="宋体" w:hint="default"/>
                <w:sz w:val="18"/>
                <w:szCs w:val="18"/>
              </w:rPr>
            </w:pPr>
            <w:r>
              <w:rPr>
                <w:rFonts w:ascii="宋体" w:hAnsi="宋体" w:cs="宋体" w:eastAsia="宋体" w:hint="default"/>
                <w:sz w:val="18"/>
                <w:szCs w:val="18"/>
              </w:rPr>
              <w:t>转让或者委托他 人管理本人（本 企业）持有的公 司上市前已发行</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的股份。首发限</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售股拟解除限售</w:t>
            </w:r>
          </w:p>
        </w:tc>
      </w:tr>
      <w:tr>
        <w:trPr>
          <w:trHeight w:val="316"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日期为</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6</w:t>
            </w:r>
          </w:p>
        </w:tc>
      </w:tr>
      <w:tr>
        <w:trPr>
          <w:trHeight w:val="352"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7"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王安京作为科蓝</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盛合的普通合伙</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人，自公司股票</w:t>
            </w:r>
          </w:p>
        </w:tc>
      </w:tr>
      <w:tr>
        <w:trPr>
          <w:trHeight w:val="317"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上市之日起</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个</w:t>
            </w:r>
          </w:p>
        </w:tc>
      </w:tr>
      <w:tr>
        <w:trPr>
          <w:trHeight w:val="1243"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2" w:right="67"/>
              <w:jc w:val="left"/>
              <w:rPr>
                <w:rFonts w:ascii="宋体" w:hAnsi="宋体" w:cs="宋体" w:eastAsia="宋体" w:hint="default"/>
                <w:sz w:val="18"/>
                <w:szCs w:val="18"/>
              </w:rPr>
            </w:pPr>
            <w:r>
              <w:rPr>
                <w:rFonts w:ascii="宋体" w:hAnsi="宋体" w:cs="宋体" w:eastAsia="宋体" w:hint="default"/>
                <w:sz w:val="18"/>
                <w:szCs w:val="18"/>
              </w:rPr>
              <w:t>宁波科蓝盛合投 资管理合伙企业</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8,753,713</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4,344,422</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13,098,135</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2" w:right="75"/>
              <w:jc w:val="both"/>
              <w:rPr>
                <w:rFonts w:ascii="宋体" w:hAnsi="宋体" w:cs="宋体" w:eastAsia="宋体" w:hint="default"/>
                <w:sz w:val="18"/>
                <w:szCs w:val="18"/>
              </w:rPr>
            </w:pPr>
            <w:r>
              <w:rPr>
                <w:rFonts w:ascii="宋体" w:hAnsi="宋体" w:cs="宋体" w:eastAsia="宋体" w:hint="default"/>
                <w:sz w:val="18"/>
                <w:szCs w:val="18"/>
              </w:rPr>
              <w:t>首发前限售股及 对应的资本公积 金转股</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66"/>
              <w:jc w:val="both"/>
              <w:rPr>
                <w:rFonts w:ascii="宋体" w:hAnsi="宋体" w:cs="宋体" w:eastAsia="宋体" w:hint="default"/>
                <w:sz w:val="18"/>
                <w:szCs w:val="18"/>
              </w:rPr>
            </w:pPr>
            <w:r>
              <w:rPr>
                <w:rFonts w:ascii="宋体" w:hAnsi="宋体" w:cs="宋体" w:eastAsia="宋体" w:hint="default"/>
                <w:sz w:val="18"/>
                <w:szCs w:val="18"/>
              </w:rPr>
              <w:t>月内，不转让其 所持有的出资份 额。科蓝盛合与 王安京为一致行</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动人。首发限售</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股拟解除限售日</w:t>
            </w:r>
          </w:p>
        </w:tc>
      </w:tr>
      <w:tr>
        <w:trPr>
          <w:trHeight w:val="317"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期为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p>
        </w:tc>
      </w:tr>
      <w:tr>
        <w:trPr>
          <w:trHeight w:val="352"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8"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r>
        <w:trPr>
          <w:trHeight w:val="316"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日起，满 </w:t>
            </w:r>
            <w:r>
              <w:rPr>
                <w:rFonts w:ascii="Times New Roman" w:hAnsi="Times New Roman" w:cs="Times New Roman" w:eastAsia="Times New Roman" w:hint="default"/>
                <w:sz w:val="18"/>
                <w:szCs w:val="18"/>
              </w:rPr>
              <w:t>12</w:t>
            </w:r>
          </w:p>
        </w:tc>
      </w:tr>
      <w:tr>
        <w:trPr>
          <w:trHeight w:val="308"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个月后，满足解</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锁条件的可以在</w:t>
            </w:r>
          </w:p>
        </w:tc>
      </w:tr>
      <w:tr>
        <w:trPr>
          <w:trHeight w:val="316"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个月内按</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林建军</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705,000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244,399</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949,399</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及对应的资本公</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积金转股</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的比</w:t>
            </w:r>
          </w:p>
        </w:tc>
      </w:tr>
      <w:tr>
        <w:trPr>
          <w:trHeight w:val="308"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例分四期解锁。</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解锁后的股份再</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按照高管锁定股</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的规定解除限</w:t>
            </w:r>
          </w:p>
        </w:tc>
      </w:tr>
      <w:tr>
        <w:trPr>
          <w:trHeight w:val="356"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售。</w:t>
            </w:r>
          </w:p>
        </w:tc>
      </w:tr>
      <w:tr>
        <w:trPr>
          <w:trHeight w:val="367"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r>
        <w:trPr>
          <w:trHeight w:val="317"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李焕楠</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2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19"/>
              <w:jc w:val="right"/>
              <w:rPr>
                <w:rFonts w:ascii="Times New Roman" w:hAnsi="Times New Roman" w:cs="Times New Roman" w:eastAsia="Times New Roman" w:hint="default"/>
                <w:sz w:val="18"/>
                <w:szCs w:val="18"/>
              </w:rPr>
            </w:pPr>
            <w:r>
              <w:rPr>
                <w:rFonts w:ascii="Times New Roman"/>
                <w:spacing w:val="-1"/>
                <w:sz w:val="18"/>
              </w:rPr>
              <w:t>299,259</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right="20"/>
              <w:jc w:val="right"/>
              <w:rPr>
                <w:rFonts w:ascii="Times New Roman" w:hAnsi="Times New Roman" w:cs="Times New Roman" w:eastAsia="Times New Roman" w:hint="default"/>
                <w:sz w:val="18"/>
                <w:szCs w:val="18"/>
              </w:rPr>
            </w:pPr>
            <w:r>
              <w:rPr>
                <w:rFonts w:ascii="Times New Roman"/>
                <w:spacing w:val="-1"/>
                <w:sz w:val="18"/>
              </w:rPr>
              <w:t>299,259</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及对应的资本公</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w:t>
            </w:r>
          </w:p>
        </w:tc>
      </w:tr>
      <w:tr>
        <w:trPr>
          <w:trHeight w:val="340"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积金转股</w:t>
            </w: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pacing w:val="-12"/>
                <w:sz w:val="18"/>
                <w:szCs w:val="18"/>
              </w:rPr>
              <w:t>日起，满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362"/>
        <w:gridCol w:w="1369"/>
        <w:gridCol w:w="1369"/>
        <w:gridCol w:w="1369"/>
        <w:gridCol w:w="1369"/>
        <w:gridCol w:w="1369"/>
        <w:gridCol w:w="1362"/>
      </w:tblGrid>
      <w:tr>
        <w:trPr>
          <w:trHeight w:val="318" w:hRule="exact"/>
        </w:trPr>
        <w:tc>
          <w:tcPr>
            <w:tcW w:w="1362" w:type="dxa"/>
            <w:vMerge w:val="restart"/>
            <w:tcBorders>
              <w:top w:val="single" w:sz="4" w:space="0" w:color="000000"/>
              <w:left w:val="single" w:sz="4" w:space="0" w:color="000000"/>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后，满足解锁条</w:t>
            </w:r>
          </w:p>
        </w:tc>
      </w:tr>
      <w:tr>
        <w:trPr>
          <w:trHeight w:val="312" w:hRule="exact"/>
        </w:trPr>
        <w:tc>
          <w:tcPr>
            <w:tcW w:w="1362"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件的可以在未来</w:t>
            </w:r>
          </w:p>
        </w:tc>
      </w:tr>
      <w:tr>
        <w:trPr>
          <w:trHeight w:val="316" w:hRule="exact"/>
        </w:trPr>
        <w:tc>
          <w:tcPr>
            <w:tcW w:w="1362"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个月内按</w:t>
            </w:r>
          </w:p>
        </w:tc>
      </w:tr>
      <w:tr>
        <w:trPr>
          <w:trHeight w:val="312" w:hRule="exact"/>
        </w:trPr>
        <w:tc>
          <w:tcPr>
            <w:tcW w:w="1362"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20%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50%</w:t>
            </w:r>
          </w:p>
        </w:tc>
      </w:tr>
      <w:tr>
        <w:trPr>
          <w:trHeight w:val="308" w:hRule="exact"/>
        </w:trPr>
        <w:tc>
          <w:tcPr>
            <w:tcW w:w="1362"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的比例分三期解</w:t>
            </w:r>
          </w:p>
        </w:tc>
      </w:tr>
      <w:tr>
        <w:trPr>
          <w:trHeight w:val="356" w:hRule="exact"/>
        </w:trPr>
        <w:tc>
          <w:tcPr>
            <w:tcW w:w="1362"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锁。</w:t>
            </w:r>
          </w:p>
        </w:tc>
      </w:tr>
      <w:tr>
        <w:trPr>
          <w:trHeight w:val="357"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r>
        <w:trPr>
          <w:trHeight w:val="317"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12"/>
                <w:sz w:val="18"/>
                <w:szCs w:val="18"/>
              </w:rPr>
              <w:t>日起，满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r>
      <w:tr>
        <w:trPr>
          <w:trHeight w:val="307"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后，满足解锁条</w:t>
            </w:r>
          </w:p>
        </w:tc>
      </w:tr>
      <w:tr>
        <w:trPr>
          <w:trHeight w:val="317"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魏祥</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299,259</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299,259</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及对应的资本公</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件的可以在未来</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积金转股</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个月内按</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20%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50%</w:t>
            </w:r>
          </w:p>
        </w:tc>
      </w:tr>
      <w:tr>
        <w:trPr>
          <w:trHeight w:val="307"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的比例分三期解</w:t>
            </w:r>
          </w:p>
        </w:tc>
      </w:tr>
      <w:tr>
        <w:trPr>
          <w:trHeight w:val="357"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锁。</w:t>
            </w:r>
          </w:p>
        </w:tc>
      </w:tr>
      <w:tr>
        <w:trPr>
          <w:trHeight w:val="358"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中，首次授予的</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限制性股票自</w:t>
            </w:r>
          </w:p>
        </w:tc>
      </w:tr>
      <w:tr>
        <w:trPr>
          <w:trHeight w:val="316"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日起，满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个</w:t>
            </w:r>
          </w:p>
        </w:tc>
      </w:tr>
      <w:tr>
        <w:trPr>
          <w:trHeight w:val="308"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月后，满足解锁</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条件的可以在未</w:t>
            </w:r>
          </w:p>
        </w:tc>
      </w:tr>
      <w:tr>
        <w:trPr>
          <w:trHeight w:val="316"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个月内按</w:t>
            </w:r>
          </w:p>
        </w:tc>
      </w:tr>
      <w:tr>
        <w:trPr>
          <w:trHeight w:val="1244"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吕方</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110,000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187,763</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297,763</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75"/>
              <w:jc w:val="both"/>
              <w:rPr>
                <w:rFonts w:ascii="宋体" w:hAnsi="宋体" w:cs="宋体" w:eastAsia="宋体" w:hint="default"/>
                <w:sz w:val="18"/>
                <w:szCs w:val="18"/>
              </w:rPr>
            </w:pPr>
            <w:r>
              <w:rPr>
                <w:rFonts w:ascii="宋体" w:hAnsi="宋体" w:cs="宋体" w:eastAsia="宋体" w:hint="default"/>
                <w:sz w:val="18"/>
                <w:szCs w:val="18"/>
              </w:rPr>
              <w:t>股权激励限售股 及对应的资本公 积金转股</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p>
            <w:pPr>
              <w:pStyle w:val="TableParagraph"/>
              <w:spacing w:line="309" w:lineRule="auto" w:before="63"/>
              <w:ind w:left="23" w:right="37"/>
              <w:jc w:val="both"/>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的比 例分四期解锁； 预留部分限制性</w:t>
            </w:r>
          </w:p>
        </w:tc>
      </w:tr>
      <w:tr>
        <w:trPr>
          <w:trHeight w:val="316"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股票自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r>
              <w:rPr>
                <w:rFonts w:ascii="宋体" w:hAnsi="宋体" w:cs="宋体" w:eastAsia="宋体" w:hint="default"/>
                <w:spacing w:val="-89"/>
                <w:sz w:val="18"/>
                <w:szCs w:val="18"/>
              </w:rPr>
              <w:t>，</w:t>
            </w:r>
            <w:r>
              <w:rPr>
                <w:rFonts w:ascii="宋体" w:hAnsi="宋体" w:cs="宋体" w:eastAsia="宋体" w:hint="default"/>
                <w:sz w:val="18"/>
                <w:szCs w:val="18"/>
              </w:rPr>
              <w:t>满</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p>
        </w:tc>
      </w:tr>
      <w:tr>
        <w:trPr>
          <w:trHeight w:val="308"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个月后，满足解</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锁条件的可以在</w:t>
            </w:r>
          </w:p>
        </w:tc>
      </w:tr>
      <w:tr>
        <w:trPr>
          <w:trHeight w:val="316"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个月内按</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20%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50%</w:t>
            </w:r>
          </w:p>
        </w:tc>
      </w:tr>
      <w:tr>
        <w:trPr>
          <w:trHeight w:val="308"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的比例分三期解</w:t>
            </w:r>
          </w:p>
        </w:tc>
      </w:tr>
      <w:tr>
        <w:trPr>
          <w:trHeight w:val="356"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锁。</w:t>
            </w:r>
          </w:p>
        </w:tc>
      </w:tr>
      <w:tr>
        <w:trPr>
          <w:trHeight w:val="357"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r>
        <w:trPr>
          <w:trHeight w:val="317"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w:t>
            </w:r>
          </w:p>
        </w:tc>
      </w:tr>
      <w:tr>
        <w:trPr>
          <w:trHeight w:val="1248"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王双利</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188,533</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188,533</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316" w:lineRule="auto" w:before="142"/>
              <w:ind w:left="22" w:right="75"/>
              <w:jc w:val="both"/>
              <w:rPr>
                <w:rFonts w:ascii="宋体" w:hAnsi="宋体" w:cs="宋体" w:eastAsia="宋体" w:hint="default"/>
                <w:sz w:val="18"/>
                <w:szCs w:val="18"/>
              </w:rPr>
            </w:pPr>
            <w:r>
              <w:rPr>
                <w:rFonts w:ascii="宋体" w:hAnsi="宋体" w:cs="宋体" w:eastAsia="宋体" w:hint="default"/>
                <w:sz w:val="18"/>
                <w:szCs w:val="18"/>
              </w:rPr>
              <w:t>股权激励限售股 及对应的资本公 积金转股</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312" w:lineRule="auto" w:before="5"/>
              <w:ind w:left="23" w:right="21"/>
              <w:jc w:val="both"/>
              <w:rPr>
                <w:rFonts w:ascii="宋体" w:hAnsi="宋体" w:cs="宋体" w:eastAsia="宋体" w:hint="default"/>
                <w:sz w:val="18"/>
                <w:szCs w:val="18"/>
              </w:rPr>
            </w:pPr>
            <w:r>
              <w:rPr>
                <w:rFonts w:ascii="宋体" w:hAnsi="宋体" w:cs="宋体" w:eastAsia="宋体" w:hint="default"/>
                <w:spacing w:val="-12"/>
                <w:sz w:val="18"/>
                <w:szCs w:val="18"/>
              </w:rPr>
              <w:t>日起，满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 后，满足解锁条 件的可以在未来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个月内按</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0"/>
                <w:sz w:val="18"/>
                <w:szCs w:val="18"/>
              </w:rPr>
              <w:t>20%</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30%</w:t>
            </w:r>
            <w:r>
              <w:rPr>
                <w:rFonts w:ascii="宋体" w:hAnsi="宋体" w:cs="宋体" w:eastAsia="宋体" w:hint="default"/>
                <w:spacing w:val="-10"/>
                <w:sz w:val="18"/>
                <w:szCs w:val="18"/>
              </w:rPr>
              <w:t>、</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50%</w:t>
            </w:r>
          </w:p>
        </w:tc>
      </w:tr>
      <w:tr>
        <w:trPr>
          <w:trHeight w:val="310"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的比例分三期解</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362"/>
        <w:gridCol w:w="1369"/>
        <w:gridCol w:w="1369"/>
        <w:gridCol w:w="1369"/>
        <w:gridCol w:w="1369"/>
        <w:gridCol w:w="1369"/>
        <w:gridCol w:w="1362"/>
      </w:tblGrid>
      <w:tr>
        <w:trPr>
          <w:trHeight w:val="362" w:hRule="exact"/>
        </w:trPr>
        <w:tc>
          <w:tcPr>
            <w:tcW w:w="136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锁。</w:t>
            </w:r>
          </w:p>
        </w:tc>
      </w:tr>
      <w:tr>
        <w:trPr>
          <w:trHeight w:val="357"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r>
        <w:trPr>
          <w:trHeight w:val="317"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r>
      <w:tr>
        <w:trPr>
          <w:trHeight w:val="307"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个月后，满足解</w:t>
            </w:r>
          </w:p>
        </w:tc>
      </w:tr>
      <w:tr>
        <w:trPr>
          <w:trHeight w:val="317"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傅斌</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130,000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45,066</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175,066</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及对应的资本公</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锁条件的可以在</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积金转股</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个月内按</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的比</w:t>
            </w:r>
          </w:p>
        </w:tc>
      </w:tr>
      <w:tr>
        <w:trPr>
          <w:trHeight w:val="352"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例分四期解锁。</w:t>
            </w:r>
          </w:p>
        </w:tc>
      </w:tr>
      <w:tr>
        <w:trPr>
          <w:trHeight w:val="358"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r>
        <w:trPr>
          <w:trHeight w:val="316"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r>
      <w:tr>
        <w:trPr>
          <w:trHeight w:val="308"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个月后，满足解</w:t>
            </w:r>
          </w:p>
        </w:tc>
      </w:tr>
      <w:tr>
        <w:trPr>
          <w:trHeight w:val="316"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刘先庆</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90,000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31,200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121,200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及对应的资本公</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锁条件的可以在</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积金转股</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个月内按</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的比</w:t>
            </w:r>
          </w:p>
        </w:tc>
      </w:tr>
      <w:tr>
        <w:trPr>
          <w:trHeight w:val="352"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例分四期解锁。</w:t>
            </w:r>
          </w:p>
        </w:tc>
      </w:tr>
      <w:tr>
        <w:trPr>
          <w:trHeight w:val="357"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中，首次授予的</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限制性股票自</w:t>
            </w:r>
          </w:p>
        </w:tc>
      </w:tr>
      <w:tr>
        <w:trPr>
          <w:trHeight w:val="317"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日起，满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个</w:t>
            </w:r>
          </w:p>
        </w:tc>
      </w:tr>
      <w:tr>
        <w:trPr>
          <w:trHeight w:val="307"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月后，满足解锁</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条件的可以在未</w:t>
            </w:r>
          </w:p>
        </w:tc>
      </w:tr>
      <w:tr>
        <w:trPr>
          <w:trHeight w:val="317"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个月内按</w:t>
            </w:r>
          </w:p>
        </w:tc>
      </w:tr>
      <w:tr>
        <w:trPr>
          <w:trHeight w:val="1243"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段鹏宇</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81,748</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101,748</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2" w:right="75"/>
              <w:jc w:val="both"/>
              <w:rPr>
                <w:rFonts w:ascii="宋体" w:hAnsi="宋体" w:cs="宋体" w:eastAsia="宋体" w:hint="default"/>
                <w:sz w:val="18"/>
                <w:szCs w:val="18"/>
              </w:rPr>
            </w:pPr>
            <w:r>
              <w:rPr>
                <w:rFonts w:ascii="宋体" w:hAnsi="宋体" w:cs="宋体" w:eastAsia="宋体" w:hint="default"/>
                <w:sz w:val="18"/>
                <w:szCs w:val="18"/>
              </w:rPr>
              <w:t>股权激励限售股 及对应的资本公 积金转股</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p>
            <w:pPr>
              <w:pStyle w:val="TableParagraph"/>
              <w:spacing w:line="309" w:lineRule="auto" w:before="63"/>
              <w:ind w:left="23" w:right="37"/>
              <w:jc w:val="both"/>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的比 例分四期解锁； 预留部分限制性</w:t>
            </w:r>
          </w:p>
        </w:tc>
      </w:tr>
      <w:tr>
        <w:trPr>
          <w:trHeight w:val="317"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股票自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r>
              <w:rPr>
                <w:rFonts w:ascii="宋体" w:hAnsi="宋体" w:cs="宋体" w:eastAsia="宋体" w:hint="default"/>
                <w:spacing w:val="-89"/>
                <w:sz w:val="18"/>
                <w:szCs w:val="18"/>
              </w:rPr>
              <w:t>，</w:t>
            </w:r>
            <w:r>
              <w:rPr>
                <w:rFonts w:ascii="宋体" w:hAnsi="宋体" w:cs="宋体" w:eastAsia="宋体" w:hint="default"/>
                <w:sz w:val="18"/>
                <w:szCs w:val="18"/>
              </w:rPr>
              <w:t>满</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p>
        </w:tc>
      </w:tr>
      <w:tr>
        <w:trPr>
          <w:trHeight w:val="307"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个月后，满足解</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锁条件的可以在</w:t>
            </w:r>
          </w:p>
        </w:tc>
      </w:tr>
      <w:tr>
        <w:trPr>
          <w:trHeight w:val="317"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个月内按</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20%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50%</w:t>
            </w:r>
          </w:p>
        </w:tc>
      </w:tr>
      <w:tr>
        <w:trPr>
          <w:trHeight w:val="307"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的比例分三期解</w:t>
            </w:r>
          </w:p>
        </w:tc>
      </w:tr>
      <w:tr>
        <w:trPr>
          <w:trHeight w:val="357"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锁。</w:t>
            </w:r>
          </w:p>
        </w:tc>
      </w:tr>
      <w:tr>
        <w:trPr>
          <w:trHeight w:val="425"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r>
        <w:trPr>
          <w:trHeight w:val="624"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其他限售股股东</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50,900,103</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73,966,645</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25,445,156</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pacing w:val="-1"/>
                <w:sz w:val="18"/>
              </w:rPr>
              <w:t>2,378,614</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310" w:lineRule="atLeast" w:before="3"/>
              <w:ind w:left="22" w:right="75"/>
              <w:jc w:val="left"/>
              <w:rPr>
                <w:rFonts w:ascii="宋体" w:hAnsi="宋体" w:cs="宋体" w:eastAsia="宋体" w:hint="default"/>
                <w:sz w:val="18"/>
                <w:szCs w:val="18"/>
              </w:rPr>
            </w:pPr>
            <w:r>
              <w:rPr>
                <w:rFonts w:ascii="宋体" w:hAnsi="宋体" w:cs="宋体" w:eastAsia="宋体" w:hint="default"/>
                <w:sz w:val="18"/>
                <w:szCs w:val="18"/>
              </w:rPr>
              <w:t>及对应的资本公 积金转股</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中，首次授予的</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限制性股票自</w:t>
            </w:r>
          </w:p>
        </w:tc>
      </w:tr>
      <w:tr>
        <w:trPr>
          <w:trHeight w:val="247"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192"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r>
    </w:tbl>
    <w:p>
      <w:pPr>
        <w:spacing w:after="0" w:line="192" w:lineRule="exact"/>
        <w:jc w:val="lef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362"/>
        <w:gridCol w:w="1369"/>
        <w:gridCol w:w="1369"/>
        <w:gridCol w:w="1369"/>
        <w:gridCol w:w="1369"/>
        <w:gridCol w:w="1369"/>
        <w:gridCol w:w="1362"/>
      </w:tblGrid>
      <w:tr>
        <w:trPr>
          <w:trHeight w:val="322" w:hRule="exact"/>
        </w:trPr>
        <w:tc>
          <w:tcPr>
            <w:tcW w:w="1362" w:type="dxa"/>
            <w:vMerge w:val="restart"/>
            <w:tcBorders>
              <w:top w:val="single" w:sz="4" w:space="0" w:color="000000"/>
              <w:left w:val="single" w:sz="4" w:space="0" w:color="000000"/>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日起，满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个</w:t>
            </w:r>
          </w:p>
        </w:tc>
      </w:tr>
      <w:tr>
        <w:trPr>
          <w:trHeight w:val="308" w:hRule="exact"/>
        </w:trPr>
        <w:tc>
          <w:tcPr>
            <w:tcW w:w="1362"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月后，满足解锁</w:t>
            </w:r>
          </w:p>
        </w:tc>
      </w:tr>
      <w:tr>
        <w:trPr>
          <w:trHeight w:val="312" w:hRule="exact"/>
        </w:trPr>
        <w:tc>
          <w:tcPr>
            <w:tcW w:w="1362"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条件的可以在未</w:t>
            </w:r>
          </w:p>
        </w:tc>
      </w:tr>
      <w:tr>
        <w:trPr>
          <w:trHeight w:val="316" w:hRule="exact"/>
        </w:trPr>
        <w:tc>
          <w:tcPr>
            <w:tcW w:w="1362"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个月内按</w:t>
            </w:r>
          </w:p>
        </w:tc>
      </w:tr>
      <w:tr>
        <w:trPr>
          <w:trHeight w:val="312" w:hRule="exact"/>
        </w:trPr>
        <w:tc>
          <w:tcPr>
            <w:tcW w:w="1362"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312" w:hRule="exact"/>
        </w:trPr>
        <w:tc>
          <w:tcPr>
            <w:tcW w:w="1362"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的比</w:t>
            </w:r>
          </w:p>
        </w:tc>
      </w:tr>
      <w:tr>
        <w:trPr>
          <w:trHeight w:val="308" w:hRule="exact"/>
        </w:trPr>
        <w:tc>
          <w:tcPr>
            <w:tcW w:w="1362"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例分四期解锁；</w:t>
            </w:r>
          </w:p>
        </w:tc>
      </w:tr>
      <w:tr>
        <w:trPr>
          <w:trHeight w:val="312" w:hRule="exact"/>
        </w:trPr>
        <w:tc>
          <w:tcPr>
            <w:tcW w:w="1362"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预留部分限制性</w:t>
            </w:r>
          </w:p>
        </w:tc>
      </w:tr>
      <w:tr>
        <w:trPr>
          <w:trHeight w:val="316" w:hRule="exact"/>
        </w:trPr>
        <w:tc>
          <w:tcPr>
            <w:tcW w:w="1362"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股票自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r>
      <w:tr>
        <w:trPr>
          <w:trHeight w:val="312" w:hRule="exact"/>
        </w:trPr>
        <w:tc>
          <w:tcPr>
            <w:tcW w:w="1362"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r>
              <w:rPr>
                <w:rFonts w:ascii="宋体" w:hAnsi="宋体" w:cs="宋体" w:eastAsia="宋体" w:hint="default"/>
                <w:spacing w:val="-89"/>
                <w:sz w:val="18"/>
                <w:szCs w:val="18"/>
              </w:rPr>
              <w:t>，</w:t>
            </w:r>
            <w:r>
              <w:rPr>
                <w:rFonts w:ascii="宋体" w:hAnsi="宋体" w:cs="宋体" w:eastAsia="宋体" w:hint="default"/>
                <w:sz w:val="18"/>
                <w:szCs w:val="18"/>
              </w:rPr>
              <w:t>满</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p>
        </w:tc>
      </w:tr>
      <w:tr>
        <w:trPr>
          <w:trHeight w:val="308" w:hRule="exact"/>
        </w:trPr>
        <w:tc>
          <w:tcPr>
            <w:tcW w:w="1362"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个月后，满足解</w:t>
            </w:r>
          </w:p>
        </w:tc>
      </w:tr>
      <w:tr>
        <w:trPr>
          <w:trHeight w:val="312" w:hRule="exact"/>
        </w:trPr>
        <w:tc>
          <w:tcPr>
            <w:tcW w:w="1362"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锁条件的可以在</w:t>
            </w:r>
          </w:p>
        </w:tc>
      </w:tr>
      <w:tr>
        <w:trPr>
          <w:trHeight w:val="316" w:hRule="exact"/>
        </w:trPr>
        <w:tc>
          <w:tcPr>
            <w:tcW w:w="1362"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个月内按</w:t>
            </w:r>
          </w:p>
        </w:tc>
      </w:tr>
      <w:tr>
        <w:trPr>
          <w:trHeight w:val="312" w:hRule="exact"/>
        </w:trPr>
        <w:tc>
          <w:tcPr>
            <w:tcW w:w="1362"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0"/>
                <w:sz w:val="18"/>
                <w:szCs w:val="18"/>
              </w:rPr>
              <w:t>20%</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30%</w:t>
            </w:r>
            <w:r>
              <w:rPr>
                <w:rFonts w:ascii="宋体" w:hAnsi="宋体" w:cs="宋体" w:eastAsia="宋体" w:hint="default"/>
                <w:spacing w:val="-10"/>
                <w:sz w:val="18"/>
                <w:szCs w:val="18"/>
              </w:rPr>
              <w:t>、</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50%</w:t>
            </w:r>
          </w:p>
        </w:tc>
      </w:tr>
      <w:tr>
        <w:trPr>
          <w:trHeight w:val="308" w:hRule="exact"/>
        </w:trPr>
        <w:tc>
          <w:tcPr>
            <w:tcW w:w="1362"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9" w:type="dxa"/>
            <w:vMerge/>
            <w:tcBorders>
              <w:left w:val="single" w:sz="4" w:space="0" w:color="000000"/>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的比例分三期解</w:t>
            </w:r>
          </w:p>
        </w:tc>
      </w:tr>
      <w:tr>
        <w:trPr>
          <w:trHeight w:val="356" w:hRule="exact"/>
        </w:trPr>
        <w:tc>
          <w:tcPr>
            <w:tcW w:w="1362"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锁。</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6" w:right="0"/>
              <w:jc w:val="left"/>
              <w:rPr>
                <w:rFonts w:ascii="Times New Roman" w:hAnsi="Times New Roman" w:cs="Times New Roman" w:eastAsia="Times New Roman" w:hint="default"/>
                <w:sz w:val="18"/>
                <w:szCs w:val="18"/>
              </w:rPr>
            </w:pPr>
            <w:r>
              <w:rPr>
                <w:rFonts w:ascii="Times New Roman"/>
                <w:sz w:val="18"/>
              </w:rPr>
              <w:t>101,088,619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73,966,645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51,207,091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5" w:right="0"/>
              <w:jc w:val="left"/>
              <w:rPr>
                <w:rFonts w:ascii="Times New Roman" w:hAnsi="Times New Roman" w:cs="Times New Roman" w:eastAsia="Times New Roman" w:hint="default"/>
                <w:sz w:val="18"/>
                <w:szCs w:val="18"/>
              </w:rPr>
            </w:pPr>
            <w:r>
              <w:rPr>
                <w:rFonts w:ascii="Times New Roman"/>
                <w:sz w:val="18"/>
              </w:rPr>
              <w:t>78,329,065</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Times New Roman" w:hAnsi="Times New Roman" w:cs="Times New Roman" w:eastAsia="Times New Roman" w:hint="default"/>
          <w:sz w:val="20"/>
          <w:szCs w:val="20"/>
        </w:rPr>
      </w:pPr>
    </w:p>
    <w:p>
      <w:pPr>
        <w:pStyle w:val="Heading4"/>
        <w:spacing w:line="240" w:lineRule="auto" w:before="26"/>
        <w:ind w:right="0"/>
        <w:jc w:val="left"/>
        <w:rPr>
          <w:b w:val="0"/>
          <w:bCs w:val="0"/>
        </w:rPr>
      </w:pPr>
      <w:bookmarkStart w:name="二、证券发行与上市情况" w:id="109"/>
      <w:bookmarkEnd w:id="109"/>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报告期内证券发行（不含优先股）情况" w:id="110"/>
      <w:bookmarkEnd w:id="110"/>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412"/>
        <w:gridCol w:w="1293"/>
        <w:gridCol w:w="1295"/>
        <w:gridCol w:w="1295"/>
        <w:gridCol w:w="1296"/>
        <w:gridCol w:w="1295"/>
        <w:gridCol w:w="1683"/>
      </w:tblGrid>
      <w:tr>
        <w:trPr>
          <w:trHeight w:val="714"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0" w:right="69"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1"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1" w:right="102"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13.90</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1,000,000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1,000,000</w:t>
            </w: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50"/>
        <w:ind w:right="0"/>
        <w:jc w:val="left"/>
      </w:pPr>
      <w:r>
        <w:rPr/>
        <w:t>报告期内证券发行（不含优先股）情况的说明</w:t>
      </w:r>
    </w:p>
    <w:p>
      <w:pPr>
        <w:pStyle w:val="BodyText"/>
        <w:spacing w:line="240" w:lineRule="auto" w:before="117"/>
        <w:ind w:left="472" w:right="0"/>
        <w:jc w:val="left"/>
        <w:rPr>
          <w:rFonts w:ascii="Times New Roman" w:hAnsi="Times New Roman" w:cs="Times New Roman" w:eastAsia="Times New Roman" w:hint="default"/>
        </w:rPr>
      </w:pP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w:t>
      </w:r>
      <w:r>
        <w:rPr>
          <w:spacing w:val="-4"/>
        </w:rPr>
        <w:t>日，公司第二届董事会第十二次会议审议通过《关于向激励对象授予预留限制性股票的议案》，同意以</w:t>
      </w:r>
      <w:r>
        <w:rPr>
          <w:spacing w:val="34"/>
        </w:rPr>
        <w:t> </w:t>
      </w:r>
      <w:r>
        <w:rPr>
          <w:rFonts w:ascii="Times New Roman" w:hAnsi="Times New Roman" w:cs="Times New Roman" w:eastAsia="Times New Roman" w:hint="default"/>
        </w:rPr>
        <w:t>2018</w:t>
      </w:r>
    </w:p>
    <w:p>
      <w:pPr>
        <w:pStyle w:val="BodyText"/>
        <w:spacing w:line="240" w:lineRule="auto" w:before="63"/>
        <w:ind w:right="0"/>
        <w:jc w:val="left"/>
        <w:rPr>
          <w:rFonts w:ascii="Times New Roman" w:hAnsi="Times New Roman" w:cs="Times New Roman" w:eastAsia="Times New Roman" w:hint="default"/>
        </w:rPr>
      </w:pPr>
      <w:r>
        <w:rPr/>
        <w:t>年 </w:t>
      </w:r>
      <w:r>
        <w:rPr>
          <w:rFonts w:ascii="Times New Roman" w:hAnsi="Times New Roman" w:cs="Times New Roman" w:eastAsia="Times New Roman" w:hint="default"/>
        </w:rPr>
        <w:t>3</w:t>
      </w:r>
      <w:r>
        <w:rPr/>
        <w:t>月 </w:t>
      </w:r>
      <w:r>
        <w:rPr>
          <w:rFonts w:ascii="Times New Roman" w:hAnsi="Times New Roman" w:cs="Times New Roman" w:eastAsia="Times New Roman" w:hint="default"/>
        </w:rPr>
        <w:t>2  </w:t>
      </w:r>
      <w:r>
        <w:rPr/>
        <w:t>日为授予日向 </w:t>
      </w:r>
      <w:r>
        <w:rPr>
          <w:rFonts w:ascii="Times New Roman" w:hAnsi="Times New Roman" w:cs="Times New Roman" w:eastAsia="Times New Roman" w:hint="default"/>
        </w:rPr>
        <w:t>50  </w:t>
      </w:r>
      <w:r>
        <w:rPr/>
        <w:t>名激励对象授予 </w:t>
      </w:r>
      <w:r>
        <w:rPr>
          <w:rFonts w:ascii="Times New Roman" w:hAnsi="Times New Roman" w:cs="Times New Roman" w:eastAsia="Times New Roman" w:hint="default"/>
        </w:rPr>
        <w:t>100  </w:t>
      </w:r>
      <w:r>
        <w:rPr>
          <w:spacing w:val="-3"/>
        </w:rPr>
        <w:t>万股限制性股票，授予价格为</w:t>
      </w:r>
      <w:r>
        <w:rPr>
          <w:rFonts w:ascii="Times New Roman" w:hAnsi="Times New Roman" w:cs="Times New Roman" w:eastAsia="Times New Roman" w:hint="default"/>
          <w:spacing w:val="-3"/>
        </w:rPr>
        <w:t>13.90</w:t>
      </w:r>
      <w:r>
        <w:rPr>
          <w:spacing w:val="-3"/>
        </w:rPr>
        <w:t>元</w:t>
      </w:r>
      <w:r>
        <w:rPr>
          <w:rFonts w:ascii="Times New Roman" w:hAnsi="Times New Roman" w:cs="Times New Roman" w:eastAsia="Times New Roman" w:hint="default"/>
          <w:spacing w:val="-3"/>
        </w:rPr>
        <w:t>/</w:t>
      </w:r>
      <w:r>
        <w:rPr>
          <w:spacing w:val="-3"/>
        </w:rPr>
        <w:t>股。</w:t>
      </w:r>
      <w:r>
        <w:rPr>
          <w:spacing w:val="-46"/>
        </w:rPr>
        <w:t> </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20</w:t>
      </w:r>
      <w:r>
        <w:rPr>
          <w:spacing w:val="-4"/>
        </w:rPr>
        <w:t>日，公司完成</w:t>
      </w:r>
      <w:r>
        <w:rPr>
          <w:rFonts w:ascii="Times New Roman" w:hAnsi="Times New Roman" w:cs="Times New Roman" w:eastAsia="Times New Roman" w:hint="default"/>
          <w:spacing w:val="-4"/>
        </w:rPr>
        <w:t>2017</w:t>
      </w:r>
    </w:p>
    <w:p>
      <w:pPr>
        <w:pStyle w:val="BodyText"/>
        <w:spacing w:line="240" w:lineRule="auto" w:before="63"/>
        <w:ind w:right="0"/>
        <w:jc w:val="left"/>
      </w:pPr>
      <w:r>
        <w:rPr/>
        <w:t>年限制性股票预留授予登记，预留授予的限制性股票上市日期为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2、公司股份总数及股东结构的变动、公司资产和负债结构的变动情况说明" w:id="111"/>
      <w:bookmarkEnd w:id="11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472" w:right="112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1、公司于2018年4月20日完成授予50名股权激励对象共计1，000，000股预留限制性股票，公司总股本由133,948,619</w:t>
      </w:r>
    </w:p>
    <w:p>
      <w:pPr>
        <w:pStyle w:val="BodyText"/>
        <w:spacing w:line="316" w:lineRule="auto" w:before="1"/>
        <w:ind w:left="472" w:right="1124" w:hanging="360"/>
        <w:jc w:val="left"/>
      </w:pPr>
      <w:r>
        <w:rPr/>
        <w:t>股增至134,948,619股。 2、公司于2018年6月5日实施完毕2017年权益分派方案，合计转增股本66,974,297股,转增后总股本由134,948,619股增</w:t>
      </w:r>
    </w:p>
    <w:p>
      <w:pPr>
        <w:pStyle w:val="BodyText"/>
        <w:spacing w:line="240" w:lineRule="auto" w:before="19"/>
        <w:ind w:right="0"/>
        <w:jc w:val="left"/>
      </w:pPr>
      <w:r>
        <w:rPr/>
        <w:t>加至201,922,916股</w:t>
      </w:r>
      <w:r>
        <w:rPr>
          <w:spacing w:val="-6"/>
        </w:rPr>
        <w:t> </w:t>
      </w:r>
      <w:r>
        <w:rPr/>
        <w:t>。</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16" w:lineRule="auto" w:before="44"/>
        <w:ind w:right="1130" w:firstLine="360"/>
        <w:jc w:val="both"/>
      </w:pPr>
      <w:r>
        <w:rPr/>
        <w:t>3、公司2017年限制性股票激励计划中激励对象16人因个人原因已离职，公司回购注销其持有的已获授但尚未解除限售 </w:t>
      </w:r>
      <w:r>
        <w:rPr>
          <w:spacing w:val="-2"/>
        </w:rPr>
        <w:t>的限制性股票；同时由于公司2017年度业绩未达到限制性股票激励计划（首次授予）第一期的解除限售的条件，公司回购注</w:t>
      </w:r>
      <w:r>
        <w:rPr>
          <w:spacing w:val="-62"/>
        </w:rPr>
        <w:t> </w:t>
      </w:r>
      <w:r>
        <w:rPr>
          <w:spacing w:val="-62"/>
        </w:rPr>
      </w:r>
      <w:r>
        <w:rPr>
          <w:spacing w:val="7"/>
        </w:rPr>
        <w:t>销第一个解除限售期的限制性股票，回购数量共计368,282股。回购注销完成后，公司总股本由201,922,916股减少至</w:t>
      </w:r>
      <w:r>
        <w:rPr>
          <w:spacing w:val="-76"/>
        </w:rPr>
        <w:t> </w:t>
      </w:r>
      <w:r>
        <w:rPr>
          <w:spacing w:val="-76"/>
        </w:rPr>
      </w:r>
      <w:r>
        <w:rPr/>
        <w:t>201,463,957股。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4"/>
        <w:ind w:right="0"/>
        <w:jc w:val="left"/>
        <w:rPr>
          <w:b w:val="0"/>
          <w:bCs w:val="0"/>
        </w:rPr>
      </w:pPr>
      <w:bookmarkStart w:name="3、现存的内部职工股情况" w:id="112"/>
      <w:bookmarkEnd w:id="112"/>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bookmarkStart w:name="三、股东和实际控制人情况" w:id="113"/>
      <w:bookmarkEnd w:id="113"/>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公司股东数量及持股情况" w:id="114"/>
      <w:bookmarkEnd w:id="114"/>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2"/>
        <w:jc w:val="right"/>
      </w:pPr>
      <w:r>
        <w:rPr/>
        <w:pict>
          <v:shape style="position:absolute;margin-left:476.158997pt;margin-top:17.452734pt;width:58.8pt;height:82.1pt;mso-position-horizontal-relative:page;mso-position-vertical-relative:paragraph;z-index:-150258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0" w:right="0"/>
                    <w:jc w:val="left"/>
                  </w:pPr>
                  <w:r>
                    <w:rPr/>
                    <w:t>）</w:t>
                  </w:r>
                </w:p>
              </w:txbxContent>
            </v:textbox>
            <w10:wrap type="none"/>
          </v:shape>
        </w:pict>
      </w:r>
      <w:r>
        <w:rPr/>
        <w:pict>
          <v:group style="position:absolute;margin-left:482.25pt;margin-top:17.452734pt;width:52.7pt;height:82.25pt;mso-position-horizontal-relative:page;mso-position-vertical-relative:paragraph;z-index:-1502560" coordorigin="9645,349" coordsize="1054,1645">
            <v:shape style="position:absolute;left:9645;top:349;width:1054;height:1645" coordorigin="9645,349" coordsize="1054,1645" path="m9645,349l10699,349,10699,1994,9645,1994,9645,349xe" filled="true" fillcolor="#ffffff" stroked="false">
              <v:path arrowok="t"/>
              <v:fill type="solid"/>
            </v:shape>
            <w10:wrap type="none"/>
          </v:group>
        </w:pict>
      </w:r>
      <w:r>
        <w:rPr/>
        <w:t>单位：股</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34"/>
        <w:gridCol w:w="135"/>
        <w:gridCol w:w="661"/>
        <w:gridCol w:w="750"/>
        <w:gridCol w:w="750"/>
        <w:gridCol w:w="906"/>
        <w:gridCol w:w="251"/>
        <w:gridCol w:w="742"/>
        <w:gridCol w:w="587"/>
        <w:gridCol w:w="405"/>
        <w:gridCol w:w="658"/>
        <w:gridCol w:w="334"/>
        <w:gridCol w:w="705"/>
        <w:gridCol w:w="290"/>
        <w:gridCol w:w="1059"/>
      </w:tblGrid>
      <w:tr>
        <w:trPr>
          <w:trHeight w:val="1650"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14,430</w:t>
            </w:r>
          </w:p>
        </w:tc>
        <w:tc>
          <w:tcPr>
            <w:tcW w:w="15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04"/>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8" w:right="0"/>
              <w:jc w:val="left"/>
              <w:rPr>
                <w:rFonts w:ascii="Times New Roman" w:hAnsi="Times New Roman" w:cs="Times New Roman" w:eastAsia="Times New Roman" w:hint="default"/>
                <w:sz w:val="18"/>
                <w:szCs w:val="18"/>
              </w:rPr>
            </w:pPr>
            <w:r>
              <w:rPr>
                <w:rFonts w:ascii="Times New Roman"/>
                <w:sz w:val="18"/>
              </w:rPr>
              <w:t>15,023</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3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35"/>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w:t>
            </w:r>
            <w:r>
              <w:rPr>
                <w:rFonts w:ascii="宋体" w:hAnsi="宋体" w:cs="宋体" w:eastAsia="宋体" w:hint="default"/>
                <w:spacing w:val="-11"/>
                <w:sz w:val="18"/>
                <w:szCs w:val="18"/>
              </w:rPr>
              <w:t>股东总数（如有</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7"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0" w:right="-1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8" w:right="6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9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41" w:right="39"/>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40" w:right="4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41" w:right="38"/>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0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714"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c>
          <w:tcPr>
            <w:tcW w:w="906" w:type="dxa"/>
            <w:vMerge/>
            <w:tcBorders>
              <w:left w:val="single" w:sz="4" w:space="0" w:color="000000"/>
              <w:bottom w:val="single" w:sz="4" w:space="0" w:color="000000"/>
              <w:right w:val="single" w:sz="4" w:space="0" w:color="000000"/>
            </w:tcBorders>
            <w:shd w:val="clear" w:color="auto" w:fill="D2D2D2"/>
          </w:tcPr>
          <w:p>
            <w:pPr/>
          </w:p>
        </w:tc>
        <w:tc>
          <w:tcPr>
            <w:tcW w:w="993" w:type="dxa"/>
            <w:gridSpan w:val="2"/>
            <w:vMerge/>
            <w:tcBorders>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6" w:right="76" w:hanging="180"/>
              <w:jc w:val="left"/>
              <w:rPr>
                <w:rFonts w:ascii="宋体" w:hAnsi="宋体" w:cs="宋体" w:eastAsia="宋体" w:hint="default"/>
                <w:sz w:val="18"/>
                <w:szCs w:val="18"/>
              </w:rPr>
            </w:pPr>
            <w:r>
              <w:rPr>
                <w:rFonts w:ascii="宋体" w:hAnsi="宋体" w:cs="宋体" w:eastAsia="宋体" w:hint="default"/>
                <w:sz w:val="18"/>
                <w:szCs w:val="18"/>
              </w:rPr>
              <w:t>股份状 态</w:t>
            </w: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29.99%</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60,420,089</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+20040286</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60,420,089</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7" w:right="0"/>
              <w:jc w:val="left"/>
              <w:rPr>
                <w:rFonts w:ascii="Times New Roman" w:hAnsi="Times New Roman" w:cs="Times New Roman" w:eastAsia="Times New Roman" w:hint="default"/>
                <w:sz w:val="18"/>
                <w:szCs w:val="18"/>
              </w:rPr>
            </w:pPr>
            <w:r>
              <w:rPr>
                <w:rFonts w:ascii="Times New Roman"/>
                <w:sz w:val="18"/>
              </w:rPr>
              <w:t>43,982,348</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74"/>
              <w:jc w:val="left"/>
              <w:rPr>
                <w:rFonts w:ascii="宋体" w:hAnsi="宋体" w:cs="宋体" w:eastAsia="宋体" w:hint="default"/>
                <w:sz w:val="18"/>
                <w:szCs w:val="18"/>
              </w:rPr>
            </w:pPr>
            <w:r>
              <w:rPr>
                <w:rFonts w:ascii="宋体" w:hAnsi="宋体" w:cs="宋体" w:eastAsia="宋体" w:hint="default"/>
                <w:sz w:val="18"/>
                <w:szCs w:val="18"/>
              </w:rPr>
              <w:t>宁波科蓝盛合投 资管理合伙企业</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6.50%</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13,098,135</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+4344422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13,098,135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5"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74"/>
              <w:jc w:val="both"/>
              <w:rPr>
                <w:rFonts w:ascii="宋体" w:hAnsi="宋体" w:cs="宋体" w:eastAsia="宋体" w:hint="default"/>
                <w:sz w:val="18"/>
                <w:szCs w:val="18"/>
              </w:rPr>
            </w:pPr>
            <w:r>
              <w:rPr>
                <w:rFonts w:ascii="宋体" w:hAnsi="宋体" w:cs="宋体" w:eastAsia="宋体" w:hint="default"/>
                <w:sz w:val="18"/>
                <w:szCs w:val="18"/>
              </w:rPr>
              <w:t>杭州兆富投资合 伙企业（有限合 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5.28%</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10,630,266</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+2523397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10,630,266</w:t>
            </w:r>
          </w:p>
        </w:tc>
        <w:tc>
          <w:tcPr>
            <w:tcW w:w="705"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74"/>
              <w:jc w:val="left"/>
              <w:rPr>
                <w:rFonts w:ascii="宋体" w:hAnsi="宋体" w:cs="宋体" w:eastAsia="宋体" w:hint="default"/>
                <w:sz w:val="18"/>
                <w:szCs w:val="18"/>
              </w:rPr>
            </w:pPr>
            <w:r>
              <w:rPr>
                <w:rFonts w:ascii="宋体" w:hAnsi="宋体" w:cs="宋体" w:eastAsia="宋体" w:hint="default"/>
                <w:sz w:val="18"/>
                <w:szCs w:val="18"/>
              </w:rPr>
              <w:t>杭州太一天择投 资管理合伙企业</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5.07%</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10,221,724</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+3390367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10,221,724</w:t>
            </w:r>
          </w:p>
        </w:tc>
        <w:tc>
          <w:tcPr>
            <w:tcW w:w="705"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74"/>
              <w:jc w:val="left"/>
              <w:rPr>
                <w:rFonts w:ascii="宋体" w:hAnsi="宋体" w:cs="宋体" w:eastAsia="宋体" w:hint="default"/>
                <w:sz w:val="18"/>
                <w:szCs w:val="18"/>
              </w:rPr>
            </w:pPr>
            <w:r>
              <w:rPr>
                <w:rFonts w:ascii="宋体" w:hAnsi="宋体" w:cs="宋体" w:eastAsia="宋体" w:hint="default"/>
                <w:sz w:val="18"/>
                <w:szCs w:val="18"/>
              </w:rPr>
              <w:t>恒生电子股份有 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5.01%</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10,096,161</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+10,096,161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10,096,161</w:t>
            </w:r>
          </w:p>
        </w:tc>
        <w:tc>
          <w:tcPr>
            <w:tcW w:w="705"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4"/>
              <w:jc w:val="left"/>
              <w:rPr>
                <w:rFonts w:ascii="宋体" w:hAnsi="宋体" w:cs="宋体" w:eastAsia="宋体" w:hint="default"/>
                <w:sz w:val="18"/>
                <w:szCs w:val="18"/>
              </w:rPr>
            </w:pPr>
            <w:r>
              <w:rPr>
                <w:rFonts w:ascii="宋体" w:hAnsi="宋体" w:cs="宋体" w:eastAsia="宋体" w:hint="default"/>
                <w:sz w:val="18"/>
                <w:szCs w:val="18"/>
              </w:rPr>
              <w:t>上海文化产业股 权投资基金合伙 企业（有限合伙）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4.40%</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8,872,858</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+2364706</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8,872,858</w:t>
            </w:r>
          </w:p>
        </w:tc>
        <w:tc>
          <w:tcPr>
            <w:tcW w:w="705"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74"/>
              <w:jc w:val="left"/>
              <w:rPr>
                <w:rFonts w:ascii="宋体" w:hAnsi="宋体" w:cs="宋体" w:eastAsia="宋体" w:hint="default"/>
                <w:sz w:val="18"/>
                <w:szCs w:val="18"/>
              </w:rPr>
            </w:pPr>
            <w:r>
              <w:rPr>
                <w:rFonts w:ascii="宋体" w:hAnsi="宋体" w:cs="宋体" w:eastAsia="宋体" w:hint="default"/>
                <w:sz w:val="18"/>
                <w:szCs w:val="18"/>
              </w:rPr>
              <w:t>广州司浦林信息 产业创业投资企</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4.07%</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8,194,333</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+2233596</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8,194,333</w:t>
            </w:r>
          </w:p>
        </w:tc>
        <w:tc>
          <w:tcPr>
            <w:tcW w:w="705"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0"/>
          <w:pgSz w:w="11910" w:h="16840"/>
          <w:pgMar w:footer="978" w:header="746" w:top="1060" w:bottom="1160" w:left="1020" w:right="0"/>
          <w:pgNumType w:start="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69"/>
        <w:gridCol w:w="1411"/>
        <w:gridCol w:w="788"/>
        <w:gridCol w:w="868"/>
        <w:gridCol w:w="993"/>
        <w:gridCol w:w="992"/>
        <w:gridCol w:w="992"/>
        <w:gridCol w:w="705"/>
        <w:gridCol w:w="1349"/>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业（有限合伙）</w:t>
            </w:r>
          </w:p>
        </w:tc>
        <w:tc>
          <w:tcPr>
            <w:tcW w:w="141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0"/>
              <w:ind w:left="22" w:right="114"/>
              <w:jc w:val="both"/>
              <w:rPr>
                <w:rFonts w:ascii="Times New Roman" w:hAnsi="Times New Roman" w:cs="Times New Roman" w:eastAsia="Times New Roman" w:hint="default"/>
                <w:sz w:val="18"/>
                <w:szCs w:val="18"/>
              </w:rPr>
            </w:pPr>
            <w:r>
              <w:rPr>
                <w:rFonts w:ascii="宋体" w:hAnsi="宋体" w:cs="宋体" w:eastAsia="宋体" w:hint="default"/>
                <w:sz w:val="18"/>
                <w:szCs w:val="18"/>
              </w:rPr>
              <w:t>新余高新区君研 丰创资本股权投 资管理中心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8"/>
              <w:jc w:val="right"/>
              <w:rPr>
                <w:rFonts w:ascii="Times New Roman" w:hAnsi="Times New Roman" w:cs="Times New Roman" w:eastAsia="Times New Roman" w:hint="default"/>
                <w:sz w:val="18"/>
                <w:szCs w:val="18"/>
              </w:rPr>
            </w:pPr>
            <w:r>
              <w:rPr>
                <w:rFonts w:ascii="Times New Roman"/>
                <w:sz w:val="18"/>
              </w:rPr>
              <w:t>3.36%</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9"/>
              <w:jc w:val="right"/>
              <w:rPr>
                <w:rFonts w:ascii="Times New Roman" w:hAnsi="Times New Roman" w:cs="Times New Roman" w:eastAsia="Times New Roman" w:hint="default"/>
                <w:sz w:val="18"/>
                <w:szCs w:val="18"/>
              </w:rPr>
            </w:pPr>
            <w:r>
              <w:rPr>
                <w:rFonts w:ascii="Times New Roman"/>
                <w:spacing w:val="-1"/>
                <w:sz w:val="18"/>
              </w:rPr>
              <w:t>6,766,577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2" w:right="0"/>
              <w:jc w:val="left"/>
              <w:rPr>
                <w:rFonts w:ascii="Times New Roman" w:hAnsi="Times New Roman" w:cs="Times New Roman" w:eastAsia="Times New Roman" w:hint="default"/>
                <w:sz w:val="18"/>
                <w:szCs w:val="18"/>
              </w:rPr>
            </w:pPr>
            <w:r>
              <w:rPr>
                <w:rFonts w:ascii="Times New Roman"/>
                <w:sz w:val="18"/>
              </w:rPr>
              <w:t>+2244355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2"/>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0"/>
              <w:jc w:val="right"/>
              <w:rPr>
                <w:rFonts w:ascii="Times New Roman" w:hAnsi="Times New Roman" w:cs="Times New Roman" w:eastAsia="Times New Roman" w:hint="default"/>
                <w:sz w:val="18"/>
                <w:szCs w:val="18"/>
              </w:rPr>
            </w:pPr>
            <w:r>
              <w:rPr>
                <w:rFonts w:ascii="Times New Roman"/>
                <w:spacing w:val="-1"/>
                <w:sz w:val="18"/>
              </w:rPr>
              <w:t>6,766,577</w:t>
            </w:r>
          </w:p>
        </w:tc>
        <w:tc>
          <w:tcPr>
            <w:tcW w:w="70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宁波科蓝盈众投 资管理合伙企业</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3.14%</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6,332,255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+2100298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6,332,255</w:t>
            </w:r>
          </w:p>
        </w:tc>
        <w:tc>
          <w:tcPr>
            <w:tcW w:w="70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74"/>
              <w:jc w:val="left"/>
              <w:rPr>
                <w:rFonts w:ascii="宋体" w:hAnsi="宋体" w:cs="宋体" w:eastAsia="宋体" w:hint="default"/>
                <w:sz w:val="18"/>
                <w:szCs w:val="18"/>
              </w:rPr>
            </w:pPr>
            <w:r>
              <w:rPr>
                <w:rFonts w:ascii="宋体" w:hAnsi="宋体" w:cs="宋体" w:eastAsia="宋体" w:hint="default"/>
                <w:sz w:val="18"/>
                <w:szCs w:val="18"/>
              </w:rPr>
              <w:t>杭州先锋基石股 权投资合伙企业</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1.72%</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3,462,185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+480119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3,462,185</w:t>
            </w:r>
          </w:p>
        </w:tc>
        <w:tc>
          <w:tcPr>
            <w:tcW w:w="70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978"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8"/>
              <w:ind w:left="22"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、上述股东王安京为股东宁波科蓝盛合投资管理合伙企业（有限合伙）的普通合伙 人、执行事务合伙人，并持有科蓝盛合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98.81%</w:t>
            </w:r>
            <w:r>
              <w:rPr>
                <w:rFonts w:ascii="宋体" w:hAnsi="宋体" w:cs="宋体" w:eastAsia="宋体" w:hint="default"/>
                <w:sz w:val="18"/>
                <w:szCs w:val="18"/>
              </w:rPr>
              <w:t>的出资份额。科蓝盛合持有科蓝软件 </w:t>
            </w:r>
            <w:r>
              <w:rPr>
                <w:rFonts w:ascii="Times New Roman" w:hAnsi="Times New Roman" w:cs="Times New Roman" w:eastAsia="Times New Roman" w:hint="default"/>
                <w:sz w:val="18"/>
                <w:szCs w:val="18"/>
              </w:rPr>
              <w:t>6.5%</w:t>
            </w:r>
            <w:r>
              <w:rPr>
                <w:rFonts w:ascii="宋体" w:hAnsi="宋体" w:cs="宋体" w:eastAsia="宋体" w:hint="default"/>
                <w:sz w:val="18"/>
                <w:szCs w:val="18"/>
              </w:rPr>
              <w:t>的股份，王安京与科蓝盛合为一致行动人。</w:t>
            </w:r>
          </w:p>
          <w:p>
            <w:pPr>
              <w:pStyle w:val="TableParagraph"/>
              <w:spacing w:line="312" w:lineRule="auto" w:before="54"/>
              <w:ind w:left="22" w:right="21"/>
              <w:jc w:val="both"/>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、上述股东杭州兆富投资合伙企业（有限合伙）、杭州太一天择投资管理合伙企业（有</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限合伙）的普通合伙人均为杭州敦行投资管理合伙企业（有限合伙）与浙江国贸东方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投资管理有限公司，且杭州敦行投资管理合伙企业（有限合伙）为浙江国贸东方投资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管理有限公司的股东。</w:t>
            </w:r>
          </w:p>
          <w:p>
            <w:pPr>
              <w:pStyle w:val="TableParagraph"/>
              <w:spacing w:line="300" w:lineRule="auto" w:before="63"/>
              <w:ind w:left="22"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、公司未知上述其他股东之间是否存在关联关系，也未知是否属于《上市公司股东 持股变动信息披露管理办法》规定的一致行动人。</w:t>
            </w:r>
          </w:p>
        </w:tc>
      </w:tr>
      <w:tr>
        <w:trPr>
          <w:trHeight w:val="402" w:hRule="exact"/>
        </w:trPr>
        <w:tc>
          <w:tcPr>
            <w:tcW w:w="9567"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8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633"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61"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62"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714" w:hRule="exact"/>
        </w:trPr>
        <w:tc>
          <w:tcPr>
            <w:tcW w:w="2880" w:type="dxa"/>
            <w:gridSpan w:val="2"/>
            <w:vMerge/>
            <w:tcBorders>
              <w:left w:val="single" w:sz="4" w:space="0" w:color="000000"/>
              <w:bottom w:val="single" w:sz="4" w:space="0" w:color="000000"/>
              <w:right w:val="single" w:sz="4" w:space="0" w:color="000000"/>
            </w:tcBorders>
            <w:shd w:val="clear" w:color="auto" w:fill="D2D2D2"/>
          </w:tcPr>
          <w:p>
            <w:pPr/>
          </w:p>
        </w:tc>
        <w:tc>
          <w:tcPr>
            <w:tcW w:w="4633" w:type="dxa"/>
            <w:gridSpan w:val="5"/>
            <w:vMerge/>
            <w:tcBorders>
              <w:left w:val="single" w:sz="4" w:space="0" w:color="000000"/>
              <w:bottom w:val="single" w:sz="4" w:space="0" w:color="000000"/>
              <w:right w:val="single" w:sz="4" w:space="0" w:color="000000"/>
            </w:tcBorders>
            <w:shd w:val="clear" w:color="auto" w:fill="D2D2D2"/>
          </w:tcPr>
          <w:p>
            <w:pPr/>
          </w:p>
        </w:tc>
        <w:tc>
          <w:tcPr>
            <w:tcW w:w="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6" w:right="76" w:hanging="180"/>
              <w:jc w:val="left"/>
              <w:rPr>
                <w:rFonts w:ascii="宋体" w:hAnsi="宋体" w:cs="宋体" w:eastAsia="宋体" w:hint="default"/>
                <w:sz w:val="18"/>
                <w:szCs w:val="18"/>
              </w:rPr>
            </w:pPr>
            <w:r>
              <w:rPr>
                <w:rFonts w:ascii="宋体" w:hAnsi="宋体" w:cs="宋体" w:eastAsia="宋体" w:hint="default"/>
                <w:sz w:val="18"/>
                <w:szCs w:val="18"/>
              </w:rPr>
              <w:t>股份种 类</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33"/>
              <w:jc w:val="left"/>
              <w:rPr>
                <w:rFonts w:ascii="宋体" w:hAnsi="宋体" w:cs="宋体" w:eastAsia="宋体" w:hint="default"/>
                <w:sz w:val="18"/>
                <w:szCs w:val="18"/>
              </w:rPr>
            </w:pPr>
            <w:r>
              <w:rPr>
                <w:rFonts w:ascii="宋体" w:hAnsi="宋体" w:cs="宋体" w:eastAsia="宋体" w:hint="default"/>
                <w:sz w:val="18"/>
                <w:szCs w:val="18"/>
              </w:rPr>
              <w:t>杭州兆富投资合伙企业（有限合伙）</w:t>
            </w:r>
          </w:p>
        </w:tc>
        <w:tc>
          <w:tcPr>
            <w:tcW w:w="46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10,630,266</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29"/>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10,630,266</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4"/>
                <w:sz w:val="18"/>
                <w:szCs w:val="18"/>
              </w:rPr>
              <w:t>杭州太一天择投资管理合伙企业（有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限合伙）</w:t>
            </w:r>
          </w:p>
        </w:tc>
        <w:tc>
          <w:tcPr>
            <w:tcW w:w="46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10,221,724</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129"/>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10,221,724</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恒生电子股份有限公司</w:t>
            </w:r>
          </w:p>
        </w:tc>
        <w:tc>
          <w:tcPr>
            <w:tcW w:w="46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10,096,161</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29"/>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10,096,161</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45"/>
              <w:jc w:val="left"/>
              <w:rPr>
                <w:rFonts w:ascii="宋体" w:hAnsi="宋体" w:cs="宋体" w:eastAsia="宋体" w:hint="default"/>
                <w:sz w:val="18"/>
                <w:szCs w:val="18"/>
              </w:rPr>
            </w:pPr>
            <w:r>
              <w:rPr>
                <w:rFonts w:ascii="宋体" w:hAnsi="宋体" w:cs="宋体" w:eastAsia="宋体" w:hint="default"/>
                <w:sz w:val="18"/>
                <w:szCs w:val="18"/>
              </w:rPr>
              <w:t>上海文化产业股权投资基金合伙企 业（有限合伙）</w:t>
            </w:r>
          </w:p>
        </w:tc>
        <w:tc>
          <w:tcPr>
            <w:tcW w:w="46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8,872,858</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129"/>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8,872,858</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广州司浦林信息产业创业投资企业</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46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8,194,333</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29"/>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8,194,333</w:t>
            </w:r>
          </w:p>
        </w:tc>
      </w:tr>
      <w:tr>
        <w:trPr>
          <w:trHeight w:val="71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45"/>
              <w:jc w:val="left"/>
              <w:rPr>
                <w:rFonts w:ascii="Times New Roman" w:hAnsi="Times New Roman" w:cs="Times New Roman" w:eastAsia="Times New Roman" w:hint="default"/>
                <w:sz w:val="18"/>
                <w:szCs w:val="18"/>
              </w:rPr>
            </w:pPr>
            <w:r>
              <w:rPr>
                <w:rFonts w:ascii="宋体" w:hAnsi="宋体" w:cs="宋体" w:eastAsia="宋体" w:hint="default"/>
                <w:sz w:val="18"/>
                <w:szCs w:val="18"/>
              </w:rPr>
              <w:t>新余高新区君研丰创资本股权投资 管理中心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46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6,766,577</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129"/>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6,766,577</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880"/>
        <w:gridCol w:w="4633"/>
        <w:gridCol w:w="705"/>
        <w:gridCol w:w="1349"/>
      </w:tblGrid>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4"/>
                <w:sz w:val="18"/>
                <w:szCs w:val="18"/>
              </w:rPr>
              <w:t>宁波科蓝盈众投资管理合伙企业（有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限合伙）</w:t>
            </w:r>
          </w:p>
        </w:tc>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6,332,255</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129"/>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6,332,255</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4"/>
                <w:sz w:val="18"/>
                <w:szCs w:val="18"/>
              </w:rPr>
              <w:t>杭州先锋基石股权投资合伙企业（有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限合伙）</w:t>
            </w:r>
          </w:p>
        </w:tc>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3,462,185</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3,462,185</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4"/>
                <w:sz w:val="18"/>
                <w:szCs w:val="18"/>
              </w:rPr>
              <w:t>济宁先锋基石股权投资企业（有限合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伙）</w:t>
            </w:r>
          </w:p>
        </w:tc>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3,288,927</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129"/>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3,288,927</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5"/>
              <w:jc w:val="left"/>
              <w:rPr>
                <w:rFonts w:ascii="Times New Roman" w:hAnsi="Times New Roman" w:cs="Times New Roman" w:eastAsia="Times New Roman" w:hint="default"/>
                <w:sz w:val="18"/>
                <w:szCs w:val="18"/>
              </w:rPr>
            </w:pPr>
            <w:r>
              <w:rPr>
                <w:rFonts w:ascii="宋体" w:hAnsi="宋体" w:cs="宋体" w:eastAsia="宋体" w:hint="default"/>
                <w:sz w:val="18"/>
                <w:szCs w:val="18"/>
              </w:rPr>
              <w:t>宁波科蓝融创投资管理合伙企业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限合伙</w:t>
            </w:r>
            <w:r>
              <w:rPr>
                <w:rFonts w:ascii="Times New Roman" w:hAnsi="Times New Roman" w:cs="Times New Roman" w:eastAsia="Times New Roman" w:hint="default"/>
                <w:sz w:val="18"/>
                <w:szCs w:val="18"/>
              </w:rPr>
              <w:t>)</w:t>
            </w:r>
          </w:p>
        </w:tc>
        <w:tc>
          <w:tcPr>
            <w:tcW w:w="4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2,906,679</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人民币 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2,906,679</w:t>
            </w:r>
          </w:p>
        </w:tc>
      </w:tr>
      <w:tr>
        <w:trPr>
          <w:trHeight w:val="361" w:hRule="exact"/>
        </w:trPr>
        <w:tc>
          <w:tcPr>
            <w:tcW w:w="28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3"/>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56"/>
                <w:sz w:val="18"/>
                <w:szCs w:val="18"/>
              </w:rPr>
              <w:t>、</w:t>
            </w:r>
            <w:r>
              <w:rPr>
                <w:rFonts w:ascii="宋体" w:hAnsi="宋体" w:cs="宋体" w:eastAsia="宋体" w:hint="default"/>
                <w:sz w:val="18"/>
                <w:szCs w:val="18"/>
              </w:rPr>
              <w:t>上述股东杭州兆富投资合伙企</w:t>
            </w:r>
            <w:r>
              <w:rPr>
                <w:rFonts w:ascii="宋体" w:hAnsi="宋体" w:cs="宋体" w:eastAsia="宋体" w:hint="default"/>
                <w:spacing w:val="-53"/>
                <w:sz w:val="18"/>
                <w:szCs w:val="18"/>
              </w:rPr>
              <w:t>业</w:t>
            </w:r>
            <w:r>
              <w:rPr>
                <w:rFonts w:ascii="宋体" w:hAnsi="宋体" w:cs="宋体" w:eastAsia="宋体" w:hint="default"/>
                <w:sz w:val="18"/>
                <w:szCs w:val="18"/>
              </w:rPr>
              <w:t>（有限合伙</w:t>
            </w:r>
            <w:r>
              <w:rPr>
                <w:rFonts w:ascii="宋体" w:hAnsi="宋体" w:cs="宋体" w:eastAsia="宋体" w:hint="default"/>
                <w:spacing w:val="-89"/>
                <w:sz w:val="18"/>
                <w:szCs w:val="18"/>
              </w:rPr>
              <w:t>）</w:t>
            </w:r>
            <w:r>
              <w:rPr>
                <w:rFonts w:ascii="宋体" w:hAnsi="宋体" w:cs="宋体" w:eastAsia="宋体" w:hint="default"/>
                <w:spacing w:val="-56"/>
                <w:sz w:val="18"/>
                <w:szCs w:val="18"/>
              </w:rPr>
              <w:t>、</w:t>
            </w:r>
            <w:r>
              <w:rPr>
                <w:rFonts w:ascii="宋体" w:hAnsi="宋体" w:cs="宋体" w:eastAsia="宋体" w:hint="default"/>
                <w:sz w:val="18"/>
                <w:szCs w:val="18"/>
              </w:rPr>
              <w:t>杭州太一天择投资管理合伙企</w:t>
            </w:r>
            <w:r>
              <w:rPr>
                <w:rFonts w:ascii="宋体" w:hAnsi="宋体" w:cs="宋体" w:eastAsia="宋体" w:hint="default"/>
                <w:spacing w:val="-48"/>
                <w:sz w:val="18"/>
                <w:szCs w:val="18"/>
              </w:rPr>
              <w:t>业</w:t>
            </w:r>
            <w:r>
              <w:rPr>
                <w:rFonts w:ascii="宋体" w:hAnsi="宋体" w:cs="宋体" w:eastAsia="宋体" w:hint="default"/>
                <w:sz w:val="18"/>
                <w:szCs w:val="18"/>
              </w:rPr>
              <w:t>（有</w:t>
            </w:r>
          </w:p>
        </w:tc>
      </w:tr>
      <w:tr>
        <w:trPr>
          <w:trHeight w:val="307" w:hRule="exact"/>
        </w:trPr>
        <w:tc>
          <w:tcPr>
            <w:tcW w:w="2880" w:type="dxa"/>
            <w:tcBorders>
              <w:top w:val="nil" w:sz="6" w:space="0" w:color="auto"/>
              <w:left w:val="single" w:sz="4" w:space="0" w:color="000000"/>
              <w:bottom w:val="nil" w:sz="6" w:space="0" w:color="auto"/>
              <w:right w:val="single" w:sz="4" w:space="0" w:color="000000"/>
            </w:tcBorders>
            <w:shd w:val="clear" w:color="auto" w:fill="D2D2D2"/>
          </w:tcPr>
          <w:p>
            <w:pPr/>
          </w:p>
        </w:tc>
        <w:tc>
          <w:tcPr>
            <w:tcW w:w="6687"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
                <w:sz w:val="18"/>
                <w:szCs w:val="18"/>
              </w:rPr>
              <w:t>限合伙）的普通合伙人均为杭州敦行投资管理合伙企业（有限合伙）与浙江国贸东方</w:t>
            </w:r>
          </w:p>
        </w:tc>
      </w:tr>
      <w:tr>
        <w:trPr>
          <w:trHeight w:val="245" w:hRule="exact"/>
        </w:trPr>
        <w:tc>
          <w:tcPr>
            <w:tcW w:w="2880" w:type="dxa"/>
            <w:tcBorders>
              <w:top w:val="nil" w:sz="6" w:space="0" w:color="auto"/>
              <w:left w:val="single" w:sz="4" w:space="0" w:color="000000"/>
              <w:bottom w:val="nil" w:sz="6" w:space="0" w:color="auto"/>
              <w:right w:val="single" w:sz="4" w:space="0" w:color="000000"/>
            </w:tcBorders>
            <w:shd w:val="clear" w:color="auto" w:fill="D2D2D2"/>
          </w:tcPr>
          <w:p>
            <w:pPr/>
          </w:p>
        </w:tc>
        <w:tc>
          <w:tcPr>
            <w:tcW w:w="6687"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投资管理有限公司，且杭州敦行投资管理合伙企业（有限合伙）为浙江国贸东方投资</w:t>
            </w:r>
          </w:p>
        </w:tc>
      </w:tr>
      <w:tr>
        <w:trPr>
          <w:trHeight w:val="312" w:hRule="exact"/>
        </w:trPr>
        <w:tc>
          <w:tcPr>
            <w:tcW w:w="28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92" w:lineRule="exact"/>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tc>
        <w:tc>
          <w:tcPr>
            <w:tcW w:w="6687"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管理有限公司的股东。</w:t>
            </w:r>
          </w:p>
        </w:tc>
      </w:tr>
      <w:tr>
        <w:trPr>
          <w:trHeight w:val="1044" w:hRule="exact"/>
        </w:trPr>
        <w:tc>
          <w:tcPr>
            <w:tcW w:w="28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92"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及前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p>
            <w:pPr>
              <w:pStyle w:val="TableParagraph"/>
              <w:spacing w:line="316" w:lineRule="auto" w:before="63"/>
              <w:ind w:left="22" w:right="145"/>
              <w:jc w:val="left"/>
              <w:rPr>
                <w:rFonts w:ascii="宋体" w:hAnsi="宋体" w:cs="宋体" w:eastAsia="宋体" w:hint="default"/>
                <w:sz w:val="18"/>
                <w:szCs w:val="18"/>
              </w:rPr>
            </w:pPr>
            <w:r>
              <w:rPr>
                <w:rFonts w:ascii="宋体" w:hAnsi="宋体" w:cs="宋体" w:eastAsia="宋体" w:hint="default"/>
                <w:sz w:val="18"/>
                <w:szCs w:val="18"/>
              </w:rPr>
              <w:t>名股东之间关联关系或一致行动的 说明</w:t>
            </w:r>
          </w:p>
        </w:tc>
        <w:tc>
          <w:tcPr>
            <w:tcW w:w="6687" w:type="dxa"/>
            <w:gridSpan w:val="3"/>
            <w:tcBorders>
              <w:top w:val="nil" w:sz="6" w:space="0" w:color="auto"/>
              <w:left w:val="single" w:sz="4" w:space="0" w:color="000000"/>
              <w:bottom w:val="nil" w:sz="6" w:space="0" w:color="auto"/>
              <w:right w:val="single" w:sz="4" w:space="0" w:color="000000"/>
            </w:tcBorders>
          </w:tcPr>
          <w:p>
            <w:pPr>
              <w:pStyle w:val="TableParagraph"/>
              <w:spacing w:line="309" w:lineRule="auto" w:before="118"/>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、上述股东杭州先锋基石股权投资合伙企业（有限合伙）与济宁先锋基石股权投资 </w:t>
            </w:r>
            <w:r>
              <w:rPr>
                <w:rFonts w:ascii="宋体" w:hAnsi="宋体" w:cs="宋体" w:eastAsia="宋体" w:hint="default"/>
                <w:spacing w:val="-1"/>
                <w:sz w:val="18"/>
                <w:szCs w:val="18"/>
              </w:rPr>
              <w:t>企业（有限合伙）委派代表均为张维，且先后共同推荐熊小聪、宋建彪为科蓝软件监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事。</w:t>
            </w:r>
          </w:p>
        </w:tc>
      </w:tr>
      <w:tr>
        <w:trPr>
          <w:trHeight w:val="317" w:hRule="exact"/>
        </w:trPr>
        <w:tc>
          <w:tcPr>
            <w:tcW w:w="2880" w:type="dxa"/>
            <w:tcBorders>
              <w:top w:val="nil" w:sz="6" w:space="0" w:color="auto"/>
              <w:left w:val="single" w:sz="4" w:space="0" w:color="000000"/>
              <w:bottom w:val="nil" w:sz="6" w:space="0" w:color="auto"/>
              <w:right w:val="single" w:sz="4" w:space="0" w:color="000000"/>
            </w:tcBorders>
            <w:shd w:val="clear" w:color="auto" w:fill="D2D2D2"/>
          </w:tcPr>
          <w:p>
            <w:pPr/>
          </w:p>
        </w:tc>
        <w:tc>
          <w:tcPr>
            <w:tcW w:w="6687"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、公司未知上述其他股东之间是否存在关联关系，也未知是否属于《上市公司股东</w:t>
            </w:r>
          </w:p>
        </w:tc>
      </w:tr>
      <w:tr>
        <w:trPr>
          <w:trHeight w:val="352" w:hRule="exact"/>
        </w:trPr>
        <w:tc>
          <w:tcPr>
            <w:tcW w:w="28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3"/>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持股变动信息披露管理办法》规定的一致行动人。</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5"/>
                <w:sz w:val="18"/>
                <w:szCs w:val="18"/>
              </w:rPr>
              <w:t>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0"/>
        <w:ind w:right="0"/>
        <w:jc w:val="left"/>
      </w:pPr>
      <w:r>
        <w:rPr/>
        <w:t>公司前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pStyle w:val="BodyText"/>
        <w:spacing w:line="240" w:lineRule="auto" w:before="101"/>
        <w:ind w:right="0"/>
        <w:jc w:val="left"/>
      </w:pPr>
      <w:r>
        <w:rPr/>
        <w:t>公司前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bookmarkStart w:name="2、公司控股股东情况" w:id="115"/>
      <w:bookmarkEnd w:id="115"/>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8594"/>
        <w:jc w:val="left"/>
      </w:pPr>
      <w:r>
        <w:rPr/>
        <w:t>控股股东性质：自然人控股 控股股东类型：自然人</w:t>
      </w:r>
    </w:p>
    <w:tbl>
      <w:tblPr>
        <w:tblW w:w="0" w:type="auto"/>
        <w:jc w:val="left"/>
        <w:tblInd w:w="109" w:type="dxa"/>
        <w:tblLayout w:type="fixed"/>
        <w:tblCellMar>
          <w:top w:w="0" w:type="dxa"/>
          <w:left w:w="0" w:type="dxa"/>
          <w:bottom w:w="0" w:type="dxa"/>
          <w:right w:w="0" w:type="dxa"/>
        </w:tblCellMar>
        <w:tblLook w:val="01E0"/>
      </w:tblPr>
      <w:tblGrid>
        <w:gridCol w:w="3417"/>
        <w:gridCol w:w="2030"/>
        <w:gridCol w:w="4120"/>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2"/>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right="0"/>
        <w:jc w:val="left"/>
      </w:pPr>
      <w:r>
        <w:rPr/>
        <w:t>控股股东报告期内变更</w:t>
      </w:r>
    </w:p>
    <w:p>
      <w:pPr>
        <w:pStyle w:val="BodyText"/>
        <w:spacing w:line="338" w:lineRule="auto" w:before="117"/>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公司报告期控股股东未发生变更。</w:t>
      </w:r>
    </w:p>
    <w:p>
      <w:pPr>
        <w:spacing w:line="240" w:lineRule="auto" w:before="5"/>
        <w:rPr>
          <w:rFonts w:ascii="宋体" w:hAnsi="宋体" w:cs="宋体" w:eastAsia="宋体" w:hint="default"/>
          <w:sz w:val="21"/>
          <w:szCs w:val="21"/>
        </w:rPr>
      </w:pPr>
    </w:p>
    <w:p>
      <w:pPr>
        <w:pStyle w:val="Heading5"/>
        <w:spacing w:line="240" w:lineRule="auto"/>
        <w:ind w:right="0"/>
        <w:jc w:val="left"/>
        <w:rPr>
          <w:b w:val="0"/>
          <w:bCs w:val="0"/>
        </w:rPr>
      </w:pPr>
      <w:bookmarkStart w:name="3、公司实际控制人及其一致行动人" w:id="116"/>
      <w:bookmarkEnd w:id="116"/>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8414"/>
        <w:jc w:val="left"/>
      </w:pPr>
      <w:r>
        <w:rPr/>
        <w:t>实际控制人性质：境内自然人 实际控制人类型：自然人</w:t>
      </w:r>
    </w:p>
    <w:p>
      <w:pPr>
        <w:spacing w:after="0" w:line="357" w:lineRule="auto"/>
        <w:jc w:val="left"/>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1" w:right="108"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97"/>
              <w:jc w:val="left"/>
              <w:rPr>
                <w:rFonts w:ascii="宋体" w:hAnsi="宋体" w:cs="宋体" w:eastAsia="宋体" w:hint="default"/>
                <w:sz w:val="18"/>
                <w:szCs w:val="18"/>
              </w:rPr>
            </w:pPr>
            <w:r>
              <w:rPr>
                <w:rFonts w:ascii="宋体" w:hAnsi="宋体" w:cs="宋体" w:eastAsia="宋体" w:hint="default"/>
                <w:sz w:val="18"/>
                <w:szCs w:val="18"/>
              </w:rPr>
              <w:t>宁波科蓝盛合投资管理合伙 企业（有限合伙）</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21"/>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106"/>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实际控制人报告期内变更</w:t>
      </w:r>
    </w:p>
    <w:p>
      <w:pPr>
        <w:pStyle w:val="BodyText"/>
        <w:spacing w:line="348"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公司报告期实际控制人未发生变更。 公司与实际控制人之间的产权及控制关系的方框图</w:t>
      </w:r>
    </w:p>
    <w:p>
      <w:pPr>
        <w:spacing w:line="240" w:lineRule="auto" w:before="5"/>
        <w:rPr>
          <w:rFonts w:ascii="宋体" w:hAnsi="宋体" w:cs="宋体" w:eastAsia="宋体" w:hint="default"/>
          <w:sz w:val="20"/>
          <w:szCs w:val="20"/>
        </w:rPr>
      </w:pPr>
    </w:p>
    <w:p>
      <w:pPr>
        <w:spacing w:line="2955" w:lineRule="exact"/>
        <w:ind w:left="1317" w:right="0" w:firstLine="0"/>
        <w:rPr>
          <w:rFonts w:ascii="宋体" w:hAnsi="宋体" w:cs="宋体" w:eastAsia="宋体" w:hint="default"/>
          <w:sz w:val="20"/>
          <w:szCs w:val="20"/>
        </w:rPr>
      </w:pPr>
      <w:r>
        <w:rPr>
          <w:rFonts w:ascii="宋体" w:hAnsi="宋体" w:cs="宋体" w:eastAsia="宋体" w:hint="default"/>
          <w:position w:val="-58"/>
          <w:sz w:val="20"/>
          <w:szCs w:val="20"/>
        </w:rPr>
        <w:drawing>
          <wp:inline distT="0" distB="0" distL="0" distR="0">
            <wp:extent cx="4592744" cy="187642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21" cstate="print"/>
                    <a:stretch>
                      <a:fillRect/>
                    </a:stretch>
                  </pic:blipFill>
                  <pic:spPr>
                    <a:xfrm>
                      <a:off x="0" y="0"/>
                      <a:ext cx="4592744" cy="1876425"/>
                    </a:xfrm>
                    <a:prstGeom prst="rect">
                      <a:avLst/>
                    </a:prstGeom>
                  </pic:spPr>
                </pic:pic>
              </a:graphicData>
            </a:graphic>
          </wp:inline>
        </w:drawing>
      </w:r>
      <w:r>
        <w:rPr>
          <w:rFonts w:ascii="宋体" w:hAnsi="宋体" w:cs="宋体" w:eastAsia="宋体" w:hint="default"/>
          <w:position w:val="-58"/>
          <w:sz w:val="20"/>
          <w:szCs w:val="20"/>
        </w:rPr>
      </w:r>
    </w:p>
    <w:p>
      <w:pPr>
        <w:spacing w:line="240" w:lineRule="auto" w:before="10"/>
        <w:rPr>
          <w:rFonts w:ascii="宋体" w:hAnsi="宋体" w:cs="宋体" w:eastAsia="宋体" w:hint="default"/>
          <w:sz w:val="18"/>
          <w:szCs w:val="18"/>
        </w:rPr>
      </w:pPr>
    </w:p>
    <w:p>
      <w:pPr>
        <w:spacing w:before="0"/>
        <w:ind w:left="112"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0"/>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bookmarkStart w:name="4、其他持股在10%以上的法人股东" w:id="117"/>
      <w:bookmarkEnd w:id="117"/>
      <w:r>
        <w:rPr>
          <w:b w:val="0"/>
          <w:bCs w:val="0"/>
        </w:rPr>
      </w:r>
      <w:r>
        <w:rPr>
          <w:rFonts w:ascii="Times New Roman" w:hAnsi="Times New Roman" w:cs="Times New Roman" w:eastAsia="Times New Roman" w:hint="default"/>
        </w:rPr>
        <w:t>4</w:t>
      </w:r>
      <w:r>
        <w:rPr/>
        <w:t>、其他持股在</w:t>
      </w:r>
      <w:r>
        <w:rPr>
          <w:spacing w:val="-60"/>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bookmarkStart w:name="5、控股股东、实际控制人、重组方及其他承诺主体股份限制减持情况" w:id="118"/>
      <w:bookmarkEnd w:id="118"/>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47" w:right="0"/>
        <w:jc w:val="left"/>
        <w:rPr>
          <w:b w:val="0"/>
          <w:bCs w:val="0"/>
        </w:rPr>
      </w:pPr>
      <w:bookmarkStart w:name="第七节 优先股相关情况" w:id="119"/>
      <w:bookmarkEnd w:id="119"/>
      <w:r>
        <w:rPr>
          <w:b w:val="0"/>
          <w:bCs w:val="0"/>
        </w:rPr>
      </w:r>
      <w:bookmarkStart w:name="_bookmark5" w:id="120"/>
      <w:bookmarkEnd w:id="120"/>
      <w:r>
        <w:rPr>
          <w:b w:val="0"/>
          <w:bCs w:val="0"/>
        </w:rPr>
      </w:r>
      <w:r>
        <w:rPr/>
        <w:t>第七节</w:t>
      </w:r>
      <w:r>
        <w:rPr>
          <w:spacing w:val="-10"/>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340"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报告期公司不存在优先股。</w:t>
      </w:r>
    </w:p>
    <w:p>
      <w:pPr>
        <w:spacing w:after="0" w:line="340" w:lineRule="auto"/>
        <w:jc w:val="left"/>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43" w:right="0"/>
        <w:jc w:val="left"/>
        <w:rPr>
          <w:b w:val="0"/>
          <w:bCs w:val="0"/>
        </w:rPr>
      </w:pPr>
      <w:bookmarkStart w:name="第八节 董事、监事、高级管理人员和员工情况" w:id="121"/>
      <w:bookmarkEnd w:id="121"/>
      <w:r>
        <w:rPr>
          <w:b w:val="0"/>
          <w:bCs w:val="0"/>
        </w:rPr>
      </w:r>
      <w:bookmarkStart w:name="_bookmark6" w:id="122"/>
      <w:bookmarkEnd w:id="122"/>
      <w:r>
        <w:rPr>
          <w:b w:val="0"/>
          <w:bCs w:val="0"/>
        </w:rPr>
      </w:r>
      <w:r>
        <w:rPr/>
        <w:t>第八节</w:t>
      </w:r>
      <w:r>
        <w:rPr>
          <w:spacing w:val="-17"/>
        </w:rPr>
        <w:t> </w:t>
      </w:r>
      <w:r>
        <w:rPr/>
        <w:t>董事、监事、高级管理人员和员工情况</w:t>
      </w:r>
      <w:r>
        <w:rPr>
          <w:b w:val="0"/>
          <w:bCs w:val="0"/>
        </w:rPr>
      </w:r>
    </w:p>
    <w:p>
      <w:pPr>
        <w:spacing w:line="240" w:lineRule="auto" w:before="10"/>
        <w:rPr>
          <w:rFonts w:ascii="宋体" w:hAnsi="宋体" w:cs="宋体" w:eastAsia="宋体" w:hint="default"/>
          <w:b/>
          <w:bCs/>
          <w:sz w:val="38"/>
          <w:szCs w:val="38"/>
        </w:rPr>
      </w:pPr>
    </w:p>
    <w:p>
      <w:pPr>
        <w:pStyle w:val="Heading4"/>
        <w:spacing w:line="240" w:lineRule="auto"/>
        <w:ind w:right="0"/>
        <w:jc w:val="left"/>
        <w:rPr>
          <w:b w:val="0"/>
          <w:bCs w:val="0"/>
        </w:rPr>
      </w:pPr>
      <w:bookmarkStart w:name="一、董事、监事和高级管理人员持股变动" w:id="123"/>
      <w:bookmarkEnd w:id="123"/>
      <w:r>
        <w:rPr>
          <w:b w:val="0"/>
          <w:bCs w:val="0"/>
        </w:rPr>
      </w: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7"/>
        <w:gridCol w:w="497"/>
        <w:gridCol w:w="850"/>
        <w:gridCol w:w="851"/>
        <w:gridCol w:w="992"/>
        <w:gridCol w:w="709"/>
        <w:gridCol w:w="567"/>
        <w:gridCol w:w="992"/>
        <w:gridCol w:w="925"/>
      </w:tblGrid>
      <w:tr>
        <w:trPr>
          <w:trHeight w:val="1650"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61"/>
              <w:jc w:val="right"/>
              <w:rPr>
                <w:rFonts w:ascii="宋体" w:hAnsi="宋体" w:cs="宋体" w:eastAsia="宋体" w:hint="default"/>
                <w:sz w:val="18"/>
                <w:szCs w:val="18"/>
              </w:rPr>
            </w:pPr>
            <w:r>
              <w:rPr>
                <w:rFonts w:ascii="宋体" w:hAnsi="宋体" w:cs="宋体" w:eastAsia="宋体" w:hint="default"/>
                <w:sz w:val="18"/>
                <w:szCs w:val="18"/>
              </w:rPr>
              <w:t>年龄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41" w:right="5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78" w:right="79"/>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78" w:right="0"/>
              <w:jc w:val="both"/>
              <w:rPr>
                <w:rFonts w:ascii="宋体" w:hAnsi="宋体" w:cs="宋体" w:eastAsia="宋体" w:hint="default"/>
                <w:sz w:val="18"/>
                <w:szCs w:val="18"/>
              </w:rPr>
            </w:pPr>
            <w:r>
              <w:rPr>
                <w:rFonts w:ascii="宋体" w:hAnsi="宋体" w:cs="宋体" w:eastAsia="宋体" w:hint="default"/>
                <w:sz w:val="18"/>
                <w:szCs w:val="18"/>
              </w:rPr>
              <w:t>（股）</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both"/>
              <w:rPr>
                <w:rFonts w:ascii="宋体" w:hAnsi="宋体" w:cs="宋体" w:eastAsia="宋体" w:hint="default"/>
                <w:sz w:val="18"/>
                <w:szCs w:val="18"/>
              </w:rPr>
            </w:pPr>
            <w:r>
              <w:rPr>
                <w:rFonts w:ascii="宋体" w:hAnsi="宋体" w:cs="宋体" w:eastAsia="宋体" w:hint="default"/>
                <w:sz w:val="18"/>
                <w:szCs w:val="18"/>
              </w:rPr>
              <w:t>本期 减持 股份 数量</w:t>
            </w:r>
          </w:p>
          <w:p>
            <w:pPr>
              <w:pStyle w:val="TableParagraph"/>
              <w:spacing w:line="240" w:lineRule="auto" w:before="19"/>
              <w:ind w:left="21" w:right="0"/>
              <w:jc w:val="both"/>
              <w:rPr>
                <w:rFonts w:ascii="宋体" w:hAnsi="宋体" w:cs="宋体" w:eastAsia="宋体" w:hint="default"/>
                <w:sz w:val="18"/>
                <w:szCs w:val="18"/>
              </w:rPr>
            </w:pPr>
            <w:r>
              <w:rPr>
                <w:rFonts w:ascii="宋体" w:hAnsi="宋体" w:cs="宋体" w:eastAsia="宋体" w:hint="default"/>
                <w:sz w:val="18"/>
                <w:szCs w:val="18"/>
              </w:rPr>
              <w:t>（股）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131" w:right="39" w:hanging="92"/>
              <w:jc w:val="left"/>
              <w:rPr>
                <w:rFonts w:ascii="宋体" w:hAnsi="宋体" w:cs="宋体" w:eastAsia="宋体" w:hint="default"/>
                <w:sz w:val="18"/>
                <w:szCs w:val="18"/>
              </w:rPr>
            </w:pPr>
            <w:r>
              <w:rPr>
                <w:rFonts w:ascii="宋体" w:hAnsi="宋体" w:cs="宋体" w:eastAsia="宋体" w:hint="default"/>
                <w:sz w:val="18"/>
                <w:szCs w:val="18"/>
              </w:rPr>
              <w:t>其他增减变 动（股）</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97" w:right="96"/>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41"/>
              <w:jc w:val="left"/>
              <w:rPr>
                <w:rFonts w:ascii="宋体" w:hAnsi="宋体" w:cs="宋体" w:eastAsia="宋体" w:hint="default"/>
                <w:sz w:val="18"/>
                <w:szCs w:val="18"/>
              </w:rPr>
            </w:pPr>
            <w:r>
              <w:rPr>
                <w:rFonts w:ascii="宋体" w:hAnsi="宋体" w:cs="宋体" w:eastAsia="宋体" w:hint="default"/>
                <w:sz w:val="18"/>
                <w:szCs w:val="18"/>
              </w:rPr>
              <w:t>董事长兼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49,029,346</w:t>
            </w:r>
          </w:p>
        </w:tc>
        <w:tc>
          <w:tcPr>
            <w:tcW w:w="70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24,333,010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73,362,356</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郑仁寰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杨栋锐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王方圆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1,344,501</w:t>
            </w:r>
          </w:p>
        </w:tc>
        <w:tc>
          <w:tcPr>
            <w:tcW w:w="70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667,269</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2,011,770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李国庆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292,068</w:t>
            </w:r>
          </w:p>
        </w:tc>
        <w:tc>
          <w:tcPr>
            <w:tcW w:w="70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144,951</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437,019</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pacing w:val="-3"/>
                <w:sz w:val="18"/>
                <w:szCs w:val="18"/>
              </w:rPr>
              <w:t>11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王缉志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马朝松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郑晓武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周海朗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宋建彪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敖晓振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周旭红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41"/>
              <w:jc w:val="both"/>
              <w:rPr>
                <w:rFonts w:ascii="宋体" w:hAnsi="宋体" w:cs="宋体" w:eastAsia="宋体" w:hint="default"/>
                <w:sz w:val="18"/>
                <w:szCs w:val="18"/>
              </w:rPr>
            </w:pPr>
            <w:r>
              <w:rPr>
                <w:rFonts w:ascii="宋体" w:hAnsi="宋体" w:cs="宋体" w:eastAsia="宋体" w:hint="default"/>
                <w:sz w:val="18"/>
                <w:szCs w:val="18"/>
              </w:rPr>
              <w:t>财务总监 兼董事会 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823,753</w:t>
            </w:r>
          </w:p>
        </w:tc>
        <w:tc>
          <w:tcPr>
            <w:tcW w:w="70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409,077</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1,232,830</w:t>
            </w:r>
          </w:p>
        </w:tc>
      </w:tr>
      <w:tr>
        <w:trPr>
          <w:trHeight w:val="40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周荣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341,679</w:t>
            </w:r>
          </w:p>
        </w:tc>
        <w:tc>
          <w:tcPr>
            <w:tcW w:w="70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169,574</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511,253</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7"/>
        <w:gridCol w:w="497"/>
        <w:gridCol w:w="850"/>
        <w:gridCol w:w="851"/>
        <w:gridCol w:w="992"/>
        <w:gridCol w:w="709"/>
        <w:gridCol w:w="567"/>
        <w:gridCol w:w="992"/>
        <w:gridCol w:w="925"/>
      </w:tblGrid>
      <w:tr>
        <w:trPr>
          <w:trHeight w:val="362"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林建军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41"/>
              <w:jc w:val="left"/>
              <w:rPr>
                <w:rFonts w:ascii="宋体" w:hAnsi="宋体" w:cs="宋体" w:eastAsia="宋体" w:hint="default"/>
                <w:sz w:val="18"/>
                <w:szCs w:val="18"/>
              </w:rPr>
            </w:pPr>
            <w:r>
              <w:rPr>
                <w:rFonts w:ascii="宋体" w:hAnsi="宋体" w:cs="宋体" w:eastAsia="宋体" w:hint="default"/>
                <w:sz w:val="18"/>
                <w:szCs w:val="18"/>
              </w:rPr>
              <w:t>首席运营 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84" w:right="0"/>
              <w:jc w:val="left"/>
              <w:rPr>
                <w:rFonts w:ascii="Times New Roman" w:hAnsi="Times New Roman" w:cs="Times New Roman" w:eastAsia="Times New Roman" w:hint="default"/>
                <w:sz w:val="18"/>
                <w:szCs w:val="18"/>
              </w:rPr>
            </w:pPr>
            <w:r>
              <w:rPr>
                <w:rFonts w:ascii="Times New Roman"/>
                <w:sz w:val="18"/>
              </w:rPr>
              <w:t>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705,000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244,399</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949,399</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52,536,347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25,968,280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78,504,627</w:t>
            </w:r>
          </w:p>
        </w:tc>
      </w:tr>
    </w:tbl>
    <w:p>
      <w:pPr>
        <w:spacing w:line="240" w:lineRule="auto" w:before="2"/>
        <w:rPr>
          <w:rFonts w:ascii="宋体" w:hAnsi="宋体" w:cs="宋体" w:eastAsia="宋体" w:hint="default"/>
          <w:b/>
          <w:bCs/>
          <w:sz w:val="18"/>
          <w:szCs w:val="18"/>
        </w:rPr>
      </w:pPr>
    </w:p>
    <w:p>
      <w:pPr>
        <w:pStyle w:val="Heading4"/>
        <w:spacing w:line="240" w:lineRule="auto" w:before="26"/>
        <w:ind w:right="0"/>
        <w:jc w:val="left"/>
        <w:rPr>
          <w:b w:val="0"/>
          <w:bCs w:val="0"/>
        </w:rPr>
      </w:pPr>
      <w:bookmarkStart w:name="二、公司董事、监事、高级管理人员变动情况" w:id="124"/>
      <w:bookmarkEnd w:id="124"/>
      <w:r>
        <w:rPr>
          <w:b w:val="0"/>
          <w:bCs w:val="0"/>
        </w:rPr>
      </w: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329"/>
        <w:gridCol w:w="1330"/>
        <w:gridCol w:w="1330"/>
        <w:gridCol w:w="1330"/>
        <w:gridCol w:w="4248"/>
      </w:tblGrid>
      <w:tr>
        <w:trPr>
          <w:trHeight w:val="402"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刘彬</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刘彬先生因个人工作变动原因，申请辞去公司董事职 务</w:t>
            </w:r>
          </w:p>
        </w:tc>
      </w:tr>
    </w:tbl>
    <w:p>
      <w:pPr>
        <w:spacing w:line="240" w:lineRule="auto" w:before="1"/>
        <w:rPr>
          <w:rFonts w:ascii="宋体" w:hAnsi="宋体" w:cs="宋体" w:eastAsia="宋体" w:hint="default"/>
          <w:sz w:val="18"/>
          <w:szCs w:val="18"/>
        </w:rPr>
      </w:pPr>
    </w:p>
    <w:p>
      <w:pPr>
        <w:pStyle w:val="Heading4"/>
        <w:spacing w:line="240" w:lineRule="auto" w:before="26"/>
        <w:ind w:right="0"/>
        <w:jc w:val="left"/>
        <w:rPr>
          <w:b w:val="0"/>
          <w:bCs w:val="0"/>
        </w:rPr>
      </w:pPr>
      <w:bookmarkStart w:name="三、任职情况" w:id="125"/>
      <w:bookmarkEnd w:id="125"/>
      <w:r>
        <w:rPr>
          <w:b w:val="0"/>
          <w:bCs w:val="0"/>
        </w:rPr>
      </w: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240" w:lineRule="auto" w:before="117"/>
        <w:ind w:right="0"/>
        <w:jc w:val="left"/>
      </w:pPr>
      <w:r>
        <w:rPr/>
        <w:t>（一）董事</w:t>
      </w:r>
    </w:p>
    <w:p>
      <w:pPr>
        <w:pStyle w:val="BodyText"/>
        <w:spacing w:line="300" w:lineRule="auto" w:before="76"/>
        <w:ind w:right="0" w:firstLine="360"/>
        <w:jc w:val="left"/>
      </w:pPr>
      <w:r>
        <w:rPr>
          <w:rFonts w:ascii="Times New Roman" w:hAnsi="Times New Roman" w:cs="Times New Roman" w:eastAsia="Times New Roman" w:hint="default"/>
        </w:rPr>
        <w:t>1</w:t>
      </w:r>
      <w:r>
        <w:rPr/>
        <w:t>、王安京先生，</w:t>
      </w:r>
      <w:r>
        <w:rPr>
          <w:rFonts w:ascii="Times New Roman" w:hAnsi="Times New Roman" w:cs="Times New Roman" w:eastAsia="Times New Roman" w:hint="default"/>
        </w:rPr>
        <w:t>66</w:t>
      </w:r>
      <w:r>
        <w:rPr/>
        <w:t>岁，中国国籍本公司创始人，毕业于美国纽约州立大学，获信息技术与管理科学双硕士学位。</w:t>
      </w:r>
      <w:r>
        <w:rPr>
          <w:rFonts w:ascii="Times New Roman" w:hAnsi="Times New Roman" w:cs="Times New Roman" w:eastAsia="Times New Roman" w:hint="default"/>
        </w:rPr>
        <w:t>1983 </w:t>
      </w:r>
      <w:r>
        <w:rPr>
          <w:spacing w:val="-2"/>
        </w:rPr>
        <w:t>年至</w:t>
      </w:r>
      <w:r>
        <w:rPr>
          <w:rFonts w:ascii="Times New Roman" w:hAnsi="Times New Roman" w:cs="Times New Roman" w:eastAsia="Times New Roman" w:hint="default"/>
          <w:spacing w:val="-2"/>
        </w:rPr>
        <w:t>1998</w:t>
      </w:r>
      <w:r>
        <w:rPr>
          <w:spacing w:val="-2"/>
        </w:rPr>
        <w:t>年，曾先后任职于中国银行总行、英国巴克莱银行、美国友邦保险公司和美国花旗银行，从事金融业务和技术咨询</w:t>
      </w:r>
      <w:r>
        <w:rPr>
          <w:spacing w:val="-64"/>
        </w:rPr>
        <w:t> </w:t>
      </w:r>
      <w:r>
        <w:rPr>
          <w:spacing w:val="-64"/>
        </w:rPr>
      </w:r>
      <w:r>
        <w:rPr>
          <w:spacing w:val="-3"/>
        </w:rPr>
        <w:t>工作。王安京于</w:t>
      </w:r>
      <w:r>
        <w:rPr>
          <w:rFonts w:ascii="Times New Roman" w:hAnsi="Times New Roman" w:cs="Times New Roman" w:eastAsia="Times New Roman" w:hint="default"/>
          <w:spacing w:val="-3"/>
        </w:rPr>
        <w:t>1992</w:t>
      </w:r>
      <w:r>
        <w:rPr>
          <w:spacing w:val="-3"/>
        </w:rPr>
        <w:t>年投资创办美国科蓝，</w:t>
      </w:r>
      <w:r>
        <w:rPr>
          <w:rFonts w:ascii="Times New Roman" w:hAnsi="Times New Roman" w:cs="Times New Roman" w:eastAsia="Times New Roman" w:hint="default"/>
          <w:spacing w:val="-3"/>
        </w:rPr>
        <w:t>1999</w:t>
      </w:r>
      <w:r>
        <w:rPr>
          <w:spacing w:val="-3"/>
        </w:rPr>
        <w:t>年投资创办科蓝有限，</w:t>
      </w:r>
      <w:r>
        <w:rPr>
          <w:rFonts w:ascii="Times New Roman" w:hAnsi="Times New Roman" w:cs="Times New Roman" w:eastAsia="Times New Roman" w:hint="default"/>
          <w:spacing w:val="-3"/>
        </w:rPr>
        <w:t>2002</w:t>
      </w:r>
      <w:r>
        <w:rPr>
          <w:spacing w:val="-3"/>
        </w:rPr>
        <w:t>年投资创办上海科银，</w:t>
      </w:r>
      <w:r>
        <w:rPr>
          <w:rFonts w:ascii="Times New Roman" w:hAnsi="Times New Roman" w:cs="Times New Roman" w:eastAsia="Times New Roman" w:hint="default"/>
          <w:spacing w:val="-3"/>
        </w:rPr>
        <w:t>2004</w:t>
      </w:r>
      <w:r>
        <w:rPr>
          <w:spacing w:val="-3"/>
        </w:rPr>
        <w:t>年投资创办深圳科银，</w:t>
      </w:r>
      <w:r>
        <w:rPr>
          <w:spacing w:val="-82"/>
        </w:rPr>
        <w:t> </w:t>
      </w:r>
      <w:r>
        <w:rPr>
          <w:rFonts w:ascii="Times New Roman" w:hAnsi="Times New Roman" w:cs="Times New Roman" w:eastAsia="Times New Roman" w:hint="default"/>
          <w:spacing w:val="-2"/>
        </w:rPr>
        <w:t>2009</w:t>
      </w:r>
      <w:r>
        <w:rPr>
          <w:spacing w:val="-2"/>
        </w:rPr>
        <w:t>年投资创办香港科蓝软体，先后任美国科蓝总裁；科蓝有限总经理、董事长；上海科银执行董事、经理；深圳科银执行</w:t>
      </w:r>
      <w:r>
        <w:rPr>
          <w:spacing w:val="-64"/>
        </w:rPr>
        <w:t> </w:t>
      </w:r>
      <w:r>
        <w:rPr>
          <w:spacing w:val="-64"/>
        </w:rPr>
      </w:r>
      <w:r>
        <w:rPr>
          <w:spacing w:val="-2"/>
        </w:rPr>
        <w:t>董事、经理；香港科蓝软体董事。</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月股份公司设立后至今任本公司董事长、总经理，负责公司的总体发展战略、发</w:t>
      </w:r>
      <w:r>
        <w:rPr>
          <w:spacing w:val="-63"/>
        </w:rPr>
        <w:t> </w:t>
      </w:r>
      <w:r>
        <w:rPr>
          <w:spacing w:val="-63"/>
        </w:rPr>
      </w:r>
      <w:r>
        <w:rPr/>
        <w:t>展规划和制定经营方针，以及公司核心客户的关系维护。</w:t>
      </w:r>
    </w:p>
    <w:p>
      <w:pPr>
        <w:pStyle w:val="BodyText"/>
        <w:spacing w:line="300" w:lineRule="auto" w:before="31"/>
        <w:ind w:right="1094" w:firstLine="360"/>
        <w:jc w:val="both"/>
      </w:pPr>
      <w:r>
        <w:rPr>
          <w:rFonts w:ascii="Times New Roman" w:hAnsi="Times New Roman" w:cs="Times New Roman" w:eastAsia="Times New Roman" w:hint="default"/>
        </w:rPr>
        <w:t>2</w:t>
      </w:r>
      <w:r>
        <w:rPr/>
        <w:t>、郑仁寰先生，</w:t>
      </w:r>
      <w:r>
        <w:rPr>
          <w:rFonts w:ascii="Times New Roman" w:hAnsi="Times New Roman" w:cs="Times New Roman" w:eastAsia="Times New Roman" w:hint="default"/>
        </w:rPr>
        <w:t>67</w:t>
      </w:r>
      <w:r>
        <w:rPr/>
        <w:t>岁，英国国籍</w:t>
      </w:r>
      <w:r>
        <w:rPr>
          <w:rFonts w:ascii="Times New Roman" w:hAnsi="Times New Roman" w:cs="Times New Roman" w:eastAsia="Times New Roman" w:hint="default"/>
        </w:rPr>
        <w:t>,</w:t>
      </w:r>
      <w:r>
        <w:rPr/>
        <w:t>计算机科学专业，获英国曼彻斯特大学学士及博士学位，具有丰富的软件工具开发、 </w:t>
      </w:r>
      <w:r>
        <w:rPr>
          <w:spacing w:val="-2"/>
        </w:rPr>
        <w:t>关键安全系统应用软件开发等科研工作经历。</w:t>
      </w:r>
      <w:r>
        <w:rPr>
          <w:rFonts w:ascii="Times New Roman" w:hAnsi="Times New Roman" w:cs="Times New Roman" w:eastAsia="Times New Roman" w:hint="default"/>
          <w:spacing w:val="-2"/>
        </w:rPr>
        <w:t>1999</w:t>
      </w:r>
      <w:r>
        <w:rPr>
          <w:spacing w:val="-2"/>
        </w:rPr>
        <w:t>年至</w:t>
      </w:r>
      <w:r>
        <w:rPr>
          <w:rFonts w:ascii="Times New Roman" w:hAnsi="Times New Roman" w:cs="Times New Roman" w:eastAsia="Times New Roman" w:hint="default"/>
          <w:spacing w:val="-2"/>
        </w:rPr>
        <w:t>2013</w:t>
      </w:r>
      <w:r>
        <w:rPr>
          <w:spacing w:val="-2"/>
        </w:rPr>
        <w:t>年任科蓝有限董事，现任本公司董事、香港科蓝副总经理。负责</w:t>
      </w:r>
      <w:r>
        <w:rPr>
          <w:spacing w:val="-62"/>
        </w:rPr>
        <w:t> </w:t>
      </w:r>
      <w:r>
        <w:rPr>
          <w:spacing w:val="-62"/>
        </w:rPr>
      </w:r>
      <w:r>
        <w:rPr/>
        <w:t>公司技术研发的前瞻性设计及香港科蓝的运行管理工作。</w:t>
      </w:r>
    </w:p>
    <w:p>
      <w:pPr>
        <w:pStyle w:val="BodyText"/>
        <w:spacing w:line="309" w:lineRule="auto" w:before="31"/>
        <w:ind w:right="1034" w:firstLine="360"/>
        <w:jc w:val="left"/>
      </w:pPr>
      <w:r>
        <w:rPr>
          <w:rFonts w:ascii="Times New Roman" w:hAnsi="Times New Roman" w:cs="Times New Roman" w:eastAsia="Times New Roman" w:hint="default"/>
          <w:spacing w:val="-5"/>
        </w:rPr>
        <w:t>3</w:t>
      </w:r>
      <w:r>
        <w:rPr>
          <w:spacing w:val="-5"/>
        </w:rPr>
        <w:t>、杨栋锐先生，男，</w:t>
      </w:r>
      <w:r>
        <w:rPr>
          <w:rFonts w:ascii="Times New Roman" w:hAnsi="Times New Roman" w:cs="Times New Roman" w:eastAsia="Times New Roman" w:hint="default"/>
          <w:spacing w:val="-5"/>
        </w:rPr>
        <w:t>41</w:t>
      </w:r>
      <w:r>
        <w:rPr>
          <w:spacing w:val="-5"/>
        </w:rPr>
        <w:t>岁，中国国籍，无境外永久居留权，经济学专业，硕士研究生学历，持有特许金融分析师（</w:t>
      </w:r>
      <w:r>
        <w:rPr>
          <w:rFonts w:ascii="Times New Roman" w:hAnsi="Times New Roman" w:cs="Times New Roman" w:eastAsia="Times New Roman" w:hint="default"/>
          <w:spacing w:val="-5"/>
        </w:rPr>
        <w:t>CFA</w:t>
      </w:r>
      <w:r>
        <w:rPr>
          <w:spacing w:val="-5"/>
        </w:rPr>
        <w:t>）</w:t>
      </w:r>
      <w:r>
        <w:rPr/>
        <w:t> </w:t>
      </w:r>
      <w:r>
        <w:rPr>
          <w:spacing w:val="-3"/>
        </w:rPr>
        <w:t>证书。</w:t>
      </w:r>
      <w:r>
        <w:rPr>
          <w:rFonts w:ascii="Times New Roman" w:hAnsi="Times New Roman" w:cs="Times New Roman" w:eastAsia="Times New Roman" w:hint="default"/>
          <w:spacing w:val="-3"/>
        </w:rPr>
        <w:t>2005</w:t>
      </w:r>
      <w:r>
        <w:rPr>
          <w:spacing w:val="-3"/>
        </w:rPr>
        <w:t>年至</w:t>
      </w:r>
      <w:r>
        <w:rPr>
          <w:rFonts w:ascii="Times New Roman" w:hAnsi="Times New Roman" w:cs="Times New Roman" w:eastAsia="Times New Roman" w:hint="default"/>
          <w:spacing w:val="-3"/>
        </w:rPr>
        <w:t>2007</w:t>
      </w:r>
      <w:r>
        <w:rPr>
          <w:spacing w:val="-3"/>
        </w:rPr>
        <w:t>年，历任新华基金管理有限公司行业研究员、基金经理助理。</w:t>
      </w:r>
      <w:r>
        <w:rPr>
          <w:rFonts w:ascii="Times New Roman" w:hAnsi="Times New Roman" w:cs="Times New Roman" w:eastAsia="Times New Roman" w:hint="default"/>
          <w:spacing w:val="-3"/>
        </w:rPr>
        <w:t>2008</w:t>
      </w:r>
      <w:r>
        <w:rPr>
          <w:spacing w:val="-3"/>
        </w:rPr>
        <w:t>年至</w:t>
      </w:r>
      <w:r>
        <w:rPr>
          <w:rFonts w:ascii="Times New Roman" w:hAnsi="Times New Roman" w:cs="Times New Roman" w:eastAsia="Times New Roman" w:hint="default"/>
          <w:spacing w:val="-3"/>
        </w:rPr>
        <w:t>2010</w:t>
      </w:r>
      <w:r>
        <w:rPr>
          <w:spacing w:val="-3"/>
        </w:rPr>
        <w:t>年，历任瑞银证券投资经理、</w:t>
      </w:r>
      <w:r>
        <w:rPr>
          <w:spacing w:val="-81"/>
        </w:rPr>
        <w:t> </w:t>
      </w:r>
      <w:r>
        <w:rPr>
          <w:spacing w:val="-81"/>
        </w:rPr>
      </w:r>
      <w:r>
        <w:rPr/>
        <w:t>投资组合投委会负责人及投资管理部管委会成员。</w:t>
      </w:r>
      <w:r>
        <w:rPr>
          <w:rFonts w:ascii="Times New Roman" w:hAnsi="Times New Roman" w:cs="Times New Roman" w:eastAsia="Times New Roman" w:hint="default"/>
        </w:rPr>
        <w:t>2010</w:t>
      </w:r>
      <w:r>
        <w:rPr/>
        <w:t>年至</w:t>
      </w:r>
      <w:r>
        <w:rPr>
          <w:rFonts w:ascii="Times New Roman" w:hAnsi="Times New Roman" w:cs="Times New Roman" w:eastAsia="Times New Roman" w:hint="default"/>
        </w:rPr>
        <w:t>2012</w:t>
      </w:r>
      <w:r>
        <w:rPr/>
        <w:t>年，任国金通用基金管理有限公司投资总监。</w:t>
      </w:r>
      <w:r>
        <w:rPr>
          <w:rFonts w:ascii="Times New Roman" w:hAnsi="Times New Roman" w:cs="Times New Roman" w:eastAsia="Times New Roman" w:hint="default"/>
        </w:rPr>
        <w:t>2012</w:t>
      </w:r>
      <w:r>
        <w:rPr/>
        <w:t>年至今， </w:t>
      </w:r>
      <w:r>
        <w:rPr>
          <w:spacing w:val="-2"/>
        </w:rPr>
        <w:t>任新沃资本控股集团有限公司副总裁、北京友高教育科技有限公司董事、天津奥图科技有限公司监事、北京环球悦时空文化</w:t>
      </w:r>
      <w:r>
        <w:rPr>
          <w:spacing w:val="-65"/>
        </w:rPr>
        <w:t> </w:t>
      </w:r>
      <w:r>
        <w:rPr>
          <w:spacing w:val="-65"/>
        </w:rPr>
      </w:r>
      <w:r>
        <w:rPr>
          <w:spacing w:val="-2"/>
        </w:rPr>
        <w:t>科技有限公司监事、深圳市映趣科技有限公司董事、北京弘高新沃投资管理有限公司董事兼经理、福建中沃睿德投资管理有</w:t>
      </w:r>
      <w:r>
        <w:rPr>
          <w:spacing w:val="-65"/>
        </w:rPr>
        <w:t> </w:t>
      </w:r>
      <w:r>
        <w:rPr>
          <w:spacing w:val="-65"/>
        </w:rPr>
      </w:r>
      <w:r>
        <w:rPr>
          <w:spacing w:val="-2"/>
        </w:rPr>
        <w:t>限公司法人代表兼执行董事、大连君泰投资管理有限公司董事、总经理、嘉兴沃茂投资合伙企业（有限合伙）执行事务合伙</w:t>
      </w:r>
      <w:r>
        <w:rPr>
          <w:spacing w:val="-65"/>
        </w:rPr>
        <w:t> </w:t>
      </w:r>
      <w:r>
        <w:rPr>
          <w:spacing w:val="-65"/>
        </w:rPr>
      </w:r>
      <w:r>
        <w:rPr/>
        <w:t>人、广州新沃司浦林投资管理有限公司董事、北京帕罗奥图科技有限公司监事。</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月至今任科蓝软件董事。</w:t>
      </w:r>
    </w:p>
    <w:p>
      <w:pPr>
        <w:pStyle w:val="BodyText"/>
        <w:spacing w:line="300" w:lineRule="auto" w:before="5"/>
        <w:ind w:right="1081" w:firstLine="360"/>
        <w:jc w:val="both"/>
      </w:pPr>
      <w:r>
        <w:rPr>
          <w:rFonts w:ascii="Times New Roman" w:hAnsi="Times New Roman" w:cs="Times New Roman" w:eastAsia="Times New Roman" w:hint="default"/>
          <w:spacing w:val="-4"/>
        </w:rPr>
        <w:t>4</w:t>
      </w:r>
      <w:r>
        <w:rPr>
          <w:spacing w:val="-4"/>
        </w:rPr>
        <w:t>、王方圆女士，</w:t>
      </w:r>
      <w:r>
        <w:rPr>
          <w:rFonts w:ascii="Times New Roman" w:hAnsi="Times New Roman" w:cs="Times New Roman" w:eastAsia="Times New Roman" w:hint="default"/>
          <w:spacing w:val="-4"/>
        </w:rPr>
        <w:t>41</w:t>
      </w:r>
      <w:r>
        <w:rPr>
          <w:spacing w:val="-4"/>
        </w:rPr>
        <w:t>岁，中国国籍，获加利福尼亚大学伯克利分校经济政策学士学位、纽约大学系统管理硕士学位。</w:t>
      </w:r>
      <w:r>
        <w:rPr>
          <w:rFonts w:ascii="Times New Roman" w:hAnsi="Times New Roman" w:cs="Times New Roman" w:eastAsia="Times New Roman" w:hint="default"/>
          <w:spacing w:val="-4"/>
        </w:rPr>
        <w:t>2000</w:t>
      </w:r>
      <w:r>
        <w:rPr>
          <w:rFonts w:ascii="Times New Roman" w:hAnsi="Times New Roman" w:cs="Times New Roman" w:eastAsia="Times New Roman" w:hint="default"/>
        </w:rPr>
        <w:t> </w:t>
      </w:r>
      <w:r>
        <w:rPr>
          <w:spacing w:val="-5"/>
        </w:rPr>
        <w:t>年至</w:t>
      </w:r>
      <w:r>
        <w:rPr>
          <w:rFonts w:ascii="Times New Roman" w:hAnsi="Times New Roman" w:cs="Times New Roman" w:eastAsia="Times New Roman" w:hint="default"/>
          <w:spacing w:val="-5"/>
        </w:rPr>
        <w:t>2005</w:t>
      </w:r>
      <w:r>
        <w:rPr>
          <w:spacing w:val="-5"/>
        </w:rPr>
        <w:t>年，历任加利福尼亚第一联邦银行市场部职员、</w:t>
      </w:r>
      <w:r>
        <w:rPr>
          <w:rFonts w:ascii="Times New Roman" w:hAnsi="Times New Roman" w:cs="Times New Roman" w:eastAsia="Times New Roman" w:hint="default"/>
          <w:spacing w:val="-5"/>
        </w:rPr>
        <w:t>Paradigm </w:t>
      </w:r>
      <w:r>
        <w:rPr>
          <w:rFonts w:ascii="Times New Roman" w:hAnsi="Times New Roman" w:cs="Times New Roman" w:eastAsia="Times New Roman" w:hint="default"/>
        </w:rPr>
        <w:t>Global </w:t>
      </w:r>
      <w:r>
        <w:rPr>
          <w:rFonts w:ascii="Times New Roman" w:hAnsi="Times New Roman" w:cs="Times New Roman" w:eastAsia="Times New Roman" w:hint="default"/>
          <w:spacing w:val="-3"/>
        </w:rPr>
        <w:t>Advisors</w:t>
      </w:r>
      <w:r>
        <w:rPr>
          <w:spacing w:val="-3"/>
        </w:rPr>
        <w:t>对冲基金资本配置部分析员。</w:t>
      </w:r>
      <w:r>
        <w:rPr>
          <w:rFonts w:ascii="Times New Roman" w:hAnsi="Times New Roman" w:cs="Times New Roman" w:eastAsia="Times New Roman" w:hint="default"/>
          <w:spacing w:val="-3"/>
        </w:rPr>
        <w:t>2005</w:t>
      </w:r>
      <w:r>
        <w:rPr>
          <w:spacing w:val="-3"/>
        </w:rPr>
        <w:t>年至</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t>年，历任摩根士丹利高级分析师、对冲基金指数委员会成员。</w:t>
      </w:r>
      <w:r>
        <w:rPr>
          <w:rFonts w:ascii="Times New Roman" w:hAnsi="Times New Roman" w:cs="Times New Roman" w:eastAsia="Times New Roman" w:hint="default"/>
        </w:rPr>
        <w:t>2008</w:t>
      </w:r>
      <w:r>
        <w:rPr/>
        <w:t>年至</w:t>
      </w:r>
      <w:r>
        <w:rPr>
          <w:rFonts w:ascii="Times New Roman" w:hAnsi="Times New Roman" w:cs="Times New Roman" w:eastAsia="Times New Roman" w:hint="default"/>
        </w:rPr>
        <w:t>2010</w:t>
      </w:r>
      <w:r>
        <w:rPr/>
        <w:t>年，担任</w:t>
      </w:r>
      <w:r>
        <w:rPr>
          <w:rFonts w:ascii="Times New Roman" w:hAnsi="Times New Roman" w:cs="Times New Roman" w:eastAsia="Times New Roman" w:hint="default"/>
        </w:rPr>
        <w:t>AFS</w:t>
      </w:r>
      <w:r>
        <w:rPr/>
        <w:t>国际咨询（有限）公司咨询顾问。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月至今任本公司董事。</w:t>
      </w:r>
    </w:p>
    <w:p>
      <w:pPr>
        <w:pStyle w:val="BodyText"/>
        <w:spacing w:line="300" w:lineRule="auto" w:before="13"/>
        <w:ind w:right="1124" w:firstLine="360"/>
        <w:jc w:val="left"/>
      </w:pPr>
      <w:r>
        <w:rPr>
          <w:rFonts w:ascii="Times New Roman" w:hAnsi="Times New Roman" w:cs="Times New Roman" w:eastAsia="Times New Roman" w:hint="default"/>
        </w:rPr>
        <w:t>5</w:t>
      </w:r>
      <w:r>
        <w:rPr/>
        <w:t>、李国庆先生，</w:t>
      </w:r>
      <w:r>
        <w:rPr>
          <w:rFonts w:ascii="Times New Roman" w:hAnsi="Times New Roman" w:cs="Times New Roman" w:eastAsia="Times New Roman" w:hint="default"/>
        </w:rPr>
        <w:t>50</w:t>
      </w:r>
      <w:r>
        <w:rPr/>
        <w:t>岁，中国国籍，数理统计专业，本科学历。曾任深圳海实信息系统有限公司和北京贝海网络科技有 限公司技术总监，</w:t>
      </w:r>
      <w:r>
        <w:rPr>
          <w:rFonts w:ascii="Times New Roman" w:hAnsi="Times New Roman" w:cs="Times New Roman" w:eastAsia="Times New Roman" w:hint="default"/>
        </w:rPr>
        <w:t>2004</w:t>
      </w:r>
      <w:r>
        <w:rPr/>
        <w:t>年至</w:t>
      </w:r>
      <w:r>
        <w:rPr>
          <w:rFonts w:ascii="Times New Roman" w:hAnsi="Times New Roman" w:cs="Times New Roman" w:eastAsia="Times New Roman" w:hint="default"/>
        </w:rPr>
        <w:t>2013</w:t>
      </w:r>
      <w:r>
        <w:rPr/>
        <w:t>年，先后担任科蓝有限</w:t>
      </w:r>
      <w:r>
        <w:rPr>
          <w:rFonts w:ascii="Times New Roman" w:hAnsi="Times New Roman" w:cs="Times New Roman" w:eastAsia="Times New Roman" w:hint="default"/>
        </w:rPr>
        <w:t>“</w:t>
      </w:r>
      <w:r>
        <w:rPr/>
        <w:t>交通银行新一代外汇宝项目</w:t>
      </w:r>
      <w:r>
        <w:rPr>
          <w:rFonts w:ascii="Times New Roman" w:hAnsi="Times New Roman" w:cs="Times New Roman" w:eastAsia="Times New Roman" w:hint="default"/>
        </w:rPr>
        <w:t>”</w:t>
      </w:r>
      <w:r>
        <w:rPr/>
        <w:t>架构师、</w:t>
      </w:r>
      <w:r>
        <w:rPr>
          <w:rFonts w:ascii="Times New Roman" w:hAnsi="Times New Roman" w:cs="Times New Roman" w:eastAsia="Times New Roman" w:hint="default"/>
        </w:rPr>
        <w:t>“</w:t>
      </w:r>
      <w:r>
        <w:rPr/>
        <w:t>交通银行外汇保证金项目</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t>架构师、</w:t>
      </w:r>
      <w:r>
        <w:rPr>
          <w:rFonts w:ascii="Times New Roman" w:hAnsi="Times New Roman" w:cs="Times New Roman" w:eastAsia="Times New Roman" w:hint="default"/>
        </w:rPr>
        <w:t>“</w:t>
      </w:r>
      <w:r>
        <w:rPr/>
        <w:t>上海银行新一代电子银行渠道整合项目</w:t>
      </w:r>
      <w:r>
        <w:rPr>
          <w:rFonts w:ascii="Times New Roman" w:hAnsi="Times New Roman" w:cs="Times New Roman" w:eastAsia="Times New Roman" w:hint="default"/>
        </w:rPr>
        <w:t>”</w:t>
      </w:r>
      <w:r>
        <w:rPr/>
        <w:t>架构师。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月至今任本公司副总经理，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月至今任本公司董 事，负责公司技术研发工作、技术中心日常管理工作。</w:t>
      </w:r>
    </w:p>
    <w:p>
      <w:pPr>
        <w:pStyle w:val="BodyText"/>
        <w:spacing w:line="300" w:lineRule="auto" w:before="31"/>
        <w:ind w:right="1132" w:firstLine="271"/>
        <w:jc w:val="both"/>
      </w:pPr>
      <w:r>
        <w:rPr>
          <w:rFonts w:ascii="Times New Roman" w:hAnsi="Times New Roman" w:cs="Times New Roman" w:eastAsia="Times New Roman" w:hint="default"/>
          <w:spacing w:val="-2"/>
        </w:rPr>
        <w:t>6</w:t>
      </w:r>
      <w:r>
        <w:rPr>
          <w:spacing w:val="-2"/>
        </w:rPr>
        <w:t>、王缉志先生，</w:t>
      </w:r>
      <w:r>
        <w:rPr>
          <w:rFonts w:ascii="Times New Roman" w:hAnsi="Times New Roman" w:cs="Times New Roman" w:eastAsia="Times New Roman" w:hint="default"/>
          <w:spacing w:val="-2"/>
        </w:rPr>
        <w:t>78</w:t>
      </w:r>
      <w:r>
        <w:rPr>
          <w:spacing w:val="-2"/>
        </w:rPr>
        <w:t>岁，中国国籍，数学专业，本科学历。曾长期从事汉字处理的开发工作，获得由北京市人民政府颁发</w:t>
      </w:r>
      <w:r>
        <w:rPr/>
        <w:t> </w:t>
      </w:r>
      <w:r>
        <w:rPr>
          <w:spacing w:val="-1"/>
        </w:rPr>
        <w:t>的</w:t>
      </w:r>
      <w:r>
        <w:rPr>
          <w:rFonts w:ascii="Times New Roman" w:hAnsi="Times New Roman" w:cs="Times New Roman" w:eastAsia="Times New Roman" w:hint="default"/>
          <w:spacing w:val="-1"/>
        </w:rPr>
        <w:t>“</w:t>
      </w:r>
      <w:r>
        <w:rPr>
          <w:spacing w:val="-1"/>
        </w:rPr>
        <w:t>北京市有突出贡献的专家</w:t>
      </w:r>
      <w:r>
        <w:rPr>
          <w:rFonts w:ascii="Times New Roman" w:hAnsi="Times New Roman" w:cs="Times New Roman" w:eastAsia="Times New Roman" w:hint="default"/>
          <w:spacing w:val="-1"/>
        </w:rPr>
        <w:t>”</w:t>
      </w:r>
      <w:r>
        <w:rPr>
          <w:spacing w:val="-1"/>
        </w:rPr>
        <w:t>荣誉证书、由国家科学技术委员会等四部门联合授予</w:t>
      </w:r>
      <w:r>
        <w:rPr>
          <w:rFonts w:ascii="Times New Roman" w:hAnsi="Times New Roman" w:cs="Times New Roman" w:eastAsia="Times New Roman" w:hint="default"/>
          <w:spacing w:val="-1"/>
        </w:rPr>
        <w:t>“</w:t>
      </w:r>
      <w:r>
        <w:rPr>
          <w:spacing w:val="-1"/>
        </w:rPr>
        <w:t>中国优秀民办科技实业家</w:t>
      </w:r>
      <w:r>
        <w:rPr>
          <w:rFonts w:ascii="Times New Roman" w:hAnsi="Times New Roman" w:cs="Times New Roman" w:eastAsia="Times New Roman" w:hint="default"/>
          <w:spacing w:val="-1"/>
        </w:rPr>
        <w:t>”</w:t>
      </w:r>
      <w:r>
        <w:rPr>
          <w:spacing w:val="-1"/>
        </w:rPr>
        <w:t>称号。</w:t>
      </w:r>
      <w:r>
        <w:rPr>
          <w:rFonts w:ascii="Times New Roman" w:hAnsi="Times New Roman" w:cs="Times New Roman" w:eastAsia="Times New Roman" w:hint="default"/>
          <w:spacing w:val="-1"/>
        </w:rPr>
        <w:t>1984</w:t>
      </w:r>
      <w:r>
        <w:rPr>
          <w:spacing w:val="-1"/>
        </w:rPr>
        <w:t>年</w:t>
      </w:r>
      <w:r>
        <w:rPr>
          <w:spacing w:val="-79"/>
        </w:rPr>
        <w:t> </w:t>
      </w:r>
      <w:r>
        <w:rPr>
          <w:spacing w:val="-2"/>
        </w:rPr>
        <w:t>至</w:t>
      </w:r>
      <w:r>
        <w:rPr>
          <w:rFonts w:ascii="Times New Roman" w:hAnsi="Times New Roman" w:cs="Times New Roman" w:eastAsia="Times New Roman" w:hint="default"/>
          <w:spacing w:val="-2"/>
        </w:rPr>
        <w:t>1992</w:t>
      </w:r>
      <w:r>
        <w:rPr>
          <w:spacing w:val="-2"/>
        </w:rPr>
        <w:t>年，任四通集团公司执行副总裁兼总工程师，</w:t>
      </w:r>
      <w:r>
        <w:rPr>
          <w:rFonts w:ascii="Times New Roman" w:hAnsi="Times New Roman" w:cs="Times New Roman" w:eastAsia="Times New Roman" w:hint="default"/>
          <w:spacing w:val="-2"/>
        </w:rPr>
        <w:t>1992</w:t>
      </w:r>
      <w:r>
        <w:rPr>
          <w:spacing w:val="-2"/>
        </w:rPr>
        <w:t>年至</w:t>
      </w:r>
      <w:r>
        <w:rPr>
          <w:rFonts w:ascii="Times New Roman" w:hAnsi="Times New Roman" w:cs="Times New Roman" w:eastAsia="Times New Roman" w:hint="default"/>
          <w:spacing w:val="-2"/>
        </w:rPr>
        <w:t>2003</w:t>
      </w:r>
      <w:r>
        <w:rPr>
          <w:spacing w:val="-2"/>
        </w:rPr>
        <w:t>年，曾先后任职于北京新宝石电脑技术有限公司、北京多</w:t>
      </w:r>
    </w:p>
    <w:p>
      <w:pPr>
        <w:spacing w:after="0" w:line="300" w:lineRule="auto"/>
        <w:jc w:val="both"/>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方位电信股份有限公司、北京佰能电气股份有限公司、北京仲目科技有限公司，曾担任宝龙达信息技术股份有限公司独立董</w:t>
      </w:r>
      <w:r>
        <w:rPr>
          <w:spacing w:val="-65"/>
        </w:rPr>
        <w:t> </w:t>
      </w:r>
      <w:r>
        <w:rPr>
          <w:spacing w:val="-65"/>
        </w:rPr>
      </w:r>
      <w:r>
        <w:rPr/>
        <w:t>事。</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月至今任本公司独立董事。</w:t>
      </w:r>
    </w:p>
    <w:p>
      <w:pPr>
        <w:pStyle w:val="BodyText"/>
        <w:spacing w:line="300" w:lineRule="auto"/>
        <w:ind w:right="1132" w:firstLine="360"/>
        <w:jc w:val="both"/>
      </w:pPr>
      <w:r>
        <w:rPr>
          <w:rFonts w:ascii="Times New Roman" w:hAnsi="Times New Roman" w:cs="Times New Roman" w:eastAsia="Times New Roman" w:hint="default"/>
        </w:rPr>
        <w:t>7</w:t>
      </w:r>
      <w:r>
        <w:rPr/>
        <w:t>、郑晓武先生，</w:t>
      </w:r>
      <w:r>
        <w:rPr>
          <w:rFonts w:ascii="Times New Roman" w:hAnsi="Times New Roman" w:cs="Times New Roman" w:eastAsia="Times New Roman" w:hint="default"/>
        </w:rPr>
        <w:t>65</w:t>
      </w:r>
      <w:r>
        <w:rPr/>
        <w:t>岁，中国国籍，管理学专业，哈佛大学硕士研究生学历。</w:t>
      </w:r>
      <w:r>
        <w:rPr>
          <w:rFonts w:ascii="Times New Roman" w:hAnsi="Times New Roman" w:cs="Times New Roman" w:eastAsia="Times New Roman" w:hint="default"/>
        </w:rPr>
        <w:t>1979</w:t>
      </w:r>
      <w:r>
        <w:rPr/>
        <w:t>年至</w:t>
      </w:r>
      <w:r>
        <w:rPr>
          <w:rFonts w:ascii="Times New Roman" w:hAnsi="Times New Roman" w:cs="Times New Roman" w:eastAsia="Times New Roman" w:hint="default"/>
        </w:rPr>
        <w:t>1987</w:t>
      </w:r>
      <w:r>
        <w:rPr/>
        <w:t>年，于北京市农林科学院生 </w:t>
      </w:r>
      <w:r>
        <w:rPr>
          <w:spacing w:val="-2"/>
        </w:rPr>
        <w:t>物统计研究室从事科研工作，</w:t>
      </w:r>
      <w:r>
        <w:rPr>
          <w:rFonts w:ascii="Times New Roman" w:hAnsi="Times New Roman" w:cs="Times New Roman" w:eastAsia="Times New Roman" w:hint="default"/>
          <w:spacing w:val="-2"/>
        </w:rPr>
        <w:t>1990</w:t>
      </w:r>
      <w:r>
        <w:rPr>
          <w:spacing w:val="-2"/>
        </w:rPr>
        <w:t>年至</w:t>
      </w:r>
      <w:r>
        <w:rPr>
          <w:rFonts w:ascii="Times New Roman" w:hAnsi="Times New Roman" w:cs="Times New Roman" w:eastAsia="Times New Roman" w:hint="default"/>
          <w:spacing w:val="-2"/>
        </w:rPr>
        <w:t>1992</w:t>
      </w:r>
      <w:r>
        <w:rPr>
          <w:spacing w:val="-2"/>
        </w:rPr>
        <w:t>年，任中国华润集团（美国）国际有限公司部门经理。</w:t>
      </w:r>
      <w:r>
        <w:rPr>
          <w:rFonts w:ascii="Times New Roman" w:hAnsi="Times New Roman" w:cs="Times New Roman" w:eastAsia="Times New Roman" w:hint="default"/>
          <w:spacing w:val="-2"/>
        </w:rPr>
        <w:t>1993</w:t>
      </w:r>
      <w:r>
        <w:rPr>
          <w:spacing w:val="-2"/>
        </w:rPr>
        <w:t>年至今，任职于北京</w:t>
      </w:r>
      <w:r>
        <w:rPr>
          <w:spacing w:val="-60"/>
        </w:rPr>
        <w:t> </w:t>
      </w:r>
      <w:r>
        <w:rPr>
          <w:spacing w:val="-60"/>
        </w:rPr>
      </w:r>
      <w:r>
        <w:rPr>
          <w:spacing w:val="-2"/>
        </w:rPr>
        <w:t>市康达律师事务所，现兼任北京华联综合超市股份有限公司独立董事，北京金通量科技有限公司监事。</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月至今任本</w:t>
      </w:r>
      <w:r>
        <w:rPr>
          <w:spacing w:val="-62"/>
        </w:rPr>
        <w:t> </w:t>
      </w:r>
      <w:r>
        <w:rPr/>
        <w:t>公司独立董事。</w:t>
      </w:r>
    </w:p>
    <w:p>
      <w:pPr>
        <w:pStyle w:val="BodyText"/>
        <w:spacing w:line="304" w:lineRule="auto" w:before="31"/>
        <w:ind w:right="1132" w:firstLine="360"/>
        <w:jc w:val="both"/>
      </w:pPr>
      <w:r>
        <w:rPr>
          <w:rFonts w:ascii="Times New Roman" w:hAnsi="Times New Roman" w:cs="Times New Roman" w:eastAsia="Times New Roman" w:hint="default"/>
        </w:rPr>
        <w:t>8</w:t>
      </w:r>
      <w:r>
        <w:rPr/>
        <w:t>、马朝松先生，</w:t>
      </w:r>
      <w:r>
        <w:rPr>
          <w:rFonts w:ascii="Times New Roman" w:hAnsi="Times New Roman" w:cs="Times New Roman" w:eastAsia="Times New Roman" w:hint="default"/>
        </w:rPr>
        <w:t>47</w:t>
      </w:r>
      <w:r>
        <w:rPr/>
        <w:t>岁，中国国籍，会计学专业，硕士研究生学历，中国注册会计师，注册税务师，资产评估师。</w:t>
      </w:r>
      <w:r>
        <w:rPr>
          <w:rFonts w:ascii="Times New Roman" w:hAnsi="Times New Roman" w:cs="Times New Roman" w:eastAsia="Times New Roman" w:hint="default"/>
        </w:rPr>
        <w:t>1997 </w:t>
      </w:r>
      <w:r>
        <w:rPr/>
        <w:t>年至</w:t>
      </w:r>
      <w:r>
        <w:rPr>
          <w:rFonts w:ascii="Times New Roman" w:hAnsi="Times New Roman" w:cs="Times New Roman" w:eastAsia="Times New Roman" w:hint="default"/>
        </w:rPr>
        <w:t>1999</w:t>
      </w:r>
      <w:r>
        <w:rPr/>
        <w:t>年，任中测会计师事务所项目经理，</w:t>
      </w:r>
      <w:r>
        <w:rPr>
          <w:rFonts w:ascii="Times New Roman" w:hAnsi="Times New Roman" w:cs="Times New Roman" w:eastAsia="Times New Roman" w:hint="default"/>
        </w:rPr>
        <w:t>1999</w:t>
      </w:r>
      <w:r>
        <w:rPr/>
        <w:t>年至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月，任职于中诚信会计师事务所有限责任公司。现任中天运 </w:t>
      </w:r>
      <w:r>
        <w:rPr>
          <w:spacing w:val="-2"/>
        </w:rPr>
        <w:t>会计师事务所（特殊普通合伙）合伙人、北京信利恒税务师事务所有限责任公司董事长兼总经理、北京威卡威汽车零部件股</w:t>
      </w:r>
      <w:r>
        <w:rPr>
          <w:spacing w:val="-66"/>
        </w:rPr>
        <w:t> </w:t>
      </w:r>
      <w:r>
        <w:rPr>
          <w:spacing w:val="-66"/>
        </w:rPr>
      </w:r>
      <w:r>
        <w:rPr>
          <w:spacing w:val="-2"/>
        </w:rPr>
        <w:t>份有限公司独立董事，中国核工业建设股份有限公司独立董事、北京知与行管理咨询有限公司总经理。</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月至今任本</w:t>
      </w:r>
      <w:r>
        <w:rPr>
          <w:spacing w:val="-62"/>
        </w:rPr>
        <w:t> </w:t>
      </w:r>
      <w:r>
        <w:rPr/>
        <w:t>公司独立董事。</w:t>
      </w:r>
    </w:p>
    <w:p>
      <w:pPr>
        <w:spacing w:line="240" w:lineRule="auto" w:before="13"/>
        <w:rPr>
          <w:rFonts w:ascii="宋体" w:hAnsi="宋体" w:cs="宋体" w:eastAsia="宋体" w:hint="default"/>
          <w:sz w:val="25"/>
          <w:szCs w:val="25"/>
        </w:rPr>
      </w:pPr>
    </w:p>
    <w:p>
      <w:pPr>
        <w:pStyle w:val="BodyText"/>
        <w:spacing w:line="240" w:lineRule="auto"/>
        <w:ind w:right="0"/>
        <w:jc w:val="left"/>
      </w:pPr>
      <w:r>
        <w:rPr/>
        <w:t>（二）监事</w:t>
      </w:r>
    </w:p>
    <w:p>
      <w:pPr>
        <w:pStyle w:val="BodyText"/>
        <w:spacing w:line="300" w:lineRule="auto" w:before="76"/>
        <w:ind w:right="1129" w:firstLine="271"/>
        <w:jc w:val="left"/>
      </w:pPr>
      <w:r>
        <w:rPr>
          <w:rFonts w:ascii="Times New Roman" w:hAnsi="Times New Roman" w:cs="Times New Roman" w:eastAsia="Times New Roman" w:hint="default"/>
        </w:rPr>
        <w:t>1</w:t>
      </w:r>
      <w:r>
        <w:rPr/>
        <w:t>、</w:t>
      </w:r>
      <w:r>
        <w:rPr>
          <w:spacing w:val="-6"/>
        </w:rPr>
        <w:t> </w:t>
      </w:r>
      <w:r>
        <w:rPr/>
        <w:t>周海朗先生，</w:t>
      </w:r>
      <w:r>
        <w:rPr>
          <w:rFonts w:ascii="Times New Roman" w:hAnsi="Times New Roman" w:cs="Times New Roman" w:eastAsia="Times New Roman" w:hint="default"/>
        </w:rPr>
        <w:t>67</w:t>
      </w:r>
      <w:r>
        <w:rPr/>
        <w:t>岁，中国国籍，放射化工专业，本科学历。</w:t>
      </w:r>
      <w:r>
        <w:rPr>
          <w:rFonts w:ascii="Times New Roman" w:hAnsi="Times New Roman" w:cs="Times New Roman" w:eastAsia="Times New Roman" w:hint="default"/>
        </w:rPr>
        <w:t>1979</w:t>
      </w:r>
      <w:r>
        <w:rPr/>
        <w:t>年至</w:t>
      </w:r>
      <w:r>
        <w:rPr>
          <w:rFonts w:ascii="Times New Roman" w:hAnsi="Times New Roman" w:cs="Times New Roman" w:eastAsia="Times New Roman" w:hint="default"/>
        </w:rPr>
        <w:t>1996</w:t>
      </w:r>
      <w:r>
        <w:rPr/>
        <w:t>年，历任北京计算机三厂生产、研发、销 售等部门经理，</w:t>
      </w:r>
      <w:r>
        <w:rPr>
          <w:rFonts w:ascii="Times New Roman" w:hAnsi="Times New Roman" w:cs="Times New Roman" w:eastAsia="Times New Roman" w:hint="default"/>
        </w:rPr>
        <w:t>1996</w:t>
      </w:r>
      <w:r>
        <w:rPr/>
        <w:t>年至</w:t>
      </w:r>
      <w:r>
        <w:rPr>
          <w:rFonts w:ascii="Times New Roman" w:hAnsi="Times New Roman" w:cs="Times New Roman" w:eastAsia="Times New Roman" w:hint="default"/>
        </w:rPr>
        <w:t>2003</w:t>
      </w:r>
      <w:r>
        <w:rPr/>
        <w:t>年，曾先后担任（惠州市）休曼集团公司副总经理、上海天时网络有限公司产品总监，</w:t>
      </w:r>
      <w:r>
        <w:rPr>
          <w:rFonts w:ascii="Times New Roman" w:hAnsi="Times New Roman" w:cs="Times New Roman" w:eastAsia="Times New Roman" w:hint="default"/>
        </w:rPr>
        <w:t>2003 </w:t>
      </w:r>
      <w:r>
        <w:rPr/>
        <w:t>年至</w:t>
      </w:r>
      <w:r>
        <w:rPr>
          <w:rFonts w:ascii="Times New Roman" w:hAnsi="Times New Roman" w:cs="Times New Roman" w:eastAsia="Times New Roman" w:hint="default"/>
        </w:rPr>
        <w:t>2008</w:t>
      </w:r>
      <w:r>
        <w:rPr/>
        <w:t>年，任北京共创开源软件有限公司副总经理。现兼任深圳科蓝监事。</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月至今任本公司监事会主席。</w:t>
      </w:r>
    </w:p>
    <w:p>
      <w:pPr>
        <w:pStyle w:val="BodyText"/>
        <w:spacing w:line="300" w:lineRule="auto" w:before="13"/>
        <w:ind w:right="1132" w:firstLine="180"/>
        <w:jc w:val="both"/>
      </w:pPr>
      <w:r>
        <w:rPr>
          <w:rFonts w:ascii="Times New Roman" w:hAnsi="Times New Roman" w:cs="Times New Roman" w:eastAsia="Times New Roman" w:hint="default"/>
        </w:rPr>
        <w:t>2</w:t>
      </w:r>
      <w:r>
        <w:rPr/>
        <w:t>、宋建彪先生，</w:t>
      </w:r>
      <w:r>
        <w:rPr>
          <w:rFonts w:ascii="Times New Roman" w:hAnsi="Times New Roman" w:cs="Times New Roman" w:eastAsia="Times New Roman" w:hint="default"/>
        </w:rPr>
        <w:t>48</w:t>
      </w:r>
      <w:r>
        <w:rPr/>
        <w:t>岁，中国国籍，博士研究生学历。曾任职于深圳市创新投资集团有限公司，现任基石资产管理股份有 </w:t>
      </w:r>
      <w:r>
        <w:rPr>
          <w:spacing w:val="-2"/>
        </w:rPr>
        <w:t>限公司董事会秘书、投资管理部总经理，湖南宇晶机器股份有限公司董事，深圳岂凡网络有限公司董事。</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月至今任</w:t>
      </w:r>
      <w:r>
        <w:rPr>
          <w:spacing w:val="-63"/>
        </w:rPr>
        <w:t> </w:t>
      </w:r>
      <w:r>
        <w:rPr/>
        <w:t>本公司监事。</w:t>
      </w:r>
    </w:p>
    <w:p>
      <w:pPr>
        <w:pStyle w:val="BodyText"/>
        <w:spacing w:line="300" w:lineRule="auto" w:before="31"/>
        <w:ind w:right="1127" w:firstLine="180"/>
        <w:jc w:val="left"/>
      </w:pPr>
      <w:r>
        <w:rPr>
          <w:rFonts w:ascii="Times New Roman" w:hAnsi="Times New Roman" w:cs="Times New Roman" w:eastAsia="Times New Roman" w:hint="default"/>
        </w:rPr>
        <w:t>3</w:t>
      </w:r>
      <w:r>
        <w:rPr/>
        <w:t>、 敖晓振女士，</w:t>
      </w:r>
      <w:r>
        <w:rPr>
          <w:rFonts w:ascii="Times New Roman" w:hAnsi="Times New Roman" w:cs="Times New Roman" w:eastAsia="Times New Roman" w:hint="default"/>
        </w:rPr>
        <w:t>32</w:t>
      </w:r>
      <w:r>
        <w:rPr/>
        <w:t>岁，中国国籍，金融学专业，本科学历。</w:t>
      </w:r>
      <w:r>
        <w:rPr>
          <w:rFonts w:ascii="Times New Roman" w:hAnsi="Times New Roman" w:cs="Times New Roman" w:eastAsia="Times New Roman" w:hint="default"/>
        </w:rPr>
        <w:t>2014</w:t>
      </w:r>
      <w:r>
        <w:rPr>
          <w:rFonts w:ascii="Times New Roman" w:hAnsi="Times New Roman" w:cs="Times New Roman" w:eastAsia="Times New Roman" w:hint="default"/>
          <w:spacing w:val="42"/>
        </w:rPr>
        <w:t> </w:t>
      </w:r>
      <w:r>
        <w:rPr/>
        <w:t>年</w:t>
      </w:r>
      <w:r>
        <w:rPr>
          <w:rFonts w:ascii="Times New Roman" w:hAnsi="Times New Roman" w:cs="Times New Roman" w:eastAsia="Times New Roman" w:hint="default"/>
        </w:rPr>
        <w:t>06</w:t>
      </w:r>
      <w:r>
        <w:rPr/>
        <w:t>月至今任职于北京科蓝软件系统股份有限公司人 事部。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月至今担任公司职工监事。</w:t>
      </w:r>
    </w:p>
    <w:p>
      <w:pPr>
        <w:spacing w:line="240" w:lineRule="auto" w:before="11"/>
        <w:rPr>
          <w:rFonts w:ascii="宋体" w:hAnsi="宋体" w:cs="宋体" w:eastAsia="宋体" w:hint="default"/>
          <w:sz w:val="24"/>
          <w:szCs w:val="24"/>
        </w:rPr>
      </w:pPr>
    </w:p>
    <w:p>
      <w:pPr>
        <w:pStyle w:val="BodyText"/>
        <w:spacing w:line="240" w:lineRule="auto"/>
        <w:ind w:right="0"/>
        <w:jc w:val="left"/>
      </w:pPr>
      <w:r>
        <w:rPr/>
        <w:t>（三）高级管理人员</w:t>
      </w:r>
    </w:p>
    <w:p>
      <w:pPr>
        <w:pStyle w:val="BodyText"/>
        <w:spacing w:line="240" w:lineRule="auto" w:before="76"/>
        <w:ind w:left="472" w:right="0"/>
        <w:jc w:val="left"/>
      </w:pPr>
      <w:r>
        <w:rPr>
          <w:rFonts w:ascii="Times New Roman" w:hAnsi="Times New Roman" w:cs="Times New Roman" w:eastAsia="Times New Roman" w:hint="default"/>
        </w:rPr>
        <w:t>1</w:t>
      </w:r>
      <w:r>
        <w:rPr/>
        <w:t>、王安京先生：总经理（简历见前述董事介绍）</w:t>
      </w:r>
    </w:p>
    <w:p>
      <w:pPr>
        <w:pStyle w:val="BodyText"/>
        <w:spacing w:line="240" w:lineRule="auto" w:before="63"/>
        <w:ind w:left="472" w:right="0"/>
        <w:jc w:val="left"/>
      </w:pPr>
      <w:r>
        <w:rPr>
          <w:rFonts w:ascii="Times New Roman" w:hAnsi="Times New Roman" w:cs="Times New Roman" w:eastAsia="Times New Roman" w:hint="default"/>
        </w:rPr>
        <w:t>2</w:t>
      </w:r>
      <w:r>
        <w:rPr/>
        <w:t>、李国庆先生：副总经理（简历见前述董事介绍）</w:t>
      </w:r>
    </w:p>
    <w:p>
      <w:pPr>
        <w:pStyle w:val="BodyText"/>
        <w:spacing w:line="240" w:lineRule="auto" w:before="63"/>
        <w:ind w:left="472" w:right="0"/>
        <w:jc w:val="left"/>
      </w:pPr>
      <w:r>
        <w:rPr>
          <w:rFonts w:ascii="Times New Roman" w:hAnsi="Times New Roman" w:cs="Times New Roman" w:eastAsia="Times New Roman" w:hint="default"/>
        </w:rPr>
        <w:t>3</w:t>
      </w:r>
      <w:r>
        <w:rPr/>
        <w:t>、周旭红女士，财务总监兼董事会秘书，中国国籍，管理工程专业，硕士研究生学历，中国注册会计师，高级会计师。</w:t>
      </w:r>
    </w:p>
    <w:p>
      <w:pPr>
        <w:pStyle w:val="BodyText"/>
        <w:spacing w:line="300" w:lineRule="auto" w:before="63"/>
        <w:ind w:right="1034"/>
        <w:jc w:val="left"/>
      </w:pPr>
      <w:r>
        <w:rPr>
          <w:rFonts w:ascii="Times New Roman" w:hAnsi="Times New Roman" w:cs="Times New Roman" w:eastAsia="Times New Roman" w:hint="default"/>
          <w:spacing w:val="-2"/>
        </w:rPr>
        <w:t>1993</w:t>
      </w:r>
      <w:r>
        <w:rPr>
          <w:spacing w:val="-2"/>
        </w:rPr>
        <w:t>年至</w:t>
      </w:r>
      <w:r>
        <w:rPr>
          <w:rFonts w:ascii="Times New Roman" w:hAnsi="Times New Roman" w:cs="Times New Roman" w:eastAsia="Times New Roman" w:hint="default"/>
          <w:spacing w:val="-2"/>
        </w:rPr>
        <w:t>2000</w:t>
      </w:r>
      <w:r>
        <w:rPr>
          <w:spacing w:val="-2"/>
        </w:rPr>
        <w:t>年，曾先后担任北京厚普经贸有限公司经理、北京市八百佳物流中心副总经理。</w:t>
      </w:r>
      <w:r>
        <w:rPr>
          <w:rFonts w:ascii="Times New Roman" w:hAnsi="Times New Roman" w:cs="Times New Roman" w:eastAsia="Times New Roman" w:hint="default"/>
          <w:spacing w:val="-2"/>
        </w:rPr>
        <w:t>2000</w:t>
      </w:r>
      <w:r>
        <w:rPr>
          <w:spacing w:val="-2"/>
        </w:rPr>
        <w:t>年至</w:t>
      </w:r>
      <w:r>
        <w:rPr>
          <w:rFonts w:ascii="Times New Roman" w:hAnsi="Times New Roman" w:cs="Times New Roman" w:eastAsia="Times New Roman" w:hint="default"/>
          <w:spacing w:val="-2"/>
        </w:rPr>
        <w:t>2004</w:t>
      </w:r>
      <w:r>
        <w:rPr>
          <w:spacing w:val="-2"/>
        </w:rPr>
        <w:t>年，任天健正信</w:t>
      </w:r>
      <w:r>
        <w:rPr>
          <w:spacing w:val="-58"/>
        </w:rPr>
        <w:t> </w:t>
      </w:r>
      <w:r>
        <w:rPr>
          <w:spacing w:val="-58"/>
        </w:rPr>
      </w:r>
      <w:r>
        <w:rPr>
          <w:spacing w:val="-5"/>
        </w:rPr>
        <w:t>会计师事务所高级经理。</w:t>
      </w:r>
      <w:r>
        <w:rPr>
          <w:rFonts w:ascii="Times New Roman" w:hAnsi="Times New Roman" w:cs="Times New Roman" w:eastAsia="Times New Roman" w:hint="default"/>
          <w:spacing w:val="-5"/>
        </w:rPr>
        <w:t>2005</w:t>
      </w:r>
      <w:r>
        <w:rPr>
          <w:spacing w:val="-5"/>
        </w:rPr>
        <w:t>年至</w:t>
      </w:r>
      <w:r>
        <w:rPr>
          <w:rFonts w:ascii="Times New Roman" w:hAnsi="Times New Roman" w:cs="Times New Roman" w:eastAsia="Times New Roman" w:hint="default"/>
          <w:spacing w:val="-5"/>
        </w:rPr>
        <w:t>2011</w:t>
      </w:r>
      <w:r>
        <w:rPr>
          <w:spacing w:val="-5"/>
        </w:rPr>
        <w:t>年，先后担任二六三网络通信股份有限公司财务部经理、内审总监、董事长助理。</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年至</w:t>
      </w:r>
      <w:r>
        <w:rPr>
          <w:rFonts w:ascii="Times New Roman" w:hAnsi="Times New Roman" w:cs="Times New Roman" w:eastAsia="Times New Roman" w:hint="default"/>
        </w:rPr>
        <w:t>2013</w:t>
      </w:r>
      <w:r>
        <w:rPr/>
        <w:t>年，任科蓝有限财务总监，</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月至今任本公司财务总监、董事会秘书，主要负责公司财务预算、核算工作、 投融资、法务工作以及投资者关系管理等证券相关事务。</w:t>
      </w:r>
    </w:p>
    <w:p>
      <w:pPr>
        <w:pStyle w:val="BodyText"/>
        <w:spacing w:line="300" w:lineRule="auto" w:before="31"/>
        <w:ind w:right="1132" w:firstLine="360"/>
        <w:jc w:val="both"/>
      </w:pPr>
      <w:r>
        <w:rPr>
          <w:rFonts w:ascii="Times New Roman" w:hAnsi="Times New Roman" w:cs="Times New Roman" w:eastAsia="Times New Roman" w:hint="default"/>
        </w:rPr>
        <w:t>4</w:t>
      </w:r>
      <w:r>
        <w:rPr/>
        <w:t>、周荣女士，副总经理，</w:t>
      </w:r>
      <w:r>
        <w:rPr>
          <w:rFonts w:ascii="Times New Roman" w:hAnsi="Times New Roman" w:cs="Times New Roman" w:eastAsia="Times New Roman" w:hint="default"/>
        </w:rPr>
        <w:t>52</w:t>
      </w:r>
      <w:r>
        <w:rPr/>
        <w:t>岁，中国国籍，法律专业，本科学历。曾担任中国人民解放军新疆军区司令部直属部队陆 </w:t>
      </w:r>
      <w:r>
        <w:rPr>
          <w:spacing w:val="-2"/>
        </w:rPr>
        <w:t>军军官，</w:t>
      </w:r>
      <w:r>
        <w:rPr>
          <w:rFonts w:ascii="Times New Roman" w:hAnsi="Times New Roman" w:cs="Times New Roman" w:eastAsia="Times New Roman" w:hint="default"/>
          <w:spacing w:val="-2"/>
        </w:rPr>
        <w:t>2003</w:t>
      </w:r>
      <w:r>
        <w:rPr>
          <w:spacing w:val="-2"/>
        </w:rPr>
        <w:t>年加入科蓝有限，</w:t>
      </w:r>
      <w:r>
        <w:rPr>
          <w:rFonts w:ascii="Times New Roman" w:hAnsi="Times New Roman" w:cs="Times New Roman" w:eastAsia="Times New Roman" w:hint="default"/>
          <w:spacing w:val="-2"/>
        </w:rPr>
        <w:t>2009</w:t>
      </w:r>
      <w:r>
        <w:rPr>
          <w:spacing w:val="-2"/>
        </w:rPr>
        <w:t>年起任科蓝有限副总经理，</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月至今任本公司副总经理，负责公司项目中心日常</w:t>
      </w:r>
      <w:r>
        <w:rPr>
          <w:spacing w:val="-59"/>
        </w:rPr>
        <w:t> </w:t>
      </w:r>
      <w:r>
        <w:rPr>
          <w:spacing w:val="-59"/>
        </w:rPr>
      </w:r>
      <w:r>
        <w:rPr/>
        <w:t>运营、人事行政管理工作。</w:t>
      </w:r>
    </w:p>
    <w:p>
      <w:pPr>
        <w:pStyle w:val="BodyText"/>
        <w:spacing w:line="300" w:lineRule="auto" w:before="31"/>
        <w:ind w:right="0" w:firstLine="360"/>
        <w:jc w:val="left"/>
      </w:pPr>
      <w:r>
        <w:rPr>
          <w:rFonts w:ascii="Times New Roman" w:hAnsi="Times New Roman" w:cs="Times New Roman" w:eastAsia="Times New Roman" w:hint="default"/>
          <w:spacing w:val="-2"/>
        </w:rPr>
        <w:t>5</w:t>
      </w:r>
      <w:r>
        <w:rPr>
          <w:spacing w:val="-2"/>
        </w:rPr>
        <w:t>、林建军先生，首席运营官，</w:t>
      </w:r>
      <w:r>
        <w:rPr>
          <w:rFonts w:ascii="Times New Roman" w:hAnsi="Times New Roman" w:cs="Times New Roman" w:eastAsia="Times New Roman" w:hint="default"/>
          <w:spacing w:val="-2"/>
        </w:rPr>
        <w:t>44</w:t>
      </w:r>
      <w:r>
        <w:rPr>
          <w:spacing w:val="-2"/>
        </w:rPr>
        <w:t>岁，中国国籍，硕士研究生学历。曾历任恒生电子股份有限公司银行业务板块工程师、</w:t>
      </w:r>
      <w:r>
        <w:rPr/>
        <w:t> 产品事业部总经理、银行业务板块产品总监、银行业务板块技术总监、银行业务板块常务副总经理、公司总裁助理。</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9</w:t>
      </w:r>
      <w:r>
        <w:rPr/>
        <w:t>月至今任本公司首席运营官，主要负责公司产品研发推广，项目运营管理。</w:t>
      </w:r>
    </w:p>
    <w:p>
      <w:pPr>
        <w:spacing w:line="240" w:lineRule="auto" w:before="0"/>
        <w:rPr>
          <w:rFonts w:ascii="宋体" w:hAnsi="宋体" w:cs="宋体" w:eastAsia="宋体" w:hint="default"/>
          <w:sz w:val="18"/>
          <w:szCs w:val="18"/>
        </w:rPr>
      </w:pPr>
    </w:p>
    <w:p>
      <w:pPr>
        <w:pStyle w:val="BodyText"/>
        <w:spacing w:line="240" w:lineRule="auto" w:before="128"/>
        <w:ind w:right="0"/>
        <w:jc w:val="left"/>
      </w:pPr>
      <w:r>
        <w:rPr/>
        <w:t>在股东单位任职情况</w:t>
      </w:r>
    </w:p>
    <w:p>
      <w:pPr>
        <w:pStyle w:val="BodyText"/>
        <w:spacing w:line="340" w:lineRule="auto" w:before="117"/>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在其他单位任职情况</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2"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9"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3" w:right="70"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bl>
    <w:p>
      <w:pPr>
        <w:spacing w:after="0" w:line="316"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94"/>
              <w:jc w:val="left"/>
              <w:rPr>
                <w:rFonts w:ascii="宋体" w:hAnsi="宋体" w:cs="宋体" w:eastAsia="宋体" w:hint="default"/>
                <w:sz w:val="18"/>
                <w:szCs w:val="18"/>
              </w:rPr>
            </w:pPr>
            <w:r>
              <w:rPr>
                <w:rFonts w:ascii="宋体" w:hAnsi="宋体" w:cs="宋体" w:eastAsia="宋体" w:hint="default"/>
                <w:sz w:val="18"/>
                <w:szCs w:val="18"/>
              </w:rPr>
              <w:t>宁波科蓝盛合投资管理合伙企业（有限 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27"/>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科蓝软体系统（香港）有限公司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深圳科蓝金信科技发展有限公司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27"/>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SUNJE SOFT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株式会社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北京数蚂科蓝科技有限公司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大陆云盾电子认证服务有限公司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郑仁寰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科蓝软体系统（香港）有限公司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王方圆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4"/>
              <w:jc w:val="left"/>
              <w:rPr>
                <w:rFonts w:ascii="宋体" w:hAnsi="宋体" w:cs="宋体" w:eastAsia="宋体" w:hint="default"/>
                <w:sz w:val="18"/>
                <w:szCs w:val="18"/>
              </w:rPr>
            </w:pPr>
            <w:r>
              <w:rPr>
                <w:rFonts w:ascii="宋体" w:hAnsi="宋体" w:cs="宋体" w:eastAsia="宋体" w:hint="default"/>
                <w:sz w:val="18"/>
                <w:szCs w:val="18"/>
              </w:rPr>
              <w:t>宁波科蓝盈众投资管理合伙企业（有限 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王方圆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北京太空行教育咨询有限公司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杨栋锐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新沃资本控股集团有限公司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杨栋锐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嘉兴沃茂投资合伙企业（有限合伙）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27"/>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杨栋锐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北京友高教育科技有限公司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杨栋锐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北京弘高新沃投资管理有限公司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75"/>
                <w:sz w:val="18"/>
                <w:szCs w:val="18"/>
              </w:rPr>
              <w:t>、</w:t>
            </w: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杨栋锐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深圳市映趣科技有限公司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杨栋锐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大连君泰投资管理有限公司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75"/>
                <w:sz w:val="18"/>
                <w:szCs w:val="18"/>
              </w:rPr>
              <w:t>、</w:t>
            </w: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杨栋锐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广州新沃司浦林投资管理有限公司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杨栋锐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福建中沃睿德投资管理有限公司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杨栋锐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天津奥图科技有限公司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杨栋锐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北京环球悦时空文化科技有限公司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group style="position:absolute;margin-left:329.549988pt;margin-top:465.100037pt;width:59.55pt;height:51.05pt;mso-position-horizontal-relative:page;mso-position-vertical-relative:page;z-index:-1502536" coordorigin="6591,9302" coordsize="1191,1021">
            <v:shape style="position:absolute;left:6591;top:9302;width:1191;height:1021" coordorigin="6591,9302" coordsize="1191,1021" path="m6591,9302l7782,9302,7782,10323,6591,10323,6591,9302xe" filled="true" fillcolor="#ffffff" stroked="false">
              <v:path arrowok="t"/>
              <v:fill type="solid"/>
            </v:shape>
            <w10:wrap type="none"/>
          </v:group>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杨栋锐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北京帕罗奥图科技有限公司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郑晓武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北京市康达律师事务所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郑晓武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北京华联综合超市股份有限公司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马朝松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中天运会计师事务所（特殊普通合伙）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马朝松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北京信利恒税务师事务所有限责任公司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27"/>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马朝松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中国核工业建设股份有限公司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马朝松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北京知与行管理咨询有限公司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马朝松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北京威卡威汽车零部件股份有限公司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周海朗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北京尼客矩阵科技有限公司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周海朗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深圳科蓝金信科技发展有限公司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宋建彪</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深圳岂凡网络有限公司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宋建彪</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基石资产管理股份有限公司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董事会秘书 投资管理部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宋建彪</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湖南宇晶机器股份有限公司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周旭红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4"/>
              <w:jc w:val="left"/>
              <w:rPr>
                <w:rFonts w:ascii="宋体" w:hAnsi="宋体" w:cs="宋体" w:eastAsia="宋体" w:hint="default"/>
                <w:sz w:val="18"/>
                <w:szCs w:val="18"/>
              </w:rPr>
            </w:pPr>
            <w:r>
              <w:rPr>
                <w:rFonts w:ascii="宋体" w:hAnsi="宋体" w:cs="宋体" w:eastAsia="宋体" w:hint="default"/>
                <w:sz w:val="18"/>
                <w:szCs w:val="18"/>
              </w:rPr>
              <w:t>宁波科蓝融创投资管理合伙企业（有限 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2043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94"/>
              <w:jc w:val="left"/>
              <w:rPr>
                <w:rFonts w:ascii="宋体" w:hAnsi="宋体" w:cs="宋体" w:eastAsia="宋体" w:hint="default"/>
                <w:sz w:val="18"/>
                <w:szCs w:val="18"/>
              </w:rPr>
            </w:pPr>
            <w:r>
              <w:rPr>
                <w:rFonts w:ascii="宋体" w:hAnsi="宋体" w:cs="宋体" w:eastAsia="宋体" w:hint="default"/>
                <w:sz w:val="18"/>
                <w:szCs w:val="18"/>
              </w:rPr>
              <w:t>宁波科蓝金投投资管理合伙企业（有限 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27"/>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2043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0"/>
        <w:ind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bookmarkStart w:name="四、董事、监事、高级管理人员报酬情况" w:id="126"/>
      <w:bookmarkEnd w:id="126"/>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16" w:lineRule="auto" w:before="44"/>
        <w:ind w:right="0" w:firstLine="360"/>
        <w:jc w:val="left"/>
      </w:pPr>
      <w:r>
        <w:rPr>
          <w:spacing w:val="-2"/>
        </w:rPr>
        <w:t>公司董事、监事报酬由股东大会决定，高级管理人员报酬由董事会决定，在公司履职的董事、监事和高级管理人员按具</w:t>
      </w:r>
      <w:r>
        <w:rPr/>
        <w:t> 体职务领取薪酬。</w:t>
      </w:r>
    </w:p>
    <w:p>
      <w:pPr>
        <w:pStyle w:val="BodyText"/>
        <w:spacing w:line="316" w:lineRule="auto" w:before="19"/>
        <w:ind w:right="0" w:firstLine="360"/>
        <w:jc w:val="left"/>
      </w:pPr>
      <w:r>
        <w:rPr>
          <w:spacing w:val="-4"/>
        </w:rPr>
        <w:t>董事、监事和高级管理人员的报酬按照公司董事会《薪酬与考核委员会工作细则》的规定，结合其经营绩效、工作能力、</w:t>
      </w:r>
      <w:r>
        <w:rPr/>
        <w:t> 岗位职级等考核确定并发放。</w:t>
      </w:r>
    </w:p>
    <w:p>
      <w:pPr>
        <w:pStyle w:val="BodyText"/>
        <w:spacing w:line="338" w:lineRule="auto" w:before="19"/>
        <w:ind w:right="5399" w:firstLine="360"/>
        <w:jc w:val="left"/>
      </w:pPr>
      <w:r>
        <w:rPr>
          <w:rFonts w:ascii="Times New Roman" w:hAnsi="Times New Roman" w:cs="Times New Roman" w:eastAsia="Times New Roman" w:hint="default"/>
        </w:rPr>
        <w:t>2018</w:t>
      </w:r>
      <w:r>
        <w:rPr/>
        <w:t>年度，董事、监事和高级管理人员报酬总额为</w:t>
      </w:r>
      <w:r>
        <w:rPr>
          <w:rFonts w:ascii="Times New Roman" w:hAnsi="Times New Roman" w:cs="Times New Roman" w:eastAsia="Times New Roman" w:hint="default"/>
        </w:rPr>
        <w:t>351.29</w:t>
      </w:r>
      <w:r>
        <w:rPr/>
        <w:t>万元。 公司报告期内董事、监事和高级管理人员报酬情况</w:t>
      </w:r>
    </w:p>
    <w:p>
      <w:pPr>
        <w:pStyle w:val="BodyText"/>
        <w:spacing w:line="240" w:lineRule="auto" w:before="43"/>
        <w:ind w:left="0" w:right="1132"/>
        <w:jc w:val="right"/>
      </w:pPr>
      <w:r>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99"/>
              <w:jc w:val="right"/>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7" w:right="48"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8"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郑仁寰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李国庆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董事兼副总经理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马朝松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王缉志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郑晓武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周旭红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4" w:right="71"/>
              <w:jc w:val="left"/>
              <w:rPr>
                <w:rFonts w:ascii="宋体" w:hAnsi="宋体" w:cs="宋体" w:eastAsia="宋体" w:hint="default"/>
                <w:sz w:val="18"/>
                <w:szCs w:val="18"/>
              </w:rPr>
            </w:pPr>
            <w:r>
              <w:rPr>
                <w:rFonts w:ascii="宋体" w:hAnsi="宋体" w:cs="宋体" w:eastAsia="宋体" w:hint="default"/>
                <w:sz w:val="18"/>
                <w:szCs w:val="18"/>
              </w:rPr>
              <w:t>财务总监兼董事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林建军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首席运营官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敖晓振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9"/>
              <w:jc w:val="righ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351.29</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t>公司董事、高级管理人员报告期内被授予的股权激励情况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bookmarkStart w:name="五、公司员工情况" w:id="127"/>
      <w:bookmarkEnd w:id="127"/>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员工数量、专业构成及教育程度" w:id="128"/>
      <w:bookmarkEnd w:id="128"/>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3,300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3,477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r>
      <w:tr>
        <w:trPr>
          <w:trHeight w:val="400"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62</w:t>
            </w:r>
          </w:p>
        </w:tc>
      </w:tr>
    </w:tbl>
    <w:p>
      <w:pPr>
        <w:spacing w:after="0" w:line="240" w:lineRule="auto"/>
        <w:jc w:val="right"/>
        <w:rPr>
          <w:rFonts w:ascii="Times New Roman" w:hAnsi="Times New Roman" w:cs="Times New Roman" w:eastAsia="Times New Roman" w:hint="default"/>
          <w:sz w:val="18"/>
          <w:szCs w:val="18"/>
        </w:rPr>
        <w:sectPr>
          <w:footerReference w:type="default" r:id="rId22"/>
          <w:pgSz w:w="11910" w:h="16840"/>
          <w:pgMar w:footer="978" w:header="746" w:top="1060" w:bottom="1160" w:left="1020" w:right="0"/>
          <w:pgNumType w:start="90"/>
        </w:sectPr>
      </w:pPr>
    </w:p>
    <w:p>
      <w:pPr>
        <w:spacing w:line="240" w:lineRule="auto" w:before="5"/>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2,938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3,477</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专科及以下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3,133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116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3,477</w:t>
            </w:r>
          </w:p>
        </w:tc>
      </w:tr>
    </w:tbl>
    <w:p>
      <w:pPr>
        <w:spacing w:line="240" w:lineRule="auto" w:before="3"/>
        <w:rPr>
          <w:rFonts w:ascii="宋体" w:hAnsi="宋体" w:cs="宋体" w:eastAsia="宋体" w:hint="default"/>
          <w:b/>
          <w:bCs/>
          <w:sz w:val="19"/>
          <w:szCs w:val="19"/>
        </w:rPr>
      </w:pPr>
    </w:p>
    <w:p>
      <w:pPr>
        <w:pStyle w:val="Heading5"/>
        <w:spacing w:line="240" w:lineRule="auto" w:before="34"/>
        <w:ind w:right="0"/>
        <w:jc w:val="left"/>
        <w:rPr>
          <w:b w:val="0"/>
          <w:bCs w:val="0"/>
        </w:rPr>
      </w:pPr>
      <w:bookmarkStart w:name="2、薪酬政策" w:id="129"/>
      <w:bookmarkEnd w:id="129"/>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4" w:firstLine="360"/>
        <w:jc w:val="left"/>
      </w:pPr>
      <w:r>
        <w:rPr/>
        <w:t>采用基本薪酬，绩效薪酬，岗位薪酬等因素相结合的薪酬制度，同时参考同行业公司的平均薪资水平。在薪酬设计上， </w:t>
      </w:r>
      <w:r>
        <w:rPr>
          <w:spacing w:val="-2"/>
        </w:rPr>
        <w:t>公司根据不同岗位的技能要求，进行职级对应薪酬等级，定期对员工进行工作考评与绩效考核，根据考核结果确定员工的职</w:t>
      </w:r>
      <w:r>
        <w:rPr>
          <w:spacing w:val="-65"/>
        </w:rPr>
        <w:t> </w:t>
      </w:r>
      <w:r>
        <w:rPr>
          <w:spacing w:val="-65"/>
        </w:rPr>
      </w:r>
      <w:r>
        <w:rPr/>
        <w:t>级和薪酬的增加或减少，奖勤罚懒，使能者上、庸者下。中层以上管理人员的薪酬完全与当年签订的目标任务挂钩。</w:t>
      </w:r>
    </w:p>
    <w:p>
      <w:pPr>
        <w:spacing w:line="240" w:lineRule="auto" w:before="0"/>
        <w:rPr>
          <w:rFonts w:ascii="宋体" w:hAnsi="宋体" w:cs="宋体" w:eastAsia="宋体" w:hint="default"/>
          <w:sz w:val="18"/>
          <w:szCs w:val="18"/>
        </w:rPr>
      </w:pPr>
    </w:p>
    <w:p>
      <w:pPr>
        <w:pStyle w:val="BodyText"/>
        <w:spacing w:line="340" w:lineRule="auto" w:before="136"/>
        <w:ind w:left="472" w:right="0" w:hanging="360"/>
        <w:jc w:val="left"/>
        <w:rPr>
          <w:rFonts w:ascii="Times New Roman" w:hAnsi="Times New Roman" w:cs="Times New Roman" w:eastAsia="Times New Roman" w:hint="default"/>
        </w:rPr>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w:t>
      </w:r>
      <w:r>
        <w:rPr>
          <w:spacing w:val="-4"/>
        </w:rPr>
        <w:t>公司报告期内的职工薪酬总额为</w:t>
      </w:r>
      <w:r>
        <w:rPr>
          <w:rFonts w:ascii="Times New Roman" w:hAnsi="Times New Roman" w:cs="Times New Roman" w:eastAsia="Times New Roman" w:hint="default"/>
          <w:spacing w:val="-4"/>
        </w:rPr>
        <w:t>404,253,537.56</w:t>
      </w:r>
      <w:r>
        <w:rPr>
          <w:spacing w:val="-4"/>
        </w:rPr>
        <w:t>元，占公司成本总额</w:t>
      </w:r>
      <w:r>
        <w:rPr>
          <w:rFonts w:ascii="Times New Roman" w:hAnsi="Times New Roman" w:cs="Times New Roman" w:eastAsia="Times New Roman" w:hint="default"/>
          <w:spacing w:val="-4"/>
        </w:rPr>
        <w:t>91.23%</w:t>
      </w:r>
      <w:r>
        <w:rPr>
          <w:spacing w:val="-4"/>
        </w:rPr>
        <w:t>。</w:t>
      </w:r>
      <w:r>
        <w:rPr>
          <w:rFonts w:ascii="Times New Roman" w:hAnsi="Times New Roman" w:cs="Times New Roman" w:eastAsia="Times New Roman" w:hint="default"/>
          <w:spacing w:val="-4"/>
        </w:rPr>
        <w:t>2018</w:t>
      </w:r>
      <w:r>
        <w:rPr>
          <w:spacing w:val="-4"/>
        </w:rPr>
        <w:t>年度核心技术人员数量占比</w:t>
      </w:r>
      <w:r>
        <w:rPr>
          <w:rFonts w:ascii="Times New Roman" w:hAnsi="Times New Roman" w:cs="Times New Roman" w:eastAsia="Times New Roman" w:hint="default"/>
          <w:spacing w:val="-4"/>
        </w:rPr>
        <w:t>9.24%</w:t>
      </w:r>
      <w:r>
        <w:rPr>
          <w:spacing w:val="-4"/>
        </w:rPr>
        <w:t>，</w:t>
      </w:r>
      <w:r>
        <w:rPr>
          <w:rFonts w:ascii="Times New Roman" w:hAnsi="Times New Roman" w:cs="Times New Roman" w:eastAsia="Times New Roman" w:hint="default"/>
          <w:spacing w:val="-4"/>
        </w:rPr>
        <w:t>2018</w:t>
      </w:r>
    </w:p>
    <w:p>
      <w:pPr>
        <w:pStyle w:val="BodyText"/>
        <w:spacing w:line="228" w:lineRule="exact"/>
        <w:ind w:right="0"/>
        <w:jc w:val="left"/>
      </w:pPr>
      <w:r>
        <w:rPr/>
        <w:t>年度核心技术人员薪酬占比</w:t>
      </w:r>
      <w:r>
        <w:rPr>
          <w:rFonts w:ascii="Times New Roman" w:hAnsi="Times New Roman" w:cs="Times New Roman" w:eastAsia="Times New Roman" w:hint="default"/>
        </w:rPr>
        <w:t>32.31%</w:t>
      </w:r>
      <w:r>
        <w:rPr/>
        <w:t>，</w:t>
      </w:r>
      <w:r>
        <w:rPr>
          <w:rFonts w:ascii="Times New Roman" w:hAnsi="Times New Roman" w:cs="Times New Roman" w:eastAsia="Times New Roman" w:hint="default"/>
        </w:rPr>
        <w:t>2018</w:t>
      </w:r>
      <w:r>
        <w:rPr/>
        <w:t>年度公司未发生核心技术人员变动情况。</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3、培训计划" w:id="130"/>
      <w:bookmarkEnd w:id="130"/>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right="1132" w:firstLine="360"/>
        <w:jc w:val="both"/>
      </w:pPr>
      <w:r>
        <w:rPr/>
        <w:t>公司业务及技术方面的培训是公司组织培训的长期主要内容，围绕此内容，公司定期开展新员工技术</w:t>
      </w:r>
      <w:r>
        <w:rPr>
          <w:rFonts w:ascii="Times New Roman" w:hAnsi="Times New Roman" w:cs="Times New Roman" w:eastAsia="Times New Roman" w:hint="default"/>
        </w:rPr>
        <w:t>/</w:t>
      </w:r>
      <w:r>
        <w:rPr/>
        <w:t>业务培训，以及 </w:t>
      </w:r>
      <w:r>
        <w:rPr>
          <w:spacing w:val="-2"/>
        </w:rPr>
        <w:t>基于互联网新技术的月培训、季度培训等常规工作。在此基础上，为了提升员工工作积极性，提高员工整体职业素养，公司</w:t>
      </w:r>
      <w:r>
        <w:rPr>
          <w:spacing w:val="-65"/>
        </w:rPr>
        <w:t> </w:t>
      </w:r>
      <w:r>
        <w:rPr>
          <w:spacing w:val="-65"/>
        </w:rPr>
      </w:r>
      <w:r>
        <w:rPr/>
        <w:t>为员工提供外训，从</w:t>
      </w:r>
      <w:r>
        <w:rPr>
          <w:rFonts w:ascii="Times New Roman" w:hAnsi="Times New Roman" w:cs="Times New Roman" w:eastAsia="Times New Roman" w:hint="default"/>
        </w:rPr>
        <w:t>“</w:t>
      </w:r>
      <w:r>
        <w:rPr/>
        <w:t>企业文化战略落地</w:t>
      </w:r>
      <w:r>
        <w:rPr>
          <w:rFonts w:ascii="Times New Roman" w:hAnsi="Times New Roman" w:cs="Times New Roman" w:eastAsia="Times New Roman" w:hint="default"/>
        </w:rPr>
        <w:t>--</w:t>
      </w:r>
      <w:r>
        <w:rPr/>
        <w:t>战略运营管控</w:t>
      </w:r>
      <w:r>
        <w:rPr>
          <w:rFonts w:ascii="Times New Roman" w:hAnsi="Times New Roman" w:cs="Times New Roman" w:eastAsia="Times New Roman" w:hint="default"/>
        </w:rPr>
        <w:t>--</w:t>
      </w:r>
      <w:r>
        <w:rPr/>
        <w:t>战略人力资源管理</w:t>
      </w:r>
      <w:r>
        <w:rPr>
          <w:rFonts w:ascii="Times New Roman" w:hAnsi="Times New Roman" w:cs="Times New Roman" w:eastAsia="Times New Roman" w:hint="default"/>
        </w:rPr>
        <w:t>--</w:t>
      </w:r>
      <w:r>
        <w:rPr/>
        <w:t>团队执行力</w:t>
      </w:r>
      <w:r>
        <w:rPr>
          <w:rFonts w:ascii="Times New Roman" w:hAnsi="Times New Roman" w:cs="Times New Roman" w:eastAsia="Times New Roman" w:hint="default"/>
        </w:rPr>
        <w:t>--</w:t>
      </w:r>
      <w:r>
        <w:rPr/>
        <w:t>营销策略</w:t>
      </w:r>
      <w:r>
        <w:rPr>
          <w:rFonts w:ascii="Times New Roman" w:hAnsi="Times New Roman" w:cs="Times New Roman" w:eastAsia="Times New Roman" w:hint="default"/>
        </w:rPr>
        <w:t>”</w:t>
      </w:r>
      <w:r>
        <w:rPr/>
        <w:t>提供了全方位的培训课 程，其根本作用于传递战略意图，形成集体效应，为员工能够成为全方面的优秀人才奠定了坚实的基础。</w:t>
      </w:r>
    </w:p>
    <w:p>
      <w:pPr>
        <w:pStyle w:val="BodyText"/>
        <w:spacing w:line="316" w:lineRule="auto" w:before="26"/>
        <w:ind w:right="1034" w:firstLine="360"/>
        <w:jc w:val="left"/>
      </w:pPr>
      <w:r>
        <w:rPr/>
        <w:t>公司成立的科蓝学院，在宣扬科蓝企业文化，发扬科蓝精神方面发挥作用，组织员工在团建活动中充分发挥个人能力， </w:t>
      </w:r>
      <w:r>
        <w:rPr>
          <w:spacing w:val="-2"/>
        </w:rPr>
        <w:t>团结一心，协力合作，奋发图强，战胜对手。在团建中提升员工的团队意识，增加团队凝聚力，激励团队，协调团队中个人</w:t>
      </w:r>
      <w:r>
        <w:rPr>
          <w:spacing w:val="-64"/>
        </w:rPr>
        <w:t> </w:t>
      </w:r>
      <w:r>
        <w:rPr>
          <w:spacing w:val="-64"/>
        </w:rPr>
      </w:r>
      <w:r>
        <w:rPr/>
        <w:t>的关系，增进队员间的感情，塑造团队行为。</w:t>
      </w:r>
    </w:p>
    <w:p>
      <w:pPr>
        <w:pStyle w:val="BodyText"/>
        <w:spacing w:line="316" w:lineRule="auto" w:before="19"/>
        <w:ind w:right="1128" w:firstLine="360"/>
        <w:jc w:val="left"/>
      </w:pPr>
      <w:r>
        <w:rPr>
          <w:spacing w:val="-2"/>
        </w:rPr>
        <w:t>公司成立的各种员工俱乐部，根据大家的不同兴趣爱好，把大家凝聚在一起，定期组织活动，深化培训，增进友谊，营</w:t>
      </w:r>
      <w:r>
        <w:rPr/>
        <w:t> 造良好氛围。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6"/>
        <w:ind w:right="0"/>
        <w:jc w:val="left"/>
        <w:rPr>
          <w:b w:val="0"/>
          <w:bCs w:val="0"/>
        </w:rPr>
      </w:pPr>
      <w:bookmarkStart w:name="4、劳务外包情况" w:id="131"/>
      <w:bookmarkEnd w:id="131"/>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017"/>
        <w:jc w:val="center"/>
        <w:rPr>
          <w:b w:val="0"/>
          <w:bCs w:val="0"/>
        </w:rPr>
      </w:pPr>
      <w:bookmarkStart w:name="第九节 公司治理" w:id="132"/>
      <w:bookmarkEnd w:id="132"/>
      <w:r>
        <w:rPr>
          <w:b w:val="0"/>
          <w:bCs w:val="0"/>
        </w:rPr>
      </w:r>
      <w:bookmarkStart w:name="_bookmark7" w:id="133"/>
      <w:bookmarkEnd w:id="133"/>
      <w:r>
        <w:rPr>
          <w:b w:val="0"/>
          <w:bCs w:val="0"/>
        </w:rPr>
      </w:r>
      <w:r>
        <w:rPr/>
        <w:t>第九节</w:t>
      </w:r>
      <w:r>
        <w:rPr>
          <w:spacing w:val="-7"/>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0"/>
        <w:jc w:val="both"/>
        <w:rPr>
          <w:b w:val="0"/>
          <w:bCs w:val="0"/>
        </w:rPr>
      </w:pPr>
      <w:bookmarkStart w:name="一、公司治理的基本状况" w:id="134"/>
      <w:bookmarkEnd w:id="134"/>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652" w:right="0"/>
        <w:jc w:val="left"/>
      </w:pPr>
      <w:r>
        <w:rPr/>
        <w:t>报告期内</w:t>
      </w:r>
      <w:r>
        <w:rPr>
          <w:spacing w:val="-24"/>
        </w:rPr>
        <w:t>，</w:t>
      </w:r>
      <w:r>
        <w:rPr/>
        <w:t>公司严格按</w:t>
      </w:r>
      <w:r>
        <w:rPr>
          <w:spacing w:val="-22"/>
        </w:rPr>
        <w:t>照</w:t>
      </w:r>
      <w:r>
        <w:rPr>
          <w:spacing w:val="-3"/>
        </w:rPr>
        <w:t>《</w:t>
      </w:r>
      <w:r>
        <w:rPr/>
        <w:t>公司法</w:t>
      </w:r>
      <w:r>
        <w:rPr>
          <w:spacing w:val="-22"/>
        </w:rPr>
        <w:t>》</w:t>
      </w:r>
      <w:r>
        <w:rPr>
          <w:spacing w:val="-48"/>
        </w:rPr>
        <w:t>、</w:t>
      </w:r>
      <w:r>
        <w:rPr/>
        <w:t>《证券法</w:t>
      </w:r>
      <w:r>
        <w:rPr>
          <w:spacing w:val="-24"/>
        </w:rPr>
        <w:t>》</w:t>
      </w:r>
      <w:r>
        <w:rPr>
          <w:spacing w:val="-46"/>
        </w:rPr>
        <w:t>、</w:t>
      </w:r>
      <w:r>
        <w:rPr>
          <w:spacing w:val="-3"/>
        </w:rPr>
        <w:t>《</w:t>
      </w:r>
      <w:r>
        <w:rPr/>
        <w:t>上市公司治理准则</w:t>
      </w:r>
      <w:r>
        <w:rPr>
          <w:spacing w:val="-24"/>
        </w:rPr>
        <w:t>》</w:t>
      </w:r>
      <w:r>
        <w:rPr>
          <w:spacing w:val="-46"/>
        </w:rPr>
        <w:t>、</w:t>
      </w:r>
      <w:r>
        <w:rPr/>
        <w:t>《深圳证券交易所股票创业板上市规则</w:t>
      </w:r>
      <w:r>
        <w:rPr>
          <w:spacing w:val="-92"/>
        </w:rPr>
        <w:t>》</w:t>
      </w:r>
      <w:r>
        <w:rPr/>
        <w:t>、</w:t>
      </w:r>
    </w:p>
    <w:p>
      <w:pPr>
        <w:pStyle w:val="BodyText"/>
        <w:spacing w:line="316" w:lineRule="auto" w:before="76"/>
        <w:ind w:right="1129"/>
        <w:jc w:val="both"/>
      </w:pPr>
      <w:r>
        <w:rPr>
          <w:spacing w:val="-2"/>
        </w:rPr>
        <w:t>《深圳证券交易所创业板上市公司规范运作指引》等法律法规、规范性文件的要求，结合公司实际情况，进一步完善公司规</w:t>
      </w:r>
      <w:r>
        <w:rPr>
          <w:spacing w:val="-64"/>
        </w:rPr>
        <w:t> </w:t>
      </w:r>
      <w:r>
        <w:rPr>
          <w:spacing w:val="-64"/>
        </w:rPr>
      </w:r>
      <w:r>
        <w:rPr>
          <w:spacing w:val="-5"/>
        </w:rPr>
        <w:t>范运作管理制度，加强内部控制制度建设，不断规范公司运作，提高公司治理水平。报告期内，公司治理的实际状况符合《上</w:t>
      </w:r>
      <w:r>
        <w:rPr>
          <w:spacing w:val="-75"/>
        </w:rPr>
        <w:t> </w:t>
      </w:r>
      <w:r>
        <w:rPr>
          <w:spacing w:val="-75"/>
        </w:rPr>
      </w:r>
      <w:r>
        <w:rPr/>
        <w:t>市公司治理准则》和《深圳证券交易所创业板上市公司规范运作指引》等要求。</w:t>
      </w:r>
    </w:p>
    <w:p>
      <w:pPr>
        <w:pStyle w:val="Heading4"/>
        <w:spacing w:line="287" w:lineRule="exact"/>
        <w:ind w:left="352" w:right="0"/>
        <w:jc w:val="left"/>
        <w:rPr>
          <w:b w:val="0"/>
          <w:bCs w:val="0"/>
        </w:rPr>
      </w:pPr>
      <w:r>
        <w:rPr/>
        <w:t>（一）股东和股东大会</w:t>
      </w:r>
      <w:r>
        <w:rPr>
          <w:b w:val="0"/>
          <w:bCs w:val="0"/>
        </w:rPr>
      </w:r>
    </w:p>
    <w:p>
      <w:pPr>
        <w:pStyle w:val="BodyText"/>
        <w:spacing w:line="316" w:lineRule="auto" w:before="44"/>
        <w:ind w:right="1130" w:firstLine="360"/>
        <w:jc w:val="both"/>
      </w:pPr>
      <w:r>
        <w:rPr>
          <w:spacing w:val="-2"/>
        </w:rPr>
        <w:t>公司严格按照《公司法》、《上市公司股东大会规则》、《公司章程》、《股东大会议事规则》等相关法律法规、规范</w:t>
      </w:r>
      <w:r>
        <w:rPr/>
        <w:t> </w:t>
      </w:r>
      <w:r>
        <w:rPr>
          <w:spacing w:val="-2"/>
        </w:rPr>
        <w:t>性文件和公司规章制度的有关规定和要求，规范地召集、召开股东大会。确保全体股东特别是中小股东享有平等地位，充分</w:t>
      </w:r>
      <w:r>
        <w:rPr>
          <w:spacing w:val="-64"/>
        </w:rPr>
        <w:t> </w:t>
      </w:r>
      <w:r>
        <w:rPr>
          <w:spacing w:val="-64"/>
        </w:rPr>
      </w:r>
      <w:r>
        <w:rPr/>
        <w:t>行使自己的权力。</w:t>
      </w:r>
    </w:p>
    <w:p>
      <w:pPr>
        <w:pStyle w:val="BodyText"/>
        <w:spacing w:line="316" w:lineRule="auto" w:before="19"/>
        <w:ind w:right="1130" w:firstLine="360"/>
        <w:jc w:val="both"/>
      </w:pPr>
      <w:r>
        <w:rPr>
          <w:spacing w:val="-2"/>
        </w:rPr>
        <w:t>报告期内的股东大会均由董事会召集召开，并聘请律师进行现场见证，根据相关法律、行政法规、部门规章、规范性文</w:t>
      </w:r>
      <w:r>
        <w:rPr/>
        <w:t> 件及公司章程等规定应由股东大会表决的事项均按照相应的权限审批后交由股东大会审议。</w:t>
      </w:r>
    </w:p>
    <w:p>
      <w:pPr>
        <w:pStyle w:val="Heading4"/>
        <w:spacing w:line="287" w:lineRule="exact"/>
        <w:ind w:left="352" w:right="0"/>
        <w:jc w:val="left"/>
        <w:rPr>
          <w:b w:val="0"/>
          <w:bCs w:val="0"/>
        </w:rPr>
      </w:pPr>
      <w:r>
        <w:rPr/>
        <w:t>（二）公司与控股股东</w:t>
      </w:r>
      <w:r>
        <w:rPr>
          <w:b w:val="0"/>
          <w:bCs w:val="0"/>
        </w:rPr>
      </w:r>
    </w:p>
    <w:p>
      <w:pPr>
        <w:pStyle w:val="BodyText"/>
        <w:spacing w:line="316" w:lineRule="auto" w:before="44"/>
        <w:ind w:right="1130" w:firstLine="360"/>
        <w:jc w:val="both"/>
      </w:pPr>
      <w:r>
        <w:rPr>
          <w:spacing w:val="-2"/>
        </w:rPr>
        <w:t>公司大股东严格执行《上市公司治理准则》、《深圳证券交易所创业板股票市规则》、《深圳证券交易所创业板上市公</w:t>
      </w:r>
      <w:r>
        <w:rPr/>
        <w:t> </w:t>
      </w:r>
      <w:r>
        <w:rPr>
          <w:spacing w:val="-2"/>
        </w:rPr>
        <w:t>司规范运作指引》、《公司章程》等规定和要求，规范自身行为，不存在超越公司股东大会直接或间接干预公司的决策和经</w:t>
      </w:r>
      <w:r>
        <w:rPr>
          <w:spacing w:val="-63"/>
        </w:rPr>
        <w:t> </w:t>
      </w:r>
      <w:r>
        <w:rPr>
          <w:spacing w:val="-63"/>
        </w:rPr>
      </w:r>
      <w:r>
        <w:rPr>
          <w:spacing w:val="-2"/>
        </w:rPr>
        <w:t>营活动的行为，未损害公司及其他股东的利益，不存在占用公司资金的现象，公司亦无为大股东提供担保的情形。公司拥有</w:t>
      </w:r>
      <w:r>
        <w:rPr>
          <w:spacing w:val="-64"/>
        </w:rPr>
        <w:t> </w:t>
      </w:r>
      <w:r>
        <w:rPr>
          <w:spacing w:val="-64"/>
        </w:rPr>
      </w:r>
      <w:r>
        <w:rPr>
          <w:spacing w:val="-2"/>
        </w:rPr>
        <w:t>独立完整的业务和自主经营能力，在业务、人员、资产、机构、财务上独立于控股股东，公司董事会、监事会和内部机构独</w:t>
      </w:r>
      <w:r>
        <w:rPr>
          <w:spacing w:val="-62"/>
        </w:rPr>
        <w:t> </w:t>
      </w:r>
      <w:r>
        <w:rPr>
          <w:spacing w:val="-62"/>
        </w:rPr>
      </w:r>
      <w:r>
        <w:rPr/>
        <w:t>立运作。</w:t>
      </w:r>
    </w:p>
    <w:p>
      <w:pPr>
        <w:pStyle w:val="Heading4"/>
        <w:spacing w:line="287" w:lineRule="exact"/>
        <w:ind w:left="352" w:right="0"/>
        <w:jc w:val="left"/>
        <w:rPr>
          <w:b w:val="0"/>
          <w:bCs w:val="0"/>
        </w:rPr>
      </w:pPr>
      <w:r>
        <w:rPr/>
        <w:t>（三）董事与董事会</w:t>
      </w:r>
      <w:r>
        <w:rPr>
          <w:b w:val="0"/>
          <w:bCs w:val="0"/>
        </w:rPr>
      </w:r>
    </w:p>
    <w:p>
      <w:pPr>
        <w:pStyle w:val="BodyText"/>
        <w:spacing w:line="316" w:lineRule="auto" w:before="44"/>
        <w:ind w:right="1039" w:firstLine="360"/>
        <w:jc w:val="both"/>
      </w:pPr>
      <w:r>
        <w:rPr/>
        <w:t>报告期内，公司董事会设董事9名，其中独立董事3名，董事会人数及人员构成符合法律、法规和《公司章程》的要求。 </w:t>
      </w:r>
      <w:r>
        <w:rPr>
          <w:spacing w:val="-4"/>
        </w:rPr>
        <w:t>各位董事能够依据《董事会议事规则》、《独立董事制度》、《深圳证券交易所创业板上市公司规范运作指引》等开展工作，</w:t>
      </w:r>
      <w:r>
        <w:rPr>
          <w:spacing w:val="-42"/>
        </w:rPr>
        <w:t> </w:t>
      </w:r>
      <w:r>
        <w:rPr>
          <w:spacing w:val="-42"/>
        </w:rPr>
      </w:r>
      <w:r>
        <w:rPr>
          <w:spacing w:val="-2"/>
        </w:rPr>
        <w:t>按时出席董事会、专门委员会和股东大会，勤勉尽责地履行职责和义务，同时积极参加相关培训，熟悉相关法律法规。根据</w:t>
      </w:r>
    </w:p>
    <w:p>
      <w:pPr>
        <w:pStyle w:val="BodyText"/>
        <w:spacing w:line="316" w:lineRule="auto" w:before="19"/>
        <w:ind w:right="1130"/>
        <w:jc w:val="both"/>
      </w:pPr>
      <w:r>
        <w:rPr/>
        <w:t>《上市公司治理准则》的要求，公司在董事会下设立了战略委员</w:t>
      </w:r>
      <w:r>
        <w:rPr>
          <w:spacing w:val="8"/>
        </w:rPr>
        <w:t> </w:t>
      </w:r>
      <w:r>
        <w:rPr/>
        <w:t>会、提名委员会、审计委员会、薪酬与考核委员会四个专</w:t>
      </w:r>
      <w:r>
        <w:rPr/>
        <w:t> 门委员会。</w:t>
      </w:r>
    </w:p>
    <w:p>
      <w:pPr>
        <w:pStyle w:val="Heading4"/>
        <w:spacing w:line="287" w:lineRule="exact"/>
        <w:ind w:left="352" w:right="0"/>
        <w:jc w:val="left"/>
        <w:rPr>
          <w:b w:val="0"/>
          <w:bCs w:val="0"/>
        </w:rPr>
      </w:pPr>
      <w:r>
        <w:rPr/>
        <w:t>（四）监事与监事会</w:t>
      </w:r>
      <w:r>
        <w:rPr>
          <w:b w:val="0"/>
          <w:bCs w:val="0"/>
        </w:rPr>
      </w:r>
    </w:p>
    <w:p>
      <w:pPr>
        <w:pStyle w:val="BodyText"/>
        <w:spacing w:line="316" w:lineRule="auto" w:before="44"/>
        <w:ind w:right="0" w:firstLine="360"/>
        <w:jc w:val="left"/>
      </w:pPr>
      <w:r>
        <w:rPr>
          <w:spacing w:val="-2"/>
        </w:rPr>
        <w:t>公司监事会设监事3名，其中职工监事1名，监事会的人数和构成符合法律、法规的要求。各位监事能够按照《公司法》、</w:t>
      </w:r>
      <w:r>
        <w:rPr/>
        <w:t> 公司《章程》、《监事会议事规则》的要求，认真履行自己的职责，本着对公司和全体股东负责的精神，积极有效地开展工 作，对公司的重大事项、关联交易、财务状况以及董事、高管人员履行职责的合法合规性进行监督。</w:t>
      </w:r>
    </w:p>
    <w:p>
      <w:pPr>
        <w:pStyle w:val="Heading4"/>
        <w:spacing w:line="287" w:lineRule="exact"/>
        <w:ind w:left="352" w:right="0"/>
        <w:jc w:val="left"/>
        <w:rPr>
          <w:b w:val="0"/>
          <w:bCs w:val="0"/>
        </w:rPr>
      </w:pPr>
      <w:r>
        <w:rPr/>
        <w:t>（五）绩效考核与激励机制</w:t>
      </w:r>
      <w:r>
        <w:rPr>
          <w:b w:val="0"/>
          <w:bCs w:val="0"/>
        </w:rPr>
      </w:r>
    </w:p>
    <w:p>
      <w:pPr>
        <w:pStyle w:val="BodyText"/>
        <w:spacing w:line="316" w:lineRule="auto" w:before="44"/>
        <w:ind w:right="1130" w:firstLine="360"/>
        <w:jc w:val="both"/>
      </w:pPr>
      <w:r>
        <w:rPr>
          <w:spacing w:val="-2"/>
        </w:rPr>
        <w:t>公司董事会下设的薪酬和考核委员会负责对公司的董事、高级管理人员进行绩效评价。公司制订了《薪酬与考核委员会</w:t>
      </w:r>
      <w:r>
        <w:rPr/>
        <w:t> </w:t>
      </w:r>
      <w:r>
        <w:rPr>
          <w:spacing w:val="-2"/>
        </w:rPr>
        <w:t>工作细则》，进一步完善了董事、高级管理人员绩效考评体系和薪酬制度，将工作绩效与其收入直接挂钩。董事、高级管理</w:t>
      </w:r>
      <w:r>
        <w:rPr>
          <w:spacing w:val="-64"/>
        </w:rPr>
        <w:t> </w:t>
      </w:r>
      <w:r>
        <w:rPr>
          <w:spacing w:val="-64"/>
        </w:rPr>
      </w:r>
      <w:r>
        <w:rPr/>
        <w:t>人员的聘任公开、透明，符合法律、法规的规定。</w:t>
      </w:r>
    </w:p>
    <w:p>
      <w:pPr>
        <w:pStyle w:val="BodyText"/>
        <w:spacing w:line="316" w:lineRule="auto" w:before="19"/>
        <w:ind w:right="1130" w:firstLine="360"/>
        <w:jc w:val="both"/>
      </w:pPr>
      <w:r>
        <w:rPr>
          <w:spacing w:val="-2"/>
        </w:rPr>
        <w:t>公司已建立和完善公正、有效的企业绩效评价激励体系，现有的考核及激励约束机制符合公司的发展现状，公司未来还</w:t>
      </w:r>
      <w:r>
        <w:rPr/>
        <w:t> </w:t>
      </w:r>
      <w:r>
        <w:rPr>
          <w:spacing w:val="-2"/>
        </w:rPr>
        <w:t>将探索更多形式的激励方式，形成多层次的综合激励机制，完善绩效评价标准，更好地调动管理人员的工作积极性，吸引和</w:t>
      </w:r>
      <w:r>
        <w:rPr>
          <w:spacing w:val="-64"/>
        </w:rPr>
        <w:t> </w:t>
      </w:r>
      <w:r>
        <w:rPr>
          <w:spacing w:val="-64"/>
        </w:rPr>
      </w:r>
      <w:r>
        <w:rPr/>
        <w:t>稳定优秀管理人才和技术、业务骨干。</w:t>
      </w:r>
    </w:p>
    <w:p>
      <w:pPr>
        <w:pStyle w:val="Heading4"/>
        <w:spacing w:line="287" w:lineRule="exact"/>
        <w:ind w:left="352" w:right="0"/>
        <w:jc w:val="left"/>
        <w:rPr>
          <w:b w:val="0"/>
          <w:bCs w:val="0"/>
        </w:rPr>
      </w:pPr>
      <w:r>
        <w:rPr/>
        <w:t>（六）信息披露与透明度</w:t>
      </w:r>
      <w:r>
        <w:rPr>
          <w:b w:val="0"/>
          <w:bCs w:val="0"/>
        </w:rPr>
      </w:r>
    </w:p>
    <w:p>
      <w:pPr>
        <w:pStyle w:val="BodyText"/>
        <w:spacing w:line="316" w:lineRule="auto" w:before="44"/>
        <w:ind w:right="0" w:firstLine="360"/>
        <w:jc w:val="left"/>
      </w:pPr>
      <w:r>
        <w:rPr>
          <w:spacing w:val="-4"/>
        </w:rPr>
        <w:t>公司严格按照《信息披露事务管理制度》、《投资者关系管理制度》的要求，真实、准确、完整、及时地披露有关信息；</w:t>
      </w:r>
      <w:r>
        <w:rPr/>
        <w:t> </w:t>
      </w:r>
      <w:r>
        <w:rPr>
          <w:spacing w:val="-2"/>
        </w:rPr>
        <w:t>指定公司董事会秘书负责信息披露工作，协调公司与投资者的关系，接待股东来访，回答投资者咨询，向投资者提供公司已</w:t>
      </w:r>
      <w:r>
        <w:rPr>
          <w:spacing w:val="-64"/>
        </w:rPr>
        <w:t> </w:t>
      </w:r>
      <w:r>
        <w:rPr>
          <w:spacing w:val="-64"/>
        </w:rPr>
      </w:r>
      <w:r>
        <w:rPr/>
        <w:t>披露的资料；指定《证券时报》、《证券日报》、《中国证券报》、《上海证</w:t>
      </w:r>
      <w:hyperlink r:id="rId11">
        <w:r>
          <w:rPr/>
          <w:t>券报》和巨潮网（www.cninfo.com.cn</w:t>
        </w:r>
      </w:hyperlink>
      <w:r>
        <w:rPr/>
        <w:t>）为公</w:t>
      </w:r>
      <w:r>
        <w:rPr/>
        <w:t> 司信息披露的指定报纸和网站，确保公司所有股东能够以平等的机会获得信息。</w:t>
      </w:r>
    </w:p>
    <w:p>
      <w:pPr>
        <w:spacing w:after="0" w:line="316" w:lineRule="auto"/>
        <w:jc w:val="left"/>
        <w:sectPr>
          <w:pgSz w:w="11910" w:h="16840"/>
          <w:pgMar w:header="746" w:footer="978" w:top="1060" w:bottom="1160" w:left="1020" w:right="0"/>
        </w:sectPr>
      </w:pPr>
    </w:p>
    <w:p>
      <w:pPr>
        <w:spacing w:line="240" w:lineRule="auto" w:before="8"/>
        <w:rPr>
          <w:rFonts w:ascii="宋体" w:hAnsi="宋体" w:cs="宋体" w:eastAsia="宋体" w:hint="default"/>
          <w:sz w:val="23"/>
          <w:szCs w:val="23"/>
        </w:rPr>
      </w:pPr>
    </w:p>
    <w:p>
      <w:pPr>
        <w:pStyle w:val="Heading4"/>
        <w:spacing w:line="240" w:lineRule="auto" w:before="26"/>
        <w:ind w:left="352" w:right="0"/>
        <w:jc w:val="left"/>
        <w:rPr>
          <w:b w:val="0"/>
          <w:bCs w:val="0"/>
        </w:rPr>
      </w:pPr>
      <w:r>
        <w:rPr/>
        <w:t>（七）相关利益者</w:t>
      </w:r>
      <w:r>
        <w:rPr>
          <w:b w:val="0"/>
          <w:bCs w:val="0"/>
        </w:rPr>
      </w:r>
    </w:p>
    <w:p>
      <w:pPr>
        <w:pStyle w:val="BodyText"/>
        <w:spacing w:line="316" w:lineRule="auto" w:before="46"/>
        <w:ind w:right="1130" w:firstLine="360"/>
        <w:jc w:val="both"/>
      </w:pPr>
      <w:r>
        <w:rPr>
          <w:spacing w:val="-2"/>
        </w:rPr>
        <w:t>公司充分尊重和维护相关利益者的合法权益，实现社会、股东、公司、员工等各方面利益的协调平衡，诚信对待供应商</w:t>
      </w:r>
      <w:r>
        <w:rPr/>
        <w:t> 和客户，坚持与相关利益者互利共赢的原则，共同推动公司持续、健康的发展。</w:t>
      </w:r>
    </w:p>
    <w:p>
      <w:pPr>
        <w:pStyle w:val="Heading4"/>
        <w:spacing w:line="284" w:lineRule="exact"/>
        <w:ind w:left="352" w:right="0"/>
        <w:jc w:val="left"/>
        <w:rPr>
          <w:b w:val="0"/>
          <w:bCs w:val="0"/>
        </w:rPr>
      </w:pPr>
      <w:r>
        <w:rPr/>
        <w:t>（八）内部审计制度的执行</w:t>
      </w:r>
      <w:r>
        <w:rPr>
          <w:b w:val="0"/>
          <w:bCs w:val="0"/>
        </w:rPr>
      </w:r>
    </w:p>
    <w:p>
      <w:pPr>
        <w:pStyle w:val="BodyText"/>
        <w:spacing w:line="316" w:lineRule="auto" w:before="46"/>
        <w:ind w:right="1130" w:firstLine="360"/>
        <w:jc w:val="both"/>
      </w:pPr>
      <w:r>
        <w:rPr>
          <w:spacing w:val="-2"/>
        </w:rPr>
        <w:t>公司董事会下设审计委员会，主要负责公司内部审计与外部审计之间进行沟通，并监督公司内部审计制度的实施，审查</w:t>
      </w:r>
      <w:r>
        <w:rPr/>
        <w:t> </w:t>
      </w:r>
      <w:r>
        <w:rPr>
          <w:spacing w:val="-2"/>
        </w:rPr>
        <w:t>公司内部控制制度的执行情况，审查公司的财务信息及披露正常等。审计委员会下设独立的内审部，内审部直接对审计委员</w:t>
      </w:r>
      <w:r>
        <w:rPr>
          <w:spacing w:val="-63"/>
        </w:rPr>
        <w:t> </w:t>
      </w:r>
      <w:r>
        <w:rPr>
          <w:spacing w:val="-63"/>
        </w:rPr>
      </w:r>
      <w:r>
        <w:rPr/>
        <w:t>会负责及报告工作。</w:t>
      </w:r>
    </w:p>
    <w:p>
      <w:pPr>
        <w:pStyle w:val="BodyText"/>
        <w:spacing w:line="240" w:lineRule="auto" w:before="57"/>
        <w:ind w:right="0"/>
        <w:jc w:val="left"/>
      </w:pPr>
      <w:r>
        <w:rPr/>
        <w:t>公司治理的实际状况与中国证监会发布的有关上市公司治理的规范性文件是否存在重大差异</w:t>
      </w:r>
    </w:p>
    <w:p>
      <w:pPr>
        <w:pStyle w:val="BodyText"/>
        <w:spacing w:line="340" w:lineRule="auto" w:before="117"/>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4"/>
        <w:spacing w:line="240" w:lineRule="auto"/>
        <w:ind w:right="0"/>
        <w:jc w:val="left"/>
        <w:rPr>
          <w:b w:val="0"/>
          <w:bCs w:val="0"/>
        </w:rPr>
      </w:pPr>
      <w:bookmarkStart w:name="二、公司相对于控股股东在业务、人员、资产、机构、财务等方面的独立情况" w:id="135"/>
      <w:bookmarkEnd w:id="135"/>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2" w:firstLine="360"/>
        <w:jc w:val="both"/>
      </w:pPr>
      <w:r>
        <w:rPr/>
        <w:t>公司严格按照《公司法》、《证券法》、《深圳证券交易所创业板股票上市规则》、《深圳证券交易</w:t>
      </w:r>
      <w:r>
        <w:rPr>
          <w:spacing w:val="6"/>
        </w:rPr>
        <w:t> </w:t>
      </w:r>
      <w:r>
        <w:rPr/>
        <w:t>所创业板上市公</w:t>
      </w:r>
      <w:r>
        <w:rPr/>
        <w:t> 司规范运作指引》等有关法律法规和《公司章程》的要求规范运作，与控股股东在业务、</w:t>
      </w:r>
      <w:r>
        <w:rPr>
          <w:spacing w:val="6"/>
        </w:rPr>
        <w:t> </w:t>
      </w:r>
      <w:r>
        <w:rPr/>
        <w:t>人员、资产、机构、财务等方面</w:t>
      </w:r>
      <w:r>
        <w:rPr/>
        <w:t> 保持独立，具有独立完整的业务及自主经营能力。具体情况如下：</w:t>
      </w:r>
    </w:p>
    <w:p>
      <w:pPr>
        <w:pStyle w:val="BodyText"/>
        <w:spacing w:line="240" w:lineRule="auto" w:before="19"/>
        <w:ind w:left="472" w:right="0"/>
        <w:jc w:val="left"/>
      </w:pPr>
      <w:r>
        <w:rPr/>
        <w:t>1、业务方面：公司业务独立于控股股东、实际控制人及其关联人，具有独立完整的业务体系和自主经营能力。</w:t>
      </w:r>
    </w:p>
    <w:p>
      <w:pPr>
        <w:pStyle w:val="BodyText"/>
        <w:spacing w:line="316" w:lineRule="auto" w:before="76"/>
        <w:ind w:right="1129" w:firstLine="360"/>
        <w:jc w:val="both"/>
      </w:pPr>
      <w:r>
        <w:rPr/>
        <w:t>2、人员方面：公司人员独立于控股股东、实际控制人及其关联人。公司董事、监事、高级管理人员均严格按照《公司 </w:t>
      </w:r>
      <w:r>
        <w:rPr>
          <w:spacing w:val="-2"/>
        </w:rPr>
        <w:t>法》、《公司章程》等规定的程序选举或聘任产生；公司的高级管理人员不在控股股东、实际控制人或其控制的企业担任除</w:t>
      </w:r>
      <w:r>
        <w:rPr>
          <w:spacing w:val="-63"/>
        </w:rPr>
        <w:t> </w:t>
      </w:r>
      <w:r>
        <w:rPr>
          <w:spacing w:val="-63"/>
        </w:rPr>
      </w:r>
      <w:r>
        <w:rPr>
          <w:spacing w:val="-2"/>
        </w:rPr>
        <w:t>董事、监事以外的职务，或在控股股东、实际控制人及其控制的其他企业领薪的情形；公司财务人员不存在在控股股东、实</w:t>
      </w:r>
      <w:r>
        <w:rPr>
          <w:spacing w:val="-62"/>
        </w:rPr>
        <w:t> </w:t>
      </w:r>
      <w:r>
        <w:rPr>
          <w:spacing w:val="-62"/>
        </w:rPr>
      </w:r>
      <w:r>
        <w:rPr/>
        <w:t>际控制人及其控制的其他企业中兼职的情形。</w:t>
      </w:r>
    </w:p>
    <w:p>
      <w:pPr>
        <w:pStyle w:val="BodyText"/>
        <w:spacing w:line="316" w:lineRule="auto" w:before="19"/>
        <w:ind w:right="1132" w:firstLine="360"/>
        <w:jc w:val="both"/>
      </w:pPr>
      <w:r>
        <w:rPr/>
        <w:t>3、资产方面：公司资产独立完整、权属清晰，不存在被董事、监事、高级管理人员、控股股东、实际控制人及其关联 人占用或支配的情形。公司商标、专利、著作权等无形资产及其他有形资产均完全由公司拥有其所有权。</w:t>
      </w:r>
    </w:p>
    <w:p>
      <w:pPr>
        <w:pStyle w:val="BodyText"/>
        <w:spacing w:line="316" w:lineRule="auto" w:before="19"/>
        <w:ind w:right="1129" w:firstLine="360"/>
        <w:jc w:val="both"/>
      </w:pPr>
      <w:r>
        <w:rPr/>
        <w:t>4、机构方面：公司根据《公司法》、《上市公司章程指引》等有关法律、法规和规范性文件的相关规定，按照法定程 </w:t>
      </w:r>
      <w:r>
        <w:rPr>
          <w:spacing w:val="-2"/>
        </w:rPr>
        <w:t>序制定了《公司章程》，建立了股东大会、董事会、监事会的法人治理结构，并设置了相应的组织机构。公司董事会、监事</w:t>
      </w:r>
      <w:r>
        <w:rPr>
          <w:spacing w:val="-62"/>
        </w:rPr>
        <w:t> </w:t>
      </w:r>
      <w:r>
        <w:rPr>
          <w:spacing w:val="-62"/>
        </w:rPr>
      </w:r>
      <w:r>
        <w:rPr>
          <w:spacing w:val="-2"/>
        </w:rPr>
        <w:t>会和其他内部机构独立运作，独立行使经营管理权，不存在与控股股东、实际控制人及其关联人机构混同等影响公司独立经</w:t>
      </w:r>
      <w:r>
        <w:rPr>
          <w:spacing w:val="-63"/>
        </w:rPr>
        <w:t> </w:t>
      </w:r>
      <w:r>
        <w:rPr>
          <w:spacing w:val="-63"/>
        </w:rPr>
      </w:r>
      <w:r>
        <w:rPr/>
        <w:t>营的情形。</w:t>
      </w:r>
    </w:p>
    <w:p>
      <w:pPr>
        <w:pStyle w:val="BodyText"/>
        <w:spacing w:line="316" w:lineRule="auto" w:before="19"/>
        <w:ind w:right="0" w:firstLine="360"/>
        <w:jc w:val="left"/>
      </w:pPr>
      <w:r>
        <w:rPr/>
        <w:t>5、财务方面：公司设立了独立的财务部门，配备了专职的财务人员，建立了独立的会计核算体系，制定了独立的财务 </w:t>
      </w:r>
      <w:r>
        <w:rPr>
          <w:spacing w:val="-4"/>
        </w:rPr>
        <w:t>管理制度及各项内部控制制度，独立进行会计核算和财务决策。公司拥有独立银行账户，依法独立纳税。公司不存在为董事、</w:t>
      </w:r>
      <w:r>
        <w:rPr>
          <w:spacing w:val="-43"/>
        </w:rPr>
        <w:t> </w:t>
      </w:r>
      <w:r>
        <w:rPr>
          <w:spacing w:val="-43"/>
        </w:rPr>
      </w:r>
      <w:r>
        <w:rPr>
          <w:spacing w:val="-2"/>
        </w:rPr>
        <w:t>监事、高级管理人员、控股股东、实际控制人及其控股子公司等关联人提供资金等财务资助的情形。控股股东、实际控制人</w:t>
      </w:r>
      <w:r>
        <w:rPr>
          <w:spacing w:val="-63"/>
        </w:rPr>
        <w:t> </w:t>
      </w:r>
      <w:r>
        <w:rPr>
          <w:spacing w:val="-63"/>
        </w:rPr>
      </w:r>
      <w:r>
        <w:rPr/>
        <w:t>不存在占用公司资金、要求公司违法违规提供担保的情形。</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6"/>
          <w:szCs w:val="26"/>
        </w:rPr>
      </w:pPr>
    </w:p>
    <w:p>
      <w:pPr>
        <w:pStyle w:val="Heading4"/>
        <w:spacing w:line="240" w:lineRule="auto"/>
        <w:ind w:right="0"/>
        <w:jc w:val="left"/>
        <w:rPr>
          <w:b w:val="0"/>
          <w:bCs w:val="0"/>
        </w:rPr>
      </w:pPr>
      <w:bookmarkStart w:name="三、同业竞争情况" w:id="136"/>
      <w:bookmarkEnd w:id="136"/>
      <w:r>
        <w:rPr>
          <w:b w:val="0"/>
          <w:bCs w:val="0"/>
        </w:rPr>
      </w: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3"/>
        <w:rPr>
          <w:rFonts w:ascii="宋体" w:hAnsi="宋体" w:cs="宋体" w:eastAsia="宋体" w:hint="default"/>
          <w:sz w:val="24"/>
          <w:szCs w:val="24"/>
        </w:rPr>
      </w:pPr>
    </w:p>
    <w:p>
      <w:pPr>
        <w:pStyle w:val="Heading4"/>
        <w:spacing w:line="240" w:lineRule="auto"/>
        <w:ind w:right="0"/>
        <w:jc w:val="left"/>
        <w:rPr>
          <w:b w:val="0"/>
          <w:bCs w:val="0"/>
        </w:rPr>
      </w:pPr>
      <w:bookmarkStart w:name="四、报告期内召开的年度股东大会和临时股东大会的有关情况" w:id="137"/>
      <w:bookmarkEnd w:id="137"/>
      <w:r>
        <w:rPr>
          <w:b w:val="0"/>
          <w:bCs w:val="0"/>
        </w:rPr>
      </w:r>
      <w:r>
        <w:rPr/>
        <w:t>四、报告期内召开的年度股东大会和临时股东大会的有关情况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bookmarkStart w:name="1、本报告期股东大会情况" w:id="138"/>
      <w:bookmarkEnd w:id="138"/>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127"/>
        <w:gridCol w:w="1275"/>
        <w:gridCol w:w="1382"/>
        <w:gridCol w:w="1594"/>
        <w:gridCol w:w="1594"/>
        <w:gridCol w:w="1594"/>
      </w:tblGrid>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5"/>
              <w:jc w:val="righ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年第一次临时股东大</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5"/>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2127"/>
        <w:gridCol w:w="1275"/>
        <w:gridCol w:w="1382"/>
        <w:gridCol w:w="1594"/>
        <w:gridCol w:w="1594"/>
        <w:gridCol w:w="1594"/>
      </w:tblGrid>
      <w:tr>
        <w:trPr>
          <w:trHeight w:val="36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会</w:t>
            </w:r>
          </w:p>
        </w:tc>
        <w:tc>
          <w:tcPr>
            <w:tcW w:w="1275"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年年度股东大会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年第二次临时股东大 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年第三次临时股东大 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年第四次临时股东大 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line="240" w:lineRule="auto" w:before="4"/>
        <w:rPr>
          <w:rFonts w:ascii="宋体" w:hAnsi="宋体" w:cs="宋体" w:eastAsia="宋体" w:hint="default"/>
          <w:b/>
          <w:bCs/>
          <w:sz w:val="19"/>
          <w:szCs w:val="19"/>
        </w:rPr>
      </w:pPr>
    </w:p>
    <w:p>
      <w:pPr>
        <w:pStyle w:val="Heading5"/>
        <w:spacing w:line="240" w:lineRule="auto" w:before="34"/>
        <w:ind w:right="0"/>
        <w:jc w:val="left"/>
        <w:rPr>
          <w:b w:val="0"/>
          <w:bCs w:val="0"/>
        </w:rPr>
      </w:pPr>
      <w:bookmarkStart w:name="2、表决权恢复的优先股股东请求召开临时股东大会" w:id="139"/>
      <w:bookmarkEnd w:id="139"/>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bookmarkStart w:name="五、报告期内独立董事履行职责的情况" w:id="140"/>
      <w:bookmarkEnd w:id="140"/>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独立董事出席董事会及股东大会的情况" w:id="141"/>
      <w:bookmarkEnd w:id="141"/>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427"/>
        <w:gridCol w:w="1164"/>
        <w:gridCol w:w="1164"/>
        <w:gridCol w:w="1163"/>
        <w:gridCol w:w="1163"/>
        <w:gridCol w:w="1163"/>
        <w:gridCol w:w="1163"/>
        <w:gridCol w:w="1163"/>
      </w:tblGrid>
      <w:tr>
        <w:trPr>
          <w:trHeight w:val="402"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69"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6" w:right="34"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5" w:right="34" w:hanging="269"/>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6" w:right="36"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6"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5"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王缉志</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9</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马朝松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郑晓武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49"/>
        <w:ind w:right="0"/>
        <w:jc w:val="left"/>
      </w:pPr>
      <w:r>
        <w:rPr/>
        <w:t>连续两次未亲自出席董事会的说明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2、独立董事对公司有关事项提出异议的情况" w:id="142"/>
      <w:bookmarkEnd w:id="142"/>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38" w:lineRule="auto" w:before="117"/>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5"/>
        <w:spacing w:line="240" w:lineRule="auto"/>
        <w:ind w:right="0"/>
        <w:jc w:val="left"/>
        <w:rPr>
          <w:b w:val="0"/>
          <w:bCs w:val="0"/>
        </w:rPr>
      </w:pPr>
      <w:bookmarkStart w:name="3、独立董事履行职责的其他说明" w:id="143"/>
      <w:bookmarkEnd w:id="143"/>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40" w:lineRule="auto" w:before="115"/>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独立董事对公司有关建议被采纳或未被采纳的说明</w:t>
      </w:r>
    </w:p>
    <w:p>
      <w:pPr>
        <w:pStyle w:val="BodyText"/>
        <w:spacing w:line="316" w:lineRule="auto" w:before="41"/>
        <w:ind w:right="1130" w:firstLine="360"/>
        <w:jc w:val="both"/>
      </w:pPr>
      <w:r>
        <w:rPr>
          <w:spacing w:val="-5"/>
        </w:rPr>
        <w:t>报告期内，独立董事严格按照《公司章程》、《独立董事工作制度》等的相关规定勤勉履行职责，忠实履行职务，积极参</w:t>
      </w:r>
      <w:r>
        <w:rPr/>
        <w:t> </w:t>
      </w:r>
      <w:r>
        <w:rPr>
          <w:spacing w:val="-2"/>
        </w:rPr>
        <w:t>加历次董事会，审议各项议案。关注公司运作，对公司内部控制建设、管理体系建设和重大决策等方面提出了很多宝贵的专</w:t>
      </w:r>
      <w:r>
        <w:rPr>
          <w:spacing w:val="-64"/>
        </w:rPr>
        <w:t> </w:t>
      </w:r>
      <w:r>
        <w:rPr>
          <w:spacing w:val="-64"/>
        </w:rPr>
      </w:r>
      <w:r>
        <w:rPr>
          <w:spacing w:val="-2"/>
        </w:rPr>
        <w:t>业性建议，对公司财务及生产经营活动进行了有效监督，提高了公司决策的科学性，为完善公司监督机制，维护公司和全体</w:t>
      </w:r>
    </w:p>
    <w:p>
      <w:pPr>
        <w:spacing w:after="0" w:line="316" w:lineRule="auto"/>
        <w:jc w:val="both"/>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股东的合法权益发挥了应有的作用。</w:t>
      </w:r>
    </w:p>
    <w:p>
      <w:pPr>
        <w:spacing w:line="240" w:lineRule="auto" w:before="1"/>
        <w:rPr>
          <w:rFonts w:ascii="宋体" w:hAnsi="宋体" w:cs="宋体" w:eastAsia="宋体" w:hint="default"/>
          <w:sz w:val="25"/>
          <w:szCs w:val="25"/>
        </w:rPr>
      </w:pPr>
    </w:p>
    <w:p>
      <w:pPr>
        <w:pStyle w:val="Heading4"/>
        <w:spacing w:line="240" w:lineRule="auto"/>
        <w:ind w:right="0"/>
        <w:jc w:val="left"/>
        <w:rPr>
          <w:b w:val="0"/>
          <w:bCs w:val="0"/>
        </w:rPr>
      </w:pPr>
      <w:bookmarkStart w:name="六、董事会下设专门委员会在报告期内履行职责情况" w:id="144"/>
      <w:bookmarkEnd w:id="144"/>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32" w:firstLine="360"/>
        <w:jc w:val="both"/>
      </w:pPr>
      <w:r>
        <w:rPr/>
        <w:t>公司董事会下设审计委员会、战略发展委员会、薪酬与考核委员会、提名委员会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个专门委员会，就各专业性事项进 行研究，提出意见及建议。各专门委员会对董事会负责，各专门委员会的提案应提交董事会审查决定。</w:t>
      </w:r>
    </w:p>
    <w:p>
      <w:pPr>
        <w:pStyle w:val="Heading4"/>
        <w:spacing w:line="297" w:lineRule="exact"/>
        <w:ind w:left="352" w:right="0"/>
        <w:jc w:val="left"/>
        <w:rPr>
          <w:b w:val="0"/>
          <w:bCs w:val="0"/>
        </w:rPr>
      </w:pPr>
      <w:r>
        <w:rPr/>
        <w:t>（一）董事会审计委员会</w:t>
      </w:r>
      <w:r>
        <w:rPr>
          <w:b w:val="0"/>
          <w:bCs w:val="0"/>
        </w:rPr>
      </w:r>
    </w:p>
    <w:p>
      <w:pPr>
        <w:pStyle w:val="BodyText"/>
        <w:spacing w:line="312" w:lineRule="auto" w:before="46"/>
        <w:ind w:right="1130" w:firstLine="360"/>
        <w:jc w:val="both"/>
      </w:pPr>
      <w:r>
        <w:rPr>
          <w:spacing w:val="-2"/>
        </w:rPr>
        <w:t>董事会审计委员会主要依据《审计委员会工作细则》及其他有关规定积极开展工作并认真履行职责，指导和监督内部审</w:t>
      </w:r>
      <w:r>
        <w:rPr/>
        <w:t> </w:t>
      </w:r>
      <w:r>
        <w:rPr>
          <w:spacing w:val="-2"/>
        </w:rPr>
        <w:t>计工作，审查内控制度，审核公司财务信息及披露，协调与会计师事务所关系等内、外部审计工作。报告期内，公司共召开</w:t>
      </w:r>
      <w:r>
        <w:rPr>
          <w:spacing w:val="-64"/>
        </w:rPr>
        <w:t> </w:t>
      </w:r>
      <w:r>
        <w:rPr>
          <w:spacing w:val="-64"/>
        </w:rPr>
      </w:r>
      <w:r>
        <w:rPr/>
        <w:t>了</w:t>
      </w:r>
      <w:r>
        <w:rPr>
          <w:rFonts w:ascii="Times New Roman" w:hAnsi="Times New Roman" w:cs="Times New Roman" w:eastAsia="Times New Roman" w:hint="default"/>
        </w:rPr>
        <w:t>2</w:t>
      </w:r>
      <w:r>
        <w:rPr/>
        <w:t>次审计委员会，对公司年度财务报告、财务决算、内部控制自我评价报告等事项进行了讨论和审议，相关会议均按照有</w:t>
      </w:r>
      <w:r>
        <w:rPr>
          <w:spacing w:val="-84"/>
        </w:rPr>
        <w:t> </w:t>
      </w:r>
      <w:r>
        <w:rPr>
          <w:spacing w:val="-84"/>
        </w:rPr>
      </w:r>
      <w:r>
        <w:rPr/>
        <w:t>关规定的程序召开。</w:t>
      </w:r>
    </w:p>
    <w:p>
      <w:pPr>
        <w:pStyle w:val="Heading4"/>
        <w:spacing w:line="288" w:lineRule="exact"/>
        <w:ind w:left="352" w:right="0"/>
        <w:jc w:val="left"/>
        <w:rPr>
          <w:b w:val="0"/>
          <w:bCs w:val="0"/>
        </w:rPr>
      </w:pPr>
      <w:r>
        <w:rPr/>
        <w:t>（二）董事会战略委员会</w:t>
      </w:r>
      <w:r>
        <w:rPr>
          <w:b w:val="0"/>
          <w:bCs w:val="0"/>
        </w:rPr>
      </w:r>
    </w:p>
    <w:p>
      <w:pPr>
        <w:pStyle w:val="BodyText"/>
        <w:spacing w:line="309" w:lineRule="auto" w:before="46"/>
        <w:ind w:right="0" w:firstLine="451"/>
        <w:jc w:val="left"/>
      </w:pPr>
      <w:r>
        <w:rPr/>
        <w:t>董事会战略委员会主要依据《战略委员工作细则》的相关规定，积极开展相关工作，认真履职，结合公司所处行业发 </w:t>
      </w:r>
      <w:r>
        <w:rPr>
          <w:spacing w:val="-2"/>
        </w:rPr>
        <w:t>展情况及公司自身发展状况，对公司长期发展规划、经营目标、发展方针等提出建议。报告期内，公司共召</w:t>
      </w:r>
      <w:r>
        <w:rPr>
          <w:rFonts w:ascii="Times New Roman" w:hAnsi="Times New Roman" w:cs="Times New Roman" w:eastAsia="Times New Roman" w:hint="default"/>
          <w:spacing w:val="-2"/>
        </w:rPr>
        <w:t>1</w:t>
      </w:r>
      <w:r>
        <w:rPr>
          <w:spacing w:val="-2"/>
        </w:rPr>
        <w:t>次战略委员会，</w:t>
      </w:r>
      <w:r>
        <w:rPr>
          <w:spacing w:val="-68"/>
        </w:rPr>
        <w:t> </w:t>
      </w:r>
      <w:r>
        <w:rPr/>
        <w:t>对公司</w:t>
      </w:r>
      <w:r>
        <w:rPr>
          <w:rFonts w:ascii="Times New Roman" w:hAnsi="Times New Roman" w:cs="Times New Roman" w:eastAsia="Times New Roman" w:hint="default"/>
        </w:rPr>
        <w:t>2018</w:t>
      </w:r>
      <w:r>
        <w:rPr/>
        <w:t>年度经营战略进行了讨论和审议，相关会议均按照有关规定的程序召开。</w:t>
      </w:r>
    </w:p>
    <w:p>
      <w:pPr>
        <w:pStyle w:val="Heading4"/>
        <w:spacing w:line="271" w:lineRule="exact"/>
        <w:ind w:left="352" w:right="0"/>
        <w:jc w:val="left"/>
        <w:rPr>
          <w:b w:val="0"/>
          <w:bCs w:val="0"/>
        </w:rPr>
      </w:pPr>
      <w:r>
        <w:rPr/>
        <w:t>（三）董事会薪酬与考核委员会</w:t>
      </w:r>
      <w:r>
        <w:rPr>
          <w:b w:val="0"/>
          <w:bCs w:val="0"/>
        </w:rPr>
      </w:r>
    </w:p>
    <w:p>
      <w:pPr>
        <w:pStyle w:val="BodyText"/>
        <w:spacing w:line="309" w:lineRule="auto" w:before="46"/>
        <w:ind w:right="1137" w:firstLine="360"/>
        <w:jc w:val="both"/>
      </w:pPr>
      <w:r>
        <w:rPr>
          <w:spacing w:val="-2"/>
        </w:rPr>
        <w:t>董事会薪酬与考核委员会主要依据《薪酬与考核委员工作细则》的相关规定，积极履行职责并提出合理化建议，促进公</w:t>
      </w:r>
      <w:r>
        <w:rPr/>
        <w:t> 司在规范运作的基础上，进一步提高在薪酬考核方面的科学性。报告期内，公司共召开了</w:t>
      </w:r>
      <w:r>
        <w:rPr>
          <w:rFonts w:ascii="Times New Roman" w:hAnsi="Times New Roman" w:cs="Times New Roman" w:eastAsia="Times New Roman" w:hint="default"/>
        </w:rPr>
        <w:t>1</w:t>
      </w:r>
      <w:r>
        <w:rPr/>
        <w:t>次董事会薪酬与考核委员会，对 公司</w:t>
      </w:r>
      <w:r>
        <w:rPr>
          <w:rFonts w:ascii="Times New Roman" w:hAnsi="Times New Roman" w:cs="Times New Roman" w:eastAsia="Times New Roman" w:hint="default"/>
        </w:rPr>
        <w:t>2018</w:t>
      </w:r>
      <w:r>
        <w:rPr/>
        <w:t>年度董事、监事和高级管理人员薪酬，相关会议均按照有关规定的程序召开。</w:t>
      </w:r>
    </w:p>
    <w:p>
      <w:pPr>
        <w:pStyle w:val="Heading4"/>
        <w:spacing w:line="271" w:lineRule="exact"/>
        <w:ind w:left="412" w:right="0"/>
        <w:jc w:val="left"/>
        <w:rPr>
          <w:b w:val="0"/>
          <w:bCs w:val="0"/>
        </w:rPr>
      </w:pPr>
      <w:r>
        <w:rPr/>
        <w:t>（四）董事会提名委员会</w:t>
      </w:r>
      <w:r>
        <w:rPr>
          <w:b w:val="0"/>
          <w:bCs w:val="0"/>
        </w:rPr>
      </w:r>
    </w:p>
    <w:p>
      <w:pPr>
        <w:pStyle w:val="BodyText"/>
        <w:spacing w:line="309" w:lineRule="auto" w:before="46"/>
        <w:ind w:right="1137" w:firstLine="360"/>
        <w:jc w:val="both"/>
      </w:pPr>
      <w:r>
        <w:rPr>
          <w:spacing w:val="-2"/>
        </w:rPr>
        <w:t>董事会提名委员会主要依据《提名委员会议事规则》的相关规定，秉着勤勉尽职的态度履行职责，在公司董事会、高级</w:t>
      </w:r>
      <w:r>
        <w:rPr/>
        <w:t> </w:t>
      </w:r>
      <w:r>
        <w:rPr>
          <w:spacing w:val="-1"/>
        </w:rPr>
        <w:t>管理人员的选人方面发挥了重要作用。报告期内，公司共召开了</w:t>
      </w:r>
      <w:r>
        <w:rPr>
          <w:rFonts w:ascii="Times New Roman" w:hAnsi="Times New Roman" w:cs="Times New Roman" w:eastAsia="Times New Roman" w:hint="default"/>
          <w:spacing w:val="-1"/>
        </w:rPr>
        <w:t>1</w:t>
      </w:r>
      <w:r>
        <w:rPr>
          <w:spacing w:val="-1"/>
        </w:rPr>
        <w:t>次董事会提名委员会</w:t>
      </w:r>
      <w:r>
        <w:rPr>
          <w:rFonts w:ascii="Times New Roman" w:hAnsi="Times New Roman" w:cs="Times New Roman" w:eastAsia="Times New Roman" w:hint="default"/>
          <w:spacing w:val="-1"/>
        </w:rPr>
        <w:t>,</w:t>
      </w:r>
      <w:r>
        <w:rPr>
          <w:spacing w:val="-1"/>
        </w:rPr>
        <w:t>对公司</w:t>
      </w:r>
      <w:r>
        <w:rPr>
          <w:rFonts w:ascii="Times New Roman" w:hAnsi="Times New Roman" w:cs="Times New Roman" w:eastAsia="Times New Roman" w:hint="default"/>
          <w:spacing w:val="-1"/>
        </w:rPr>
        <w:t>2018</w:t>
      </w:r>
      <w:r>
        <w:rPr>
          <w:spacing w:val="-1"/>
        </w:rPr>
        <w:t>年度董事、总经理和其他</w:t>
      </w:r>
      <w:r>
        <w:rPr>
          <w:spacing w:val="-79"/>
        </w:rPr>
        <w:t> </w:t>
      </w:r>
      <w:r>
        <w:rPr>
          <w:spacing w:val="-79"/>
        </w:rPr>
      </w:r>
      <w:r>
        <w:rPr/>
        <w:t>高级管理人员的决策程序提出建议，相关会议均按照有关规定的程序召开。</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七、监事会工作情况" w:id="145"/>
      <w:bookmarkEnd w:id="145"/>
      <w:r>
        <w:rPr>
          <w:b w:val="0"/>
          <w:bCs w:val="0"/>
        </w:rPr>
      </w: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7"/>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公司监事会对报告期内的监督事项无异议。</w:t>
      </w:r>
    </w:p>
    <w:p>
      <w:pPr>
        <w:spacing w:line="240" w:lineRule="auto" w:before="4"/>
        <w:rPr>
          <w:rFonts w:ascii="宋体" w:hAnsi="宋体" w:cs="宋体" w:eastAsia="宋体" w:hint="default"/>
          <w:sz w:val="19"/>
          <w:szCs w:val="19"/>
        </w:rPr>
      </w:pPr>
    </w:p>
    <w:p>
      <w:pPr>
        <w:pStyle w:val="Heading4"/>
        <w:spacing w:line="240" w:lineRule="auto"/>
        <w:ind w:right="0"/>
        <w:jc w:val="left"/>
        <w:rPr>
          <w:b w:val="0"/>
          <w:bCs w:val="0"/>
        </w:rPr>
      </w:pPr>
      <w:bookmarkStart w:name="八、高级管理人员的考评及激励情况" w:id="146"/>
      <w:bookmarkEnd w:id="146"/>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2" w:firstLine="360"/>
        <w:jc w:val="both"/>
      </w:pPr>
      <w:r>
        <w:rPr>
          <w:spacing w:val="-2"/>
        </w:rPr>
        <w:t>公司建立了完善的高级管理人员绩效考评体系和薪酬制度，高级管理人员的工作绩效与其收入直接挂钩。高级管理人员</w:t>
      </w:r>
      <w:r>
        <w:rPr/>
        <w:t> </w:t>
      </w:r>
      <w:r>
        <w:rPr>
          <w:spacing w:val="-2"/>
        </w:rPr>
        <w:t>的聘任公开、透明，符合法律、法规的规定。公司董事会下设的提名、薪酬和考核委员会负责对公司董事及高级管理人员进</w:t>
      </w:r>
      <w:r>
        <w:rPr>
          <w:spacing w:val="-65"/>
        </w:rPr>
        <w:t> </w:t>
      </w:r>
      <w:r>
        <w:rPr>
          <w:spacing w:val="-65"/>
        </w:rPr>
      </w:r>
      <w:r>
        <w:rPr/>
        <w:t>行绩效考核。</w:t>
      </w: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bookmarkStart w:name="九、内部控制评价报告" w:id="147"/>
      <w:bookmarkEnd w:id="147"/>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bookmarkStart w:name="1、报告期内发现的内部控制重大缺陷的具体情况" w:id="148"/>
      <w:bookmarkEnd w:id="148"/>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after="0" w:line="240"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r>
        <w:rPr/>
        <w:pict>
          <v:shape style="position:absolute;margin-left:376.679993pt;margin-top:254.850021pt;width:158.35pt;height:378.5pt;mso-position-horizontal-relative:page;mso-position-vertical-relative:page;z-index:-1502512"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19"/>
                      <w:szCs w:val="19"/>
                    </w:rPr>
                  </w:pPr>
                </w:p>
                <w:p>
                  <w:pPr>
                    <w:pStyle w:val="BodyText"/>
                    <w:spacing w:line="240" w:lineRule="auto"/>
                    <w:ind w:left="0" w:right="0"/>
                    <w:jc w:val="left"/>
                  </w:pPr>
                  <w:r>
                    <w:rPr/>
                    <w:t>、</w:t>
                  </w:r>
                </w:p>
              </w:txbxContent>
            </v:textbox>
            <w10:wrap type="none"/>
          </v:shape>
        </w:pict>
      </w:r>
      <w:r>
        <w:rPr/>
        <w:pict>
          <v:shape style="position:absolute;margin-left:376.679993pt;margin-top:633.75pt;width:158.35pt;height:50.9pt;mso-position-horizontal-relative:page;mso-position-vertical-relative:page;z-index:-1502488" type="#_x0000_t202" filled="false" stroked="false">
            <v:textbox inset="0,0,0,0">
              <w:txbxContent>
                <w:p>
                  <w:pPr>
                    <w:pStyle w:val="BodyText"/>
                    <w:spacing w:line="240" w:lineRule="auto" w:before="51"/>
                    <w:ind w:left="0" w:right="0"/>
                    <w:jc w:val="left"/>
                  </w:pPr>
                  <w:r>
                    <w:rPr/>
                    <w:t>：</w:t>
                  </w:r>
                </w:p>
              </w:txbxContent>
            </v:textbox>
            <w10:wrap type="none"/>
          </v:shape>
        </w:pict>
      </w:r>
      <w:r>
        <w:rPr/>
        <w:pict>
          <v:group style="position:absolute;margin-left:382.700012pt;margin-top:254.850021pt;width:154.3pt;height:429.95pt;mso-position-horizontal-relative:page;mso-position-vertical-relative:page;z-index:-1502416" coordorigin="7654,5097" coordsize="3086,8599">
            <v:group style="position:absolute;left:7654;top:5097;width:3046;height:7573" coordorigin="7654,5097" coordsize="3046,7573">
              <v:shape style="position:absolute;left:7654;top:5097;width:3046;height:7573" coordorigin="7654,5097" coordsize="3046,7573" path="m7654,5097l10700,5097,10700,12670,7654,12670,7654,5097xe" filled="true" fillcolor="#ffffff" stroked="false">
                <v:path arrowok="t"/>
                <v:fill type="solid"/>
              </v:shape>
            </v:group>
            <v:group style="position:absolute;left:7654;top:12675;width:3046;height:1021" coordorigin="7654,12675" coordsize="3046,1021">
              <v:shape style="position:absolute;left:7654;top:12675;width:3046;height:1021" coordorigin="7654,12675" coordsize="3046,1021" path="m7654,12675l10700,12675,10700,13696,7654,13696,7654,12675xe" filled="true" fillcolor="#ffffff" stroked="false">
                <v:path arrowok="t"/>
                <v:fill type="solid"/>
              </v:shape>
              <v:shape style="position:absolute;left:10560;top:863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10555;top:13406;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p>
    <w:p>
      <w:pPr>
        <w:pStyle w:val="Heading5"/>
        <w:spacing w:line="240" w:lineRule="auto" w:before="34"/>
        <w:ind w:right="0"/>
        <w:jc w:val="left"/>
        <w:rPr>
          <w:b w:val="0"/>
          <w:bCs w:val="0"/>
        </w:rPr>
      </w:pPr>
      <w:bookmarkStart w:name="2、内控自我评价报告" w:id="149"/>
      <w:bookmarkEnd w:id="149"/>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3323"/>
        <w:gridCol w:w="3051"/>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年度内部控制自我评价报告》</w:t>
            </w:r>
            <w:r>
              <w:rPr>
                <w:rFonts w:ascii="宋体" w:hAnsi="宋体" w:cs="宋体" w:eastAsia="宋体" w:hint="default"/>
                <w:spacing w:val="-24"/>
                <w:sz w:val="18"/>
                <w:szCs w:val="18"/>
              </w:rPr>
              <w:t> </w:t>
            </w:r>
            <w:hyperlink r:id="rId11">
              <w:r>
                <w:rPr>
                  <w:rFonts w:ascii="Times New Roman" w:hAnsi="Times New Roman" w:cs="Times New Roman" w:eastAsia="Times New Roman" w:hint="default"/>
                  <w:sz w:val="18"/>
                  <w:szCs w:val="18"/>
                </w:rPr>
                <w:t>www.cninfo.com.cn</w:t>
              </w:r>
            </w:hyperlink>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757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48"/>
              <w:jc w:val="both"/>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定性标准如下：①重大缺陷：是指一个或 多个控制缺陷的组合，可能导致企业严重 偏离控制目标。出现下列特征的，认定为 重大缺陷：</w:t>
            </w:r>
            <w:r>
              <w:rPr>
                <w:rFonts w:ascii="Times New Roman" w:hAnsi="Times New Roman" w:cs="Times New Roman" w:eastAsia="Times New Roman" w:hint="default"/>
                <w:sz w:val="18"/>
                <w:szCs w:val="18"/>
              </w:rPr>
              <w:t>A</w:t>
            </w:r>
            <w:r>
              <w:rPr>
                <w:rFonts w:ascii="宋体" w:hAnsi="宋体" w:cs="宋体" w:eastAsia="宋体" w:hint="default"/>
                <w:sz w:val="18"/>
                <w:szCs w:val="18"/>
              </w:rPr>
              <w:t>、董事、监事和高级管理人 员舞弊；</w:t>
            </w:r>
            <w:r>
              <w:rPr>
                <w:rFonts w:ascii="Times New Roman" w:hAnsi="Times New Roman" w:cs="Times New Roman" w:eastAsia="Times New Roman" w:hint="default"/>
                <w:sz w:val="18"/>
                <w:szCs w:val="18"/>
              </w:rPr>
              <w:t>B</w:t>
            </w:r>
            <w:r>
              <w:rPr>
                <w:rFonts w:ascii="宋体" w:hAnsi="宋体" w:cs="宋体" w:eastAsia="宋体" w:hint="default"/>
                <w:sz w:val="18"/>
                <w:szCs w:val="18"/>
              </w:rPr>
              <w:t>、注册会计师发现当期财务报 告存在重大错报，而内部控制在运行过程 中未能发现该错报；</w:t>
            </w:r>
            <w:r>
              <w:rPr>
                <w:rFonts w:ascii="Times New Roman" w:hAnsi="Times New Roman" w:cs="Times New Roman" w:eastAsia="Times New Roman" w:hint="default"/>
                <w:sz w:val="18"/>
                <w:szCs w:val="18"/>
              </w:rPr>
              <w:t>C</w:t>
            </w:r>
            <w:r>
              <w:rPr>
                <w:rFonts w:ascii="宋体" w:hAnsi="宋体" w:cs="宋体" w:eastAsia="宋体" w:hint="default"/>
                <w:sz w:val="18"/>
                <w:szCs w:val="18"/>
              </w:rPr>
              <w:t>、审计委员会以及 内部审计部门对财务报告内部控制监督无 效；</w:t>
            </w:r>
            <w:r>
              <w:rPr>
                <w:rFonts w:ascii="Times New Roman" w:hAnsi="Times New Roman" w:cs="Times New Roman" w:eastAsia="Times New Roman" w:hint="default"/>
                <w:sz w:val="18"/>
                <w:szCs w:val="18"/>
              </w:rPr>
              <w:t>D</w:t>
            </w:r>
            <w:r>
              <w:rPr>
                <w:rFonts w:ascii="宋体" w:hAnsi="宋体" w:cs="宋体" w:eastAsia="宋体" w:hint="default"/>
                <w:sz w:val="18"/>
                <w:szCs w:val="18"/>
              </w:rPr>
              <w:t>、对已经公告的财务报告出现的重 大差错进行错报更正。②重要缺陷：是指 一个或多个控制缺陷的组合，其严重程度 和经济后果低于重大缺陷但仍有可能导致 企业偏离控制目标。出现以下特征的，认 定为重要缺陷：</w:t>
            </w:r>
            <w:r>
              <w:rPr>
                <w:rFonts w:ascii="Times New Roman" w:hAnsi="Times New Roman" w:cs="Times New Roman" w:eastAsia="Times New Roman" w:hint="default"/>
                <w:sz w:val="18"/>
                <w:szCs w:val="18"/>
              </w:rPr>
              <w:t>A</w:t>
            </w:r>
            <w:r>
              <w:rPr>
                <w:rFonts w:ascii="宋体" w:hAnsi="宋体" w:cs="宋体" w:eastAsia="宋体" w:hint="default"/>
                <w:sz w:val="18"/>
                <w:szCs w:val="18"/>
              </w:rPr>
              <w:t>、未依照公认会计准则 选择和应用会计政策；</w:t>
            </w:r>
            <w:r>
              <w:rPr>
                <w:rFonts w:ascii="Times New Roman" w:hAnsi="Times New Roman" w:cs="Times New Roman" w:eastAsia="Times New Roman" w:hint="default"/>
                <w:sz w:val="18"/>
                <w:szCs w:val="18"/>
              </w:rPr>
              <w:t>B</w:t>
            </w:r>
            <w:r>
              <w:rPr>
                <w:rFonts w:ascii="宋体" w:hAnsi="宋体" w:cs="宋体" w:eastAsia="宋体" w:hint="default"/>
                <w:sz w:val="18"/>
                <w:szCs w:val="18"/>
              </w:rPr>
              <w:t>、未建立反舞弊 程序和控制措施；</w:t>
            </w:r>
            <w:r>
              <w:rPr>
                <w:rFonts w:ascii="Times New Roman" w:hAnsi="Times New Roman" w:cs="Times New Roman" w:eastAsia="Times New Roman" w:hint="default"/>
                <w:sz w:val="18"/>
                <w:szCs w:val="18"/>
              </w:rPr>
              <w:t>C</w:t>
            </w:r>
            <w:r>
              <w:rPr>
                <w:rFonts w:ascii="宋体" w:hAnsi="宋体" w:cs="宋体" w:eastAsia="宋体" w:hint="default"/>
                <w:sz w:val="18"/>
                <w:szCs w:val="18"/>
              </w:rPr>
              <w:t>、对于非常规或特殊 交易的账务处理没有建立相应的控制机制 或没有实施且没有相应的补偿性控制；</w:t>
            </w:r>
            <w:r>
              <w:rPr>
                <w:rFonts w:ascii="Times New Roman" w:hAnsi="Times New Roman" w:cs="Times New Roman" w:eastAsia="Times New Roman" w:hint="default"/>
                <w:sz w:val="18"/>
                <w:szCs w:val="18"/>
              </w:rPr>
              <w:t>D</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对于期末财务报告过程的控制存在一项或 多项缺陷且不能合理保证编制的财务报表 达到真实、准确的目标。③一般缺陷：是 指除重大缺陷和重要缺陷之外的其他控制 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09" w:lineRule="auto"/>
              <w:ind w:left="24" w:right="22"/>
              <w:jc w:val="left"/>
              <w:rPr>
                <w:rFonts w:ascii="宋体" w:hAnsi="宋体" w:cs="宋体" w:eastAsia="宋体" w:hint="default"/>
                <w:sz w:val="18"/>
                <w:szCs w:val="18"/>
              </w:rPr>
            </w:pPr>
            <w:r>
              <w:rPr>
                <w:rFonts w:ascii="宋体" w:hAnsi="宋体" w:cs="宋体" w:eastAsia="宋体" w:hint="default"/>
                <w:spacing w:val="-4"/>
                <w:sz w:val="18"/>
                <w:szCs w:val="18"/>
              </w:rPr>
              <w:t>①具有以下特征的缺陷，认定为重大缺</w:t>
            </w:r>
            <w:r>
              <w:rPr>
                <w:rFonts w:ascii="宋体" w:hAnsi="宋体" w:cs="宋体" w:eastAsia="宋体" w:hint="default"/>
                <w:sz w:val="18"/>
                <w:szCs w:val="18"/>
              </w:rPr>
              <w:t> 陷：</w:t>
            </w:r>
            <w:r>
              <w:rPr>
                <w:rFonts w:ascii="Times New Roman" w:hAnsi="Times New Roman" w:cs="Times New Roman" w:eastAsia="Times New Roman" w:hint="default"/>
                <w:sz w:val="18"/>
                <w:szCs w:val="18"/>
              </w:rPr>
              <w:t>A</w:t>
            </w:r>
            <w:r>
              <w:rPr>
                <w:rFonts w:ascii="宋体" w:hAnsi="宋体" w:cs="宋体" w:eastAsia="宋体" w:hint="default"/>
                <w:sz w:val="18"/>
                <w:szCs w:val="18"/>
              </w:rPr>
              <w:t>、公司缺乏民主决策程序；</w:t>
            </w:r>
            <w:r>
              <w:rPr>
                <w:rFonts w:ascii="Times New Roman" w:hAnsi="Times New Roman" w:cs="Times New Roman" w:eastAsia="Times New Roman" w:hint="default"/>
                <w:sz w:val="18"/>
                <w:szCs w:val="18"/>
              </w:rPr>
              <w:t>B</w:t>
            </w:r>
            <w:r>
              <w:rPr>
                <w:rFonts w:ascii="宋体" w:hAnsi="宋体" w:cs="宋体" w:eastAsia="宋体" w:hint="default"/>
                <w:sz w:val="18"/>
                <w:szCs w:val="18"/>
              </w:rPr>
              <w:t>、 公司重要业务缺乏制度控制或制度体 系失效；</w:t>
            </w:r>
            <w:r>
              <w:rPr>
                <w:rFonts w:ascii="Times New Roman" w:hAnsi="Times New Roman" w:cs="Times New Roman" w:eastAsia="Times New Roman" w:hint="default"/>
                <w:sz w:val="18"/>
                <w:szCs w:val="18"/>
              </w:rPr>
              <w:t>C</w:t>
            </w:r>
            <w:r>
              <w:rPr>
                <w:rFonts w:ascii="宋体" w:hAnsi="宋体" w:cs="宋体" w:eastAsia="宋体" w:hint="default"/>
                <w:sz w:val="18"/>
                <w:szCs w:val="18"/>
              </w:rPr>
              <w:t>、公司经营活动严重违反国 </w:t>
            </w:r>
            <w:r>
              <w:rPr>
                <w:rFonts w:ascii="宋体" w:hAnsi="宋体" w:cs="宋体" w:eastAsia="宋体" w:hint="default"/>
                <w:spacing w:val="-2"/>
                <w:sz w:val="18"/>
                <w:szCs w:val="18"/>
              </w:rPr>
              <w:t>家法律法规；</w:t>
            </w:r>
            <w:r>
              <w:rPr>
                <w:rFonts w:ascii="Times New Roman" w:hAnsi="Times New Roman" w:cs="Times New Roman" w:eastAsia="Times New Roman" w:hint="default"/>
                <w:spacing w:val="-2"/>
                <w:sz w:val="18"/>
                <w:szCs w:val="18"/>
              </w:rPr>
              <w:t>D</w:t>
            </w:r>
            <w:r>
              <w:rPr>
                <w:rFonts w:ascii="宋体" w:hAnsi="宋体" w:cs="宋体" w:eastAsia="宋体" w:hint="default"/>
                <w:spacing w:val="-2"/>
                <w:sz w:val="18"/>
                <w:szCs w:val="18"/>
              </w:rPr>
              <w:t>、中高级管理人员、核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心技术人员、业务人员严重流失。②具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有以下特征的缺陷，认定为重要缺陷 </w:t>
            </w:r>
            <w:r>
              <w:rPr>
                <w:rFonts w:ascii="Times New Roman" w:hAnsi="Times New Roman" w:cs="Times New Roman" w:eastAsia="Times New Roman" w:hint="default"/>
                <w:spacing w:val="-2"/>
                <w:sz w:val="18"/>
                <w:szCs w:val="18"/>
              </w:rPr>
              <w:t>A</w:t>
            </w:r>
            <w:r>
              <w:rPr>
                <w:rFonts w:ascii="宋体" w:hAnsi="宋体" w:cs="宋体" w:eastAsia="宋体" w:hint="default"/>
                <w:spacing w:val="-2"/>
                <w:sz w:val="18"/>
                <w:szCs w:val="18"/>
              </w:rPr>
              <w:t>、公司组织架构、民主决策程序不完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善；</w:t>
            </w:r>
            <w:r>
              <w:rPr>
                <w:rFonts w:ascii="Times New Roman" w:hAnsi="Times New Roman" w:cs="Times New Roman" w:eastAsia="Times New Roman" w:hint="default"/>
                <w:sz w:val="18"/>
                <w:szCs w:val="18"/>
              </w:rPr>
              <w:t>B</w:t>
            </w:r>
            <w:r>
              <w:rPr>
                <w:rFonts w:ascii="宋体" w:hAnsi="宋体" w:cs="宋体" w:eastAsia="宋体" w:hint="default"/>
                <w:sz w:val="18"/>
                <w:szCs w:val="18"/>
              </w:rPr>
              <w:t>、公司重要业务制度或系统存在 缺陷；</w:t>
            </w:r>
            <w:r>
              <w:rPr>
                <w:rFonts w:ascii="Times New Roman" w:hAnsi="Times New Roman" w:cs="Times New Roman" w:eastAsia="Times New Roman" w:hint="default"/>
                <w:sz w:val="18"/>
                <w:szCs w:val="18"/>
              </w:rPr>
              <w:t>C</w:t>
            </w:r>
            <w:r>
              <w:rPr>
                <w:rFonts w:ascii="宋体" w:hAnsi="宋体" w:cs="宋体" w:eastAsia="宋体" w:hint="default"/>
                <w:sz w:val="18"/>
                <w:szCs w:val="18"/>
              </w:rPr>
              <w:t>、公司内部控制重要或一般缺 </w:t>
            </w:r>
            <w:r>
              <w:rPr>
                <w:rFonts w:ascii="宋体" w:hAnsi="宋体" w:cs="宋体" w:eastAsia="宋体" w:hint="default"/>
                <w:spacing w:val="-2"/>
                <w:sz w:val="18"/>
                <w:szCs w:val="18"/>
              </w:rPr>
              <w:t>陷未得到整改；</w:t>
            </w:r>
            <w:r>
              <w:rPr>
                <w:rFonts w:ascii="Times New Roman" w:hAnsi="Times New Roman" w:cs="Times New Roman" w:eastAsia="Times New Roman" w:hint="default"/>
                <w:spacing w:val="-2"/>
                <w:sz w:val="18"/>
                <w:szCs w:val="18"/>
              </w:rPr>
              <w:t>D</w:t>
            </w:r>
            <w:r>
              <w:rPr>
                <w:rFonts w:ascii="宋体" w:hAnsi="宋体" w:cs="宋体" w:eastAsia="宋体" w:hint="default"/>
                <w:spacing w:val="-2"/>
                <w:sz w:val="18"/>
                <w:szCs w:val="18"/>
              </w:rPr>
              <w:t>、公司违反企业内部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规章，形成损失。③一般缺陷：除上述</w:t>
            </w:r>
            <w:r>
              <w:rPr>
                <w:rFonts w:ascii="宋体" w:hAnsi="宋体" w:cs="宋体" w:eastAsia="宋体" w:hint="default"/>
                <w:sz w:val="18"/>
                <w:szCs w:val="18"/>
              </w:rPr>
              <w:t> </w:t>
            </w:r>
            <w:r>
              <w:rPr>
                <w:rFonts w:ascii="宋体" w:hAnsi="宋体" w:cs="宋体" w:eastAsia="宋体" w:hint="default"/>
                <w:spacing w:val="-4"/>
                <w:sz w:val="18"/>
                <w:szCs w:val="18"/>
              </w:rPr>
              <w:t>重大缺陷、重要缺陷之外的其他产生一</w:t>
            </w:r>
            <w:r>
              <w:rPr>
                <w:rFonts w:ascii="宋体" w:hAnsi="宋体" w:cs="宋体" w:eastAsia="宋体" w:hint="default"/>
                <w:sz w:val="18"/>
                <w:szCs w:val="18"/>
              </w:rPr>
              <w:t> 般影响或造成轻微损失的控制缺陷。</w:t>
            </w:r>
          </w:p>
        </w:tc>
      </w:tr>
      <w:tr>
        <w:trPr>
          <w:trHeight w:val="102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3" w:right="89"/>
              <w:jc w:val="both"/>
              <w:rPr>
                <w:rFonts w:ascii="宋体" w:hAnsi="宋体" w:cs="宋体" w:eastAsia="宋体" w:hint="default"/>
                <w:sz w:val="18"/>
                <w:szCs w:val="18"/>
              </w:rPr>
            </w:pPr>
            <w:r>
              <w:rPr>
                <w:rFonts w:ascii="宋体" w:hAnsi="宋体" w:cs="宋体" w:eastAsia="宋体" w:hint="default"/>
                <w:spacing w:val="-8"/>
                <w:w w:val="99"/>
                <w:sz w:val="18"/>
                <w:szCs w:val="18"/>
              </w:rPr>
              <w:t>重大缺陷：错报</w:t>
            </w:r>
            <w:r>
              <w:rPr>
                <w:rFonts w:ascii="Times New Roman" w:hAnsi="Times New Roman" w:cs="Times New Roman" w:eastAsia="Times New Roman" w:hint="default"/>
                <w:spacing w:val="-8"/>
                <w:w w:val="99"/>
                <w:sz w:val="18"/>
                <w:szCs w:val="18"/>
              </w:rPr>
              <w:t>≥</w:t>
            </w:r>
            <w:r>
              <w:rPr>
                <w:rFonts w:ascii="宋体" w:hAnsi="宋体" w:cs="宋体" w:eastAsia="宋体" w:hint="default"/>
                <w:spacing w:val="-8"/>
                <w:w w:val="99"/>
                <w:sz w:val="18"/>
                <w:szCs w:val="18"/>
              </w:rPr>
              <w:t>利润总额</w:t>
            </w:r>
            <w:r>
              <w:rPr>
                <w:rFonts w:ascii="宋体" w:hAnsi="宋体" w:cs="宋体" w:eastAsia="宋体" w:hint="default"/>
                <w:spacing w:val="-39"/>
                <w:w w:val="99"/>
                <w:sz w:val="18"/>
                <w:szCs w:val="18"/>
              </w:rPr>
              <w:t> </w:t>
            </w:r>
            <w:r>
              <w:rPr>
                <w:rFonts w:ascii="Times New Roman" w:hAnsi="Times New Roman" w:cs="Times New Roman" w:eastAsia="Times New Roman" w:hint="default"/>
                <w:spacing w:val="-12"/>
                <w:sz w:val="18"/>
                <w:szCs w:val="18"/>
              </w:rPr>
              <w:t>10%</w:t>
            </w:r>
            <w:r>
              <w:rPr>
                <w:rFonts w:ascii="宋体" w:hAnsi="宋体" w:cs="宋体" w:eastAsia="宋体" w:hint="default"/>
                <w:spacing w:val="-12"/>
                <w:sz w:val="18"/>
                <w:szCs w:val="18"/>
              </w:rPr>
              <w:t>。重要缺陷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利润总额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。一般 缺陷：错报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24"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重大缺陷：损失</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。重要 缺陷：利润总额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损失</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 </w:t>
            </w:r>
            <w:r>
              <w:rPr>
                <w:rFonts w:ascii="Times New Roman" w:hAnsi="Times New Roman" w:cs="Times New Roman" w:eastAsia="Times New Roman" w:hint="default"/>
                <w:sz w:val="18"/>
                <w:szCs w:val="18"/>
              </w:rPr>
              <w:t>10%</w:t>
            </w:r>
            <w:r>
              <w:rPr>
                <w:rFonts w:ascii="宋体" w:hAnsi="宋体" w:cs="宋体" w:eastAsia="宋体" w:hint="default"/>
                <w:sz w:val="18"/>
                <w:szCs w:val="18"/>
              </w:rPr>
              <w:t>。一般缺陷：损失</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8"/>
        <w:rPr>
          <w:rFonts w:ascii="宋体" w:hAnsi="宋体" w:cs="宋体" w:eastAsia="宋体" w:hint="default"/>
          <w:b/>
          <w:bCs/>
          <w:sz w:val="23"/>
          <w:szCs w:val="23"/>
        </w:rPr>
      </w:pPr>
    </w:p>
    <w:p>
      <w:pPr>
        <w:pStyle w:val="Heading4"/>
        <w:spacing w:line="240" w:lineRule="auto" w:before="26"/>
        <w:ind w:right="0"/>
        <w:jc w:val="left"/>
        <w:rPr>
          <w:b w:val="0"/>
          <w:bCs w:val="0"/>
        </w:rPr>
      </w:pPr>
      <w:bookmarkStart w:name="十、内部控制审计报告或鉴证报告" w:id="150"/>
      <w:bookmarkEnd w:id="150"/>
      <w:r>
        <w:rPr>
          <w:b w:val="0"/>
          <w:bCs w:val="0"/>
        </w:rPr>
      </w: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086" w:right="0"/>
        <w:jc w:val="left"/>
        <w:rPr>
          <w:b w:val="0"/>
          <w:bCs w:val="0"/>
        </w:rPr>
      </w:pPr>
      <w:bookmarkStart w:name="第十节 公司债券相关情况" w:id="151"/>
      <w:bookmarkEnd w:id="151"/>
      <w:r>
        <w:rPr>
          <w:b w:val="0"/>
          <w:bCs w:val="0"/>
        </w:rPr>
      </w:r>
      <w:bookmarkStart w:name="_bookmark8" w:id="152"/>
      <w:bookmarkEnd w:id="152"/>
      <w:r>
        <w:rPr>
          <w:b w:val="0"/>
          <w:bCs w:val="0"/>
        </w:rPr>
      </w:r>
      <w:r>
        <w:rPr/>
        <w:t>第十节</w:t>
      </w:r>
      <w:r>
        <w:rPr>
          <w:spacing w:val="-10"/>
        </w:rPr>
        <w:t> </w:t>
      </w:r>
      <w:r>
        <w:rPr/>
        <w:t>公司债券相关情况</w:t>
      </w:r>
      <w:r>
        <w:rPr>
          <w:b w:val="0"/>
          <w:bCs w:val="0"/>
        </w:rPr>
      </w:r>
    </w:p>
    <w:p>
      <w:pPr>
        <w:spacing w:line="240" w:lineRule="auto" w:before="6"/>
        <w:rPr>
          <w:rFonts w:ascii="宋体" w:hAnsi="宋体" w:cs="宋体" w:eastAsia="宋体" w:hint="default"/>
          <w:b/>
          <w:bCs/>
          <w:sz w:val="42"/>
          <w:szCs w:val="42"/>
        </w:rPr>
      </w:pPr>
    </w:p>
    <w:p>
      <w:pPr>
        <w:pStyle w:val="BodyText"/>
        <w:spacing w:line="360" w:lineRule="auto"/>
        <w:ind w:right="2114"/>
        <w:jc w:val="left"/>
      </w:pPr>
      <w:r>
        <w:rPr/>
        <w:t>公司是否存在公开发行并在证券交易所上市，且在年度报告批准报出日未到期或到期未能全额兑付的公司债券 否</w:t>
      </w:r>
    </w:p>
    <w:p>
      <w:pPr>
        <w:spacing w:after="0" w:line="360" w:lineRule="auto"/>
        <w:jc w:val="left"/>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68" w:right="0"/>
        <w:jc w:val="left"/>
        <w:rPr>
          <w:b w:val="0"/>
          <w:bCs w:val="0"/>
        </w:rPr>
      </w:pPr>
      <w:bookmarkStart w:name="第十一节 财务报告" w:id="153"/>
      <w:bookmarkEnd w:id="153"/>
      <w:r>
        <w:rPr>
          <w:b w:val="0"/>
          <w:bCs w:val="0"/>
        </w:rPr>
      </w:r>
      <w:bookmarkStart w:name="_bookmark9" w:id="154"/>
      <w:bookmarkEnd w:id="154"/>
      <w:r>
        <w:rPr>
          <w:b w:val="0"/>
          <w:bCs w:val="0"/>
        </w:rPr>
      </w:r>
      <w:r>
        <w:rPr/>
        <w:t>第十一节</w:t>
      </w:r>
      <w:r>
        <w:rPr>
          <w:spacing w:val="-8"/>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4"/>
        <w:spacing w:line="240" w:lineRule="auto" w:before="26"/>
        <w:ind w:right="0"/>
        <w:jc w:val="left"/>
        <w:rPr>
          <w:b w:val="0"/>
          <w:bCs w:val="0"/>
        </w:rPr>
      </w:pPr>
      <w:bookmarkStart w:name="一、审计报告" w:id="155"/>
      <w:bookmarkEnd w:id="155"/>
      <w:r>
        <w:rPr>
          <w:b w:val="0"/>
          <w:bCs w:val="0"/>
        </w:rPr>
      </w: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5"/>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[2019]002660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叶金福、刘黎</w:t>
            </w:r>
          </w:p>
        </w:tc>
      </w:tr>
    </w:tbl>
    <w:p>
      <w:pPr>
        <w:pStyle w:val="BodyText"/>
        <w:spacing w:line="240" w:lineRule="auto" w:before="50"/>
        <w:ind w:left="0" w:right="1021"/>
        <w:jc w:val="center"/>
      </w:pPr>
      <w:r>
        <w:rPr/>
        <w:t>审计报告正文</w:t>
      </w:r>
    </w:p>
    <w:p>
      <w:pPr>
        <w:spacing w:before="160"/>
        <w:ind w:left="0" w:right="1017" w:firstLine="0"/>
        <w:jc w:val="center"/>
        <w:rPr>
          <w:rFonts w:ascii="宋体" w:hAnsi="宋体" w:cs="宋体" w:eastAsia="宋体" w:hint="default"/>
          <w:sz w:val="32"/>
          <w:szCs w:val="32"/>
        </w:rPr>
      </w:pPr>
      <w:r>
        <w:rPr>
          <w:rFonts w:ascii="宋体" w:hAnsi="宋体" w:cs="宋体" w:eastAsia="宋体" w:hint="default"/>
          <w:b/>
          <w:bCs/>
          <w:sz w:val="32"/>
          <w:szCs w:val="32"/>
        </w:rPr>
        <w:t>审计报告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p>
      <w:pPr>
        <w:pStyle w:val="Heading5"/>
        <w:spacing w:line="240" w:lineRule="auto" w:before="34"/>
        <w:ind w:left="0" w:right="1127"/>
        <w:jc w:val="right"/>
        <w:rPr>
          <w:b w:val="0"/>
          <w:bCs w:val="0"/>
        </w:rPr>
      </w:pPr>
      <w:r>
        <w:rPr>
          <w:w w:val="95"/>
        </w:rPr>
        <w:t>大华审字</w:t>
      </w:r>
      <w:r>
        <w:rPr>
          <w:rFonts w:ascii="Times New Roman" w:hAnsi="Times New Roman" w:cs="Times New Roman" w:eastAsia="Times New Roman" w:hint="default"/>
          <w:w w:val="95"/>
        </w:rPr>
        <w:t>[2019]002660</w:t>
      </w:r>
      <w:r>
        <w:rPr>
          <w:w w:val="95"/>
        </w:rPr>
        <w:t>号</w:t>
      </w:r>
      <w:r>
        <w:rPr>
          <w:b w:val="0"/>
          <w:bCs w:val="0"/>
        </w:rPr>
      </w:r>
    </w:p>
    <w:p>
      <w:pPr>
        <w:spacing w:line="240" w:lineRule="auto" w:before="0"/>
        <w:rPr>
          <w:rFonts w:ascii="宋体" w:hAnsi="宋体" w:cs="宋体" w:eastAsia="宋体" w:hint="default"/>
          <w:b/>
          <w:bCs/>
          <w:sz w:val="20"/>
          <w:szCs w:val="20"/>
        </w:rPr>
      </w:pPr>
    </w:p>
    <w:p>
      <w:pPr>
        <w:pStyle w:val="Heading2"/>
        <w:spacing w:line="240" w:lineRule="auto" w:before="170"/>
        <w:ind w:right="0"/>
        <w:jc w:val="left"/>
        <w:rPr>
          <w:b w:val="0"/>
          <w:bCs w:val="0"/>
        </w:rPr>
      </w:pPr>
      <w:r>
        <w:rPr/>
        <w:t>北京科蓝软件系统股份有限公司全体股东：</w:t>
      </w:r>
      <w:r>
        <w:rPr>
          <w:b w:val="0"/>
          <w:bCs w:val="0"/>
        </w:rPr>
      </w:r>
    </w:p>
    <w:p>
      <w:pPr>
        <w:spacing w:line="240" w:lineRule="auto" w:before="9"/>
        <w:rPr>
          <w:rFonts w:ascii="宋体" w:hAnsi="宋体" w:cs="宋体" w:eastAsia="宋体" w:hint="default"/>
          <w:b/>
          <w:bCs/>
          <w:sz w:val="19"/>
          <w:szCs w:val="19"/>
        </w:rPr>
      </w:pPr>
    </w:p>
    <w:p>
      <w:pPr>
        <w:pStyle w:val="Heading2"/>
        <w:spacing w:line="240" w:lineRule="auto"/>
        <w:ind w:left="254"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66"/>
        </w:rPr>
        <w:t> </w:t>
      </w:r>
      <w:r>
        <w:rPr/>
        <w:t>审计意见</w:t>
      </w:r>
      <w:r>
        <w:rPr>
          <w:b w:val="0"/>
          <w:bCs w:val="0"/>
        </w:rPr>
      </w:r>
    </w:p>
    <w:p>
      <w:pPr>
        <w:pStyle w:val="BodyText"/>
        <w:spacing w:line="300" w:lineRule="auto" w:before="161"/>
        <w:ind w:right="1130" w:firstLine="360"/>
        <w:jc w:val="both"/>
      </w:pPr>
      <w:r>
        <w:rPr>
          <w:spacing w:val="-1"/>
        </w:rPr>
        <w:t>我们审计了北京科蓝软件系统股份有限公司</w:t>
      </w:r>
      <w:r>
        <w:rPr>
          <w:rFonts w:ascii="Times New Roman" w:hAnsi="Times New Roman" w:cs="Times New Roman" w:eastAsia="Times New Roman" w:hint="default"/>
          <w:spacing w:val="-1"/>
        </w:rPr>
        <w:t>(</w:t>
      </w:r>
      <w:r>
        <w:rPr>
          <w:spacing w:val="-1"/>
        </w:rPr>
        <w:t>以下简称科蓝软件公司</w:t>
      </w:r>
      <w:r>
        <w:rPr>
          <w:rFonts w:ascii="Times New Roman" w:hAnsi="Times New Roman" w:cs="Times New Roman" w:eastAsia="Times New Roman" w:hint="default"/>
          <w:spacing w:val="-1"/>
        </w:rPr>
        <w:t>)</w:t>
      </w:r>
      <w:r>
        <w:rPr>
          <w:spacing w:val="-1"/>
        </w:rPr>
        <w:t>财务报表，包括</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日的合并及母公司资</w:t>
      </w:r>
      <w:r>
        <w:rPr/>
        <w:t> </w:t>
      </w:r>
      <w:r>
        <w:rPr>
          <w:spacing w:val="-2"/>
        </w:rPr>
        <w:t>产负债表，</w:t>
      </w:r>
      <w:r>
        <w:rPr>
          <w:rFonts w:ascii="Times New Roman" w:hAnsi="Times New Roman" w:cs="Times New Roman" w:eastAsia="Times New Roman" w:hint="default"/>
          <w:spacing w:val="-2"/>
        </w:rPr>
        <w:t>2018</w:t>
      </w:r>
      <w:r>
        <w:rPr>
          <w:spacing w:val="-2"/>
        </w:rPr>
        <w:t>年度的合并及母公司利润表、合并及母公司现金流量表、合并及母公司股东权益变动表以及相关财务报表附</w:t>
      </w:r>
      <w:r>
        <w:rPr>
          <w:spacing w:val="-61"/>
        </w:rPr>
        <w:t> </w:t>
      </w:r>
      <w:r>
        <w:rPr>
          <w:spacing w:val="-61"/>
        </w:rPr>
      </w:r>
      <w:r>
        <w:rPr/>
        <w:t>注。</w:t>
      </w:r>
    </w:p>
    <w:p>
      <w:pPr>
        <w:pStyle w:val="BodyText"/>
        <w:spacing w:line="300" w:lineRule="auto" w:before="31"/>
        <w:ind w:right="1132" w:firstLine="360"/>
        <w:jc w:val="both"/>
      </w:pPr>
      <w:r>
        <w:rPr>
          <w:spacing w:val="-2"/>
        </w:rPr>
        <w:t>我们认为，后附的财务报表在所有重大方面按照企业会计准则的规定编制，公允反映了科蓝软件公司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w:t>
      </w:r>
      <w:r>
        <w:rPr/>
        <w:t> 合并及母公司财务状况以及</w:t>
      </w:r>
      <w:r>
        <w:rPr>
          <w:rFonts w:ascii="Times New Roman" w:hAnsi="Times New Roman" w:cs="Times New Roman" w:eastAsia="Times New Roman" w:hint="default"/>
        </w:rPr>
        <w:t>2018</w:t>
      </w:r>
      <w:r>
        <w:rPr/>
        <w:t>年度的合并及母公司经营成果和现金流量。</w:t>
      </w:r>
    </w:p>
    <w:p>
      <w:pPr>
        <w:pStyle w:val="Heading2"/>
        <w:spacing w:line="240" w:lineRule="auto" w:before="88"/>
        <w:ind w:left="254"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63"/>
        </w:rPr>
        <w:t> </w:t>
      </w:r>
      <w:r>
        <w:rPr/>
        <w:t>形成审计意见的基础</w:t>
      </w:r>
      <w:r>
        <w:rPr>
          <w:b w:val="0"/>
          <w:bCs w:val="0"/>
        </w:rPr>
      </w:r>
    </w:p>
    <w:p>
      <w:pPr>
        <w:pStyle w:val="BodyText"/>
        <w:spacing w:line="309" w:lineRule="auto" w:before="161"/>
        <w:ind w:right="1130" w:firstLine="360"/>
        <w:jc w:val="both"/>
      </w:pP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r>
        <w:rPr/>
        <w:t> </w:t>
      </w:r>
      <w:r>
        <w:rPr>
          <w:spacing w:val="-2"/>
        </w:rPr>
        <w:t>阐述了我们在这些准则下的责任。按照中国注册会计师职业道德守则，我们独立于科蓝软件公司，并履行了职业道德方面的</w:t>
      </w:r>
      <w:r>
        <w:rPr>
          <w:spacing w:val="-63"/>
        </w:rPr>
        <w:t> </w:t>
      </w:r>
      <w:r>
        <w:rPr>
          <w:spacing w:val="-63"/>
        </w:rPr>
      </w:r>
      <w:r>
        <w:rPr/>
        <w:t>其他责任。我们相信，我们获取的审计证据是充分、适当的，为发表审计意见提供了基础。</w:t>
      </w:r>
    </w:p>
    <w:p>
      <w:pPr>
        <w:pStyle w:val="Heading2"/>
        <w:spacing w:line="240" w:lineRule="auto" w:before="99"/>
        <w:ind w:left="254" w:right="0"/>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67"/>
        </w:rPr>
        <w:t> </w:t>
      </w:r>
      <w:r>
        <w:rPr/>
        <w:t>关键审计事项</w:t>
      </w:r>
      <w:r>
        <w:rPr>
          <w:b w:val="0"/>
          <w:bCs w:val="0"/>
        </w:rPr>
      </w:r>
    </w:p>
    <w:p>
      <w:pPr>
        <w:pStyle w:val="BodyText"/>
        <w:spacing w:line="316" w:lineRule="auto" w:before="161"/>
        <w:ind w:right="1132" w:firstLine="360"/>
        <w:jc w:val="both"/>
      </w:pPr>
      <w:r>
        <w:rPr>
          <w:spacing w:val="-2"/>
        </w:rPr>
        <w:t>关键审计事项是我们根据职业判断，认为对本期财务报表审计最为重要的事项。这些事项的应对以对财务报表整体进行</w:t>
      </w:r>
      <w:r>
        <w:rPr/>
        <w:t> 审计并形成审计意见为背景，我们不对这些事项单独发表意见。</w:t>
      </w:r>
    </w:p>
    <w:p>
      <w:pPr>
        <w:pStyle w:val="BodyText"/>
        <w:spacing w:line="240" w:lineRule="auto" w:before="19"/>
        <w:ind w:left="472" w:right="0"/>
        <w:jc w:val="left"/>
      </w:pPr>
      <w:r>
        <w:rPr/>
        <w:t>我们在审计中识别的关键审计事项包括：</w:t>
      </w:r>
    </w:p>
    <w:p>
      <w:pPr>
        <w:pStyle w:val="BodyText"/>
        <w:spacing w:line="240" w:lineRule="auto" w:before="76"/>
        <w:ind w:left="472" w:right="0"/>
        <w:jc w:val="left"/>
      </w:pPr>
      <w:r>
        <w:rPr>
          <w:rFonts w:ascii="Times New Roman" w:hAnsi="Times New Roman" w:cs="Times New Roman" w:eastAsia="Times New Roman" w:hint="default"/>
        </w:rPr>
        <w:t>1</w:t>
      </w:r>
      <w:r>
        <w:rPr/>
        <w:t>、收入确认；</w:t>
      </w:r>
    </w:p>
    <w:p>
      <w:pPr>
        <w:pStyle w:val="BodyText"/>
        <w:spacing w:line="240" w:lineRule="auto" w:before="63"/>
        <w:ind w:left="472" w:right="0"/>
        <w:jc w:val="left"/>
      </w:pPr>
      <w:r>
        <w:rPr>
          <w:rFonts w:ascii="Times New Roman" w:hAnsi="Times New Roman" w:cs="Times New Roman" w:eastAsia="Times New Roman" w:hint="default"/>
        </w:rPr>
        <w:t>2</w:t>
      </w:r>
      <w:r>
        <w:rPr/>
        <w:t>、应收账款的减值；</w:t>
      </w:r>
    </w:p>
    <w:p>
      <w:pPr>
        <w:pStyle w:val="Heading3"/>
        <w:spacing w:line="240" w:lineRule="auto" w:before="138"/>
        <w:ind w:right="0"/>
        <w:jc w:val="left"/>
      </w:pPr>
      <w:r>
        <w:rPr/>
        <w:t>（一）收入确认</w:t>
      </w:r>
    </w:p>
    <w:p>
      <w:pPr>
        <w:pStyle w:val="BodyText"/>
        <w:spacing w:line="240" w:lineRule="auto" w:before="182"/>
        <w:ind w:left="0" w:right="8366"/>
        <w:jc w:val="center"/>
      </w:pPr>
      <w:r>
        <w:rPr>
          <w:rFonts w:ascii="Times New Roman" w:hAnsi="Times New Roman" w:cs="Times New Roman" w:eastAsia="Times New Roman" w:hint="default"/>
        </w:rPr>
        <w:t>1</w:t>
      </w:r>
      <w:r>
        <w:rPr/>
        <w:t>、事项描述：</w:t>
      </w:r>
    </w:p>
    <w:p>
      <w:pPr>
        <w:spacing w:after="0" w:line="240" w:lineRule="auto"/>
        <w:jc w:val="center"/>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00" w:lineRule="auto" w:before="44"/>
        <w:ind w:left="472" w:right="1034"/>
        <w:jc w:val="left"/>
      </w:pPr>
      <w:r>
        <w:rPr/>
        <w:t>本年度科蓝软件公司收入确认会计政策及账面金额信息请参阅合并财务报表附注五、</w:t>
      </w:r>
      <w:r>
        <w:rPr>
          <w:rFonts w:ascii="Times New Roman" w:hAnsi="Times New Roman" w:cs="Times New Roman" w:eastAsia="Times New Roman" w:hint="default"/>
        </w:rPr>
        <w:t>28</w:t>
      </w:r>
      <w:r>
        <w:rPr/>
        <w:t>及附注七、</w:t>
      </w:r>
      <w:r>
        <w:rPr>
          <w:rFonts w:ascii="Times New Roman" w:hAnsi="Times New Roman" w:cs="Times New Roman" w:eastAsia="Times New Roman" w:hint="default"/>
        </w:rPr>
        <w:t>52</w:t>
      </w:r>
      <w:r>
        <w:rPr/>
        <w:t>。 科蓝软件公司</w:t>
      </w:r>
      <w:r>
        <w:rPr>
          <w:rFonts w:ascii="Times New Roman" w:hAnsi="Times New Roman" w:cs="Times New Roman" w:eastAsia="Times New Roman" w:hint="default"/>
        </w:rPr>
        <w:t>2018</w:t>
      </w:r>
      <w:r>
        <w:rPr/>
        <w:t>年度营业收入</w:t>
      </w:r>
      <w:r>
        <w:rPr>
          <w:rFonts w:ascii="Times New Roman" w:hAnsi="Times New Roman" w:cs="Times New Roman" w:eastAsia="Times New Roman" w:hint="default"/>
        </w:rPr>
        <w:t>75,322.13</w:t>
      </w:r>
      <w:r>
        <w:rPr/>
        <w:t>万元，主要为技术开发收入。营业收入是科蓝软件公司的关键业绩指标之一，</w:t>
      </w:r>
    </w:p>
    <w:p>
      <w:pPr>
        <w:pStyle w:val="BodyText"/>
        <w:spacing w:line="316" w:lineRule="auto" w:before="13"/>
        <w:ind w:right="1132"/>
        <w:jc w:val="both"/>
      </w:pPr>
      <w:r>
        <w:rPr>
          <w:spacing w:val="-2"/>
        </w:rPr>
        <w:t>收入确认是否恰当会对科蓝软件公司经营成果产生重大影响，可能存在管理层为了达到特定目标或期望而操纵收入确认时点</w:t>
      </w:r>
      <w:r>
        <w:rPr>
          <w:spacing w:val="-64"/>
        </w:rPr>
        <w:t> </w:t>
      </w:r>
      <w:r>
        <w:rPr>
          <w:spacing w:val="-64"/>
        </w:rPr>
      </w:r>
      <w:r>
        <w:rPr/>
        <w:t>的风险。因此我们将收入确认认定为关键审计事项。</w:t>
      </w:r>
    </w:p>
    <w:p>
      <w:pPr>
        <w:pStyle w:val="BodyText"/>
        <w:spacing w:line="300" w:lineRule="auto" w:before="19"/>
        <w:ind w:left="472" w:right="6614"/>
        <w:jc w:val="left"/>
      </w:pPr>
      <w:r>
        <w:rPr>
          <w:rFonts w:ascii="Times New Roman" w:hAnsi="Times New Roman" w:cs="Times New Roman" w:eastAsia="Times New Roman" w:hint="default"/>
        </w:rPr>
        <w:t>2</w:t>
      </w:r>
      <w:r>
        <w:rPr/>
        <w:t>、审计应对： 我们针对收入确认所实施的重要审计程序包括：</w:t>
      </w:r>
    </w:p>
    <w:p>
      <w:pPr>
        <w:pStyle w:val="BodyText"/>
        <w:spacing w:line="240" w:lineRule="auto" w:before="31"/>
        <w:ind w:left="472" w:right="0"/>
        <w:jc w:val="left"/>
      </w:pPr>
      <w:r>
        <w:rPr/>
        <w:t>（</w:t>
      </w:r>
      <w:r>
        <w:rPr>
          <w:rFonts w:ascii="Times New Roman" w:hAnsi="Times New Roman" w:cs="Times New Roman" w:eastAsia="Times New Roman" w:hint="default"/>
        </w:rPr>
        <w:t>1</w:t>
      </w:r>
      <w:r>
        <w:rPr/>
        <w:t>）了解和评估管理层对收入确认相关内部控制的设计，通过穿行测试评价相关内部控制是否得到执行。</w:t>
      </w:r>
    </w:p>
    <w:p>
      <w:pPr>
        <w:pStyle w:val="BodyText"/>
        <w:spacing w:line="309" w:lineRule="auto" w:before="63"/>
        <w:ind w:right="1132" w:firstLine="360"/>
        <w:jc w:val="both"/>
      </w:pPr>
      <w:r>
        <w:rPr/>
        <w:t>（</w:t>
      </w:r>
      <w:r>
        <w:rPr>
          <w:rFonts w:ascii="Times New Roman" w:hAnsi="Times New Roman" w:cs="Times New Roman" w:eastAsia="Times New Roman" w:hint="default"/>
        </w:rPr>
        <w:t>2</w:t>
      </w:r>
      <w:r>
        <w:rPr/>
        <w:t>）了解各类业务收入的具体确认方法，评估其是否符合公司业务特点及会计准则的规定；选取收入样本，检查技术 </w:t>
      </w:r>
      <w:r>
        <w:rPr>
          <w:spacing w:val="-2"/>
        </w:rPr>
        <w:t>开发合同或技术服务合同，检查经客户认可的验收文件或项目进度确认文件，以评价相关开发收入或服务收入是否已经按照</w:t>
      </w:r>
      <w:r>
        <w:rPr>
          <w:spacing w:val="-64"/>
        </w:rPr>
        <w:t> </w:t>
      </w:r>
      <w:r>
        <w:rPr>
          <w:spacing w:val="-64"/>
        </w:rPr>
      </w:r>
      <w:r>
        <w:rPr/>
        <w:t>科蓝软件公司的收入确认政策确认。</w:t>
      </w:r>
    </w:p>
    <w:p>
      <w:pPr>
        <w:pStyle w:val="BodyText"/>
        <w:spacing w:line="240" w:lineRule="auto" w:before="24"/>
        <w:ind w:left="472" w:right="0"/>
        <w:jc w:val="left"/>
      </w:pPr>
      <w:r>
        <w:rPr/>
        <w:t>（</w:t>
      </w:r>
      <w:r>
        <w:rPr>
          <w:rFonts w:ascii="Times New Roman" w:hAnsi="Times New Roman" w:cs="Times New Roman" w:eastAsia="Times New Roman" w:hint="default"/>
        </w:rPr>
        <w:t>3</w:t>
      </w:r>
      <w:r>
        <w:rPr/>
        <w:t>）选取资产负债表日前后的销售样本进行截止测试，以评估营业收入是否在正确的期间确认。</w:t>
      </w:r>
    </w:p>
    <w:p>
      <w:pPr>
        <w:pStyle w:val="BodyText"/>
        <w:spacing w:line="240" w:lineRule="auto" w:before="63"/>
        <w:ind w:left="472" w:right="0"/>
        <w:jc w:val="left"/>
      </w:pPr>
      <w:r>
        <w:rPr/>
        <w:t>（</w:t>
      </w:r>
      <w:r>
        <w:rPr>
          <w:rFonts w:ascii="Times New Roman" w:hAnsi="Times New Roman" w:cs="Times New Roman" w:eastAsia="Times New Roman" w:hint="default"/>
        </w:rPr>
        <w:t>4</w:t>
      </w:r>
      <w:r>
        <w:rPr/>
        <w:t>）函证重要的收入项目，核对营业收入是否真实、记录的期间是否正确。</w:t>
      </w:r>
    </w:p>
    <w:p>
      <w:pPr>
        <w:pStyle w:val="BodyText"/>
        <w:spacing w:line="300" w:lineRule="auto" w:before="63"/>
        <w:ind w:left="472" w:right="4454"/>
        <w:jc w:val="left"/>
      </w:pPr>
      <w:r>
        <w:rPr/>
        <w:t>（</w:t>
      </w:r>
      <w:r>
        <w:rPr>
          <w:rFonts w:ascii="Times New Roman" w:hAnsi="Times New Roman" w:cs="Times New Roman" w:eastAsia="Times New Roman" w:hint="default"/>
        </w:rPr>
        <w:t>5</w:t>
      </w:r>
      <w:r>
        <w:rPr/>
        <w:t>）评估管理层对收入的财务报表披露是否恰当。 根据已执行的审计工作，我们认为收入确认符合科蓝软件公司的会计政策。</w:t>
      </w:r>
    </w:p>
    <w:p>
      <w:pPr>
        <w:pStyle w:val="Heading3"/>
        <w:spacing w:line="240" w:lineRule="auto"/>
        <w:ind w:right="0"/>
        <w:jc w:val="left"/>
      </w:pPr>
      <w:r>
        <w:rPr/>
        <w:t>（二）应收账款的减值</w:t>
      </w:r>
    </w:p>
    <w:p>
      <w:pPr>
        <w:pStyle w:val="BodyText"/>
        <w:spacing w:line="300" w:lineRule="auto" w:before="182"/>
        <w:ind w:left="472" w:right="1124"/>
        <w:jc w:val="left"/>
        <w:rPr>
          <w:rFonts w:ascii="Times New Roman" w:hAnsi="Times New Roman" w:cs="Times New Roman" w:eastAsia="Times New Roman" w:hint="default"/>
        </w:rPr>
      </w:pPr>
      <w:r>
        <w:rPr>
          <w:rFonts w:ascii="Times New Roman" w:hAnsi="Times New Roman" w:cs="Times New Roman" w:eastAsia="Times New Roman" w:hint="default"/>
        </w:rPr>
        <w:t>1</w:t>
      </w:r>
      <w:r>
        <w:rPr/>
        <w:t>、事项描述 请参阅合并财务报表附注五、</w:t>
      </w:r>
      <w:r>
        <w:rPr>
          <w:rFonts w:ascii="Times New Roman" w:hAnsi="Times New Roman" w:cs="Times New Roman" w:eastAsia="Times New Roman" w:hint="default"/>
        </w:rPr>
        <w:t>11</w:t>
      </w:r>
      <w:r>
        <w:rPr/>
        <w:t>及附注七、注释</w:t>
      </w:r>
      <w:r>
        <w:rPr>
          <w:rFonts w:ascii="Times New Roman" w:hAnsi="Times New Roman" w:cs="Times New Roman" w:eastAsia="Times New Roman" w:hint="default"/>
        </w:rPr>
        <w:t>4</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日止，科蓝软件公司应收账款账面余额</w:t>
      </w:r>
      <w:r>
        <w:rPr>
          <w:rFonts w:ascii="Times New Roman" w:hAnsi="Times New Roman" w:cs="Times New Roman" w:eastAsia="Times New Roman" w:hint="default"/>
        </w:rPr>
        <w:t>63,715.70</w:t>
      </w:r>
    </w:p>
    <w:p>
      <w:pPr>
        <w:pStyle w:val="BodyText"/>
        <w:spacing w:line="300" w:lineRule="auto" w:before="13"/>
        <w:ind w:left="472" w:right="0" w:hanging="360"/>
        <w:jc w:val="left"/>
      </w:pPr>
      <w:r>
        <w:rPr/>
        <w:t>万元，占资产总额的</w:t>
      </w:r>
      <w:r>
        <w:rPr>
          <w:rFonts w:ascii="Times New Roman" w:hAnsi="Times New Roman" w:cs="Times New Roman" w:eastAsia="Times New Roman" w:hint="default"/>
        </w:rPr>
        <w:t>45.30%</w:t>
      </w:r>
      <w:r>
        <w:rPr/>
        <w:t>。 </w:t>
      </w:r>
      <w:r>
        <w:rPr>
          <w:spacing w:val="-2"/>
        </w:rPr>
        <w:t>科蓝软件公司管理层对单项金额重大的应收账款单独进行减值测试，当有客观证据表明应收账款发生减值的，计提坏账</w:t>
      </w:r>
    </w:p>
    <w:p>
      <w:pPr>
        <w:pStyle w:val="BodyText"/>
        <w:spacing w:line="316" w:lineRule="auto" w:before="31"/>
        <w:ind w:right="1130"/>
        <w:jc w:val="both"/>
      </w:pPr>
      <w:r>
        <w:rPr>
          <w:spacing w:val="-2"/>
        </w:rPr>
        <w:t>准备。对于此类应收账款的减值计提取决于管理层对这些客观证据的判断和估计。对于单项金额不重大及在单项减值测试中</w:t>
      </w:r>
      <w:r>
        <w:rPr>
          <w:spacing w:val="-64"/>
        </w:rPr>
        <w:t> </w:t>
      </w:r>
      <w:r>
        <w:rPr>
          <w:spacing w:val="-64"/>
        </w:rPr>
      </w:r>
      <w:r>
        <w:rPr>
          <w:spacing w:val="-2"/>
        </w:rPr>
        <w:t>没有客观证据证明需要单项计提坏账准备的应收账款，根据客户类型及账龄等信用风险特征划分为不同的资产组，对这些资</w:t>
      </w:r>
      <w:r>
        <w:rPr>
          <w:spacing w:val="-64"/>
        </w:rPr>
        <w:t> </w:t>
      </w:r>
      <w:r>
        <w:rPr>
          <w:spacing w:val="-64"/>
        </w:rPr>
      </w:r>
      <w:r>
        <w:rPr>
          <w:spacing w:val="-2"/>
        </w:rPr>
        <w:t>产组进行减值损失总体评价。管理层以信用风险等级及历史还款记录为基础，确定各组合的坏账准备计提比例。对资产组的</w:t>
      </w:r>
      <w:r>
        <w:rPr>
          <w:spacing w:val="-63"/>
        </w:rPr>
        <w:t> </w:t>
      </w:r>
      <w:r>
        <w:rPr>
          <w:spacing w:val="-63"/>
        </w:rPr>
      </w:r>
      <w:r>
        <w:rPr/>
        <w:t>预计损失比例取决于管理层的综合判断。</w:t>
      </w:r>
    </w:p>
    <w:p>
      <w:pPr>
        <w:pStyle w:val="BodyText"/>
        <w:spacing w:line="316" w:lineRule="auto" w:before="19"/>
        <w:ind w:right="1130" w:firstLine="360"/>
        <w:jc w:val="both"/>
      </w:pPr>
      <w:r>
        <w:rPr>
          <w:spacing w:val="-2"/>
        </w:rPr>
        <w:t>科蓝软件公司客户主要为银行，应收账款的回收取决于此类客户的结算进度，由于应收账款对财务报表具有重要性，能</w:t>
      </w:r>
      <w:r>
        <w:rPr/>
        <w:t> </w:t>
      </w:r>
      <w:r>
        <w:rPr>
          <w:spacing w:val="-2"/>
        </w:rPr>
        <w:t>否按期收回或无法收回而发生坏账损失对财务报表影响较为重大，而应收账款可回收性的预计需要管理层作出重大估计和判</w:t>
      </w:r>
      <w:r>
        <w:rPr>
          <w:spacing w:val="-64"/>
        </w:rPr>
        <w:t> </w:t>
      </w:r>
      <w:r>
        <w:rPr>
          <w:spacing w:val="-64"/>
        </w:rPr>
      </w:r>
      <w:r>
        <w:rPr/>
        <w:t>断，因此我们将应收账款减值认定为关键审计事项。</w:t>
      </w:r>
    </w:p>
    <w:p>
      <w:pPr>
        <w:pStyle w:val="BodyText"/>
        <w:spacing w:line="300" w:lineRule="auto" w:before="19"/>
        <w:ind w:left="472" w:right="5354"/>
        <w:jc w:val="left"/>
      </w:pPr>
      <w:r>
        <w:rPr>
          <w:rFonts w:ascii="Times New Roman" w:hAnsi="Times New Roman" w:cs="Times New Roman" w:eastAsia="Times New Roman" w:hint="default"/>
        </w:rPr>
        <w:t>2</w:t>
      </w:r>
      <w:r>
        <w:rPr/>
        <w:t>、审计应对 我们针对应收账款的可收回性认定所实施的重要审计程序包括：</w:t>
      </w:r>
    </w:p>
    <w:p>
      <w:pPr>
        <w:pStyle w:val="BodyText"/>
        <w:spacing w:line="300" w:lineRule="auto" w:before="31"/>
        <w:ind w:right="1132" w:firstLine="360"/>
        <w:jc w:val="both"/>
      </w:pPr>
      <w:r>
        <w:rPr/>
        <w:t>（</w:t>
      </w:r>
      <w:r>
        <w:rPr>
          <w:rFonts w:ascii="Times New Roman" w:hAnsi="Times New Roman" w:cs="Times New Roman" w:eastAsia="Times New Roman" w:hint="default"/>
        </w:rPr>
        <w:t>1</w:t>
      </w:r>
      <w:r>
        <w:rPr/>
        <w:t>）了解和评估管理层对应收账款日常管理及可收回性评估相关的内部控制的设计，通过穿行测试评价相关内部控制 是否得到有效执行。</w:t>
      </w:r>
    </w:p>
    <w:p>
      <w:pPr>
        <w:pStyle w:val="BodyText"/>
        <w:spacing w:line="300" w:lineRule="auto" w:before="31"/>
        <w:ind w:right="1132" w:firstLine="360"/>
        <w:jc w:val="both"/>
      </w:pPr>
      <w:r>
        <w:rPr/>
        <w:t>（</w:t>
      </w:r>
      <w:r>
        <w:rPr>
          <w:rFonts w:ascii="Times New Roman" w:hAnsi="Times New Roman" w:cs="Times New Roman" w:eastAsia="Times New Roman" w:hint="default"/>
        </w:rPr>
        <w:t>2</w:t>
      </w:r>
      <w:r>
        <w:rPr/>
        <w:t>）函证重大应收账款，并实施替代性程序，结合营业收入的审计，对应收账款进行分析性复核，关注应收账款的真 实性。</w:t>
      </w:r>
    </w:p>
    <w:p>
      <w:pPr>
        <w:pStyle w:val="BodyText"/>
        <w:spacing w:line="300" w:lineRule="auto" w:before="31"/>
        <w:ind w:right="1132" w:firstLine="360"/>
        <w:jc w:val="both"/>
      </w:pPr>
      <w:r>
        <w:rPr/>
        <w:t>（</w:t>
      </w:r>
      <w:r>
        <w:rPr>
          <w:rFonts w:ascii="Times New Roman" w:hAnsi="Times New Roman" w:cs="Times New Roman" w:eastAsia="Times New Roman" w:hint="default"/>
        </w:rPr>
        <w:t>3</w:t>
      </w:r>
      <w:r>
        <w:rPr/>
        <w:t>）对单项金额重大的应收账款进行了抽样减值测试，我们复核了管理层在评估应收账款的可收回性方面的判断及估 计，关注管理层是否充分识别已发生减值的项目，评价管理层坏账准备计提的合理性。</w:t>
      </w:r>
    </w:p>
    <w:p>
      <w:pPr>
        <w:pStyle w:val="BodyText"/>
        <w:spacing w:line="300" w:lineRule="auto" w:before="31"/>
        <w:ind w:right="1132" w:firstLine="360"/>
        <w:jc w:val="both"/>
      </w:pPr>
      <w:r>
        <w:rPr/>
        <w:t>（</w:t>
      </w:r>
      <w:r>
        <w:rPr>
          <w:rFonts w:ascii="Times New Roman" w:hAnsi="Times New Roman" w:cs="Times New Roman" w:eastAsia="Times New Roman" w:hint="default"/>
        </w:rPr>
        <w:t>4</w:t>
      </w:r>
      <w:r>
        <w:rPr/>
        <w:t>）对管理层按照信用风险特征组合计提坏账准备的应收账款进行了减值测试，检查账龄分析是否正确，并结合行业 平均坏账准备计提比例评估管理层所采用的坏账准备计提比例是否适当，评价管理层坏账准备计提的合理性。</w:t>
      </w:r>
    </w:p>
    <w:p>
      <w:pPr>
        <w:pStyle w:val="BodyText"/>
        <w:spacing w:line="240" w:lineRule="auto" w:before="31"/>
        <w:ind w:left="472" w:right="0"/>
        <w:jc w:val="left"/>
      </w:pPr>
      <w:r>
        <w:rPr/>
        <w:t>（</w:t>
      </w:r>
      <w:r>
        <w:rPr>
          <w:rFonts w:ascii="Times New Roman" w:hAnsi="Times New Roman" w:cs="Times New Roman" w:eastAsia="Times New Roman" w:hint="default"/>
        </w:rPr>
        <w:t>5</w:t>
      </w:r>
      <w:r>
        <w:rPr/>
        <w:t>）检查应收账款的期后回款情况。</w:t>
      </w:r>
    </w:p>
    <w:p>
      <w:pPr>
        <w:pStyle w:val="BodyText"/>
        <w:spacing w:line="300" w:lineRule="auto" w:before="63"/>
        <w:ind w:left="652" w:right="2654" w:hanging="180"/>
        <w:jc w:val="left"/>
      </w:pPr>
      <w:r>
        <w:rPr/>
        <w:t>（</w:t>
      </w:r>
      <w:r>
        <w:rPr>
          <w:rFonts w:ascii="Times New Roman" w:hAnsi="Times New Roman" w:cs="Times New Roman" w:eastAsia="Times New Roman" w:hint="default"/>
        </w:rPr>
        <w:t>6</w:t>
      </w:r>
      <w:r>
        <w:rPr/>
        <w:t>）评估了管理层对应收账款及应收账款坏账准备的财务报表披露是否恰当。 基于已执行的审计工作，我们认为，管理层对应收账款的可收回性的相关判断及估计是合理的。</w:t>
      </w:r>
    </w:p>
    <w:p>
      <w:pPr>
        <w:pStyle w:val="Heading2"/>
        <w:spacing w:line="240" w:lineRule="auto" w:before="106"/>
        <w:ind w:left="254" w:right="0"/>
        <w:jc w:val="left"/>
        <w:rPr>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66"/>
        </w:rPr>
        <w:t> </w:t>
      </w:r>
      <w:r>
        <w:rPr/>
        <w:t>其他信息</w:t>
      </w:r>
      <w:r>
        <w:rPr>
          <w:b w:val="0"/>
          <w:bCs w:val="0"/>
        </w:rPr>
      </w:r>
    </w:p>
    <w:p>
      <w:pPr>
        <w:pStyle w:val="BodyText"/>
        <w:spacing w:line="300" w:lineRule="auto" w:before="161"/>
        <w:ind w:right="1132" w:firstLine="360"/>
        <w:jc w:val="both"/>
      </w:pPr>
      <w:r>
        <w:rPr>
          <w:spacing w:val="-2"/>
        </w:rPr>
        <w:t>科蓝软件公司管理层对其他信息负责。其他信息包括</w:t>
      </w:r>
      <w:r>
        <w:rPr>
          <w:rFonts w:ascii="Times New Roman" w:hAnsi="Times New Roman" w:cs="Times New Roman" w:eastAsia="Times New Roman" w:hint="default"/>
          <w:spacing w:val="-2"/>
        </w:rPr>
        <w:t>2018</w:t>
      </w:r>
      <w:r>
        <w:rPr>
          <w:spacing w:val="-2"/>
        </w:rPr>
        <w:t>年年度报告中涵盖的信息，但不包括财务报表和我们的审计报</w:t>
      </w:r>
      <w:r>
        <w:rPr/>
        <w:t> 告。</w:t>
      </w:r>
    </w:p>
    <w:p>
      <w:pPr>
        <w:spacing w:after="0" w:line="300" w:lineRule="auto"/>
        <w:jc w:val="both"/>
        <w:sectPr>
          <w:footerReference w:type="default" r:id="rId23"/>
          <w:pgSz w:w="11910" w:h="16840"/>
          <w:pgMar w:footer="978" w:header="746" w:top="1060" w:bottom="1160" w:left="1020" w:right="0"/>
          <w:pgNumType w:start="100"/>
        </w:sectPr>
      </w:pPr>
    </w:p>
    <w:p>
      <w:pPr>
        <w:spacing w:line="240" w:lineRule="auto" w:before="12"/>
        <w:rPr>
          <w:rFonts w:ascii="宋体" w:hAnsi="宋体" w:cs="宋体" w:eastAsia="宋体" w:hint="default"/>
          <w:sz w:val="25"/>
          <w:szCs w:val="25"/>
        </w:rPr>
      </w:pPr>
    </w:p>
    <w:p>
      <w:pPr>
        <w:pStyle w:val="BodyText"/>
        <w:spacing w:line="316" w:lineRule="auto" w:before="44"/>
        <w:ind w:left="472" w:right="0" w:hanging="360"/>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19"/>
        <w:ind w:left="472" w:right="0" w:hanging="360"/>
        <w:jc w:val="left"/>
      </w:pPr>
      <w:r>
        <w:rPr/>
        <w:t>程中了解的情况存在重大不一致或者似乎存在重大错报。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9"/>
        <w:ind w:right="0"/>
        <w:jc w:val="left"/>
      </w:pPr>
      <w:r>
        <w:rPr/>
        <w:t>报告。</w:t>
      </w:r>
    </w:p>
    <w:p>
      <w:pPr>
        <w:pStyle w:val="Heading2"/>
        <w:spacing w:line="240" w:lineRule="auto" w:before="151"/>
        <w:ind w:left="0" w:right="5807"/>
        <w:jc w:val="center"/>
        <w:rPr>
          <w:b w:val="0"/>
          <w:bCs w:val="0"/>
        </w:rPr>
      </w:pPr>
      <w:r>
        <w:rPr>
          <w:rFonts w:ascii="Times New Roman" w:hAnsi="Times New Roman" w:cs="Times New Roman" w:eastAsia="Times New Roman" w:hint="default"/>
        </w:rPr>
        <w:t>5.</w:t>
      </w:r>
      <w:r>
        <w:rPr>
          <w:rFonts w:ascii="Times New Roman" w:hAnsi="Times New Roman" w:cs="Times New Roman" w:eastAsia="Times New Roman" w:hint="default"/>
          <w:spacing w:val="60"/>
        </w:rPr>
        <w:t> </w:t>
      </w:r>
      <w:r>
        <w:rPr/>
        <w:t>管理层和治理层对财务报表的责任</w:t>
      </w:r>
      <w:r>
        <w:rPr>
          <w:b w:val="0"/>
          <w:bCs w:val="0"/>
        </w:rPr>
      </w:r>
    </w:p>
    <w:p>
      <w:pPr>
        <w:pStyle w:val="BodyText"/>
        <w:spacing w:line="316" w:lineRule="auto" w:before="161"/>
        <w:ind w:right="1130" w:firstLine="360"/>
        <w:jc w:val="both"/>
      </w:pPr>
      <w:r>
        <w:rPr>
          <w:spacing w:val="-2"/>
        </w:rPr>
        <w:t>科蓝软件公司管理层负责按照企业会计准则的规定编制财务报表，使其实现公允反映，并设计、执行和维护必要的内部</w:t>
      </w:r>
      <w:r>
        <w:rPr/>
        <w:t> 控制，以使财务报表不存在由于舞弊或错误导致的重大错报。</w:t>
      </w:r>
    </w:p>
    <w:p>
      <w:pPr>
        <w:pStyle w:val="BodyText"/>
        <w:spacing w:line="316" w:lineRule="auto" w:before="19"/>
        <w:ind w:right="1039" w:firstLine="360"/>
        <w:jc w:val="both"/>
      </w:pPr>
      <w:r>
        <w:rPr>
          <w:spacing w:val="-7"/>
        </w:rPr>
        <w:t>在编制财务报表时，科蓝软件公司管理层负责评估科蓝软件公司的持续经营能力，披露与持续经营相关的事项（如适用），</w:t>
      </w:r>
      <w:r>
        <w:rPr/>
        <w:t> 并运用持续经营假设，除非管理层计划清算科蓝软件公司、终止运营或别无其他现实的选择。</w:t>
      </w:r>
    </w:p>
    <w:p>
      <w:pPr>
        <w:pStyle w:val="BodyText"/>
        <w:spacing w:line="240" w:lineRule="auto" w:before="19"/>
        <w:ind w:left="472" w:right="0"/>
        <w:jc w:val="left"/>
      </w:pPr>
      <w:r>
        <w:rPr/>
        <w:t>科蓝软件公司治理层负责监督科蓝软件公司的财务报告过程。</w:t>
      </w:r>
    </w:p>
    <w:p>
      <w:pPr>
        <w:pStyle w:val="Heading2"/>
        <w:spacing w:line="240" w:lineRule="auto" w:before="151"/>
        <w:ind w:left="0" w:right="5807"/>
        <w:jc w:val="center"/>
        <w:rPr>
          <w:b w:val="0"/>
          <w:bCs w:val="0"/>
        </w:rPr>
      </w:pPr>
      <w:r>
        <w:rPr>
          <w:rFonts w:ascii="Times New Roman" w:hAnsi="Times New Roman" w:cs="Times New Roman" w:eastAsia="Times New Roman" w:hint="default"/>
        </w:rPr>
        <w:t>6.</w:t>
      </w:r>
      <w:r>
        <w:rPr>
          <w:rFonts w:ascii="Times New Roman" w:hAnsi="Times New Roman" w:cs="Times New Roman" w:eastAsia="Times New Roman" w:hint="default"/>
          <w:spacing w:val="60"/>
        </w:rPr>
        <w:t> </w:t>
      </w:r>
      <w:r>
        <w:rPr/>
        <w:t>注册会计师对财务报表审计的责任</w:t>
      </w:r>
      <w:r>
        <w:rPr>
          <w:b w:val="0"/>
          <w:bCs w:val="0"/>
        </w:rPr>
      </w:r>
    </w:p>
    <w:p>
      <w:pPr>
        <w:pStyle w:val="BodyText"/>
        <w:spacing w:line="316" w:lineRule="auto" w:before="161"/>
        <w:ind w:right="1130"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9"/>
        <w:ind w:left="472" w:right="0"/>
        <w:jc w:val="left"/>
      </w:pPr>
      <w:r>
        <w:rPr/>
        <w:t>在按照审计准则执行审计工作的过程中，我们运用职业判断，并保持职业怀疑。同时，我们也执行以下工作：</w:t>
      </w:r>
    </w:p>
    <w:p>
      <w:pPr>
        <w:pStyle w:val="BodyText"/>
        <w:spacing w:line="316" w:lineRule="auto" w:before="76"/>
        <w:ind w:left="472" w:right="1130" w:hanging="360"/>
        <w:jc w:val="both"/>
      </w:pPr>
      <w:r>
        <w:rPr/>
        <w:t>1.</w:t>
      </w:r>
      <w:r>
        <w:rPr>
          <w:spacing w:val="12"/>
        </w:rPr>
        <w:t> </w:t>
      </w:r>
      <w:r>
        <w:rPr/>
        <w:t>识别和评估由于舞弊或错误导致的财务报表重大错报风险，设计和实施审计程序以应对这些风险，并获取充分、适当的</w:t>
      </w:r>
      <w:r>
        <w:rPr/>
        <w:t> </w:t>
      </w:r>
      <w:r>
        <w:rPr>
          <w:spacing w:val="-2"/>
        </w:rPr>
        <w:t>审计证据，作为发表审计意见的基础。由于舞弊可能涉及串通、伪造、故意遗漏、虚假陈述或凌驾于内部控制之上，未</w:t>
      </w:r>
      <w:r>
        <w:rPr/>
        <w:t> 能发现由于舞弊导致的重大错报的风险高于未能发现由于错误导致的重大错报的风险。</w:t>
      </w:r>
    </w:p>
    <w:p>
      <w:pPr>
        <w:pStyle w:val="BodyText"/>
        <w:spacing w:line="240" w:lineRule="auto" w:before="19"/>
        <w:ind w:right="0"/>
        <w:jc w:val="left"/>
      </w:pPr>
      <w:r>
        <w:rPr/>
        <w:t>2.</w:t>
      </w:r>
      <w:r>
        <w:rPr>
          <w:spacing w:val="89"/>
        </w:rPr>
        <w:t> </w:t>
      </w:r>
      <w:r>
        <w:rPr/>
        <w:t>了解与审计相关的内部控制，以设计恰当的审计程序。</w:t>
      </w:r>
    </w:p>
    <w:p>
      <w:pPr>
        <w:pStyle w:val="BodyText"/>
        <w:spacing w:line="240" w:lineRule="auto" w:before="76"/>
        <w:ind w:right="0"/>
        <w:jc w:val="left"/>
      </w:pPr>
      <w:r>
        <w:rPr/>
        <w:t>3.</w:t>
      </w:r>
      <w:r>
        <w:rPr>
          <w:spacing w:val="89"/>
        </w:rPr>
        <w:t> </w:t>
      </w:r>
      <w:r>
        <w:rPr/>
        <w:t>评价管理层选用会计政策的恰当性和作出会计估计及相关披露的合理性。</w:t>
      </w:r>
    </w:p>
    <w:p>
      <w:pPr>
        <w:pStyle w:val="BodyText"/>
        <w:spacing w:line="316" w:lineRule="auto" w:before="76"/>
        <w:ind w:left="472" w:right="1130" w:hanging="360"/>
        <w:jc w:val="both"/>
      </w:pPr>
      <w:r>
        <w:rPr/>
        <w:t>4.</w:t>
      </w:r>
      <w:r>
        <w:rPr>
          <w:spacing w:val="12"/>
        </w:rPr>
        <w:t> </w:t>
      </w:r>
      <w:r>
        <w:rPr/>
        <w:t>对管理层使用持续经营假设的恰当性得出结论。同时，根据获取的审计证据，就可能导致对科蓝软件公司持续经营能力</w:t>
      </w:r>
      <w:r>
        <w:rPr/>
        <w:t> </w:t>
      </w:r>
      <w:r>
        <w:rPr>
          <w:spacing w:val="-2"/>
        </w:rPr>
        <w:t>产生重大疑虑的事项或情况是否存在重大不确定性得出结论。如果我们得出结论认为存在重大不确定性，审计准则要求</w:t>
      </w:r>
      <w:r>
        <w:rPr/>
        <w:t> </w:t>
      </w:r>
      <w:r>
        <w:rPr>
          <w:spacing w:val="-2"/>
        </w:rPr>
        <w:t>我们在审计报告中提请报告使用者注意财务报表中的相关披露；如果披露不充分，我们应当发表非无保留意见。我们的</w:t>
      </w:r>
      <w:r>
        <w:rPr/>
        <w:t> 结论基于截至审计报告日可获得的信息。然而，未来的事项或情况可能导致科蓝软件公司不能持续经营。</w:t>
      </w:r>
    </w:p>
    <w:p>
      <w:pPr>
        <w:pStyle w:val="BodyText"/>
        <w:spacing w:line="240" w:lineRule="auto" w:before="19"/>
        <w:ind w:right="0"/>
        <w:jc w:val="left"/>
      </w:pPr>
      <w:r>
        <w:rPr>
          <w:spacing w:val="1"/>
        </w:rPr>
        <w:t>5</w:t>
      </w:r>
      <w:r>
        <w:rPr/>
        <w:t>. </w:t>
      </w:r>
      <w:r>
        <w:rPr>
          <w:spacing w:val="-2"/>
        </w:rPr>
        <w:t> </w:t>
      </w:r>
      <w:r>
        <w:rPr/>
        <w:t>评价财务报表的总体列报、结构和内容（包括披露</w:t>
      </w:r>
      <w:r>
        <w:rPr>
          <w:spacing w:val="-89"/>
        </w:rPr>
        <w:t>）</w:t>
      </w:r>
      <w:r>
        <w:rPr/>
        <w:t>，并评价财务报表是否公允反映相关交易和事项。</w:t>
      </w:r>
    </w:p>
    <w:p>
      <w:pPr>
        <w:pStyle w:val="BodyText"/>
        <w:spacing w:line="316" w:lineRule="auto" w:before="76"/>
        <w:ind w:left="472" w:right="1113" w:hanging="360"/>
        <w:jc w:val="left"/>
      </w:pPr>
      <w:r>
        <w:rPr/>
        <w:t>6.</w:t>
      </w:r>
      <w:r>
        <w:rPr>
          <w:spacing w:val="11"/>
        </w:rPr>
        <w:t> </w:t>
      </w:r>
      <w:r>
        <w:rPr/>
        <w:t>就科蓝软件公司中实体或业务活动的财务信息获取充分、适当的审计证据，以对财务报表发表意见。我们负责指导、监</w:t>
      </w:r>
      <w:r>
        <w:rPr/>
        <w:t> 督和执行集团审计。我们对审计意见承担全部责任。 </w:t>
      </w:r>
      <w:r>
        <w:rPr>
          <w:spacing w:val="-2"/>
        </w:rPr>
        <w:t>我们与治理层就计划的审计范围、时间安排和重大审计发现等事项进行沟通，包括沟通我们在审计中识别出的值得关注</w:t>
      </w:r>
    </w:p>
    <w:p>
      <w:pPr>
        <w:pStyle w:val="BodyText"/>
        <w:spacing w:line="316" w:lineRule="auto" w:before="19"/>
        <w:ind w:left="472" w:right="1128" w:hanging="360"/>
        <w:jc w:val="left"/>
      </w:pPr>
      <w:r>
        <w:rPr/>
        <w:t>的内部控制缺陷。 </w:t>
      </w:r>
      <w:r>
        <w:rPr>
          <w:spacing w:val="-2"/>
        </w:rPr>
        <w:t>我们还就已遵守与独立性相关的职业道德要求向治理层提供声明，并与治理层沟通可能被合理认为影响我们独立性的所</w:t>
      </w:r>
    </w:p>
    <w:p>
      <w:pPr>
        <w:pStyle w:val="BodyText"/>
        <w:spacing w:line="316" w:lineRule="auto" w:before="19"/>
        <w:ind w:left="472" w:right="0" w:hanging="360"/>
        <w:jc w:val="left"/>
      </w:pPr>
      <w:r>
        <w:rPr>
          <w:spacing w:val="-4"/>
        </w:rPr>
        <w:t>有关系和其他事项，以及相关的防范措施（如适用）。</w:t>
      </w:r>
      <w:r>
        <w:rPr>
          <w:spacing w:val="-83"/>
        </w:rPr>
        <w:t> </w:t>
      </w:r>
      <w:r>
        <w:rPr>
          <w:spacing w:val="-83"/>
        </w:rPr>
      </w:r>
      <w:r>
        <w:rPr>
          <w:spacing w:val="-2"/>
        </w:rPr>
        <w:t>从与治理层沟通过的事项中，我们确定哪些事项对本期财务报表审计最为重要，因而构成关键审计事项。我们在审计报</w:t>
      </w:r>
    </w:p>
    <w:p>
      <w:pPr>
        <w:pStyle w:val="BodyText"/>
        <w:spacing w:line="316" w:lineRule="auto" w:before="19"/>
        <w:ind w:right="0"/>
        <w:jc w:val="left"/>
      </w:pP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pStyle w:val="BodyText"/>
        <w:tabs>
          <w:tab w:pos="4831" w:val="left" w:leader="none"/>
        </w:tabs>
        <w:spacing w:line="240" w:lineRule="auto" w:before="28"/>
        <w:ind w:left="0" w:right="2116"/>
        <w:jc w:val="center"/>
      </w:pPr>
      <w:r>
        <w:rPr/>
        <w:t>大华会计师事务所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tab/>
      </w:r>
      <w:r>
        <w:rPr/>
        <w:t>中国注册会计师：</w:t>
      </w:r>
    </w:p>
    <w:p>
      <w:pPr>
        <w:spacing w:line="240" w:lineRule="auto" w:before="9"/>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46" w:footer="978" w:top="1060" w:bottom="1160" w:left="1020" w:right="0"/>
        </w:sectPr>
      </w:pPr>
    </w:p>
    <w:p>
      <w:pPr>
        <w:spacing w:line="240" w:lineRule="auto" w:before="0"/>
        <w:rPr>
          <w:rFonts w:ascii="宋体" w:hAnsi="宋体" w:cs="宋体" w:eastAsia="宋体" w:hint="default"/>
          <w:sz w:val="18"/>
          <w:szCs w:val="18"/>
        </w:rPr>
      </w:pPr>
    </w:p>
    <w:p>
      <w:pPr>
        <w:pStyle w:val="BodyText"/>
        <w:spacing w:line="240" w:lineRule="auto" w:before="121"/>
        <w:ind w:left="0" w:right="0"/>
        <w:jc w:val="right"/>
      </w:pPr>
      <w:r>
        <w:rPr>
          <w:spacing w:val="-1"/>
        </w:rPr>
        <w:t>中国</w:t>
      </w:r>
      <w:r>
        <w:rPr>
          <w:rFonts w:ascii="Times New Roman" w:hAnsi="Times New Roman" w:cs="Times New Roman" w:eastAsia="Times New Roman" w:hint="default"/>
          <w:spacing w:val="-1"/>
        </w:rPr>
        <w:t>·</w:t>
      </w:r>
      <w:r>
        <w:rPr>
          <w:spacing w:val="-1"/>
        </w:rPr>
        <w:t>北京</w:t>
      </w:r>
    </w:p>
    <w:p>
      <w:pPr>
        <w:pStyle w:val="BodyText"/>
        <w:spacing w:line="240" w:lineRule="auto" w:before="44"/>
        <w:ind w:left="2088" w:right="0"/>
        <w:jc w:val="left"/>
      </w:pPr>
      <w:r>
        <w:rPr/>
        <w:br w:type="column"/>
      </w:r>
      <w:r>
        <w:rPr/>
        <w:t>（项目合伙人）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pStyle w:val="BodyText"/>
        <w:spacing w:line="240" w:lineRule="auto"/>
        <w:ind w:left="2138" w:right="0"/>
        <w:jc w:val="left"/>
      </w:pPr>
      <w:r>
        <w:rPr/>
        <w:t>中国注册会计师：</w:t>
      </w:r>
    </w:p>
    <w:p>
      <w:pPr>
        <w:spacing w:after="0" w:line="240" w:lineRule="auto"/>
        <w:jc w:val="left"/>
        <w:sectPr>
          <w:type w:val="continuous"/>
          <w:pgSz w:w="11910" w:h="16840"/>
          <w:pgMar w:top="1060" w:bottom="1160" w:left="1020" w:right="0"/>
          <w:cols w:num="2" w:equalWidth="0">
            <w:col w:w="2866" w:space="1075"/>
            <w:col w:w="6949"/>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ind w:left="5632" w:right="0"/>
        <w:jc w:val="left"/>
      </w:pPr>
      <w:r>
        <w:rPr/>
        <w:t>二〇一九年四月二十三日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6"/>
        <w:ind w:right="0"/>
        <w:jc w:val="left"/>
        <w:rPr>
          <w:b w:val="0"/>
          <w:bCs w:val="0"/>
        </w:rPr>
      </w:pPr>
      <w:bookmarkStart w:name="二、财务报表" w:id="156"/>
      <w:bookmarkEnd w:id="156"/>
      <w:r>
        <w:rPr>
          <w:b w:val="0"/>
          <w:bCs w:val="0"/>
        </w:rPr>
      </w:r>
      <w:r>
        <w:rPr/>
        <w:t>二、财务报表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1、合并资产负债表" w:id="157"/>
      <w:bookmarkEnd w:id="157"/>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8" w:top="1060" w:bottom="1160" w:left="1020" w:right="0"/>
        </w:sectPr>
      </w:pPr>
    </w:p>
    <w:p>
      <w:pPr>
        <w:pStyle w:val="BodyText"/>
        <w:spacing w:line="240" w:lineRule="auto" w:before="44"/>
        <w:ind w:right="-20"/>
        <w:jc w:val="left"/>
      </w:pPr>
      <w:r>
        <w:rPr/>
        <w:t>编制单位：北京科蓝软件系统股份有限公司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1020" w:right="0"/>
          <w:cols w:num="3" w:equalWidth="0">
            <w:col w:w="3533" w:space="544"/>
            <w:col w:w="1599" w:space="3242"/>
            <w:col w:w="1972"/>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4"/>
        <w:gridCol w:w="3406"/>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407,308,560.68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390,020,032.68</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545,859,103.03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487,769,199.26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545,859,103.03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487,769,199.26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13,989,105.93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7,234,742.74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18,736,663.82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15,150,261.99</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120,923.10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186,149,797.86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112,165,676.94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65,378,716.20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80,116,866.34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194"/>
        <w:gridCol w:w="3406"/>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1,237,421,947.52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1,092,456,779.95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28,472,058.60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6,430,000.00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3,800,000.00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21,069,415.37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8,708,167.02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4,948,147.98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1,953,517.12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33,308,695.91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758,478.17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6,662,575.80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41,684,149.19</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10,417,471.72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13,803,990.32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18,626,654.85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10,998,032.68</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168,989,169.42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42,652,185.31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1,406,411,116.94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1,135,108,965.26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419,735,429.52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319,671,000.00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7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79"/>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13,569,521.18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10,914,076.13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22,408,884.33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15,414,704.88</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47,399,147.13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37,940,205.97</w:t>
            </w:r>
          </w:p>
        </w:tc>
      </w:tr>
      <w:tr>
        <w:trPr>
          <w:trHeight w:val="40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24,828,775.76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20,647,674.82</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194"/>
        <w:gridCol w:w="3406"/>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59,852,539.62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52,332,469.02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2,182,365.61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483,835.90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25,346,372.37</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613,140,669.91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456,920,130.82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48,473,220.20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325,333.00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7,126,765.21</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55,925,318.41</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669,065,988.32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456,920,130.82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201,463,957.00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133,948,619.00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354,360,072.83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405,624,739.17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44,639,624.11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34,978,753.00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406,939.68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71,346.65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22,613,994.83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18,083,597.83</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194"/>
        <w:gridCol w:w="3406"/>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186,810,343.76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155,439,284.79</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721,015,683.99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678,188,834.44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16,329,444.63</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737,345,128.62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678,188,834.44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1,406,411,116.94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1,135,108,965.26</w:t>
            </w:r>
          </w:p>
        </w:tc>
      </w:tr>
    </w:tbl>
    <w:p>
      <w:pPr>
        <w:spacing w:line="240" w:lineRule="auto" w:before="3"/>
        <w:rPr>
          <w:rFonts w:ascii="Times New Roman" w:hAnsi="Times New Roman" w:cs="Times New Roman" w:eastAsia="Times New Roman" w:hint="default"/>
          <w:sz w:val="23"/>
          <w:szCs w:val="23"/>
        </w:rPr>
      </w:pPr>
    </w:p>
    <w:p>
      <w:pPr>
        <w:pStyle w:val="BodyText"/>
        <w:tabs>
          <w:tab w:pos="3419" w:val="left" w:leader="none"/>
          <w:tab w:pos="7559" w:val="left" w:leader="none"/>
        </w:tabs>
        <w:spacing w:line="240" w:lineRule="auto" w:before="44"/>
        <w:ind w:left="0" w:right="1231"/>
        <w:jc w:val="right"/>
      </w:pPr>
      <w:r>
        <w:rPr/>
        <w:t>法定代表人：王安京</w:t>
        <w:tab/>
        <w:t>主管会计工作负责人：周旭红</w:t>
        <w:tab/>
        <w:t>会计机构负责人：吴玉苹</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母公司资产负债表" w:id="158"/>
      <w:bookmarkEnd w:id="158"/>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01"/>
        <w:gridCol w:w="3301"/>
        <w:gridCol w:w="2966"/>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323,257,923.62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376,636,326.30</w:t>
            </w:r>
          </w:p>
        </w:tc>
      </w:tr>
      <w:tr>
        <w:trPr>
          <w:trHeight w:val="71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560,560,400.82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484,347,349.52</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63"/>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560,560,400.82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484,347,349.52</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13,187,105.76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7,180,283.90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118,513,967.40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20,150,601.11</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63"/>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176,787,054.51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110,827,707.03</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80,006,438.68</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1,252,306,452.11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1,079,148,706.54</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27,305,280.00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6,430,000.00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3,800,000.00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61,577,340.37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18,716,092.02</w:t>
            </w:r>
          </w:p>
        </w:tc>
      </w:tr>
      <w:tr>
        <w:trPr>
          <w:trHeight w:val="400"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301"/>
        <w:gridCol w:w="3301"/>
        <w:gridCol w:w="2966"/>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2,380,107.83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1,863,709.10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390,567.28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758,478.17</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8,678,699.71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13,803,990.32</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16,909,058.40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10,838,871.95</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121,041,053.59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52,411,141.56</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1,373,347,505.70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1,131,559,848.10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369,735,429.52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319,671,000.00</w:t>
            </w:r>
          </w:p>
        </w:tc>
      </w:tr>
      <w:tr>
        <w:trPr>
          <w:trHeight w:val="71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7,721,180.42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9,134,371.80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18,872,517.90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15,328,467.18</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45,911,859.75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37,083,302.22</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24,048,396.67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18,837,284.35</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112,276,488.65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56,087,922.07</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2,182,365.61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483,835.90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63"/>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25,346,372.37</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603,912,245.28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456,142,347.62</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48,473,220.20</w:t>
            </w: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301"/>
        <w:gridCol w:w="3301"/>
        <w:gridCol w:w="2966"/>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325,333.00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48,798,553.20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652,710,798.48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456,142,347.62</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201,463,957.00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133,948,619.00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354,360,072.83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405,624,739.17</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44,639,624.11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34,978,753.00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22,613,994.83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18,083,597.83</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186,838,306.67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152,739,297.48</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720,636,707.22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675,417,500.48</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1,373,347,505.70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1,131,559,848.10</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4"/>
        <w:ind w:right="0"/>
        <w:jc w:val="left"/>
        <w:rPr>
          <w:b w:val="0"/>
          <w:bCs w:val="0"/>
        </w:rPr>
      </w:pPr>
      <w:bookmarkStart w:name="3、合并利润表" w:id="159"/>
      <w:bookmarkEnd w:id="159"/>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753,221,267.15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670,374,055.70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753,221,267.15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670,374,055.70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92"/>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716,881,561.89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630,972,414.53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443,100,042.33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394,477,456.00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92"/>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2,712,413.46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1,135,447.82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60,481,399.99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67,440,629.91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59,032,622.13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45,064,778.57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94,048,597.88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85,472,348.16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24,214,243.76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17,574,747.92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21,412,266.08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17,228,405.90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4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1,528,552.03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628,076.31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33,292,242.34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19,807,006.15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4,351,505.37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3,563,702.62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-448,391.73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-1,392,144.80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-2,782,084.66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-1,946,887.95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-5,927.70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4"/>
              <w:jc w:val="right"/>
              <w:rPr>
                <w:rFonts w:ascii="宋体" w:hAnsi="宋体" w:cs="宋体" w:eastAsia="宋体" w:hint="default"/>
                <w:sz w:val="18"/>
                <w:szCs w:val="18"/>
              </w:rPr>
            </w:pPr>
            <w:r>
              <w:rPr>
                <w:rFonts w:ascii="宋体" w:hAnsi="宋体" w:cs="宋体" w:eastAsia="宋体" w:hint="default"/>
                <w:spacing w:val="-1"/>
                <w:sz w:val="18"/>
                <w:szCs w:val="18"/>
              </w:rPr>
              <w:t>三、营业利润（亏损以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40,242,818.90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41,567,271.29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67,663.50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19,009.20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40,291,473.20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41,571,271.29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-1,792,001.61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1,490,912.94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4"/>
              <w:jc w:val="right"/>
              <w:rPr>
                <w:rFonts w:ascii="宋体" w:hAnsi="宋体" w:cs="宋体" w:eastAsia="宋体" w:hint="default"/>
                <w:sz w:val="18"/>
                <w:szCs w:val="18"/>
              </w:rPr>
            </w:pPr>
            <w:r>
              <w:rPr>
                <w:rFonts w:ascii="宋体" w:hAnsi="宋体" w:cs="宋体" w:eastAsia="宋体" w:hint="default"/>
                <w:spacing w:val="-1"/>
                <w:sz w:val="18"/>
                <w:szCs w:val="18"/>
              </w:rPr>
              <w:t>五、净利润（净亏损以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42,083,474.81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40,080,358.35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42,083,474.81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40,080,358.35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42,576,019.79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40,080,358.35</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-492,544.98</w:t>
            </w: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335,593.03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76,498.61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335,593.03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76,498.61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335,593.03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76,498.61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335,593.03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76,498.61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42,419,067.84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40,156,856.96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2"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42,911,612.82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40,156,856.96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-492,544.98</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0.21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0.21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0.23</w:t>
            </w:r>
          </w:p>
        </w:tc>
      </w:tr>
    </w:tbl>
    <w:p>
      <w:pPr>
        <w:pStyle w:val="BodyText"/>
        <w:tabs>
          <w:tab w:pos="3532" w:val="left" w:leader="none"/>
          <w:tab w:pos="7672" w:val="left" w:leader="none"/>
        </w:tabs>
        <w:spacing w:line="624" w:lineRule="auto" w:before="51"/>
        <w:ind w:right="1231"/>
        <w:jc w:val="left"/>
      </w:pPr>
      <w:r>
        <w:rPr/>
        <w:t>本期发生同一控制下企业合并的，被合并方在合并前实现的净利润为：元，上期被合并方实现的净利润为：元。 法定代表人：王安京</w:t>
        <w:tab/>
        <w:t>主管会计工作负责人：周旭红</w:t>
        <w:tab/>
        <w:t>会计机构负责人：吴玉苹</w:t>
      </w:r>
    </w:p>
    <w:p>
      <w:pPr>
        <w:pStyle w:val="Heading5"/>
        <w:spacing w:line="240" w:lineRule="auto" w:before="65"/>
        <w:ind w:right="0"/>
        <w:jc w:val="left"/>
        <w:rPr>
          <w:b w:val="0"/>
          <w:bCs w:val="0"/>
        </w:rPr>
      </w:pPr>
      <w:bookmarkStart w:name="4、母公司利润表" w:id="160"/>
      <w:bookmarkEnd w:id="160"/>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739,127,047.45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653,447,831.28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436,848,476.52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382,880,451.70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2,622,754.39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1,073,885.99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59,219,447.20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67,049,453.25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51,364,806.29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42,363,983.73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91,967,364.25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85,472,348.16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23,416,645.00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17,570,025.23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21,412,303.16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17,228,405.90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1,480,173.37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628,076.31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33,552,776.06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19,534,888.42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4,197,681.92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3,442,148.86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-305,058.72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-1,413,693.50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-2,638,751.65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-1,968,436.65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-5,927.70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44,027,400.94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39,525,322.46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63,197.30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17,082.60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73"/>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44,073,515.64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39,529,322.46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-1,230,454.37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1,062,917.75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45,303,970.01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38,466,404.71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45,303,970.01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38,466,404.71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4"/>
          <w:pgSz w:w="11910" w:h="16840"/>
          <w:pgMar w:footer="978" w:header="746" w:top="1060" w:bottom="1160" w:left="1020" w:right="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45,303,970.01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38,466,404.71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2"/>
          <w:szCs w:val="22"/>
        </w:rPr>
      </w:pPr>
    </w:p>
    <w:p>
      <w:pPr>
        <w:pStyle w:val="Heading5"/>
        <w:spacing w:line="240" w:lineRule="auto" w:before="34"/>
        <w:ind w:right="0"/>
        <w:jc w:val="left"/>
        <w:rPr>
          <w:b w:val="0"/>
          <w:bCs w:val="0"/>
        </w:rPr>
      </w:pPr>
      <w:bookmarkStart w:name="5、合并现金流量表" w:id="161"/>
      <w:bookmarkEnd w:id="161"/>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42" w:right="0"/>
              <w:jc w:val="left"/>
              <w:rPr>
                <w:rFonts w:ascii="Times New Roman" w:hAnsi="Times New Roman" w:cs="Times New Roman" w:eastAsia="Times New Roman" w:hint="default"/>
                <w:sz w:val="18"/>
                <w:szCs w:val="18"/>
              </w:rPr>
            </w:pPr>
            <w:r>
              <w:rPr>
                <w:rFonts w:ascii="Times New Roman"/>
                <w:sz w:val="18"/>
              </w:rPr>
              <w:t>697,500,185.10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43" w:right="0"/>
              <w:jc w:val="left"/>
              <w:rPr>
                <w:rFonts w:ascii="Times New Roman" w:hAnsi="Times New Roman" w:cs="Times New Roman" w:eastAsia="Times New Roman" w:hint="default"/>
                <w:sz w:val="18"/>
                <w:szCs w:val="18"/>
              </w:rPr>
            </w:pPr>
            <w:r>
              <w:rPr>
                <w:rFonts w:ascii="Times New Roman"/>
                <w:sz w:val="18"/>
              </w:rPr>
              <w:t>599,770,356.60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1,159,742.52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2,293,503.38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25,172,188.81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27,673,300.68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723,832,116.43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629,737,160.66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31,159,005.23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12,901,466.30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613,092,457.05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536,115,191.64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24,098,000.18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12,749,130.31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105,488,711.51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96,443,611.74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773,838,173.97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658,209,399.99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-50,006,057.54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-28,472,239.33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2,333,692.93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554,743.15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23,600,000.00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265,933,692.93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55,554,743.15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3,200,349.86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1,436,663.47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255,875,280.00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139,290,000.00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60,904,035.88</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29,180,513.92</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349,160,179.66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140,726,663.47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-83,226,486.73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-85,171,920.32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247,870,953.00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607,626,982.77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481,277,182.70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638,526,982.77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732,548,135.70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438,180,407.43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406,000,000.00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20,264,389.95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14,593,430.63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23,107,072.29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11,099,739.16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481,551,869.67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431,693,169.79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156,975,113.10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300,854,965.91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747,951.87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-1,104,480.90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24,490,520.70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186,106,325.36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378,072,610.98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191,966,285.62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402,563,131.68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378,072,610.98</w:t>
            </w:r>
          </w:p>
        </w:tc>
      </w:tr>
    </w:tbl>
    <w:p>
      <w:pPr>
        <w:spacing w:line="240" w:lineRule="auto" w:before="11"/>
        <w:rPr>
          <w:rFonts w:ascii="Times New Roman" w:hAnsi="Times New Roman" w:cs="Times New Roman" w:eastAsia="Times New Roman" w:hint="default"/>
          <w:sz w:val="21"/>
          <w:szCs w:val="21"/>
        </w:rPr>
      </w:pPr>
    </w:p>
    <w:p>
      <w:pPr>
        <w:pStyle w:val="Heading5"/>
        <w:spacing w:line="240" w:lineRule="auto" w:before="34"/>
        <w:ind w:right="0"/>
        <w:jc w:val="left"/>
        <w:rPr>
          <w:b w:val="0"/>
          <w:bCs w:val="0"/>
        </w:rPr>
      </w:pPr>
      <w:bookmarkStart w:name="6、母公司现金流量表" w:id="162"/>
      <w:bookmarkEnd w:id="162"/>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659,492,501.61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587,105,312.73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1,159,742.52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2,293,503.38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25,672,919.22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25,983,410.92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686,325,163.35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615,382,227.03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28,309,859.71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8,915,011.37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596,049,862.45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527,212,843.06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22,589,531.86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11,313,262.75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118,446,594.41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93,142,323.74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765,395,848.43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640,583,440.92</w:t>
            </w: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-79,070,685.08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-25,201,213.89</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2,333,692.93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554,743.15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257,333,692.93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55,554,743.15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2,522,171.58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1,354,823.23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255,875,280.00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139,290,000.00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103,500,000.00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19,580,513.92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381,477,965.50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140,644,823.23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-124,144,272.57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-85,090,080.08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247,870,953.00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607,626,982.77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481,277,182.70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638,526,982.77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732,548,135.70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438,180,407.43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406,000,000.00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20,264,389.95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14,593,430.63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23,107,072.29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11,099,739.16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481,551,869.67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431,693,169.79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156,975,113.10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300,854,965.91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63,434.57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-22,507.28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-46,176,409.98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190,541,164.66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364,688,904.60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174,147,739.94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318,512,494.62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364,688,904.60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2"/>
        <w:rPr>
          <w:rFonts w:ascii="Times New Roman" w:hAnsi="Times New Roman" w:cs="Times New Roman" w:eastAsia="Times New Roman" w:hint="default"/>
          <w:sz w:val="28"/>
          <w:szCs w:val="28"/>
        </w:rPr>
      </w:pPr>
    </w:p>
    <w:p>
      <w:pPr>
        <w:pStyle w:val="Heading5"/>
        <w:spacing w:line="240" w:lineRule="auto" w:before="34"/>
        <w:ind w:right="0"/>
        <w:jc w:val="left"/>
        <w:rPr>
          <w:b w:val="0"/>
          <w:bCs w:val="0"/>
        </w:rPr>
      </w:pPr>
      <w:bookmarkStart w:name="7、合并所有者权益变动表" w:id="163"/>
      <w:bookmarkEnd w:id="163"/>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0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8" w:right="56"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79"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80"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left"/>
              <w:rPr>
                <w:rFonts w:ascii="Times New Roman" w:hAnsi="Times New Roman" w:cs="Times New Roman" w:eastAsia="Times New Roman" w:hint="default"/>
                <w:sz w:val="18"/>
                <w:szCs w:val="18"/>
              </w:rPr>
            </w:pPr>
            <w:r>
              <w:rPr>
                <w:rFonts w:ascii="Times New Roman"/>
                <w:sz w:val="18"/>
              </w:rPr>
              <w:t>133,94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8,619.</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405,624</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,739.17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34,978,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753.00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71,346.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18,083,</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597.83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155,439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,284.79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678,188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,834.44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133,94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8,619.</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405,624</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,739.17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34,978,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753.00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71,346.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18,083,</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597.83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155,439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,284.79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678,188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,834.44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2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67,515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,338.0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-51,264,</w:t>
            </w:r>
          </w:p>
          <w:p>
            <w:pPr>
              <w:pStyle w:val="TableParagraph"/>
              <w:spacing w:line="240" w:lineRule="auto" w:before="105"/>
              <w:ind w:left="111" w:right="0"/>
              <w:jc w:val="center"/>
              <w:rPr>
                <w:rFonts w:ascii="Times New Roman" w:hAnsi="Times New Roman" w:cs="Times New Roman" w:eastAsia="Times New Roman" w:hint="default"/>
                <w:sz w:val="18"/>
                <w:szCs w:val="18"/>
              </w:rPr>
            </w:pPr>
            <w:r>
              <w:rPr>
                <w:rFonts w:ascii="Times New Roman"/>
                <w:sz w:val="18"/>
              </w:rPr>
              <w:t>666.34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9,660,8</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71.11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335,593</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.03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4,530,3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97.00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31,371,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058.97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16,329,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444.63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59,156,</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294.18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335,593</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.03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42,576,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019.79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left"/>
              <w:rPr>
                <w:rFonts w:ascii="Times New Roman" w:hAnsi="Times New Roman" w:cs="Times New Roman" w:eastAsia="Times New Roman" w:hint="default"/>
                <w:sz w:val="18"/>
                <w:szCs w:val="18"/>
              </w:rPr>
            </w:pPr>
            <w:r>
              <w:rPr>
                <w:rFonts w:ascii="Times New Roman"/>
                <w:sz w:val="18"/>
              </w:rPr>
              <w:t>-492,54</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4.98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42,419,</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067.84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541,04</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1.00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left"/>
              <w:rPr>
                <w:rFonts w:ascii="Times New Roman" w:hAnsi="Times New Roman" w:cs="Times New Roman" w:eastAsia="Times New Roman" w:hint="default"/>
                <w:sz w:val="18"/>
                <w:szCs w:val="18"/>
              </w:rPr>
            </w:pPr>
            <w:r>
              <w:rPr>
                <w:rFonts w:ascii="Times New Roman"/>
                <w:sz w:val="18"/>
              </w:rPr>
              <w:t>15,709,</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630.66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center"/>
              <w:rPr>
                <w:rFonts w:ascii="Times New Roman" w:hAnsi="Times New Roman" w:cs="Times New Roman" w:eastAsia="Times New Roman" w:hint="default"/>
                <w:sz w:val="18"/>
                <w:szCs w:val="18"/>
              </w:rPr>
            </w:pPr>
            <w:r>
              <w:rPr>
                <w:rFonts w:ascii="Times New Roman"/>
                <w:sz w:val="18"/>
              </w:rPr>
              <w:t>9,660,8</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71.11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left"/>
              <w:rPr>
                <w:rFonts w:ascii="Times New Roman" w:hAnsi="Times New Roman" w:cs="Times New Roman" w:eastAsia="Times New Roman" w:hint="default"/>
                <w:sz w:val="18"/>
                <w:szCs w:val="18"/>
              </w:rPr>
            </w:pPr>
            <w:r>
              <w:rPr>
                <w:rFonts w:ascii="Times New Roman"/>
                <w:sz w:val="18"/>
              </w:rPr>
              <w:t>16,821,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989.61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left"/>
              <w:rPr>
                <w:rFonts w:ascii="Times New Roman" w:hAnsi="Times New Roman" w:cs="Times New Roman" w:eastAsia="Times New Roman" w:hint="default"/>
                <w:sz w:val="18"/>
                <w:szCs w:val="18"/>
              </w:rPr>
            </w:pPr>
            <w:r>
              <w:rPr>
                <w:rFonts w:ascii="Times New Roman"/>
                <w:sz w:val="18"/>
              </w:rPr>
              <w:t>23,411,</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790.16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541,04</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1.00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9,119,8</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30.11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9,660,8</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71.11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6,589,8</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00.55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9,660,8</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71.11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-3,071,0</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70.56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left"/>
              <w:rPr>
                <w:rFonts w:ascii="Times New Roman" w:hAnsi="Times New Roman" w:cs="Times New Roman" w:eastAsia="Times New Roman" w:hint="default"/>
                <w:sz w:val="18"/>
                <w:szCs w:val="18"/>
              </w:rPr>
            </w:pPr>
            <w:r>
              <w:rPr>
                <w:rFonts w:ascii="Times New Roman"/>
                <w:sz w:val="18"/>
              </w:rPr>
              <w:t>16,821,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989.61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16,821,</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989.61</w:t>
            </w:r>
          </w:p>
        </w:tc>
      </w:tr>
      <w:tr>
        <w:trPr>
          <w:trHeight w:val="40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Times New Roman" w:hAnsi="Times New Roman" w:cs="Times New Roman" w:eastAsia="Times New Roman" w:hint="default"/>
                <w:sz w:val="18"/>
                <w:szCs w:val="18"/>
              </w:rPr>
            </w:pPr>
            <w:r>
              <w:rPr>
                <w:rFonts w:ascii="Times New Roman"/>
                <w:spacing w:val="-1"/>
                <w:sz w:val="18"/>
              </w:rPr>
              <w:t>4,530,3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8"/>
              <w:jc w:val="right"/>
              <w:rPr>
                <w:rFonts w:ascii="Times New Roman" w:hAnsi="Times New Roman" w:cs="Times New Roman" w:eastAsia="Times New Roman" w:hint="default"/>
                <w:sz w:val="18"/>
                <w:szCs w:val="18"/>
              </w:rPr>
            </w:pPr>
            <w:r>
              <w:rPr>
                <w:rFonts w:ascii="Times New Roman"/>
                <w:spacing w:val="-1"/>
                <w:w w:val="95"/>
                <w:sz w:val="18"/>
              </w:rPr>
              <w:t>-11,204,</w:t>
            </w:r>
            <w:r>
              <w:rPr>
                <w:rFonts w:ascii="Times New Roman"/>
                <w:spacing w:val="-1"/>
                <w:sz w:val="18"/>
              </w:rPr>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7" w:right="0"/>
              <w:jc w:val="left"/>
              <w:rPr>
                <w:rFonts w:ascii="Times New Roman" w:hAnsi="Times New Roman" w:cs="Times New Roman" w:eastAsia="Times New Roman" w:hint="default"/>
                <w:sz w:val="18"/>
                <w:szCs w:val="18"/>
              </w:rPr>
            </w:pPr>
            <w:r>
              <w:rPr>
                <w:rFonts w:ascii="Times New Roman"/>
                <w:sz w:val="18"/>
              </w:rPr>
              <w:t>-6,674,5</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97.00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960.82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63.82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 w:right="0"/>
              <w:jc w:val="center"/>
              <w:rPr>
                <w:rFonts w:ascii="Times New Roman" w:hAnsi="Times New Roman" w:cs="Times New Roman" w:eastAsia="Times New Roman" w:hint="default"/>
                <w:sz w:val="18"/>
                <w:szCs w:val="18"/>
              </w:rPr>
            </w:pPr>
            <w:r>
              <w:rPr>
                <w:rFonts w:ascii="Times New Roman"/>
                <w:sz w:val="18"/>
              </w:rPr>
              <w:t>4,530,3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97.00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-4,530,3</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97.00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-6,674,5</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63.82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-6,674,5</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63.82</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66,974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,297.0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-66,974,</w:t>
            </w:r>
          </w:p>
          <w:p>
            <w:pPr>
              <w:pStyle w:val="TableParagraph"/>
              <w:spacing w:line="240" w:lineRule="auto" w:before="105"/>
              <w:ind w:left="111" w:right="0"/>
              <w:jc w:val="center"/>
              <w:rPr>
                <w:rFonts w:ascii="Times New Roman" w:hAnsi="Times New Roman" w:cs="Times New Roman" w:eastAsia="Times New Roman" w:hint="default"/>
                <w:sz w:val="18"/>
                <w:szCs w:val="18"/>
              </w:rPr>
            </w:pPr>
            <w:r>
              <w:rPr>
                <w:rFonts w:ascii="Times New Roman"/>
                <w:sz w:val="18"/>
              </w:rPr>
              <w:t>297.00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,297.0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-66,974,</w:t>
            </w:r>
          </w:p>
          <w:p>
            <w:pPr>
              <w:pStyle w:val="TableParagraph"/>
              <w:spacing w:line="240" w:lineRule="auto" w:before="105"/>
              <w:ind w:left="111" w:right="0"/>
              <w:jc w:val="center"/>
              <w:rPr>
                <w:rFonts w:ascii="Times New Roman" w:hAnsi="Times New Roman" w:cs="Times New Roman" w:eastAsia="Times New Roman" w:hint="default"/>
                <w:sz w:val="18"/>
                <w:szCs w:val="18"/>
              </w:rPr>
            </w:pPr>
            <w:r>
              <w:rPr>
                <w:rFonts w:ascii="Times New Roman"/>
                <w:sz w:val="18"/>
              </w:rPr>
              <w:t>297.00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left"/>
              <w:rPr>
                <w:rFonts w:ascii="Times New Roman" w:hAnsi="Times New Roman" w:cs="Times New Roman" w:eastAsia="Times New Roman" w:hint="default"/>
                <w:sz w:val="18"/>
                <w:szCs w:val="18"/>
              </w:rPr>
            </w:pPr>
            <w:r>
              <w:rPr>
                <w:rFonts w:ascii="Times New Roman"/>
                <w:sz w:val="18"/>
              </w:rPr>
              <w:t>201,46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3,957.</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354,360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,072.83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44,639,</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624.11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406,939</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.68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22,613,</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994.83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186,810</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,343.76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16,329,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444.63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737,345</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,128.62</w:t>
            </w:r>
          </w:p>
        </w:tc>
      </w:tr>
    </w:tbl>
    <w:p>
      <w:pPr>
        <w:pStyle w:val="BodyText"/>
        <w:spacing w:line="240" w:lineRule="auto" w:before="51"/>
        <w:ind w:right="0"/>
        <w:jc w:val="left"/>
      </w:pPr>
      <w:r>
        <w:rPr/>
        <w:t>上期金额</w:t>
      </w:r>
    </w:p>
    <w:p>
      <w:pPr>
        <w:pStyle w:val="BodyText"/>
        <w:spacing w:line="240" w:lineRule="auto" w:before="115"/>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402"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51" w:right="48"/>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55" w:right="52"/>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5"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8"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61"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714"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9" w:right="78"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71" w:right="7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71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2" w:right="0"/>
              <w:jc w:val="left"/>
              <w:rPr>
                <w:rFonts w:ascii="Times New Roman" w:hAnsi="Times New Roman" w:cs="Times New Roman" w:eastAsia="Times New Roman" w:hint="default"/>
                <w:sz w:val="18"/>
                <w:szCs w:val="18"/>
              </w:rPr>
            </w:pPr>
            <w:r>
              <w:rPr>
                <w:rFonts w:ascii="Times New Roman"/>
                <w:sz w:val="18"/>
              </w:rPr>
              <w:t>98,566</w:t>
            </w:r>
          </w:p>
          <w:p>
            <w:pPr>
              <w:pStyle w:val="TableParagraph"/>
              <w:spacing w:line="240" w:lineRule="auto" w:before="105"/>
              <w:ind w:left="78" w:right="0"/>
              <w:jc w:val="left"/>
              <w:rPr>
                <w:rFonts w:ascii="Times New Roman" w:hAnsi="Times New Roman" w:cs="Times New Roman" w:eastAsia="Times New Roman" w:hint="default"/>
                <w:sz w:val="18"/>
                <w:szCs w:val="18"/>
              </w:rPr>
            </w:pPr>
            <w:r>
              <w:rPr>
                <w:rFonts w:ascii="Times New Roman"/>
                <w:sz w:val="18"/>
              </w:rPr>
              <w:t>,719.0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201,563</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,299.97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-5,151.9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14,236,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957.36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119,205</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,566.91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433,567</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,391.28</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98,566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,719.0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201,563</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,299.97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-5,151.9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14,236,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957.36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119,205</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,566.91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433,567</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,391.28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,900.0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204,061</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,439.20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34,978,</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753.00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76,498.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3,846,6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40.47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36,233,</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717.88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244,621</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,443.16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76,498.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6" w:right="0"/>
              <w:jc w:val="left"/>
              <w:rPr>
                <w:rFonts w:ascii="Times New Roman" w:hAnsi="Times New Roman" w:cs="Times New Roman" w:eastAsia="Times New Roman" w:hint="default"/>
                <w:sz w:val="18"/>
                <w:szCs w:val="18"/>
              </w:rPr>
            </w:pPr>
            <w:r>
              <w:rPr>
                <w:rFonts w:ascii="Times New Roman"/>
                <w:sz w:val="18"/>
              </w:rPr>
              <w:t>40,080,</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358.35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 w:right="0"/>
              <w:jc w:val="left"/>
              <w:rPr>
                <w:rFonts w:ascii="Times New Roman" w:hAnsi="Times New Roman" w:cs="Times New Roman" w:eastAsia="Times New Roman" w:hint="default"/>
                <w:sz w:val="18"/>
                <w:szCs w:val="18"/>
              </w:rPr>
            </w:pPr>
            <w:r>
              <w:rPr>
                <w:rFonts w:ascii="Times New Roman"/>
                <w:sz w:val="18"/>
              </w:rPr>
              <w:t>40,156,</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856.96</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,900.0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204,061</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,439.20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34,978,</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753.00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204,464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,586.20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35,381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,900.0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203,378</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,245.07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238,760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,145.07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683,194</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.13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34,978,</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753.00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-34,295,</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558.87</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8" w:right="0"/>
              <w:jc w:val="center"/>
              <w:rPr>
                <w:rFonts w:ascii="Times New Roman" w:hAnsi="Times New Roman" w:cs="Times New Roman" w:eastAsia="Times New Roman" w:hint="default"/>
                <w:sz w:val="18"/>
                <w:szCs w:val="18"/>
              </w:rPr>
            </w:pPr>
            <w:r>
              <w:rPr>
                <w:rFonts w:ascii="Times New Roman"/>
                <w:sz w:val="18"/>
              </w:rPr>
              <w:t>3,846,6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40.47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-3,846,6</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40.47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3,846,6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40.47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-3,846,6</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40.47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 w:right="0"/>
              <w:jc w:val="left"/>
              <w:rPr>
                <w:rFonts w:ascii="Times New Roman" w:hAnsi="Times New Roman" w:cs="Times New Roman" w:eastAsia="Times New Roman" w:hint="default"/>
                <w:sz w:val="18"/>
                <w:szCs w:val="18"/>
              </w:rPr>
            </w:pPr>
            <w:r>
              <w:rPr>
                <w:rFonts w:ascii="Times New Roman"/>
                <w:sz w:val="18"/>
              </w:rPr>
              <w:t>133,94</w:t>
            </w:r>
          </w:p>
          <w:p>
            <w:pPr>
              <w:pStyle w:val="TableParagraph"/>
              <w:spacing w:line="240" w:lineRule="auto" w:before="105"/>
              <w:ind w:left="78" w:right="0"/>
              <w:jc w:val="left"/>
              <w:rPr>
                <w:rFonts w:ascii="Times New Roman" w:hAnsi="Times New Roman" w:cs="Times New Roman" w:eastAsia="Times New Roman" w:hint="default"/>
                <w:sz w:val="18"/>
                <w:szCs w:val="18"/>
              </w:rPr>
            </w:pPr>
            <w:r>
              <w:rPr>
                <w:rFonts w:ascii="Times New Roman"/>
                <w:sz w:val="18"/>
              </w:rPr>
              <w:t>8,619.</w:t>
            </w:r>
          </w:p>
          <w:p>
            <w:pPr>
              <w:pStyle w:val="TableParagraph"/>
              <w:spacing w:line="240" w:lineRule="auto" w:before="105"/>
              <w:ind w:left="349"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405,624</w:t>
            </w:r>
          </w:p>
          <w:p>
            <w:pPr>
              <w:pStyle w:val="TableParagraph"/>
              <w:spacing w:line="240" w:lineRule="auto" w:before="105"/>
              <w:ind w:left="90" w:right="0"/>
              <w:jc w:val="left"/>
              <w:rPr>
                <w:rFonts w:ascii="Times New Roman" w:hAnsi="Times New Roman" w:cs="Times New Roman" w:eastAsia="Times New Roman" w:hint="default"/>
                <w:sz w:val="18"/>
                <w:szCs w:val="18"/>
              </w:rPr>
            </w:pPr>
            <w:r>
              <w:rPr>
                <w:rFonts w:ascii="Times New Roman"/>
                <w:sz w:val="18"/>
              </w:rPr>
              <w:t>,739.17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34,978,</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753.00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71,346.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0.00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18,083,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597.83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155,439</w:t>
            </w:r>
          </w:p>
          <w:p>
            <w:pPr>
              <w:pStyle w:val="TableParagraph"/>
              <w:spacing w:line="240" w:lineRule="auto" w:before="105"/>
              <w:ind w:left="106" w:right="0"/>
              <w:jc w:val="left"/>
              <w:rPr>
                <w:rFonts w:ascii="Times New Roman" w:hAnsi="Times New Roman" w:cs="Times New Roman" w:eastAsia="Times New Roman" w:hint="default"/>
                <w:sz w:val="18"/>
                <w:szCs w:val="18"/>
              </w:rPr>
            </w:pPr>
            <w:r>
              <w:rPr>
                <w:rFonts w:ascii="Times New Roman"/>
                <w:sz w:val="18"/>
              </w:rPr>
              <w:t>,284.79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678,188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,834.44</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4"/>
        <w:ind w:right="0"/>
        <w:jc w:val="left"/>
        <w:rPr>
          <w:b w:val="0"/>
          <w:bCs w:val="0"/>
        </w:rPr>
      </w:pPr>
      <w:bookmarkStart w:name="8、母公司所有者权益变动表" w:id="164"/>
      <w:bookmarkEnd w:id="164"/>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1"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11" w:right="3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2" w:right="60"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25"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5"/>
              <w:jc w:val="righ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133,948,</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619.00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left"/>
              <w:rPr>
                <w:rFonts w:ascii="Times New Roman" w:hAnsi="Times New Roman" w:cs="Times New Roman" w:eastAsia="Times New Roman" w:hint="default"/>
                <w:sz w:val="18"/>
                <w:szCs w:val="18"/>
              </w:rPr>
            </w:pPr>
            <w:r>
              <w:rPr>
                <w:rFonts w:ascii="Times New Roman"/>
                <w:sz w:val="18"/>
              </w:rPr>
              <w:t>405,624,7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39.17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34,978,75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18,083,59</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7.83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152,739</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,297.48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675,417,5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00.48</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133,948,</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619.00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left"/>
              <w:rPr>
                <w:rFonts w:ascii="Times New Roman" w:hAnsi="Times New Roman" w:cs="Times New Roman" w:eastAsia="Times New Roman" w:hint="default"/>
                <w:sz w:val="18"/>
                <w:szCs w:val="18"/>
              </w:rPr>
            </w:pPr>
            <w:r>
              <w:rPr>
                <w:rFonts w:ascii="Times New Roman"/>
                <w:sz w:val="18"/>
              </w:rPr>
              <w:t>405,624,7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39.17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34,978,75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18,083,59</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7.83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152,739</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,297.48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675,417,5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00.48</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67,515,3</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38.00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-51,264,6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66.34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9,660,871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2"/>
                <w:sz w:val="18"/>
              </w:rPr>
              <w:t>.11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4,530,397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34,099,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009.19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45,219,20</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6.74</w:t>
            </w:r>
          </w:p>
        </w:tc>
      </w:tr>
      <w:tr>
        <w:trPr>
          <w:trHeight w:val="400"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21"/>
              <w:jc w:val="right"/>
              <w:rPr>
                <w:rFonts w:ascii="宋体" w:hAnsi="宋体" w:cs="宋体" w:eastAsia="宋体" w:hint="default"/>
                <w:sz w:val="18"/>
                <w:szCs w:val="18"/>
              </w:rPr>
            </w:pPr>
            <w:r>
              <w:rPr>
                <w:rFonts w:ascii="宋体" w:hAnsi="宋体" w:cs="宋体" w:eastAsia="宋体" w:hint="default"/>
                <w:spacing w:val="-7"/>
                <w:w w:val="95"/>
                <w:sz w:val="18"/>
                <w:szCs w:val="18"/>
              </w:rPr>
              <w:t>（一）综合收益总</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0"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8" w:right="0"/>
              <w:jc w:val="left"/>
              <w:rPr>
                <w:rFonts w:ascii="Times New Roman" w:hAnsi="Times New Roman" w:cs="Times New Roman" w:eastAsia="Times New Roman" w:hint="default"/>
                <w:sz w:val="18"/>
                <w:szCs w:val="18"/>
              </w:rPr>
            </w:pPr>
            <w:r>
              <w:rPr>
                <w:rFonts w:ascii="Times New Roman"/>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2" w:right="0"/>
              <w:jc w:val="left"/>
              <w:rPr>
                <w:rFonts w:ascii="Times New Roman" w:hAnsi="Times New Roman" w:cs="Times New Roman" w:eastAsia="Times New Roman" w:hint="default"/>
                <w:sz w:val="18"/>
                <w:szCs w:val="18"/>
              </w:rPr>
            </w:pPr>
            <w:r>
              <w:rPr>
                <w:rFonts w:ascii="Times New Roman"/>
                <w:sz w:val="18"/>
              </w:rPr>
              <w:t>45,303,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8" w:right="0"/>
              <w:jc w:val="left"/>
              <w:rPr>
                <w:rFonts w:ascii="Times New Roman" w:hAnsi="Times New Roman" w:cs="Times New Roman" w:eastAsia="Times New Roman" w:hint="default"/>
                <w:sz w:val="18"/>
                <w:szCs w:val="18"/>
              </w:rPr>
            </w:pPr>
            <w:r>
              <w:rPr>
                <w:rFonts w:ascii="Times New Roman"/>
                <w:sz w:val="18"/>
              </w:rPr>
              <w:t>45,303,97</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36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970.01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0.01</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541,041.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left"/>
              <w:rPr>
                <w:rFonts w:ascii="Times New Roman" w:hAnsi="Times New Roman" w:cs="Times New Roman" w:eastAsia="Times New Roman" w:hint="default"/>
                <w:sz w:val="18"/>
                <w:szCs w:val="18"/>
              </w:rPr>
            </w:pPr>
            <w:r>
              <w:rPr>
                <w:rFonts w:ascii="Times New Roman"/>
                <w:sz w:val="18"/>
              </w:rPr>
              <w:t>15,709,63</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0.66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9,660,871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2"/>
                <w:sz w:val="18"/>
              </w:rPr>
              <w:t>.11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6,589,800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.55</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541,041.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9,119,830</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pacing w:val="-2"/>
                <w:sz w:val="18"/>
              </w:rPr>
              <w:t>.11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9,660,871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2"/>
                <w:sz w:val="18"/>
              </w:rPr>
              <w:t>.11</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6,589,800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9,660,871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2"/>
                <w:sz w:val="18"/>
              </w:rPr>
              <w:t>.11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-3,071,07</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0.56</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4,530,397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-11,204,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960.82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-6,674,56</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3.82</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4,530,397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-4,530,3</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97.00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-6,674,5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63.82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-6,674,56</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3.82</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66,974,2</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97.00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-66,974,2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97.00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66,974,2</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97.00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-66,974,2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97.00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201,463,</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957.00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left"/>
              <w:rPr>
                <w:rFonts w:ascii="Times New Roman" w:hAnsi="Times New Roman" w:cs="Times New Roman" w:eastAsia="Times New Roman" w:hint="default"/>
                <w:sz w:val="18"/>
                <w:szCs w:val="18"/>
              </w:rPr>
            </w:pPr>
            <w:r>
              <w:rPr>
                <w:rFonts w:ascii="Times New Roman"/>
                <w:sz w:val="18"/>
              </w:rPr>
              <w:t>354,360,0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72.83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44,639,62</w:t>
            </w:r>
          </w:p>
          <w:p>
            <w:pPr>
              <w:pStyle w:val="TableParagraph"/>
              <w:spacing w:line="240" w:lineRule="auto" w:before="105"/>
              <w:ind w:left="458" w:right="0"/>
              <w:jc w:val="left"/>
              <w:rPr>
                <w:rFonts w:ascii="Times New Roman" w:hAnsi="Times New Roman" w:cs="Times New Roman" w:eastAsia="Times New Roman" w:hint="default"/>
                <w:sz w:val="18"/>
                <w:szCs w:val="18"/>
              </w:rPr>
            </w:pPr>
            <w:r>
              <w:rPr>
                <w:rFonts w:ascii="Times New Roman"/>
                <w:sz w:val="18"/>
              </w:rPr>
              <w:t>4.11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22,613,99</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4.83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186,838</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,306.67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720,636,7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07.22</w:t>
            </w:r>
          </w:p>
        </w:tc>
      </w:tr>
    </w:tbl>
    <w:p>
      <w:pPr>
        <w:pStyle w:val="BodyText"/>
        <w:spacing w:line="240" w:lineRule="auto" w:before="50"/>
        <w:ind w:right="0"/>
        <w:jc w:val="left"/>
      </w:pPr>
      <w:r>
        <w:rPr/>
        <w:t>上期金额</w:t>
      </w:r>
    </w:p>
    <w:p>
      <w:pPr>
        <w:pStyle w:val="BodyText"/>
        <w:spacing w:line="240" w:lineRule="auto" w:before="117"/>
        <w:ind w:left="0" w:right="1132"/>
        <w:jc w:val="right"/>
      </w:pPr>
      <w:r>
        <w:rPr/>
        <w:t>单位：元</w:t>
      </w:r>
    </w:p>
    <w:p>
      <w:pPr>
        <w:spacing w:after="0" w:line="240" w:lineRule="auto"/>
        <w:jc w:val="right"/>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1"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304"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211" w:right="3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52" w:right="60"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15" w:right="25"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5"/>
              <w:jc w:val="righ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98,566,7</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19.00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 w:right="0"/>
              <w:jc w:val="left"/>
              <w:rPr>
                <w:rFonts w:ascii="Times New Roman" w:hAnsi="Times New Roman" w:cs="Times New Roman" w:eastAsia="Times New Roman" w:hint="default"/>
                <w:sz w:val="18"/>
                <w:szCs w:val="18"/>
              </w:rPr>
            </w:pPr>
            <w:r>
              <w:rPr>
                <w:rFonts w:ascii="Times New Roman"/>
                <w:sz w:val="18"/>
              </w:rPr>
              <w:t>201,563,2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99.97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14,236,95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7.36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pacing w:val="-3"/>
                <w:sz w:val="18"/>
              </w:rPr>
              <w:t>118,119,</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533.24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432,486,5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09.57</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98,566,7</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19.00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 w:right="0"/>
              <w:jc w:val="left"/>
              <w:rPr>
                <w:rFonts w:ascii="Times New Roman" w:hAnsi="Times New Roman" w:cs="Times New Roman" w:eastAsia="Times New Roman" w:hint="default"/>
                <w:sz w:val="18"/>
                <w:szCs w:val="18"/>
              </w:rPr>
            </w:pPr>
            <w:r>
              <w:rPr>
                <w:rFonts w:ascii="Times New Roman"/>
                <w:sz w:val="18"/>
              </w:rPr>
              <w:t>201,563,2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99.97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14,236,95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7.36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pacing w:val="-3"/>
                <w:sz w:val="18"/>
              </w:rPr>
              <w:t>118,119,</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533.24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432,486,5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09.57</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35,381,9</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204,061,4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39.20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34,978,75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3,846,640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34,619,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764.24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242,930,9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90.91</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 w:right="0"/>
              <w:jc w:val="left"/>
              <w:rPr>
                <w:rFonts w:ascii="Times New Roman" w:hAnsi="Times New Roman" w:cs="Times New Roman" w:eastAsia="Times New Roman" w:hint="default"/>
                <w:sz w:val="18"/>
                <w:szCs w:val="18"/>
              </w:rPr>
            </w:pPr>
            <w:r>
              <w:rPr>
                <w:rFonts w:ascii="Times New Roman"/>
                <w:sz w:val="18"/>
              </w:rPr>
              <w:t>38,466,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404.71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38,466,40</w:t>
            </w:r>
          </w:p>
          <w:p>
            <w:pPr>
              <w:pStyle w:val="TableParagraph"/>
              <w:spacing w:line="240" w:lineRule="auto" w:before="105"/>
              <w:ind w:left="431" w:right="0"/>
              <w:jc w:val="left"/>
              <w:rPr>
                <w:rFonts w:ascii="Times New Roman" w:hAnsi="Times New Roman" w:cs="Times New Roman" w:eastAsia="Times New Roman" w:hint="default"/>
                <w:sz w:val="18"/>
                <w:szCs w:val="18"/>
              </w:rPr>
            </w:pPr>
            <w:r>
              <w:rPr>
                <w:rFonts w:ascii="Times New Roman"/>
                <w:sz w:val="18"/>
              </w:rPr>
              <w:t>4.71</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1"/>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35,381,9</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left"/>
              <w:rPr>
                <w:rFonts w:ascii="Times New Roman" w:hAnsi="Times New Roman" w:cs="Times New Roman" w:eastAsia="Times New Roman" w:hint="default"/>
                <w:sz w:val="18"/>
                <w:szCs w:val="18"/>
              </w:rPr>
            </w:pPr>
            <w:r>
              <w:rPr>
                <w:rFonts w:ascii="Times New Roman"/>
                <w:sz w:val="18"/>
              </w:rPr>
              <w:t>204,061,4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39.20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34,978,75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204,464,5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86.20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35,381,9</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 w:right="0"/>
              <w:jc w:val="left"/>
              <w:rPr>
                <w:rFonts w:ascii="Times New Roman" w:hAnsi="Times New Roman" w:cs="Times New Roman" w:eastAsia="Times New Roman" w:hint="default"/>
                <w:sz w:val="18"/>
                <w:szCs w:val="18"/>
              </w:rPr>
            </w:pPr>
            <w:r>
              <w:rPr>
                <w:rFonts w:ascii="Times New Roman"/>
                <w:sz w:val="18"/>
              </w:rPr>
              <w:t>203,378,2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45.07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238,760,1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45.07</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683,194.1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34,978,75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-34,295,5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58.87</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3,846,640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-3,846,6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40.47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3,846,640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-3,846,6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40.47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5"/>
          <w:pgSz w:w="11910" w:h="16840"/>
          <w:pgMar w:footer="978" w:header="746" w:top="1060" w:bottom="1160" w:left="1020" w:right="0"/>
          <w:pgNumType w:start="1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133,948,</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619.00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17"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left"/>
              <w:rPr>
                <w:rFonts w:ascii="Times New Roman" w:hAnsi="Times New Roman" w:cs="Times New Roman" w:eastAsia="Times New Roman" w:hint="default"/>
                <w:sz w:val="18"/>
                <w:szCs w:val="18"/>
              </w:rPr>
            </w:pPr>
            <w:r>
              <w:rPr>
                <w:rFonts w:ascii="Times New Roman"/>
                <w:sz w:val="18"/>
              </w:rPr>
              <w:t>405,624,7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39.17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34,978,75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49"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18,083,59</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7.83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152,739</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,297.48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675,417,5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00.48</w:t>
            </w:r>
          </w:p>
        </w:tc>
      </w:tr>
    </w:tbl>
    <w:p>
      <w:pPr>
        <w:spacing w:line="240" w:lineRule="auto" w:before="6"/>
        <w:rPr>
          <w:rFonts w:ascii="Times New Roman" w:hAnsi="Times New Roman" w:cs="Times New Roman" w:eastAsia="Times New Roman" w:hint="default"/>
          <w:sz w:val="20"/>
          <w:szCs w:val="20"/>
        </w:rPr>
      </w:pPr>
    </w:p>
    <w:p>
      <w:pPr>
        <w:pStyle w:val="Heading4"/>
        <w:spacing w:line="240" w:lineRule="auto" w:before="26"/>
        <w:ind w:right="0"/>
        <w:jc w:val="left"/>
        <w:rPr>
          <w:b w:val="0"/>
          <w:bCs w:val="0"/>
        </w:rPr>
      </w:pPr>
      <w:bookmarkStart w:name="三、公司基本情况" w:id="165"/>
      <w:bookmarkEnd w:id="165"/>
      <w:r>
        <w:rPr>
          <w:b w:val="0"/>
          <w:bCs w:val="0"/>
        </w:rPr>
      </w:r>
      <w:r>
        <w:rPr/>
        <w:t>三、公司基本情况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218"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t>公司注册地、组织形式和总部地址</w:t>
      </w:r>
      <w:r>
        <w:rPr>
          <w:b w:val="0"/>
          <w:bCs w:val="0"/>
        </w:rPr>
      </w:r>
    </w:p>
    <w:p>
      <w:pPr>
        <w:pStyle w:val="BodyText"/>
        <w:spacing w:line="300" w:lineRule="auto" w:before="46"/>
        <w:ind w:right="1129" w:firstLine="420"/>
        <w:jc w:val="both"/>
      </w:pPr>
      <w:r>
        <w:rPr/>
        <w:t>北京科蓝软件系统股份有限公司（以下简称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w:t>
      </w:r>
      <w:r>
        <w:rPr>
          <w:spacing w:val="60"/>
        </w:rPr>
        <w:t> </w:t>
      </w:r>
      <w:r>
        <w:rPr/>
        <w:t>前身为北京科蓝软件系统有限公司（以下简称</w:t>
      </w:r>
      <w:r>
        <w:rPr>
          <w:rFonts w:ascii="Times New Roman" w:hAnsi="Times New Roman" w:cs="Times New Roman" w:eastAsia="Times New Roman" w:hint="default"/>
        </w:rPr>
        <w:t>“</w:t>
      </w:r>
      <w:r>
        <w:rPr/>
        <w:t>科蓝 </w:t>
      </w:r>
      <w:r>
        <w:rPr>
          <w:spacing w:val="-1"/>
          <w:w w:val="99"/>
        </w:rPr>
        <w:t>有限公司</w:t>
      </w:r>
      <w:r>
        <w:rPr>
          <w:rFonts w:ascii="Times New Roman" w:hAnsi="Times New Roman" w:cs="Times New Roman" w:eastAsia="Times New Roman" w:hint="default"/>
          <w:spacing w:val="-1"/>
          <w:w w:val="99"/>
        </w:rPr>
        <w:t>”</w:t>
      </w:r>
      <w:r>
        <w:rPr>
          <w:spacing w:val="-1"/>
          <w:w w:val="99"/>
        </w:rPr>
        <w:t>），于</w:t>
      </w:r>
      <w:r>
        <w:rPr>
          <w:rFonts w:ascii="Times New Roman" w:hAnsi="Times New Roman" w:cs="Times New Roman" w:eastAsia="Times New Roman" w:hint="default"/>
          <w:spacing w:val="-1"/>
          <w:w w:val="99"/>
        </w:rPr>
        <w:t>1999</w:t>
      </w:r>
      <w:r>
        <w:rPr>
          <w:spacing w:val="-1"/>
          <w:w w:val="99"/>
        </w:rPr>
        <w:t>年</w:t>
      </w:r>
      <w:r>
        <w:rPr>
          <w:rFonts w:ascii="Times New Roman" w:hAnsi="Times New Roman" w:cs="Times New Roman" w:eastAsia="Times New Roman" w:hint="default"/>
          <w:spacing w:val="-1"/>
          <w:w w:val="99"/>
        </w:rPr>
        <w:t>11</w:t>
      </w:r>
      <w:r>
        <w:rPr>
          <w:spacing w:val="-1"/>
          <w:w w:val="99"/>
        </w:rPr>
        <w:t>月</w:t>
      </w:r>
      <w:r>
        <w:rPr>
          <w:rFonts w:ascii="Times New Roman" w:hAnsi="Times New Roman" w:cs="Times New Roman" w:eastAsia="Times New Roman" w:hint="default"/>
          <w:spacing w:val="-1"/>
          <w:w w:val="99"/>
        </w:rPr>
        <w:t>9</w:t>
      </w:r>
      <w:r>
        <w:rPr>
          <w:spacing w:val="-1"/>
          <w:w w:val="99"/>
        </w:rPr>
        <w:t>日经北京市人民政府以外经贸京资字</w:t>
      </w:r>
      <w:r>
        <w:rPr>
          <w:rFonts w:ascii="Times New Roman" w:hAnsi="Times New Roman" w:cs="Times New Roman" w:eastAsia="Times New Roman" w:hint="default"/>
          <w:spacing w:val="-1"/>
          <w:w w:val="99"/>
        </w:rPr>
        <w:t>[1999]0525</w:t>
      </w:r>
      <w:r>
        <w:rPr>
          <w:spacing w:val="-1"/>
          <w:w w:val="99"/>
        </w:rPr>
        <w:t>号《中华人民共和国外商投资企业批准证书》</w:t>
      </w:r>
      <w:r>
        <w:rPr>
          <w:spacing w:val="-58"/>
          <w:w w:val="99"/>
        </w:rPr>
        <w:t> </w:t>
      </w:r>
      <w:r>
        <w:rPr>
          <w:spacing w:val="-58"/>
          <w:w w:val="99"/>
        </w:rPr>
      </w:r>
      <w:r>
        <w:rPr>
          <w:spacing w:val="-1"/>
        </w:rPr>
        <w:t>批准设立，设立时系外商独资企业。</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24</w:t>
      </w:r>
      <w:r>
        <w:rPr>
          <w:spacing w:val="-1"/>
        </w:rPr>
        <w:t>日，北京市经济技术开发区管委会出具京技管项审字</w:t>
      </w:r>
      <w:r>
        <w:rPr>
          <w:rFonts w:ascii="Times New Roman" w:hAnsi="Times New Roman" w:cs="Times New Roman" w:eastAsia="Times New Roman" w:hint="default"/>
          <w:spacing w:val="-1"/>
        </w:rPr>
        <w:t>[2012]180</w:t>
      </w:r>
      <w:r>
        <w:rPr>
          <w:spacing w:val="-1"/>
        </w:rPr>
        <w:t>号《关于北</w:t>
      </w:r>
      <w:r>
        <w:rPr>
          <w:spacing w:val="-53"/>
        </w:rPr>
        <w:t> </w:t>
      </w:r>
      <w:r>
        <w:rPr>
          <w:spacing w:val="-53"/>
        </w:rPr>
      </w:r>
      <w:r>
        <w:rPr>
          <w:spacing w:val="-2"/>
        </w:rPr>
        <w:t>京科蓝软件系统有限公司转制为内资企业的批复》，同意科蓝有限公司转制为内资企业。</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日，科蓝有限公司整</w:t>
      </w:r>
      <w:r>
        <w:rPr>
          <w:spacing w:val="-63"/>
        </w:rPr>
        <w:t> </w:t>
      </w:r>
      <w:r>
        <w:rPr>
          <w:spacing w:val="-63"/>
        </w:rPr>
      </w:r>
      <w:r>
        <w:rPr>
          <w:spacing w:val="-1"/>
        </w:rPr>
        <w:t>体变更为股份有限公司。</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12</w:t>
      </w:r>
      <w:r>
        <w:rPr>
          <w:spacing w:val="-1"/>
        </w:rPr>
        <w:t>日，本公司经中国证券监督管理委员会证监许可</w:t>
      </w:r>
      <w:r>
        <w:rPr>
          <w:rFonts w:ascii="Times New Roman" w:hAnsi="Times New Roman" w:cs="Times New Roman" w:eastAsia="Times New Roman" w:hint="default"/>
          <w:spacing w:val="-1"/>
        </w:rPr>
        <w:t>[2017]690</w:t>
      </w:r>
      <w:r>
        <w:rPr>
          <w:spacing w:val="-1"/>
        </w:rPr>
        <w:t>号文《关于核准北京科蓝软</w:t>
      </w:r>
      <w:r>
        <w:rPr>
          <w:spacing w:val="-54"/>
        </w:rPr>
        <w:t> </w:t>
      </w:r>
      <w:r>
        <w:rPr>
          <w:spacing w:val="-54"/>
        </w:rPr>
      </w:r>
      <w:r>
        <w:rPr/>
        <w:t>件系统股份有限公司首次公开发行股票的批复》的核准，发行社会公众股</w:t>
      </w:r>
      <w:r>
        <w:rPr>
          <w:rFonts w:ascii="Times New Roman" w:hAnsi="Times New Roman" w:cs="Times New Roman" w:eastAsia="Times New Roman" w:hint="default"/>
        </w:rPr>
        <w:t>3,286</w:t>
      </w:r>
      <w:r>
        <w:rPr/>
        <w:t>万股，并于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w:t>
      </w:r>
      <w:r>
        <w:rPr/>
        <w:t>日在深圳证券交易所</w:t>
      </w:r>
      <w:r>
        <w:rPr>
          <w:spacing w:val="-50"/>
        </w:rPr>
        <w:t> </w:t>
      </w:r>
      <w:r>
        <w:rPr>
          <w:spacing w:val="-50"/>
        </w:rPr>
      </w:r>
      <w:r>
        <w:rPr/>
        <w:t>创业板上市交易。公司现持有统一社会信用代码为</w:t>
      </w:r>
      <w:r>
        <w:rPr>
          <w:rFonts w:ascii="Times New Roman" w:hAnsi="Times New Roman" w:cs="Times New Roman" w:eastAsia="Times New Roman" w:hint="default"/>
        </w:rPr>
        <w:t>91110302717741973K</w:t>
      </w:r>
      <w:r>
        <w:rPr/>
        <w:t>的营业执照。</w:t>
      </w:r>
    </w:p>
    <w:p>
      <w:pPr>
        <w:pStyle w:val="BodyText"/>
        <w:spacing w:line="240" w:lineRule="auto" w:before="13"/>
        <w:ind w:left="532" w:right="0"/>
        <w:jc w:val="left"/>
      </w:pPr>
      <w:r>
        <w:rPr>
          <w:spacing w:val="6"/>
        </w:rPr>
        <w:t>经过历年的转增股本及增发新股，截止</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日，本公司累计发行股本总数</w:t>
      </w:r>
      <w:r>
        <w:rPr>
          <w:rFonts w:ascii="Times New Roman" w:hAnsi="Times New Roman" w:cs="Times New Roman" w:eastAsia="Times New Roman" w:hint="default"/>
          <w:spacing w:val="6"/>
        </w:rPr>
        <w:t>20,146.3957</w:t>
      </w:r>
      <w:r>
        <w:rPr>
          <w:spacing w:val="6"/>
        </w:rPr>
        <w:t>万股，注册资本为</w:t>
      </w:r>
    </w:p>
    <w:p>
      <w:pPr>
        <w:pStyle w:val="BodyText"/>
        <w:spacing w:line="240" w:lineRule="auto" w:before="63"/>
        <w:ind w:right="0"/>
        <w:jc w:val="left"/>
      </w:pPr>
      <w:r>
        <w:rPr>
          <w:rFonts w:ascii="Times New Roman" w:hAnsi="Times New Roman" w:cs="Times New Roman" w:eastAsia="Times New Roman" w:hint="default"/>
        </w:rPr>
        <w:t>20,146.3957</w:t>
      </w:r>
      <w:r>
        <w:rPr/>
        <w:t>万元，公司注册地址：北京市北京经济技术开发区西环南路</w:t>
      </w:r>
      <w:r>
        <w:rPr>
          <w:rFonts w:ascii="Times New Roman" w:hAnsi="Times New Roman" w:cs="Times New Roman" w:eastAsia="Times New Roman" w:hint="default"/>
        </w:rPr>
        <w:t>18</w:t>
      </w:r>
      <w:r>
        <w:rPr/>
        <w:t>号</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450</w:t>
      </w:r>
      <w:r>
        <w:rPr/>
        <w:t>室，法定代表人为王安京。</w:t>
      </w:r>
    </w:p>
    <w:p>
      <w:pPr>
        <w:pStyle w:val="Heading5"/>
        <w:spacing w:line="240" w:lineRule="auto" w:before="157"/>
        <w:ind w:left="218"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t>公司业务性质和主要经营活动</w:t>
      </w:r>
      <w:r>
        <w:rPr>
          <w:b w:val="0"/>
          <w:bCs w:val="0"/>
        </w:rPr>
      </w:r>
    </w:p>
    <w:p>
      <w:pPr>
        <w:pStyle w:val="BodyText"/>
        <w:spacing w:line="316" w:lineRule="auto" w:before="46"/>
        <w:ind w:left="532" w:right="0"/>
        <w:jc w:val="left"/>
      </w:pPr>
      <w:r>
        <w:rPr/>
        <w:t>本公司属信息技术行业。 本公司经营范围：开发、生产电脑软硬件、网络产品；技术咨询、技术服务及售后维修服务；销售自产产品；货物进</w:t>
      </w:r>
    </w:p>
    <w:p>
      <w:pPr>
        <w:pStyle w:val="BodyText"/>
        <w:spacing w:line="240" w:lineRule="auto" w:before="19"/>
        <w:ind w:right="0"/>
        <w:jc w:val="left"/>
      </w:pPr>
      <w:r>
        <w:rPr/>
        <w:t>出口、技术进出口、代理进出口。</w:t>
      </w:r>
    </w:p>
    <w:p>
      <w:pPr>
        <w:spacing w:line="240" w:lineRule="auto" w:before="1"/>
        <w:rPr>
          <w:rFonts w:ascii="宋体" w:hAnsi="宋体" w:cs="宋体" w:eastAsia="宋体" w:hint="default"/>
          <w:sz w:val="13"/>
          <w:szCs w:val="13"/>
        </w:rPr>
      </w:pPr>
    </w:p>
    <w:p>
      <w:pPr>
        <w:pStyle w:val="Heading5"/>
        <w:spacing w:line="240" w:lineRule="auto"/>
        <w:ind w:left="218" w:right="0"/>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44"/>
        </w:rPr>
        <w:t> </w:t>
      </w:r>
      <w:r>
        <w:rPr/>
        <w:t>主要产品或提供的主要劳务</w:t>
      </w:r>
      <w:r>
        <w:rPr>
          <w:b w:val="0"/>
          <w:bCs w:val="0"/>
        </w:rPr>
      </w:r>
    </w:p>
    <w:p>
      <w:pPr>
        <w:pStyle w:val="BodyText"/>
        <w:spacing w:line="309" w:lineRule="auto" w:before="46"/>
        <w:ind w:right="1034" w:firstLine="420"/>
        <w:jc w:val="left"/>
      </w:pPr>
      <w:r>
        <w:rPr/>
        <w:t>本公司主要为以银行为主的金融机构提供软件产品应用开发和技术服务，包括开发、生产电脑软硬件、网络产品，销 售自产产品，自产产品的咨询及售后维修服务等，为银行等金融机构提供网上银行、手机银行等电子银行系统、直销银行、 </w:t>
      </w:r>
      <w:r>
        <w:rPr>
          <w:spacing w:val="-4"/>
        </w:rPr>
        <w:t>金融开放平台等互联网金融类系统、核心银行系统以及网银管家等网银安全系统的整体解决方案。主要产品有：电子银行类：</w:t>
      </w:r>
      <w:r>
        <w:rPr>
          <w:spacing w:val="-40"/>
        </w:rPr>
        <w:t> </w:t>
      </w:r>
      <w:r>
        <w:rPr>
          <w:spacing w:val="-40"/>
        </w:rPr>
      </w:r>
      <w:r>
        <w:rPr>
          <w:spacing w:val="-2"/>
          <w:w w:val="99"/>
        </w:rPr>
        <w:t>微信银行、全渠道整合平台、网上银行系统、移动银行系统、企业级客户信息管理系统（</w:t>
      </w:r>
      <w:r>
        <w:rPr>
          <w:rFonts w:ascii="Times New Roman" w:hAnsi="Times New Roman" w:cs="Times New Roman" w:eastAsia="Times New Roman" w:hint="default"/>
          <w:spacing w:val="-2"/>
          <w:w w:val="99"/>
        </w:rPr>
        <w:t>ECIF</w:t>
      </w:r>
      <w:r>
        <w:rPr>
          <w:spacing w:val="-2"/>
          <w:w w:val="99"/>
        </w:rPr>
        <w:t>）、电子支付平台、外汇贵金</w:t>
      </w:r>
      <w:r>
        <w:rPr/>
        <w:t> 属交易平台、网上支付跨行清算系统、集团现金管理系统、网上商城系统、银企通系统等；互联网金融类：直销银行系统、 </w:t>
      </w:r>
      <w:r>
        <w:rPr>
          <w:spacing w:val="-3"/>
        </w:rPr>
        <w:t>金融开放平台等；核心银行系统类：银行核心系统、银行大总账系统、银行综合柜员系统、银行综合大前置系统、银行</w:t>
      </w:r>
      <w:r>
        <w:rPr>
          <w:rFonts w:ascii="Times New Roman" w:hAnsi="Times New Roman" w:cs="Times New Roman" w:eastAsia="Times New Roman" w:hint="default"/>
          <w:spacing w:val="-3"/>
        </w:rPr>
        <w:t>CRM </w:t>
      </w:r>
      <w:r>
        <w:rPr>
          <w:spacing w:val="-1"/>
          <w:w w:val="99"/>
        </w:rPr>
        <w:t>系统、银行盈利分析系统等；网银安全类：银企通安全代理、认证服务器（</w:t>
      </w:r>
      <w:r>
        <w:rPr>
          <w:rFonts w:ascii="Times New Roman" w:hAnsi="Times New Roman" w:cs="Times New Roman" w:eastAsia="Times New Roman" w:hint="default"/>
          <w:spacing w:val="-1"/>
          <w:w w:val="99"/>
        </w:rPr>
        <w:t>CPAS</w:t>
      </w:r>
      <w:r>
        <w:rPr>
          <w:spacing w:val="-1"/>
          <w:w w:val="99"/>
        </w:rPr>
        <w:t>）、签名控件</w:t>
      </w:r>
      <w:r>
        <w:rPr>
          <w:rFonts w:ascii="Times New Roman" w:hAnsi="Times New Roman" w:cs="Times New Roman" w:eastAsia="Times New Roman" w:hint="default"/>
          <w:spacing w:val="-1"/>
          <w:w w:val="99"/>
        </w:rPr>
        <w:t>/</w:t>
      </w:r>
      <w:r>
        <w:rPr>
          <w:spacing w:val="-1"/>
          <w:w w:val="99"/>
        </w:rPr>
        <w:t>插件、支付网关商户安全软</w:t>
      </w:r>
      <w:r>
        <w:rPr>
          <w:spacing w:val="-86"/>
          <w:w w:val="99"/>
        </w:rPr>
        <w:t> </w:t>
      </w:r>
      <w:r>
        <w:rPr>
          <w:spacing w:val="-86"/>
          <w:w w:val="99"/>
        </w:rPr>
      </w:r>
      <w:r>
        <w:rPr/>
        <w:t>件、智能监控系统、安全输入控件、网银管家等。</w:t>
      </w:r>
    </w:p>
    <w:p>
      <w:pPr>
        <w:pStyle w:val="Heading5"/>
        <w:spacing w:line="240" w:lineRule="auto" w:before="118"/>
        <w:ind w:left="218" w:right="0"/>
        <w:jc w:val="left"/>
        <w:rPr>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47"/>
        </w:rPr>
        <w:t> </w:t>
      </w:r>
      <w:r>
        <w:rPr/>
        <w:t>财务报表的批准报出</w:t>
      </w:r>
      <w:r>
        <w:rPr>
          <w:b w:val="0"/>
          <w:bCs w:val="0"/>
        </w:rPr>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b/>
          <w:bCs/>
          <w:sz w:val="25"/>
          <w:szCs w:val="25"/>
        </w:rPr>
      </w:pPr>
    </w:p>
    <w:p>
      <w:pPr>
        <w:pStyle w:val="BodyText"/>
        <w:spacing w:line="240" w:lineRule="auto" w:before="44"/>
        <w:ind w:left="532" w:right="0"/>
        <w:jc w:val="left"/>
      </w:pPr>
      <w:r>
        <w:rPr/>
        <w:t>本财务报表业经公司董事会于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日批准报出。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7"/>
          <w:szCs w:val="17"/>
        </w:rPr>
      </w:pPr>
    </w:p>
    <w:p>
      <w:pPr>
        <w:pStyle w:val="Heading6"/>
        <w:spacing w:line="240" w:lineRule="auto"/>
        <w:ind w:right="0"/>
        <w:jc w:val="left"/>
      </w:pPr>
      <w:r>
        <w:rPr/>
        <w:t>本期纳入合并财务报表范围的主体共</w:t>
      </w:r>
      <w:r>
        <w:rPr>
          <w:rFonts w:ascii="Times New Roman" w:hAnsi="Times New Roman" w:cs="Times New Roman" w:eastAsia="Times New Roman" w:hint="default"/>
        </w:rPr>
        <w:t>6</w:t>
      </w:r>
      <w:r>
        <w:rPr/>
        <w:t>户，具体包括</w:t>
      </w:r>
      <w:r>
        <w:rPr>
          <w:color w:val="0000CC"/>
        </w:rPr>
        <w:t>：</w:t>
      </w:r>
      <w:r>
        <w:rPr/>
      </w:r>
    </w:p>
    <w:p>
      <w:pPr>
        <w:spacing w:line="240" w:lineRule="auto" w:before="9"/>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119"/>
        <w:gridCol w:w="1276"/>
        <w:gridCol w:w="850"/>
        <w:gridCol w:w="1559"/>
        <w:gridCol w:w="1724"/>
      </w:tblGrid>
      <w:tr>
        <w:trPr>
          <w:trHeight w:val="354" w:hRule="exact"/>
        </w:trPr>
        <w:tc>
          <w:tcPr>
            <w:tcW w:w="31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79"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38" w:right="0"/>
              <w:jc w:val="left"/>
              <w:rPr>
                <w:rFonts w:ascii="宋体" w:hAnsi="宋体" w:cs="宋体" w:eastAsia="宋体" w:hint="default"/>
                <w:sz w:val="18"/>
                <w:szCs w:val="18"/>
              </w:rPr>
            </w:pPr>
            <w:r>
              <w:rPr>
                <w:rFonts w:ascii="宋体" w:hAnsi="宋体" w:cs="宋体" w:eastAsia="宋体" w:hint="default"/>
                <w:sz w:val="18"/>
                <w:szCs w:val="18"/>
              </w:rPr>
              <w:t>级次</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2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2" w:hRule="exact"/>
        </w:trPr>
        <w:tc>
          <w:tcPr>
            <w:tcW w:w="31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深圳科蓝金信科技发展有限公司</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级</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100.00</w:t>
            </w:r>
          </w:p>
        </w:tc>
        <w:tc>
          <w:tcPr>
            <w:tcW w:w="172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center"/>
              <w:rPr>
                <w:rFonts w:ascii="Times New Roman" w:hAnsi="Times New Roman" w:cs="Times New Roman" w:eastAsia="Times New Roman" w:hint="default"/>
                <w:sz w:val="18"/>
                <w:szCs w:val="18"/>
              </w:rPr>
            </w:pPr>
            <w:r>
              <w:rPr>
                <w:rFonts w:ascii="Times New Roman"/>
                <w:sz w:val="18"/>
              </w:rPr>
              <w:t>100.00</w:t>
            </w:r>
          </w:p>
        </w:tc>
      </w:tr>
      <w:tr>
        <w:trPr>
          <w:trHeight w:val="362" w:hRule="exact"/>
        </w:trPr>
        <w:tc>
          <w:tcPr>
            <w:tcW w:w="31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大陆云盾电子认证服务有限公司</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级</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84.27</w:t>
            </w:r>
          </w:p>
        </w:tc>
        <w:tc>
          <w:tcPr>
            <w:tcW w:w="172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4"/>
              <w:jc w:val="center"/>
              <w:rPr>
                <w:rFonts w:ascii="Times New Roman" w:hAnsi="Times New Roman" w:cs="Times New Roman" w:eastAsia="Times New Roman" w:hint="default"/>
                <w:sz w:val="18"/>
                <w:szCs w:val="18"/>
              </w:rPr>
            </w:pPr>
            <w:r>
              <w:rPr>
                <w:rFonts w:ascii="Times New Roman"/>
                <w:sz w:val="18"/>
              </w:rPr>
              <w:t>84.27</w:t>
            </w:r>
          </w:p>
        </w:tc>
      </w:tr>
      <w:tr>
        <w:trPr>
          <w:trHeight w:val="362" w:hRule="exact"/>
        </w:trPr>
        <w:tc>
          <w:tcPr>
            <w:tcW w:w="31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3" w:right="0"/>
              <w:jc w:val="left"/>
              <w:rPr>
                <w:rFonts w:ascii="宋体" w:hAnsi="宋体" w:cs="宋体" w:eastAsia="宋体" w:hint="default"/>
                <w:sz w:val="18"/>
                <w:szCs w:val="18"/>
              </w:rPr>
            </w:pPr>
            <w:r>
              <w:rPr>
                <w:rFonts w:ascii="宋体" w:hAnsi="宋体" w:cs="宋体" w:eastAsia="宋体" w:hint="default"/>
                <w:sz w:val="18"/>
                <w:szCs w:val="18"/>
              </w:rPr>
              <w:t>北京尼客矩阵科技有限公司</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级</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100.00</w:t>
            </w:r>
          </w:p>
        </w:tc>
        <w:tc>
          <w:tcPr>
            <w:tcW w:w="172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center"/>
              <w:rPr>
                <w:rFonts w:ascii="Times New Roman" w:hAnsi="Times New Roman" w:cs="Times New Roman" w:eastAsia="Times New Roman" w:hint="default"/>
                <w:sz w:val="18"/>
                <w:szCs w:val="18"/>
              </w:rPr>
            </w:pPr>
            <w:r>
              <w:rPr>
                <w:rFonts w:ascii="Times New Roman"/>
                <w:sz w:val="18"/>
              </w:rPr>
              <w:t>100.00</w:t>
            </w:r>
          </w:p>
        </w:tc>
      </w:tr>
      <w:tr>
        <w:trPr>
          <w:trHeight w:val="362" w:hRule="exact"/>
        </w:trPr>
        <w:tc>
          <w:tcPr>
            <w:tcW w:w="31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北京数蚂科蓝科技有限公司</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级</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100.00</w:t>
            </w:r>
          </w:p>
        </w:tc>
        <w:tc>
          <w:tcPr>
            <w:tcW w:w="172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7"/>
              <w:jc w:val="center"/>
              <w:rPr>
                <w:rFonts w:ascii="Times New Roman" w:hAnsi="Times New Roman" w:cs="Times New Roman" w:eastAsia="Times New Roman" w:hint="default"/>
                <w:sz w:val="18"/>
                <w:szCs w:val="18"/>
              </w:rPr>
            </w:pPr>
            <w:r>
              <w:rPr>
                <w:rFonts w:ascii="Times New Roman"/>
                <w:sz w:val="18"/>
              </w:rPr>
              <w:t>100.00</w:t>
            </w:r>
          </w:p>
        </w:tc>
      </w:tr>
      <w:tr>
        <w:trPr>
          <w:trHeight w:val="362" w:hRule="exact"/>
        </w:trPr>
        <w:tc>
          <w:tcPr>
            <w:tcW w:w="31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科蓝软体系统（香港）有限公司</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级</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100.00</w:t>
            </w:r>
          </w:p>
        </w:tc>
        <w:tc>
          <w:tcPr>
            <w:tcW w:w="172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7"/>
              <w:jc w:val="center"/>
              <w:rPr>
                <w:rFonts w:ascii="Times New Roman" w:hAnsi="Times New Roman" w:cs="Times New Roman" w:eastAsia="Times New Roman" w:hint="default"/>
                <w:sz w:val="18"/>
                <w:szCs w:val="18"/>
              </w:rPr>
            </w:pPr>
            <w:r>
              <w:rPr>
                <w:rFonts w:ascii="Times New Roman"/>
                <w:sz w:val="18"/>
              </w:rPr>
              <w:t>100.00</w:t>
            </w:r>
          </w:p>
        </w:tc>
      </w:tr>
      <w:tr>
        <w:trPr>
          <w:trHeight w:val="362" w:hRule="exact"/>
        </w:trPr>
        <w:tc>
          <w:tcPr>
            <w:tcW w:w="31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SUNJE</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SOFT</w:t>
            </w:r>
            <w:r>
              <w:rPr>
                <w:rFonts w:ascii="宋体" w:hAnsi="宋体" w:cs="宋体" w:eastAsia="宋体" w:hint="default"/>
                <w:sz w:val="18"/>
                <w:szCs w:val="18"/>
              </w:rPr>
              <w:t>株式会社</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级</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67.15%</w:t>
            </w:r>
          </w:p>
        </w:tc>
        <w:tc>
          <w:tcPr>
            <w:tcW w:w="172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4"/>
              <w:jc w:val="center"/>
              <w:rPr>
                <w:rFonts w:ascii="Times New Roman" w:hAnsi="Times New Roman" w:cs="Times New Roman" w:eastAsia="Times New Roman" w:hint="default"/>
                <w:sz w:val="18"/>
                <w:szCs w:val="18"/>
              </w:rPr>
            </w:pPr>
            <w:r>
              <w:rPr>
                <w:rFonts w:ascii="Times New Roman"/>
                <w:sz w:val="18"/>
              </w:rPr>
              <w:t>67.15%</w:t>
            </w:r>
          </w:p>
        </w:tc>
      </w:tr>
    </w:tbl>
    <w:p>
      <w:pPr>
        <w:spacing w:line="240" w:lineRule="auto" w:before="7"/>
        <w:rPr>
          <w:rFonts w:ascii="宋体" w:hAnsi="宋体" w:cs="宋体" w:eastAsia="宋体" w:hint="default"/>
          <w:sz w:val="5"/>
          <w:szCs w:val="5"/>
        </w:rPr>
      </w:pPr>
    </w:p>
    <w:p>
      <w:pPr>
        <w:pStyle w:val="Heading6"/>
        <w:spacing w:line="240" w:lineRule="auto" w:before="34"/>
        <w:ind w:right="0"/>
        <w:jc w:val="left"/>
      </w:pPr>
      <w:r>
        <w:rPr/>
        <w:t>本期纳入合并财务报表范围的主体较上期相比，增加</w:t>
      </w:r>
      <w:r>
        <w:rPr>
          <w:rFonts w:ascii="Times New Roman" w:hAnsi="Times New Roman" w:cs="Times New Roman" w:eastAsia="Times New Roman" w:hint="default"/>
        </w:rPr>
        <w:t>4</w:t>
      </w:r>
      <w:r>
        <w:rPr/>
        <w:t>户，减少</w:t>
      </w:r>
      <w:r>
        <w:rPr>
          <w:rFonts w:ascii="Times New Roman" w:hAnsi="Times New Roman" w:cs="Times New Roman" w:eastAsia="Times New Roman" w:hint="default"/>
        </w:rPr>
        <w:t>0</w:t>
      </w:r>
      <w:r>
        <w:rPr/>
        <w:t>户，其中：</w:t>
      </w:r>
    </w:p>
    <w:p>
      <w:pPr>
        <w:pStyle w:val="Heading6"/>
        <w:spacing w:line="240" w:lineRule="auto" w:before="21"/>
        <w:ind w:right="0"/>
        <w:jc w:val="left"/>
      </w:pPr>
      <w:r>
        <w:rPr>
          <w:rFonts w:ascii="Times New Roman" w:hAnsi="Times New Roman" w:cs="Times New Roman" w:eastAsia="Times New Roman" w:hint="default"/>
        </w:rPr>
        <w:t>1</w:t>
      </w:r>
      <w:r>
        <w:rPr/>
        <w:t>．</w:t>
      </w:r>
      <w:r>
        <w:rPr>
          <w:spacing w:val="-11"/>
        </w:rPr>
        <w:t> </w:t>
      </w:r>
      <w:r>
        <w:rPr/>
        <w:t>本期新纳入合并范围的子公司包括：</w:t>
      </w:r>
    </w:p>
    <w:p>
      <w:pPr>
        <w:spacing w:line="240" w:lineRule="auto" w:before="9"/>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369"/>
        <w:gridCol w:w="5159"/>
      </w:tblGrid>
      <w:tr>
        <w:trPr>
          <w:trHeight w:val="354" w:hRule="exact"/>
        </w:trPr>
        <w:tc>
          <w:tcPr>
            <w:tcW w:w="3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515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6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大陆云盾电子认证服务有限公司</w:t>
            </w:r>
          </w:p>
        </w:tc>
        <w:tc>
          <w:tcPr>
            <w:tcW w:w="51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6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北京尼客矩阵科技有限公司</w:t>
            </w:r>
          </w:p>
        </w:tc>
        <w:tc>
          <w:tcPr>
            <w:tcW w:w="51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新成立的全资子公司</w:t>
            </w:r>
          </w:p>
        </w:tc>
      </w:tr>
      <w:tr>
        <w:trPr>
          <w:trHeight w:val="36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北京数蚂科蓝科技有限公司</w:t>
            </w:r>
          </w:p>
        </w:tc>
        <w:tc>
          <w:tcPr>
            <w:tcW w:w="51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新成立的全资子公司</w:t>
            </w:r>
          </w:p>
        </w:tc>
      </w:tr>
      <w:tr>
        <w:trPr>
          <w:trHeight w:val="362" w:hRule="exact"/>
        </w:trPr>
        <w:tc>
          <w:tcPr>
            <w:tcW w:w="33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SUNJE</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SOFT</w:t>
            </w:r>
            <w:r>
              <w:rPr>
                <w:rFonts w:ascii="宋体" w:hAnsi="宋体" w:cs="宋体" w:eastAsia="宋体" w:hint="default"/>
                <w:sz w:val="18"/>
                <w:szCs w:val="18"/>
              </w:rPr>
              <w:t>株式会社</w:t>
            </w:r>
          </w:p>
        </w:tc>
        <w:tc>
          <w:tcPr>
            <w:tcW w:w="51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spacing w:line="240" w:lineRule="auto" w:before="4"/>
        <w:rPr>
          <w:rFonts w:ascii="宋体" w:hAnsi="宋体" w:cs="宋体" w:eastAsia="宋体" w:hint="default"/>
          <w:sz w:val="21"/>
          <w:szCs w:val="21"/>
        </w:rPr>
      </w:pPr>
    </w:p>
    <w:p>
      <w:pPr>
        <w:pStyle w:val="BodyText"/>
        <w:spacing w:line="240" w:lineRule="auto" w:before="44"/>
        <w:ind w:left="532" w:right="0"/>
        <w:jc w:val="left"/>
      </w:pPr>
      <w:r>
        <w:rPr/>
        <w:t>合并范围变更主体的具体信息详见</w:t>
      </w:r>
      <w:r>
        <w:rPr>
          <w:rFonts w:ascii="Times New Roman" w:hAnsi="Times New Roman" w:cs="Times New Roman" w:eastAsia="Times New Roman" w:hint="default"/>
        </w:rPr>
        <w:t>“</w:t>
      </w:r>
      <w:r>
        <w:rPr/>
        <w:t>附注八、合并范围的变更</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四、财务报表的编制基础" w:id="166"/>
      <w:bookmarkEnd w:id="166"/>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编制基础" w:id="167"/>
      <w:bookmarkEnd w:id="167"/>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9" w:firstLine="420"/>
        <w:jc w:val="both"/>
      </w:pPr>
      <w:r>
        <w:rPr/>
        <w:t>本公司根据实际发生的交易和事项，按照财政部颁布的《企业会计准则</w:t>
      </w:r>
      <w:r>
        <w:rPr>
          <w:rFonts w:ascii="Times New Roman" w:hAnsi="Times New Roman" w:cs="Times New Roman" w:eastAsia="Times New Roman" w:hint="default"/>
        </w:rPr>
        <w:t>——</w:t>
      </w:r>
      <w:r>
        <w:rPr/>
        <w:t>基本准则》和具体企业会计准则、企业会 </w:t>
      </w:r>
      <w:r>
        <w:rPr>
          <w:spacing w:val="-2"/>
        </w:rPr>
        <w:t>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）进行确认和计量，在此基础上，结合中国</w:t>
      </w:r>
      <w:r>
        <w:rPr>
          <w:spacing w:val="-39"/>
        </w:rPr>
        <w:t> </w:t>
      </w:r>
      <w:r>
        <w:rPr>
          <w:spacing w:val="-39"/>
        </w:rPr>
      </w:r>
      <w:r>
        <w:rPr>
          <w:spacing w:val="-2"/>
        </w:rPr>
        <w:t>证券监督管理委员会《公开发行证券的公司信息披露编报规则第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财务报告的一般规定》（</w:t>
      </w:r>
      <w:r>
        <w:rPr>
          <w:rFonts w:ascii="Times New Roman" w:hAnsi="Times New Roman" w:cs="Times New Roman" w:eastAsia="Times New Roman" w:hint="default"/>
          <w:spacing w:val="-2"/>
        </w:rPr>
        <w:t>2014</w:t>
      </w:r>
      <w:r>
        <w:rPr>
          <w:spacing w:val="-2"/>
        </w:rPr>
        <w:t>年修订）的规定，编</w:t>
      </w:r>
      <w:r>
        <w:rPr>
          <w:spacing w:val="-63"/>
        </w:rPr>
        <w:t> </w:t>
      </w:r>
      <w:r>
        <w:rPr>
          <w:spacing w:val="-63"/>
        </w:rPr>
      </w:r>
      <w:r>
        <w:rPr/>
        <w:t>制财务报表。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49"/>
        <w:ind w:right="0"/>
        <w:jc w:val="left"/>
        <w:rPr>
          <w:b w:val="0"/>
          <w:bCs w:val="0"/>
        </w:rPr>
      </w:pPr>
      <w:bookmarkStart w:name="2、持续经营" w:id="168"/>
      <w:bookmarkEnd w:id="168"/>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71" w:firstLine="420"/>
        <w:jc w:val="both"/>
      </w:pPr>
      <w:r>
        <w:rPr/>
        <w:t>本公司对报告期末起</w:t>
      </w:r>
      <w:r>
        <w:rPr>
          <w:rFonts w:ascii="Times New Roman" w:hAnsi="Times New Roman" w:cs="Times New Roman" w:eastAsia="Times New Roman" w:hint="default"/>
        </w:rPr>
        <w:t>12</w:t>
      </w:r>
      <w:r>
        <w:rPr/>
        <w:t>个月的持续经营能力进行了评价，未发现对持续经营能力产生重大怀疑的事项或情况。因此， 本财务报表系在持续经营假设的基础上编制。</w:t>
      </w:r>
    </w:p>
    <w:p>
      <w:pPr>
        <w:spacing w:after="0" w:line="300" w:lineRule="auto"/>
        <w:jc w:val="both"/>
        <w:sectPr>
          <w:pgSz w:w="11910" w:h="16840"/>
          <w:pgMar w:header="746" w:footer="978" w:top="1060" w:bottom="1160" w:left="1020" w:right="0"/>
        </w:sectPr>
      </w:pPr>
    </w:p>
    <w:p>
      <w:pPr>
        <w:spacing w:line="240" w:lineRule="auto" w:before="8"/>
        <w:rPr>
          <w:rFonts w:ascii="宋体" w:hAnsi="宋体" w:cs="宋体" w:eastAsia="宋体" w:hint="default"/>
          <w:sz w:val="23"/>
          <w:szCs w:val="23"/>
        </w:rPr>
      </w:pPr>
    </w:p>
    <w:p>
      <w:pPr>
        <w:pStyle w:val="Heading4"/>
        <w:spacing w:line="240" w:lineRule="auto" w:before="26"/>
        <w:ind w:right="0"/>
        <w:jc w:val="left"/>
        <w:rPr>
          <w:b w:val="0"/>
          <w:bCs w:val="0"/>
        </w:rPr>
      </w:pPr>
      <w:bookmarkStart w:name="五、重要会计政策及会计估计" w:id="169"/>
      <w:bookmarkEnd w:id="169"/>
      <w:r>
        <w:rPr>
          <w:b w:val="0"/>
          <w:bCs w:val="0"/>
        </w:rPr>
      </w: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360" w:lineRule="auto" w:before="25"/>
        <w:ind w:right="8234"/>
        <w:jc w:val="left"/>
      </w:pPr>
      <w:r>
        <w:rPr/>
        <w:t>软件与信息技术服务业 具体会计政策和会计估计提示：</w:t>
      </w:r>
    </w:p>
    <w:p>
      <w:pPr>
        <w:pStyle w:val="BodyText"/>
        <w:spacing w:line="240" w:lineRule="auto" w:before="27"/>
        <w:ind w:left="532" w:right="0"/>
        <w:jc w:val="left"/>
      </w:pPr>
      <w:r>
        <w:rPr/>
        <w:t>本公司根据生产经营特点确定具体会计政策和会计估计，主要体现在收入的确认（附注五</w:t>
      </w:r>
      <w:r>
        <w:rPr>
          <w:spacing w:val="-89"/>
        </w:rPr>
        <w:t>、</w:t>
      </w:r>
      <w:r>
        <w:rPr/>
        <w:t>（二十八</w:t>
      </w:r>
      <w:r>
        <w:rPr>
          <w:spacing w:val="-92"/>
        </w:rPr>
        <w:t>）</w:t>
      </w:r>
      <w:r>
        <w:rPr>
          <w:spacing w:val="-89"/>
        </w:rPr>
        <w:t>）</w:t>
      </w:r>
      <w:r>
        <w:rPr/>
        <w:t>。</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1、遵循企业会计准则的声明" w:id="170"/>
      <w:bookmarkEnd w:id="170"/>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54" w:firstLine="420"/>
        <w:jc w:val="left"/>
      </w:pPr>
      <w:r>
        <w:rPr/>
        <w:t>本公司所编制的财务报表符合企业会计准则的要求，真实、完整地反映了报告期公司的财务状况、经营成果、现金流 量等有关信息。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6"/>
        <w:ind w:right="0"/>
        <w:jc w:val="left"/>
        <w:rPr>
          <w:b w:val="0"/>
          <w:bCs w:val="0"/>
        </w:rPr>
      </w:pPr>
      <w:bookmarkStart w:name="2、会计期间" w:id="171"/>
      <w:bookmarkEnd w:id="171"/>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32"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9"/>
          <w:szCs w:val="19"/>
        </w:rPr>
      </w:pPr>
    </w:p>
    <w:p>
      <w:pPr>
        <w:pStyle w:val="Heading5"/>
        <w:spacing w:line="240" w:lineRule="auto"/>
        <w:ind w:right="0"/>
        <w:jc w:val="left"/>
        <w:rPr>
          <w:b w:val="0"/>
          <w:bCs w:val="0"/>
        </w:rPr>
      </w:pPr>
      <w:bookmarkStart w:name="3、营业周期" w:id="172"/>
      <w:bookmarkEnd w:id="172"/>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2" w:right="0"/>
        <w:jc w:val="left"/>
      </w:pPr>
      <w:r>
        <w:rPr/>
        <w:t>本公司以</w:t>
      </w:r>
      <w:r>
        <w:rPr>
          <w:rFonts w:ascii="Times New Roman" w:hAnsi="Times New Roman" w:cs="Times New Roman" w:eastAsia="Times New Roman" w:hint="default"/>
        </w:rPr>
        <w:t>12</w:t>
      </w:r>
      <w:r>
        <w:rPr/>
        <w:t>个月作为一个营业周期</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bookmarkStart w:name="4、记账本位币" w:id="173"/>
      <w:bookmarkEnd w:id="173"/>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32" w:right="2594"/>
        <w:jc w:val="left"/>
      </w:pPr>
      <w:r>
        <w:rPr/>
        <w:t>采用人民币为记账本位币。 境外子公司以其经营所处的主要经济环境中的货币为记账本位币，编制财务报表时折算为人民币。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pStyle w:val="Heading5"/>
        <w:spacing w:line="240" w:lineRule="auto"/>
        <w:ind w:right="0"/>
        <w:jc w:val="left"/>
        <w:rPr>
          <w:b w:val="0"/>
          <w:bCs w:val="0"/>
        </w:rPr>
      </w:pPr>
      <w:bookmarkStart w:name="5、同一控制下和非同一控制下企业合并的会计处理方法" w:id="174"/>
      <w:bookmarkEnd w:id="174"/>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Heading5"/>
        <w:spacing w:line="256" w:lineRule="auto"/>
        <w:ind w:right="1127" w:firstLine="105"/>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35"/>
        </w:rPr>
        <w:t> </w:t>
      </w:r>
      <w:r>
        <w:rPr/>
        <w:t>分步实现企业合并过程中的各项交易的条款、条件以及经济影响符合以下一种或多种情况，将多次交</w:t>
      </w:r>
      <w:r>
        <w:rPr>
          <w:w w:val="99"/>
        </w:rPr>
        <w:t> </w:t>
      </w:r>
      <w:r>
        <w:rPr/>
        <w:t>易事项作为一揽子交易进行会计处理</w:t>
      </w:r>
      <w:r>
        <w:rPr>
          <w:b w:val="0"/>
          <w:bCs w:val="0"/>
        </w:rPr>
      </w:r>
    </w:p>
    <w:p>
      <w:pPr>
        <w:pStyle w:val="BodyText"/>
        <w:tabs>
          <w:tab w:pos="1372" w:val="left" w:leader="none"/>
        </w:tabs>
        <w:spacing w:line="240" w:lineRule="auto" w:before="48"/>
        <w:ind w:left="532" w:right="0"/>
        <w:jc w:val="left"/>
      </w:pPr>
      <w:r>
        <w:rPr/>
        <w:t>（</w:t>
      </w:r>
      <w:r>
        <w:rPr>
          <w:rFonts w:ascii="Times New Roman" w:hAnsi="Times New Roman" w:cs="Times New Roman" w:eastAsia="Times New Roman" w:hint="default"/>
        </w:rPr>
        <w:t>1</w:t>
      </w:r>
      <w:r>
        <w:rPr/>
        <w:t>）</w:t>
        <w:tab/>
        <w:t>这些交易是同时或者在考虑了彼此影响的情况下订立的；</w:t>
      </w:r>
    </w:p>
    <w:p>
      <w:pPr>
        <w:pStyle w:val="BodyText"/>
        <w:tabs>
          <w:tab w:pos="1372" w:val="left" w:leader="none"/>
        </w:tabs>
        <w:spacing w:line="240" w:lineRule="auto" w:before="63"/>
        <w:ind w:left="532" w:right="0"/>
        <w:jc w:val="left"/>
      </w:pPr>
      <w:r>
        <w:rPr/>
        <w:t>（</w:t>
      </w:r>
      <w:r>
        <w:rPr>
          <w:rFonts w:ascii="Times New Roman" w:hAnsi="Times New Roman" w:cs="Times New Roman" w:eastAsia="Times New Roman" w:hint="default"/>
        </w:rPr>
        <w:t>2</w:t>
      </w:r>
      <w:r>
        <w:rPr/>
        <w:t>）</w:t>
        <w:tab/>
        <w:t>这些交易整体才能达成一项完整的商业结果；</w:t>
      </w:r>
    </w:p>
    <w:p>
      <w:pPr>
        <w:pStyle w:val="BodyText"/>
        <w:tabs>
          <w:tab w:pos="1372" w:val="left" w:leader="none"/>
        </w:tabs>
        <w:spacing w:line="240" w:lineRule="auto" w:before="63"/>
        <w:ind w:left="532" w:right="0"/>
        <w:jc w:val="left"/>
      </w:pPr>
      <w:r>
        <w:rPr/>
        <w:t>（</w:t>
      </w:r>
      <w:r>
        <w:rPr>
          <w:rFonts w:ascii="Times New Roman" w:hAnsi="Times New Roman" w:cs="Times New Roman" w:eastAsia="Times New Roman" w:hint="default"/>
        </w:rPr>
        <w:t>3</w:t>
      </w:r>
      <w:r>
        <w:rPr/>
        <w:t>）</w:t>
        <w:tab/>
        <w:t>一项交易的发生取决于其他至少一项交易的发生；</w:t>
      </w:r>
    </w:p>
    <w:p>
      <w:pPr>
        <w:pStyle w:val="BodyText"/>
        <w:tabs>
          <w:tab w:pos="1372" w:val="left" w:leader="none"/>
        </w:tabs>
        <w:spacing w:line="240" w:lineRule="auto" w:before="39"/>
        <w:ind w:left="532" w:right="0"/>
        <w:jc w:val="left"/>
        <w:rPr>
          <w:sz w:val="21"/>
          <w:szCs w:val="21"/>
        </w:rPr>
      </w:pPr>
      <w:r>
        <w:rPr/>
        <w:t>（</w:t>
      </w:r>
      <w:r>
        <w:rPr>
          <w:rFonts w:ascii="Times New Roman" w:hAnsi="Times New Roman" w:cs="Times New Roman" w:eastAsia="Times New Roman" w:hint="default"/>
        </w:rPr>
        <w:t>4</w:t>
      </w:r>
      <w:r>
        <w:rPr/>
        <w:t>）</w:t>
        <w:tab/>
        <w:t>一项交易单独看是不经济的，但是和其他交易一并考虑时是经济的</w:t>
      </w:r>
      <w:r>
        <w:rPr>
          <w:sz w:val="21"/>
          <w:szCs w:val="21"/>
        </w:rPr>
        <w:t>。</w:t>
      </w:r>
    </w:p>
    <w:p>
      <w:pPr>
        <w:pStyle w:val="Heading5"/>
        <w:spacing w:line="240" w:lineRule="auto" w:before="25"/>
        <w:ind w:left="218"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7"/>
        </w:rPr>
        <w:t> </w:t>
      </w:r>
      <w:r>
        <w:rPr/>
        <w:t>同一控制下的企业合并</w:t>
      </w:r>
      <w:r>
        <w:rPr>
          <w:b w:val="0"/>
          <w:bCs w:val="0"/>
        </w:rPr>
      </w:r>
    </w:p>
    <w:p>
      <w:pPr>
        <w:pStyle w:val="BodyText"/>
        <w:spacing w:line="316" w:lineRule="auto" w:before="46"/>
        <w:ind w:right="1130" w:firstLine="420"/>
        <w:jc w:val="both"/>
      </w:pPr>
      <w:r>
        <w:rPr/>
        <w:t>本公司在企业合并中取得的资产和负债，按照合并日在被合并方资产、负债（包括最终控制方收购被合并方而形成的 </w:t>
      </w:r>
      <w:r>
        <w:rPr>
          <w:spacing w:val="-2"/>
        </w:rPr>
        <w:t>商誉）在最终控制方合并财务报表中的账面价值计量。在合并中取得的净资产账面价值与支付的合并对价账面价值（或发行</w:t>
      </w:r>
      <w:r>
        <w:rPr>
          <w:spacing w:val="-63"/>
        </w:rPr>
        <w:t> </w:t>
      </w:r>
      <w:r>
        <w:rPr>
          <w:spacing w:val="-63"/>
        </w:rPr>
      </w:r>
      <w:r>
        <w:rPr/>
        <w:t>股份面值总额）的差额，调整资本公积中的股本溢价，资本公积中的股本溢价不足冲减的，调整留存收益。</w:t>
      </w:r>
    </w:p>
    <w:p>
      <w:pPr>
        <w:pStyle w:val="BodyText"/>
        <w:spacing w:line="240" w:lineRule="auto" w:before="19"/>
        <w:ind w:left="532" w:right="0"/>
        <w:jc w:val="left"/>
      </w:pPr>
      <w:r>
        <w:rPr/>
        <w:t>如果存在或有对价并需要确认预计负债或资产，该预计负债或资产金额与后续或有对价结算金额的差额，调整资本公</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16" w:lineRule="auto" w:before="44"/>
        <w:ind w:left="532" w:right="0" w:hanging="420"/>
        <w:jc w:val="left"/>
      </w:pPr>
      <w:r>
        <w:rPr>
          <w:spacing w:val="-4"/>
        </w:rPr>
        <w:t>积（资本溢价或股本溢价），资本公积不足的，调整留存收益。</w:t>
      </w:r>
      <w:r>
        <w:rPr>
          <w:spacing w:val="-67"/>
        </w:rPr>
        <w:t> </w:t>
      </w:r>
      <w:r>
        <w:rPr>
          <w:spacing w:val="-67"/>
        </w:rPr>
      </w:r>
      <w:r>
        <w:rPr/>
        <w:t>对于通过多次交易最终实现企业合并的，属于一揽子交易的，将各项交易作为一项取得控制权的交易进行会计处理；</w:t>
      </w:r>
    </w:p>
    <w:p>
      <w:pPr>
        <w:pStyle w:val="BodyText"/>
        <w:spacing w:line="316" w:lineRule="auto" w:before="19"/>
        <w:ind w:right="1130"/>
        <w:jc w:val="both"/>
      </w:pPr>
      <w:r>
        <w:rPr>
          <w:spacing w:val="-2"/>
        </w:rPr>
        <w:t>不属于一揽子交易的，在取得控制权日，长期股权投资初始投资成本，与达到合并前的长期股权投资账面价值加上合并日进</w:t>
      </w:r>
      <w:r>
        <w:rPr>
          <w:spacing w:val="-63"/>
        </w:rPr>
        <w:t> </w:t>
      </w:r>
      <w:r>
        <w:rPr>
          <w:spacing w:val="-63"/>
        </w:rPr>
      </w:r>
      <w:r>
        <w:rPr>
          <w:spacing w:val="-2"/>
        </w:rPr>
        <w:t>一步取得股份新支付对价的账面价值之和的差额，调整资本公积；资本公积不足冲减的，调整留存收益。对于合并日之前持</w:t>
      </w:r>
      <w:r>
        <w:rPr>
          <w:spacing w:val="-64"/>
        </w:rPr>
        <w:t> </w:t>
      </w:r>
      <w:r>
        <w:rPr>
          <w:spacing w:val="-64"/>
        </w:rPr>
      </w:r>
      <w:r>
        <w:rPr>
          <w:spacing w:val="-2"/>
        </w:rPr>
        <w:t>有的股权投资，因采用权益法核算或金融工具确认和计量准则核算而确认的其他综合收益，暂不进行会计处理，直至处置该</w:t>
      </w:r>
      <w:r>
        <w:rPr>
          <w:spacing w:val="-63"/>
        </w:rPr>
        <w:t> </w:t>
      </w:r>
      <w:r>
        <w:rPr>
          <w:spacing w:val="-63"/>
        </w:rPr>
      </w:r>
      <w:r>
        <w:rPr>
          <w:spacing w:val="-2"/>
        </w:rPr>
        <w:t>项投资时采用与被投资单位直接处置相关资产或负债相同的基础进行会计处理；因采用权益法核算而确认的被投资单位净资</w:t>
      </w:r>
      <w:r>
        <w:rPr>
          <w:spacing w:val="-64"/>
        </w:rPr>
        <w:t> </w:t>
      </w:r>
      <w:r>
        <w:rPr>
          <w:spacing w:val="-64"/>
        </w:rPr>
      </w:r>
      <w:r>
        <w:rPr>
          <w:spacing w:val="-2"/>
        </w:rPr>
        <w:t>产中除净损益、其他综合收益和利润分配以外的所有者权益其他变动，暂不进行会计处理，直至处置该项投资时转入当期损</w:t>
      </w:r>
      <w:r>
        <w:rPr>
          <w:spacing w:val="-63"/>
        </w:rPr>
        <w:t> </w:t>
      </w:r>
      <w:r>
        <w:rPr>
          <w:spacing w:val="-63"/>
        </w:rPr>
      </w:r>
      <w:r>
        <w:rPr/>
        <w:t>益。</w:t>
      </w:r>
    </w:p>
    <w:p>
      <w:pPr>
        <w:pStyle w:val="Heading5"/>
        <w:spacing w:line="284" w:lineRule="exact"/>
        <w:ind w:left="218" w:right="0"/>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44"/>
        </w:rPr>
        <w:t> </w:t>
      </w:r>
      <w:r>
        <w:rPr/>
        <w:t>非同一控制下的企业合并</w:t>
      </w:r>
      <w:r>
        <w:rPr>
          <w:b w:val="0"/>
          <w:bCs w:val="0"/>
        </w:rPr>
      </w:r>
    </w:p>
    <w:p>
      <w:pPr>
        <w:pStyle w:val="BodyText"/>
        <w:spacing w:line="316" w:lineRule="auto" w:before="46"/>
        <w:ind w:right="0" w:firstLine="420"/>
        <w:jc w:val="left"/>
      </w:pPr>
      <w:r>
        <w:rPr/>
        <w:t>购买日是指本公司实际取得对被购买方控制权的日期，即被购买方的净资产或生产经营决策的控制权转移给本公司的 日期。同时满足下列条件时，本公司一般认为实现了控制权的转移：</w:t>
      </w:r>
    </w:p>
    <w:p>
      <w:pPr>
        <w:pStyle w:val="BodyText"/>
        <w:spacing w:line="240" w:lineRule="auto" w:before="19"/>
        <w:ind w:left="532" w:right="0"/>
        <w:jc w:val="left"/>
      </w:pPr>
      <w:r>
        <w:rPr/>
        <w:t>①企业合并合同或协议已获本公司内部权力机构通过。</w:t>
      </w:r>
    </w:p>
    <w:p>
      <w:pPr>
        <w:pStyle w:val="BodyText"/>
        <w:spacing w:line="240" w:lineRule="auto" w:before="76"/>
        <w:ind w:left="532" w:right="0"/>
        <w:jc w:val="left"/>
      </w:pPr>
      <w:r>
        <w:rPr/>
        <w:t>②企业合并事项需要经过国家有关主管部门审批的，已获得批准。</w:t>
      </w:r>
    </w:p>
    <w:p>
      <w:pPr>
        <w:pStyle w:val="BodyText"/>
        <w:spacing w:line="240" w:lineRule="auto" w:before="76"/>
        <w:ind w:left="532" w:right="0"/>
        <w:jc w:val="left"/>
      </w:pPr>
      <w:r>
        <w:rPr/>
        <w:t>③已办理了必要的财产权转移手续。</w:t>
      </w:r>
    </w:p>
    <w:p>
      <w:pPr>
        <w:pStyle w:val="BodyText"/>
        <w:spacing w:line="240" w:lineRule="auto" w:before="76"/>
        <w:ind w:left="532" w:right="0"/>
        <w:jc w:val="left"/>
      </w:pPr>
      <w:r>
        <w:rPr/>
        <w:t>④本公司已支付了合并价款的大部分，并且有能力、有计划支付剩余款项。</w:t>
      </w:r>
    </w:p>
    <w:p>
      <w:pPr>
        <w:pStyle w:val="BodyText"/>
        <w:spacing w:line="316" w:lineRule="auto" w:before="76"/>
        <w:ind w:left="532" w:right="0"/>
        <w:jc w:val="left"/>
      </w:pPr>
      <w:r>
        <w:rPr/>
        <w:t>⑤本公司实际上已经控制了被购买方的财务和经营政策，并享有相应的利益、承担相应的风险。 本公司在购买日对作为企业合并对价付出的资产、发生或承担的负债按照公允价值计量，公允价值与其账面价值的差</w:t>
      </w:r>
    </w:p>
    <w:p>
      <w:pPr>
        <w:pStyle w:val="BodyText"/>
        <w:spacing w:line="316" w:lineRule="auto" w:before="19"/>
        <w:ind w:left="532" w:right="0" w:hanging="420"/>
        <w:jc w:val="left"/>
      </w:pPr>
      <w:r>
        <w:rPr/>
        <w:t>额，计入当期损益。 本公司对合并成本大于合并中取得的被购买方可辨认净资产公允价值份额的差额，确认为商誉；合并成本小于合并中</w:t>
      </w:r>
    </w:p>
    <w:p>
      <w:pPr>
        <w:pStyle w:val="BodyText"/>
        <w:spacing w:line="316" w:lineRule="auto" w:before="19"/>
        <w:ind w:left="532" w:right="0" w:hanging="420"/>
        <w:jc w:val="left"/>
      </w:pPr>
      <w:r>
        <w:rPr/>
        <w:t>取得的被购买方可辨认净资产公允价值份额的差额，经复核后，计入当期损益。 通过多次交换交易分步实现的非同一控制下企业合并，属于一揽子交易的，将各项交易作为一项取得控制权的交易进</w:t>
      </w:r>
    </w:p>
    <w:p>
      <w:pPr>
        <w:pStyle w:val="BodyText"/>
        <w:spacing w:line="316" w:lineRule="auto" w:before="19"/>
        <w:ind w:right="1130"/>
        <w:jc w:val="both"/>
      </w:pPr>
      <w:r>
        <w:rPr>
          <w:spacing w:val="-2"/>
        </w:rPr>
        <w:t>行会计处理；不属于一揽子交易的，合并日之前持有的股权投资采用权益法核算的，以购买日之前所持被购买方的股权投资</w:t>
      </w:r>
      <w:r>
        <w:rPr>
          <w:spacing w:val="-63"/>
        </w:rPr>
        <w:t> </w:t>
      </w:r>
      <w:r>
        <w:rPr>
          <w:spacing w:val="-63"/>
        </w:rPr>
      </w:r>
      <w:r>
        <w:rPr>
          <w:spacing w:val="-2"/>
        </w:rPr>
        <w:t>的账面价值与购买日新增投资成本之和，作为该项投资的初始投资成本；购买日之前持有的股权投资因采用权益法核算而确</w:t>
      </w:r>
      <w:r>
        <w:rPr>
          <w:spacing w:val="-64"/>
        </w:rPr>
        <w:t> </w:t>
      </w:r>
      <w:r>
        <w:rPr>
          <w:spacing w:val="-64"/>
        </w:rPr>
      </w:r>
      <w:r>
        <w:rPr>
          <w:spacing w:val="-2"/>
        </w:rPr>
        <w:t>认的其他综合收益，在处置该项投资时采用与被投资单位直接处置相关资产或负债相同的基础进行会计处理。合并日之前持</w:t>
      </w:r>
      <w:r>
        <w:rPr>
          <w:spacing w:val="-64"/>
        </w:rPr>
        <w:t> </w:t>
      </w:r>
      <w:r>
        <w:rPr>
          <w:spacing w:val="-64"/>
        </w:rPr>
      </w:r>
      <w:r>
        <w:rPr>
          <w:spacing w:val="-2"/>
        </w:rPr>
        <w:t>有的股权投资采用金融工具确认和计量准则核算的，以该股权投资在合并日的公允价值加上新增投资成本之和，作为合并日</w:t>
      </w:r>
      <w:r>
        <w:rPr>
          <w:spacing w:val="-64"/>
        </w:rPr>
        <w:t> </w:t>
      </w:r>
      <w:r>
        <w:rPr>
          <w:spacing w:val="-64"/>
        </w:rPr>
      </w:r>
      <w:r>
        <w:rPr>
          <w:spacing w:val="-2"/>
        </w:rPr>
        <w:t>的初始投资成本。原持有股权的公允价值与账面价值之间的差额以及原计入其他综合收益的累计公允价值变动应全部转入合</w:t>
      </w:r>
      <w:r>
        <w:rPr>
          <w:spacing w:val="-64"/>
        </w:rPr>
        <w:t> </w:t>
      </w:r>
      <w:r>
        <w:rPr>
          <w:spacing w:val="-64"/>
        </w:rPr>
      </w:r>
      <w:r>
        <w:rPr/>
        <w:t>并日当期的投资收益。</w:t>
      </w:r>
    </w:p>
    <w:p>
      <w:pPr>
        <w:pStyle w:val="Heading5"/>
        <w:spacing w:line="284" w:lineRule="exact"/>
        <w:ind w:left="218" w:right="0"/>
        <w:jc w:val="left"/>
        <w:rPr>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47"/>
        </w:rPr>
        <w:t> </w:t>
      </w:r>
      <w:r>
        <w:rPr/>
        <w:t>为合并发生的相关费用</w:t>
      </w:r>
      <w:r>
        <w:rPr>
          <w:b w:val="0"/>
          <w:bCs w:val="0"/>
        </w:rPr>
      </w:r>
    </w:p>
    <w:p>
      <w:pPr>
        <w:pStyle w:val="BodyText"/>
        <w:spacing w:line="316" w:lineRule="auto" w:before="46"/>
        <w:ind w:right="0" w:firstLine="420"/>
        <w:jc w:val="left"/>
      </w:pPr>
      <w:r>
        <w:rPr/>
        <w:t>为企业合并发生的审计、法律服务、评估咨询等中介费用以及其他直接相关费用，于发生时计入当期损益；为企业合 并而发行权益性证券的交易费用，可直接归属于权益性交易的从权益中扣减。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4"/>
        <w:ind w:right="0"/>
        <w:jc w:val="both"/>
        <w:rPr>
          <w:b w:val="0"/>
          <w:bCs w:val="0"/>
        </w:rPr>
      </w:pPr>
      <w:bookmarkStart w:name="6、合并财务报表的编制方法" w:id="175"/>
      <w:bookmarkEnd w:id="175"/>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12"/>
        <w:rPr>
          <w:rFonts w:ascii="宋体" w:hAnsi="宋体" w:cs="宋体" w:eastAsia="宋体" w:hint="default"/>
          <w:b/>
          <w:bCs/>
          <w:sz w:val="21"/>
          <w:szCs w:val="21"/>
        </w:rPr>
      </w:pPr>
    </w:p>
    <w:p>
      <w:pPr>
        <w:pStyle w:val="Heading5"/>
        <w:spacing w:line="240" w:lineRule="auto" w:before="34"/>
        <w:ind w:left="564"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合并范围</w:t>
      </w:r>
      <w:r>
        <w:rPr>
          <w:b w:val="0"/>
          <w:bCs w:val="0"/>
        </w:rPr>
      </w:r>
    </w:p>
    <w:p>
      <w:pPr>
        <w:pStyle w:val="BodyText"/>
        <w:spacing w:line="240" w:lineRule="auto" w:before="46"/>
        <w:ind w:left="532" w:right="0"/>
        <w:jc w:val="left"/>
      </w:pPr>
      <w:r>
        <w:rPr/>
        <w:t>本公司合并财务报表的合并范围以控制为基础确定，所有子公司（包括本公司所控制的单独主体）均纳入合并财务报</w:t>
      </w:r>
    </w:p>
    <w:p>
      <w:pPr>
        <w:pStyle w:val="BodyText"/>
        <w:spacing w:line="240" w:lineRule="auto" w:before="76"/>
        <w:ind w:right="0"/>
        <w:jc w:val="left"/>
      </w:pPr>
      <w:r>
        <w:rPr/>
        <w:t>表。</w:t>
      </w:r>
    </w:p>
    <w:p>
      <w:pPr>
        <w:pStyle w:val="Heading5"/>
        <w:spacing w:line="240" w:lineRule="auto" w:before="51"/>
        <w:ind w:left="532"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合并程序</w:t>
      </w:r>
      <w:r>
        <w:rPr>
          <w:b w:val="0"/>
          <w:bCs w:val="0"/>
        </w:rPr>
      </w:r>
    </w:p>
    <w:p>
      <w:pPr>
        <w:pStyle w:val="BodyText"/>
        <w:spacing w:line="240" w:lineRule="auto" w:before="46"/>
        <w:ind w:left="532" w:right="0"/>
        <w:jc w:val="left"/>
      </w:pPr>
      <w:r>
        <w:rPr/>
        <w:t>本公司以自身和各子公司的财务报表为基础，根据其他有关资料，编制合并财务报表。本公司编制合并财务报表，将</w:t>
      </w:r>
    </w:p>
    <w:p>
      <w:pPr>
        <w:pStyle w:val="BodyText"/>
        <w:spacing w:line="316" w:lineRule="auto" w:before="76"/>
        <w:ind w:right="0"/>
        <w:jc w:val="left"/>
      </w:pPr>
      <w:r>
        <w:rPr>
          <w:spacing w:val="-2"/>
        </w:rPr>
        <w:t>整个企业集团视为一个会计主体，依据相关企业会计准则的确认、计量和列报要求，按照统一的会计政策，反映本企业集团</w:t>
      </w:r>
      <w:r>
        <w:rPr>
          <w:spacing w:val="-64"/>
        </w:rPr>
        <w:t> </w:t>
      </w:r>
      <w:r>
        <w:rPr>
          <w:spacing w:val="-64"/>
        </w:rPr>
      </w:r>
      <w:r>
        <w:rPr/>
        <w:t>整体财务状况、经营成果和现金流量。</w:t>
      </w:r>
    </w:p>
    <w:p>
      <w:pPr>
        <w:pStyle w:val="BodyText"/>
        <w:spacing w:line="316" w:lineRule="auto" w:before="19"/>
        <w:ind w:right="0" w:firstLine="420"/>
        <w:jc w:val="left"/>
      </w:pPr>
      <w:r>
        <w:rPr/>
        <w:t>所有纳入合并财务报表合并范围的子公司所采用的会计政策、会计期间与本公司一致，如子公司采用的会计政策、会 计期间与本公司不一致的，在编制合并财务报表时，按本公司的会计政策、会计期间进行必要的调整。</w:t>
      </w:r>
    </w:p>
    <w:p>
      <w:pPr>
        <w:pStyle w:val="BodyText"/>
        <w:spacing w:line="240" w:lineRule="auto" w:before="19"/>
        <w:ind w:left="532" w:right="0"/>
        <w:jc w:val="left"/>
      </w:pPr>
      <w:r>
        <w:rPr/>
        <w:t>合并财务报表时抵销本公司与各子公司、各子公司相互之间发生的内部交易对合并资产负债表、合并利润表、合并现</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金流量表、合并股东权益变动表的影响。如果站在企业集团合并财务报表角度与以本公司或子公司为会计主体对同一交易的</w:t>
      </w:r>
      <w:r>
        <w:rPr>
          <w:spacing w:val="-64"/>
        </w:rPr>
        <w:t> </w:t>
      </w:r>
      <w:r>
        <w:rPr>
          <w:spacing w:val="-64"/>
        </w:rPr>
      </w:r>
      <w:r>
        <w:rPr/>
        <w:t>认定不同时，从企业集团的角度对该交易予以调整。</w:t>
      </w:r>
    </w:p>
    <w:p>
      <w:pPr>
        <w:pStyle w:val="BodyText"/>
        <w:spacing w:line="316" w:lineRule="auto" w:before="19"/>
        <w:ind w:right="1132" w:firstLine="420"/>
        <w:jc w:val="both"/>
      </w:pPr>
      <w:r>
        <w:rPr/>
        <w:t>子公司所有者权益、当期净损益和当期综合收益中属于少数股东的份额分别在合并资产负债表中所有者权益项目下、 </w:t>
      </w:r>
      <w:r>
        <w:rPr>
          <w:spacing w:val="-2"/>
        </w:rPr>
        <w:t>合并利润表中净利润项目下和综合收益总额项目下单独列示。子公司少数股东分担的当期亏损超过了少数股东在该子公司期</w:t>
      </w:r>
      <w:r>
        <w:rPr>
          <w:spacing w:val="-64"/>
        </w:rPr>
        <w:t> </w:t>
      </w:r>
      <w:r>
        <w:rPr>
          <w:spacing w:val="-64"/>
        </w:rPr>
      </w:r>
      <w:r>
        <w:rPr/>
        <w:t>初所有者权益中所享有份额而形成的余额，冲减少数股东权益。</w:t>
      </w:r>
    </w:p>
    <w:p>
      <w:pPr>
        <w:pStyle w:val="BodyText"/>
        <w:spacing w:line="316" w:lineRule="auto" w:before="19"/>
        <w:ind w:right="1132" w:firstLine="420"/>
        <w:jc w:val="both"/>
      </w:pPr>
      <w:r>
        <w:rPr/>
        <w:t>对于同一控制下企业合并取得的子公司，以其资产、负债（包括最终控制方收购该子公司而形成的商誉）在最终控制 方财务报表中的账面价值为基础对其财务报表进行调整。</w:t>
      </w:r>
    </w:p>
    <w:p>
      <w:pPr>
        <w:pStyle w:val="BodyText"/>
        <w:spacing w:line="240" w:lineRule="auto" w:before="19"/>
        <w:ind w:left="532" w:right="0"/>
        <w:jc w:val="left"/>
      </w:pPr>
      <w:r>
        <w:rPr/>
        <w:t>对于非同一控制下企业合并取得的子公司，以购买日可辨认净资产公允价值为基础对其财务报表进行调整</w:t>
      </w:r>
    </w:p>
    <w:p>
      <w:pPr>
        <w:pStyle w:val="BodyText"/>
        <w:spacing w:line="300" w:lineRule="auto" w:before="76"/>
        <w:ind w:left="532" w:right="0" w:firstLine="31"/>
        <w:jc w:val="left"/>
      </w:pPr>
      <w:r>
        <w:rPr/>
        <w:t>（</w:t>
      </w:r>
      <w:r>
        <w:rPr>
          <w:rFonts w:ascii="Times New Roman" w:hAnsi="Times New Roman" w:cs="Times New Roman" w:eastAsia="Times New Roman" w:hint="default"/>
        </w:rPr>
        <w:t>1</w:t>
      </w:r>
      <w:r>
        <w:rPr/>
        <w:t>）增加子公司或业务 在报告期内，若因同一控制下企业合并增加子公司或业务的，则调整合并资产负债表的期初数；将子公司或业务合并</w:t>
      </w:r>
    </w:p>
    <w:p>
      <w:pPr>
        <w:pStyle w:val="BodyText"/>
        <w:spacing w:line="316" w:lineRule="auto" w:before="31"/>
        <w:ind w:right="0"/>
        <w:jc w:val="left"/>
      </w:pPr>
      <w:r>
        <w:rPr>
          <w:spacing w:val="-2"/>
        </w:rPr>
        <w:t>当期期初至报告期末的收入、费用、利润纳入合并利润表；将子公司或业务合并当期期初至报告期末的现金流量纳入合并现</w:t>
      </w:r>
      <w:r>
        <w:rPr>
          <w:spacing w:val="-65"/>
        </w:rPr>
        <w:t> </w:t>
      </w:r>
      <w:r>
        <w:rPr>
          <w:spacing w:val="-65"/>
        </w:rPr>
      </w:r>
      <w:r>
        <w:rPr/>
        <w:t>金流量表，同时对比较报表的相关项目进行调整，视同合并后的报告主体自最终控制方开始控制时点起一直存在。</w:t>
      </w:r>
    </w:p>
    <w:p>
      <w:pPr>
        <w:pStyle w:val="BodyText"/>
        <w:spacing w:line="316" w:lineRule="auto" w:before="19"/>
        <w:ind w:right="1132" w:firstLine="420"/>
        <w:jc w:val="both"/>
      </w:pPr>
      <w:r>
        <w:rPr/>
        <w:t>因追加投资等原因能够对同一控制下的被投资方实施控制的，视同参与合并的各方在最终控制方开始控制时即以目前 </w:t>
      </w:r>
      <w:r>
        <w:rPr>
          <w:spacing w:val="-2"/>
        </w:rPr>
        <w:t>的状态存在进行调整。在取得被合并方控制权之前持有的股权投资，在取得原股权之日与合并方和被合并方同处于同一控制</w:t>
      </w:r>
      <w:r>
        <w:rPr>
          <w:spacing w:val="-64"/>
        </w:rPr>
        <w:t> </w:t>
      </w:r>
      <w:r>
        <w:rPr>
          <w:spacing w:val="-64"/>
        </w:rPr>
      </w:r>
      <w:r>
        <w:rPr>
          <w:spacing w:val="-2"/>
        </w:rPr>
        <w:t>之日孰晚日起至合并日之间已确认有关损益、其他综合收益以及其他净资产变动，分别冲减比较报表期间的期初留存收益或</w:t>
      </w:r>
      <w:r>
        <w:rPr>
          <w:spacing w:val="-64"/>
        </w:rPr>
        <w:t> </w:t>
      </w:r>
      <w:r>
        <w:rPr>
          <w:spacing w:val="-64"/>
        </w:rPr>
      </w:r>
      <w:r>
        <w:rPr/>
        <w:t>当期损益。</w:t>
      </w:r>
    </w:p>
    <w:p>
      <w:pPr>
        <w:pStyle w:val="BodyText"/>
        <w:spacing w:line="316" w:lineRule="auto" w:before="19"/>
        <w:ind w:right="1132" w:firstLine="420"/>
        <w:jc w:val="both"/>
      </w:pPr>
      <w:r>
        <w:rPr/>
        <w:t>在报告期内，若因非同一控制下企业合并增加子公司或业务的，则不调整合并资产负债表期初数；将该子公司或业务 </w:t>
      </w:r>
      <w:r>
        <w:rPr>
          <w:spacing w:val="-2"/>
        </w:rPr>
        <w:t>自购买日至报告期末的收入、费用、利润纳入合并利润表；该子公司或业务自购买日至报告期末的现金流量纳入合并现金流</w:t>
      </w:r>
      <w:r>
        <w:rPr>
          <w:spacing w:val="-65"/>
        </w:rPr>
        <w:t> </w:t>
      </w:r>
      <w:r>
        <w:rPr>
          <w:spacing w:val="-65"/>
        </w:rPr>
      </w:r>
      <w:r>
        <w:rPr/>
        <w:t>量表。</w:t>
      </w:r>
    </w:p>
    <w:p>
      <w:pPr>
        <w:pStyle w:val="BodyText"/>
        <w:spacing w:line="316" w:lineRule="auto" w:before="19"/>
        <w:ind w:right="1132" w:firstLine="420"/>
        <w:jc w:val="both"/>
      </w:pPr>
      <w:r>
        <w:rPr/>
        <w:t>因追加投资等原因能够对非同一控制下的被投资方实施控制的，对于购买日之前持有的被购买方的股权，本公司按照 </w:t>
      </w:r>
      <w:r>
        <w:rPr>
          <w:spacing w:val="-2"/>
        </w:rPr>
        <w:t>该股权在购买日的公允价值进行重新计量，公允价值与其账面价值的差额计入当期投资收益。购买日之前持有的被购买方的</w:t>
      </w:r>
      <w:r>
        <w:rPr>
          <w:spacing w:val="-64"/>
        </w:rPr>
        <w:t> </w:t>
      </w:r>
      <w:r>
        <w:rPr>
          <w:spacing w:val="-64"/>
        </w:rPr>
      </w:r>
      <w:r>
        <w:rPr>
          <w:spacing w:val="-2"/>
        </w:rPr>
        <w:t>股权涉及权益法核算下的其他综合收益以及除净损益、其他综合收益和利润分配之外的其他所有者权益变动的，与其相关的</w:t>
      </w:r>
      <w:r>
        <w:rPr>
          <w:spacing w:val="-64"/>
        </w:rPr>
        <w:t> </w:t>
      </w:r>
      <w:r>
        <w:rPr>
          <w:spacing w:val="-64"/>
        </w:rPr>
      </w:r>
      <w:r>
        <w:rPr>
          <w:spacing w:val="-2"/>
        </w:rPr>
        <w:t>其他综合收益、其他所有者权益变动转为购买日所属当期投资收益，由于被投资方重新计量设定受益计划净负债或净资产变</w:t>
      </w:r>
      <w:r>
        <w:rPr>
          <w:spacing w:val="-64"/>
        </w:rPr>
        <w:t> </w:t>
      </w:r>
      <w:r>
        <w:rPr>
          <w:spacing w:val="-64"/>
        </w:rPr>
      </w:r>
      <w:r>
        <w:rPr/>
        <w:t>动而产生的其他综合收益除外。</w:t>
      </w:r>
    </w:p>
    <w:p>
      <w:pPr>
        <w:pStyle w:val="BodyText"/>
        <w:spacing w:line="240" w:lineRule="auto" w:before="19"/>
        <w:ind w:left="458" w:right="0"/>
        <w:jc w:val="left"/>
      </w:pPr>
      <w:r>
        <w:rPr/>
        <w:t>（</w:t>
      </w:r>
      <w:r>
        <w:rPr>
          <w:rFonts w:ascii="Times New Roman" w:hAnsi="Times New Roman" w:cs="Times New Roman" w:eastAsia="Times New Roman" w:hint="default"/>
        </w:rPr>
        <w:t>2</w:t>
      </w:r>
      <w:r>
        <w:rPr/>
        <w:t>）处置子公司或业务</w:t>
      </w:r>
    </w:p>
    <w:p>
      <w:pPr>
        <w:pStyle w:val="BodyText"/>
        <w:spacing w:line="300" w:lineRule="auto" w:before="63"/>
        <w:ind w:left="532" w:right="0"/>
        <w:jc w:val="left"/>
      </w:pPr>
      <w:r>
        <w:rPr>
          <w:rFonts w:ascii="Times New Roman" w:hAnsi="Times New Roman" w:cs="Times New Roman" w:eastAsia="Times New Roman" w:hint="default"/>
        </w:rPr>
        <w:t>1</w:t>
      </w:r>
      <w:r>
        <w:rPr/>
        <w:t>）一般处理方法 在报告期内，本公司处置子公司或业务，则该子公司或业务期初至处置日的收入、费用、利润纳入合并利润表；该子</w:t>
      </w:r>
    </w:p>
    <w:p>
      <w:pPr>
        <w:pStyle w:val="BodyText"/>
        <w:spacing w:line="316" w:lineRule="auto" w:before="31"/>
        <w:ind w:left="532" w:right="0" w:hanging="420"/>
        <w:jc w:val="left"/>
      </w:pPr>
      <w:r>
        <w:rPr/>
        <w:t>公司或业务期初至处置日的现金流量纳入合并现金流量表。 因处置部分股权投资或其他原因丧失了对被投资方控制权时，对于处置后的剩余股权投资，本公司按照其在丧失控制</w:t>
      </w:r>
    </w:p>
    <w:p>
      <w:pPr>
        <w:pStyle w:val="BodyText"/>
        <w:spacing w:line="316" w:lineRule="auto" w:before="19"/>
        <w:ind w:right="0"/>
        <w:jc w:val="left"/>
      </w:pPr>
      <w:r>
        <w:rPr>
          <w:spacing w:val="-2"/>
        </w:rPr>
        <w:t>权日的公允价值进行重新计量。处置股权取得的对价与剩余股权公允价值之和，减去按原持股比例计算应享有原有子公司自</w:t>
      </w:r>
      <w:r>
        <w:rPr>
          <w:spacing w:val="-64"/>
        </w:rPr>
        <w:t> </w:t>
      </w:r>
      <w:r>
        <w:rPr>
          <w:spacing w:val="-64"/>
        </w:rPr>
      </w:r>
      <w:r>
        <w:rPr>
          <w:spacing w:val="-2"/>
        </w:rPr>
        <w:t>购买日或合并日开始持续计算的净资产的份额与商誉之和的差额，计入丧失控制权当期的投资收益。与原有子公司股权投资</w:t>
      </w:r>
      <w:r>
        <w:rPr>
          <w:spacing w:val="-64"/>
        </w:rPr>
        <w:t> </w:t>
      </w:r>
      <w:r>
        <w:rPr>
          <w:spacing w:val="-64"/>
        </w:rPr>
      </w:r>
      <w:r>
        <w:rPr>
          <w:spacing w:val="-4"/>
        </w:rPr>
        <w:t>相关的其他综合收益或除净损益、其他综合收益及利润分配之外的其他所有者权益变动，在丧失控制权时转为当期投资收益，</w:t>
      </w:r>
      <w:r>
        <w:rPr>
          <w:spacing w:val="-41"/>
        </w:rPr>
        <w:t> </w:t>
      </w:r>
      <w:r>
        <w:rPr>
          <w:spacing w:val="-41"/>
        </w:rPr>
      </w:r>
      <w:r>
        <w:rPr/>
        <w:t>由于被投资方重新计量设定受益计划净负债或净资产变动而产生的其他综合收益除外。</w:t>
      </w:r>
    </w:p>
    <w:p>
      <w:pPr>
        <w:pStyle w:val="BodyText"/>
        <w:spacing w:line="300" w:lineRule="auto" w:before="19"/>
        <w:ind w:left="532" w:right="0"/>
        <w:jc w:val="left"/>
      </w:pPr>
      <w:r>
        <w:rPr>
          <w:rFonts w:ascii="Times New Roman" w:hAnsi="Times New Roman" w:cs="Times New Roman" w:eastAsia="Times New Roman" w:hint="default"/>
        </w:rPr>
        <w:t>2</w:t>
      </w:r>
      <w:r>
        <w:rPr/>
        <w:t>）分步处置子公司 通过多次交易分步处置对子公司股权投资直至丧失控制权的，处置对子公司股权投资的各项交易的条款、条件以及经</w:t>
      </w:r>
    </w:p>
    <w:p>
      <w:pPr>
        <w:pStyle w:val="BodyText"/>
        <w:spacing w:line="304" w:lineRule="auto" w:before="31"/>
        <w:ind w:left="532" w:right="3374" w:hanging="420"/>
        <w:jc w:val="left"/>
      </w:pPr>
      <w:r>
        <w:rPr/>
        <w:t>济影响符合以下一种或多种情况，通常表明应将多次交易事项作为一揽子交易进行会计处理： </w:t>
      </w:r>
      <w:r>
        <w:rPr>
          <w:rFonts w:ascii="Times New Roman" w:hAnsi="Times New Roman" w:cs="Times New Roman" w:eastAsia="Times New Roman" w:hint="default"/>
        </w:rPr>
        <w:t>A.</w:t>
      </w:r>
      <w:r>
        <w:rPr/>
        <w:t>这些交易是同时或者在考虑了彼此影响的情况下订立的； </w:t>
      </w:r>
      <w:r>
        <w:rPr>
          <w:rFonts w:ascii="Times New Roman" w:hAnsi="Times New Roman" w:cs="Times New Roman" w:eastAsia="Times New Roman" w:hint="default"/>
        </w:rPr>
        <w:t>B.</w:t>
      </w:r>
      <w:r>
        <w:rPr/>
        <w:t>这些交易整体才能达成一项完整的商业结果； </w:t>
      </w:r>
      <w:r>
        <w:rPr>
          <w:rFonts w:ascii="Times New Roman" w:hAnsi="Times New Roman" w:cs="Times New Roman" w:eastAsia="Times New Roman" w:hint="default"/>
        </w:rPr>
        <w:t>C.</w:t>
      </w:r>
      <w:r>
        <w:rPr/>
        <w:t>一项交易的发生取决于其他至少一项交易的发生； </w:t>
      </w:r>
      <w:r>
        <w:rPr>
          <w:rFonts w:ascii="Times New Roman" w:hAnsi="Times New Roman" w:cs="Times New Roman" w:eastAsia="Times New Roman" w:hint="default"/>
        </w:rPr>
        <w:t>D.</w:t>
      </w:r>
      <w:r>
        <w:rPr/>
        <w:t>一项交易单独看是不经济的，但是和其他交易一并考虑时是经济的。</w:t>
      </w:r>
    </w:p>
    <w:p>
      <w:pPr>
        <w:pStyle w:val="BodyText"/>
        <w:spacing w:line="316" w:lineRule="auto" w:before="9"/>
        <w:ind w:right="1034" w:firstLine="420"/>
        <w:jc w:val="left"/>
      </w:pPr>
      <w:r>
        <w:rPr/>
        <w:t>处置对子公司股权投资直至丧失控制权的各项交易属于一揽子交易的，本公司将各项交易作为一项处置子公司并丧失 控制权的交易进行会计处理；但是，在丧失控制权之前每一次处置价款与处置投资对应的享有该子公司净资产份额的差额， 在合并财务报表中确认为其他综合收益，在丧失控制权时一并转入丧失控制权当期的损益。</w:t>
      </w:r>
    </w:p>
    <w:p>
      <w:pPr>
        <w:pStyle w:val="BodyText"/>
        <w:spacing w:line="240" w:lineRule="auto" w:before="19"/>
        <w:ind w:left="532" w:right="0"/>
        <w:jc w:val="left"/>
      </w:pPr>
      <w:r>
        <w:rPr/>
        <w:t>处置对子公司股权投资直至丧失控制权的各项交易不属于一揽子交易的，在丧失控制权之前，按不丧失控制权的情况</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下部分处置对子公司的股权投资的相关政策进行会计处理；在丧失控制权时，按处置子公司一般处理方法进行会计处理。</w:t>
      </w:r>
    </w:p>
    <w:p>
      <w:pPr>
        <w:pStyle w:val="BodyText"/>
        <w:spacing w:line="300" w:lineRule="auto" w:before="76"/>
        <w:ind w:left="532" w:right="0" w:hanging="89"/>
        <w:jc w:val="left"/>
      </w:pPr>
      <w:r>
        <w:rPr/>
        <w:t>（</w:t>
      </w:r>
      <w:r>
        <w:rPr>
          <w:rFonts w:ascii="Times New Roman" w:hAnsi="Times New Roman" w:cs="Times New Roman" w:eastAsia="Times New Roman" w:hint="default"/>
        </w:rPr>
        <w:t>3</w:t>
      </w:r>
      <w:r>
        <w:rPr/>
        <w:t>）购买子公司少数股权 本公司因购买少数股权新取得的长期股权投资与按照新增持股比例计算应享有子公司自购买日（或合并日）开始持续</w:t>
      </w:r>
    </w:p>
    <w:p>
      <w:pPr>
        <w:pStyle w:val="BodyText"/>
        <w:spacing w:line="316" w:lineRule="auto" w:before="31"/>
        <w:ind w:right="1128"/>
        <w:jc w:val="left"/>
      </w:pPr>
      <w:r>
        <w:rPr>
          <w:spacing w:val="-2"/>
        </w:rPr>
        <w:t>计算的净资产份额之间的差额，调整合并资产负债表中的资本公积中的股本溢价，资本公积中的股本溢价不足冲减的，调整</w:t>
      </w:r>
      <w:r>
        <w:rPr>
          <w:spacing w:val="-63"/>
        </w:rPr>
        <w:t> </w:t>
      </w:r>
      <w:r>
        <w:rPr>
          <w:spacing w:val="-63"/>
        </w:rPr>
      </w:r>
      <w:r>
        <w:rPr/>
        <w:t>留存收益。</w:t>
      </w:r>
    </w:p>
    <w:p>
      <w:pPr>
        <w:pStyle w:val="BodyText"/>
        <w:spacing w:line="300" w:lineRule="auto" w:before="19"/>
        <w:ind w:left="532" w:right="0" w:hanging="60"/>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在不丧失控制权的情况下因部分处置对子公司的长期股权投资而取得的处置价款与处置长期股权投资相对应享有子公</w:t>
      </w:r>
    </w:p>
    <w:p>
      <w:pPr>
        <w:pStyle w:val="BodyText"/>
        <w:spacing w:line="316" w:lineRule="auto" w:before="31"/>
        <w:ind w:right="0"/>
        <w:jc w:val="left"/>
      </w:pP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4"/>
        <w:ind w:right="0"/>
        <w:jc w:val="left"/>
        <w:rPr>
          <w:b w:val="0"/>
          <w:bCs w:val="0"/>
        </w:rPr>
      </w:pPr>
      <w:bookmarkStart w:name="7、合营安排分类及共同经营会计处理方法" w:id="176"/>
      <w:bookmarkEnd w:id="176"/>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218"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46"/>
        </w:rPr>
        <w:t> </w:t>
      </w:r>
      <w:r>
        <w:rPr/>
        <w:t>合营安排的分类</w:t>
      </w:r>
      <w:r>
        <w:rPr>
          <w:b w:val="0"/>
          <w:bCs w:val="0"/>
        </w:rPr>
      </w:r>
    </w:p>
    <w:p>
      <w:pPr>
        <w:pStyle w:val="BodyText"/>
        <w:spacing w:line="316" w:lineRule="auto" w:before="46"/>
        <w:ind w:right="1132" w:firstLine="420"/>
        <w:jc w:val="both"/>
      </w:pPr>
      <w:r>
        <w:rPr/>
        <w:t>本公司根据合营安排的结构、法律形式以及合营安排中约定的条款、其他相关事实和情况等因素，将合营安排分为共 同经营和合营企业。</w:t>
      </w:r>
    </w:p>
    <w:p>
      <w:pPr>
        <w:pStyle w:val="BodyText"/>
        <w:spacing w:line="316" w:lineRule="auto" w:before="19"/>
        <w:ind w:right="1132" w:firstLine="420"/>
        <w:jc w:val="both"/>
      </w:pPr>
      <w:r>
        <w:rPr/>
        <w:t>未通过单独主体达成的合营安排，划分为共同经营；通过单独主体达成的合营安排，通常划分为合营企业；但有确凿 证据表明满足下列任一条件并且符合相关法律法规规定的合营安排划分为共同经营：</w:t>
      </w:r>
    </w:p>
    <w:p>
      <w:pPr>
        <w:pStyle w:val="BodyText"/>
        <w:spacing w:line="240" w:lineRule="auto" w:before="19"/>
        <w:ind w:left="384" w:right="0"/>
        <w:jc w:val="left"/>
      </w:pPr>
      <w:r>
        <w:rPr>
          <w:rFonts w:ascii="Times New Roman" w:hAnsi="Times New Roman" w:cs="Times New Roman" w:eastAsia="Times New Roman" w:hint="default"/>
        </w:rPr>
        <w:t>1)</w:t>
      </w:r>
      <w:r>
        <w:rPr/>
        <w:t>合营安排的法律形式表明，合营方对该安排中的相关资产和负债分别享有权利和承担义务。</w:t>
      </w:r>
    </w:p>
    <w:p>
      <w:pPr>
        <w:pStyle w:val="BodyText"/>
        <w:spacing w:line="240" w:lineRule="auto" w:before="63"/>
        <w:ind w:left="384" w:right="0"/>
        <w:jc w:val="left"/>
      </w:pPr>
      <w:r>
        <w:rPr>
          <w:rFonts w:ascii="Times New Roman" w:hAnsi="Times New Roman" w:cs="Times New Roman" w:eastAsia="Times New Roman" w:hint="default"/>
        </w:rPr>
        <w:t>2)</w:t>
      </w:r>
      <w:r>
        <w:rPr/>
        <w:t>合营安排的合同条款约定，合营方对该安排中的相关资产和负债分别享有权利和承担义务。</w:t>
      </w:r>
    </w:p>
    <w:p>
      <w:pPr>
        <w:pStyle w:val="BodyText"/>
        <w:spacing w:line="300" w:lineRule="auto" w:before="63"/>
        <w:ind w:right="0" w:firstLine="271"/>
        <w:jc w:val="left"/>
      </w:pPr>
      <w:r>
        <w:rPr>
          <w:rFonts w:ascii="Times New Roman" w:hAnsi="Times New Roman" w:cs="Times New Roman" w:eastAsia="Times New Roman" w:hint="default"/>
        </w:rPr>
        <w:t>3)</w:t>
      </w:r>
      <w:r>
        <w:rPr/>
        <w:t>其他相关事实和情况表明，合营方对该安排中的相关资产和负债分别享有权利和承担义务，如合营方享有与合营安排 相关的几乎所有产出，并且该安排中负债的清偿持续依赖于合营方的支持。</w:t>
      </w:r>
    </w:p>
    <w:p>
      <w:pPr>
        <w:pStyle w:val="BodyText"/>
        <w:spacing w:line="297" w:lineRule="auto" w:before="6"/>
        <w:ind w:left="472" w:right="1754" w:hanging="255"/>
        <w:jc w:val="left"/>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共同经营会计处理方法</w:t>
      </w:r>
      <w:r>
        <w:rPr>
          <w:rFonts w:ascii="宋体" w:hAnsi="宋体" w:cs="宋体" w:eastAsia="宋体" w:hint="default"/>
          <w:b/>
          <w:bCs/>
          <w:w w:val="99"/>
          <w:sz w:val="21"/>
          <w:szCs w:val="21"/>
        </w:rPr>
        <w:t> </w:t>
      </w:r>
      <w:r>
        <w:rPr/>
        <w:t>本公司确认共同经营中利益份额中与本公司相关的下列项目，并按照相关企业会计准则的规定进行会计处理： </w:t>
      </w: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15"/>
        <w:ind w:left="472" w:right="0"/>
        <w:jc w:val="left"/>
      </w:pPr>
      <w:r>
        <w:rPr>
          <w:rFonts w:ascii="Times New Roman" w:hAnsi="Times New Roman" w:cs="Times New Roman" w:eastAsia="Times New Roman" w:hint="default"/>
        </w:rPr>
        <w:t>2)</w:t>
      </w:r>
      <w:r>
        <w:rPr/>
        <w:t>确认单独所承担的负债，以及按其份额确认共同承担的负债；</w:t>
      </w:r>
    </w:p>
    <w:p>
      <w:pPr>
        <w:pStyle w:val="BodyText"/>
        <w:spacing w:line="240" w:lineRule="auto" w:before="63"/>
        <w:ind w:left="472" w:right="0"/>
        <w:jc w:val="left"/>
      </w:pPr>
      <w:r>
        <w:rPr>
          <w:rFonts w:ascii="Times New Roman" w:hAnsi="Times New Roman" w:cs="Times New Roman" w:eastAsia="Times New Roman" w:hint="default"/>
        </w:rPr>
        <w:t>3)</w:t>
      </w:r>
      <w:r>
        <w:rPr/>
        <w:t>确认出售其享有的共同经营产出份额所产生的收入；</w:t>
      </w:r>
    </w:p>
    <w:p>
      <w:pPr>
        <w:pStyle w:val="BodyText"/>
        <w:spacing w:line="240" w:lineRule="auto" w:before="63"/>
        <w:ind w:left="472" w:right="0"/>
        <w:jc w:val="left"/>
      </w:pPr>
      <w:r>
        <w:rPr>
          <w:rFonts w:ascii="Times New Roman" w:hAnsi="Times New Roman" w:cs="Times New Roman" w:eastAsia="Times New Roman" w:hint="default"/>
        </w:rPr>
        <w:t>4)</w:t>
      </w:r>
      <w:r>
        <w:rPr/>
        <w:t>按其份额确认共同经营因出售产出所产生的收入；</w:t>
      </w:r>
    </w:p>
    <w:p>
      <w:pPr>
        <w:pStyle w:val="BodyText"/>
        <w:spacing w:line="300" w:lineRule="auto" w:before="63"/>
        <w:ind w:left="532" w:right="1130" w:hanging="60"/>
        <w:jc w:val="left"/>
      </w:pPr>
      <w:r>
        <w:rPr>
          <w:rFonts w:ascii="Times New Roman" w:hAnsi="Times New Roman" w:cs="Times New Roman" w:eastAsia="Times New Roman" w:hint="default"/>
        </w:rPr>
        <w:t>5)</w:t>
      </w:r>
      <w:r>
        <w:rPr/>
        <w:t>确认单独所发生的费用，以及按其份额确认共同经营发生的费用。 </w:t>
      </w:r>
      <w:r>
        <w:rPr>
          <w:spacing w:val="-3"/>
        </w:rPr>
        <w:t>本公司向共同经营投出或出售资产等（该资产构成业务的除外），在该资产等由共同经营出售给第三方之前，仅确认因</w:t>
      </w:r>
    </w:p>
    <w:p>
      <w:pPr>
        <w:pStyle w:val="BodyText"/>
        <w:spacing w:line="300" w:lineRule="auto" w:before="31"/>
        <w:ind w:right="1124"/>
        <w:jc w:val="left"/>
      </w:pPr>
      <w:r>
        <w:rPr/>
        <w:t>该交易产生的损益中归属于共同经营其他参与方的部分。投出或出售的资产发生符合《企业会计准则第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w:t>
      </w:r>
      <w:r>
        <w:rPr>
          <w:spacing w:val="-84"/>
        </w:rPr>
        <w:t> </w:t>
      </w:r>
      <w:r>
        <w:rPr/>
        <w:t>等规定的资产减值损失的，本公司全额确认该损失。</w:t>
      </w:r>
    </w:p>
    <w:p>
      <w:pPr>
        <w:pStyle w:val="BodyText"/>
        <w:spacing w:line="309" w:lineRule="auto" w:before="31"/>
        <w:ind w:right="1130" w:firstLine="420"/>
        <w:jc w:val="both"/>
      </w:pPr>
      <w:r>
        <w:rPr>
          <w:spacing w:val="-3"/>
        </w:rPr>
        <w:t>本公司自共同经营购买资产等（该资产构成业务的除外），在将该资产等出售给第三方之前，仅确认因该交易产生的损</w:t>
      </w:r>
      <w:r>
        <w:rPr/>
        <w:t> 益中归属于共同经营其他参与方的部分。购入的资产发生符合《企业会计准则第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w:t>
      </w:r>
      <w:r>
        <w:rPr>
          <w:spacing w:val="-85"/>
        </w:rPr>
        <w:t> </w:t>
      </w:r>
      <w:r>
        <w:rPr>
          <w:spacing w:val="-85"/>
        </w:rPr>
      </w:r>
      <w:r>
        <w:rPr/>
        <w:t>的，本公司按承担的份额确认该部分损失。</w:t>
      </w:r>
    </w:p>
    <w:p>
      <w:pPr>
        <w:pStyle w:val="BodyText"/>
        <w:spacing w:line="316" w:lineRule="auto" w:before="24"/>
        <w:ind w:right="1132" w:firstLine="420"/>
        <w:jc w:val="both"/>
      </w:pPr>
      <w:r>
        <w:rPr/>
        <w:t>本公司对共同经营不享有共同控制，如果本公司享有该共同经营相关资产且承担该共同经营相关负债的，仍按上述原 则进行会计处理，否则，应当按照相关企业会计准则的规定进行会计处理。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6"/>
        <w:ind w:right="0"/>
        <w:jc w:val="left"/>
        <w:rPr>
          <w:b w:val="0"/>
          <w:bCs w:val="0"/>
        </w:rPr>
      </w:pPr>
      <w:bookmarkStart w:name="8、现金及现金等价物的确定标准" w:id="177"/>
      <w:bookmarkEnd w:id="177"/>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firstLine="420"/>
        <w:jc w:val="both"/>
      </w:pPr>
      <w:r>
        <w:rPr/>
        <w:t>在编制现金流量表时，将本公司库存现金以及可以随时用于支付的存款确认为现金。将同时具备期限短（一般从购买 </w:t>
      </w:r>
      <w:r>
        <w:rPr>
          <w:spacing w:val="-2"/>
        </w:rPr>
        <w:t>日起三个月内到期）、流动性强、易于转换为已知金额的现金、价值变动风险很小四个条件的投资，确定为现金等价物。</w:t>
      </w:r>
    </w:p>
    <w:p>
      <w:pPr>
        <w:spacing w:after="0" w:line="316" w:lineRule="auto"/>
        <w:jc w:val="both"/>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5"/>
        <w:spacing w:line="240" w:lineRule="auto" w:before="34"/>
        <w:ind w:right="0"/>
        <w:jc w:val="left"/>
        <w:rPr>
          <w:b w:val="0"/>
          <w:bCs w:val="0"/>
        </w:rPr>
      </w:pPr>
      <w:bookmarkStart w:name="9、外币业务和外币报表折算" w:id="178"/>
      <w:bookmarkEnd w:id="178"/>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564"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外币业务</w:t>
      </w:r>
      <w:r>
        <w:rPr>
          <w:b w:val="0"/>
          <w:bCs w:val="0"/>
        </w:rPr>
      </w:r>
    </w:p>
    <w:p>
      <w:pPr>
        <w:pStyle w:val="BodyText"/>
        <w:spacing w:line="316" w:lineRule="auto" w:before="46"/>
        <w:ind w:left="532" w:right="0"/>
        <w:jc w:val="left"/>
      </w:pPr>
      <w:r>
        <w:rPr/>
        <w:t>外币业务交易在初始确认时，采用交易发生日的即期汇率作为折算汇率折合成人民币记账。 资产负债表日，外币货币性项目按资产负债表日即期汇率折算，由此产生的汇兑差额，除属于与购建符合资本化条件</w:t>
      </w:r>
    </w:p>
    <w:p>
      <w:pPr>
        <w:pStyle w:val="BodyText"/>
        <w:spacing w:line="316" w:lineRule="auto" w:before="19"/>
        <w:ind w:right="0"/>
        <w:jc w:val="left"/>
      </w:pPr>
      <w:r>
        <w:rPr>
          <w:spacing w:val="-2"/>
        </w:rPr>
        <w:t>的资产相关的外币专门借款产生的汇兑差额按照借款费用资本化的原则处理外，均计入当期损益。以历史成本计量的外币非</w:t>
      </w:r>
      <w:r>
        <w:rPr>
          <w:spacing w:val="-64"/>
        </w:rPr>
        <w:t> </w:t>
      </w:r>
      <w:r>
        <w:rPr>
          <w:spacing w:val="-64"/>
        </w:rPr>
      </w:r>
      <w:r>
        <w:rPr/>
        <w:t>货币性项目，仍采用交易发生日的即期汇率折算，不改变其记账本位币金额。</w:t>
      </w:r>
    </w:p>
    <w:p>
      <w:pPr>
        <w:pStyle w:val="BodyText"/>
        <w:spacing w:line="316" w:lineRule="auto" w:before="19"/>
        <w:ind w:right="1132" w:firstLine="420"/>
        <w:jc w:val="both"/>
      </w:pPr>
      <w:r>
        <w:rPr/>
        <w:t>以公允价值计量的外币非货币性项目，采用公允价值确定日的即期汇率折算，由此产生的汇兑差额作为公允价值变动 损益计入当期损益。如属于可供出售外币非货币性项目的，形成的汇兑差额计入其他综合收益。</w:t>
      </w:r>
    </w:p>
    <w:p>
      <w:pPr>
        <w:pStyle w:val="Heading5"/>
        <w:spacing w:line="284" w:lineRule="exact"/>
        <w:ind w:left="532"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外币财务报表的折算</w:t>
      </w:r>
      <w:r>
        <w:rPr>
          <w:b w:val="0"/>
          <w:bCs w:val="0"/>
        </w:rPr>
      </w:r>
    </w:p>
    <w:p>
      <w:pPr>
        <w:pStyle w:val="BodyText"/>
        <w:spacing w:line="309" w:lineRule="auto" w:before="46"/>
        <w:ind w:right="1130" w:firstLine="420"/>
        <w:jc w:val="both"/>
      </w:pP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 </w:t>
      </w:r>
      <w:r>
        <w:rPr>
          <w:spacing w:val="-2"/>
        </w:rPr>
        <w:t>项目采用发生时的即期汇率折算。利润表中的收入和费用项目，采用当期平均汇率折算。按照上述折算产生的外币财务报表</w:t>
      </w:r>
      <w:r>
        <w:rPr>
          <w:spacing w:val="-63"/>
        </w:rPr>
        <w:t> </w:t>
      </w:r>
      <w:r>
        <w:rPr>
          <w:spacing w:val="-63"/>
        </w:rPr>
      </w:r>
      <w:r>
        <w:rPr/>
        <w:t>折算差额计入其他综合收益。</w:t>
      </w:r>
    </w:p>
    <w:p>
      <w:pPr>
        <w:pStyle w:val="BodyText"/>
        <w:spacing w:line="316" w:lineRule="auto" w:before="24"/>
        <w:ind w:right="1130" w:firstLine="420"/>
        <w:jc w:val="both"/>
      </w:pPr>
      <w:r>
        <w:rPr/>
        <w:t>处置境外经营时，将资产负债表中其他综合收益项目中列示的、与该境外经营相关的外币财务报表折算差额，自其他 </w:t>
      </w:r>
      <w:r>
        <w:rPr>
          <w:spacing w:val="-2"/>
        </w:rPr>
        <w:t>综合收益项目转入处置当期损益；在处置部分股权投资或其他原因导致持有境外经营权益比例降低但不丧失对境外经营控制</w:t>
      </w:r>
      <w:r>
        <w:rPr>
          <w:spacing w:val="-64"/>
        </w:rPr>
        <w:t> </w:t>
      </w:r>
      <w:r>
        <w:rPr>
          <w:spacing w:val="-64"/>
        </w:rPr>
      </w:r>
      <w:r>
        <w:rPr>
          <w:spacing w:val="-2"/>
        </w:rPr>
        <w:t>权时，与该境外经营处置部分相关的外币报表折算差额将归属于少数股东权益，不转入当期损益。在处置境外经营为联营企</w:t>
      </w:r>
      <w:r>
        <w:rPr>
          <w:spacing w:val="-63"/>
        </w:rPr>
        <w:t> </w:t>
      </w:r>
      <w:r>
        <w:rPr>
          <w:spacing w:val="-63"/>
        </w:rPr>
      </w:r>
      <w:r>
        <w:rPr/>
        <w:t>业或合营企业的部分股权时，与该境外经营相关的外币报表折算差额，按处置该境外经营的比例转入处置当期损益。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6"/>
        <w:ind w:right="0"/>
        <w:jc w:val="left"/>
        <w:rPr>
          <w:b w:val="0"/>
          <w:bCs w:val="0"/>
        </w:rPr>
      </w:pPr>
      <w:bookmarkStart w:name="10、金融工具" w:id="179"/>
      <w:bookmarkEnd w:id="179"/>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32" w:right="0"/>
        <w:jc w:val="left"/>
      </w:pPr>
      <w:r>
        <w:rPr/>
        <w:t>金融工具包括金融资产、金融负债和权益工具。</w:t>
      </w:r>
    </w:p>
    <w:p>
      <w:pPr>
        <w:pStyle w:val="Heading5"/>
        <w:tabs>
          <w:tab w:pos="899" w:val="left" w:leader="none"/>
        </w:tabs>
        <w:spacing w:line="240" w:lineRule="auto" w:before="53"/>
        <w:ind w:left="532" w:right="0"/>
        <w:jc w:val="left"/>
        <w:rPr>
          <w:b w:val="0"/>
          <w:bCs w:val="0"/>
        </w:rPr>
      </w:pPr>
      <w:r>
        <w:rPr>
          <w:rFonts w:ascii="Times New Roman" w:hAnsi="Times New Roman" w:cs="Times New Roman" w:eastAsia="Times New Roman" w:hint="default"/>
        </w:rPr>
        <w:t>1.</w:t>
        <w:tab/>
      </w:r>
      <w:r>
        <w:rPr/>
        <w:t>金融工具的分类</w:t>
      </w:r>
      <w:r>
        <w:rPr>
          <w:b w:val="0"/>
          <w:bCs w:val="0"/>
        </w:rPr>
      </w:r>
    </w:p>
    <w:p>
      <w:pPr>
        <w:pStyle w:val="BodyText"/>
        <w:spacing w:line="316" w:lineRule="auto" w:before="44"/>
        <w:ind w:right="1130" w:firstLine="420"/>
        <w:jc w:val="both"/>
      </w:pPr>
      <w:r>
        <w:rPr/>
        <w:t>本公司根据所发行金融工具的合同条款及其所反映的经济实质而非仅以法律形式，结合取得持有金融资产和承担金融 </w:t>
      </w:r>
      <w:r>
        <w:rPr>
          <w:spacing w:val="-2"/>
        </w:rPr>
        <w:t>负债的目的，在初始确认时将金融资产和金融负债分为不同类别：以公允价值计量且其变动计入当期损益的金融资产（或金</w:t>
      </w:r>
      <w:r>
        <w:rPr>
          <w:spacing w:val="-63"/>
        </w:rPr>
        <w:t> </w:t>
      </w:r>
      <w:r>
        <w:rPr>
          <w:spacing w:val="-63"/>
        </w:rPr>
      </w:r>
      <w:r>
        <w:rPr>
          <w:spacing w:val="-3"/>
        </w:rPr>
        <w:t>融负债）；持有至到期投资；应收款项；可供出售金融资产；其他金融负债等。</w:t>
      </w:r>
    </w:p>
    <w:p>
      <w:pPr>
        <w:pStyle w:val="Heading5"/>
        <w:tabs>
          <w:tab w:pos="899" w:val="left" w:leader="none"/>
        </w:tabs>
        <w:spacing w:line="287" w:lineRule="exact"/>
        <w:ind w:left="532" w:right="0"/>
        <w:jc w:val="left"/>
        <w:rPr>
          <w:b w:val="0"/>
          <w:bCs w:val="0"/>
        </w:rPr>
      </w:pPr>
      <w:r>
        <w:rPr>
          <w:rFonts w:ascii="Times New Roman" w:hAnsi="Times New Roman" w:cs="Times New Roman" w:eastAsia="Times New Roman" w:hint="default"/>
        </w:rPr>
        <w:t>2.</w:t>
        <w:tab/>
      </w:r>
      <w:r>
        <w:rPr/>
        <w:t>金融工具的确认依据和计量方法</w:t>
      </w:r>
      <w:r>
        <w:rPr>
          <w:b w:val="0"/>
          <w:bCs w:val="0"/>
        </w:rPr>
      </w:r>
    </w:p>
    <w:p>
      <w:pPr>
        <w:pStyle w:val="BodyText"/>
        <w:spacing w:line="300" w:lineRule="auto" w:before="44"/>
        <w:ind w:left="532" w:right="0" w:firstLine="405"/>
        <w:jc w:val="left"/>
      </w:pPr>
      <w:r>
        <w:rPr/>
        <w:t>（</w:t>
      </w:r>
      <w:r>
        <w:rPr>
          <w:rFonts w:ascii="Times New Roman" w:hAnsi="Times New Roman" w:cs="Times New Roman" w:eastAsia="Times New Roman" w:hint="default"/>
        </w:rPr>
        <w:t>1</w:t>
      </w:r>
      <w:r>
        <w:rPr/>
        <w:t>）</w:t>
      </w:r>
      <w:r>
        <w:rPr>
          <w:spacing w:val="-2"/>
        </w:rPr>
        <w:t> </w:t>
      </w:r>
      <w:r>
        <w:rPr/>
        <w:t>以公允价值计量且其变动计入当期损益的金融资产（金融负债）</w:t>
      </w:r>
      <w:r>
        <w:rPr/>
        <w:t> 以公允价值计量且其变动计入当期损益的金融资产或金融负债，包括交易性金融资产或金融负债和直接指定为以公允</w:t>
      </w:r>
    </w:p>
    <w:p>
      <w:pPr>
        <w:pStyle w:val="BodyText"/>
        <w:spacing w:line="316" w:lineRule="auto" w:before="31"/>
        <w:ind w:left="532" w:right="4394" w:hanging="420"/>
        <w:jc w:val="left"/>
      </w:pPr>
      <w:r>
        <w:rPr/>
        <w:t>价值计量且其变动计入当期损益的金融资产或金融负债。 交易性金融资产或金融负债是指满足下列条件之一的金融资产或金融负债： </w:t>
      </w:r>
      <w:r>
        <w:rPr>
          <w:rFonts w:ascii="Times New Roman" w:hAnsi="Times New Roman" w:cs="Times New Roman" w:eastAsia="Times New Roman" w:hint="default"/>
        </w:rPr>
        <w:t>1</w:t>
      </w:r>
      <w:r>
        <w:rPr/>
        <w:t>）取得该金融资产或金融负债的目的是为了在短期内出售、回购或赎回；</w:t>
      </w:r>
    </w:p>
    <w:p>
      <w:pPr>
        <w:pStyle w:val="BodyText"/>
        <w:spacing w:line="300" w:lineRule="auto"/>
        <w:ind w:right="1132" w:firstLine="420"/>
        <w:jc w:val="both"/>
      </w:pPr>
      <w:r>
        <w:rPr>
          <w:rFonts w:ascii="Times New Roman" w:hAnsi="Times New Roman" w:cs="Times New Roman" w:eastAsia="Times New Roman" w:hint="default"/>
          <w:spacing w:val="-1"/>
        </w:rPr>
        <w:t>2</w:t>
      </w:r>
      <w:r>
        <w:rPr>
          <w:spacing w:val="-1"/>
        </w:rPr>
        <w:t>）属于进行集中管理的可辨认金融工具组合的一部分，且有客观证据表明本公司近期采用短期获利方式对该组合进行</w:t>
      </w:r>
      <w:r>
        <w:rPr/>
        <w:t> 管理；</w:t>
      </w:r>
    </w:p>
    <w:p>
      <w:pPr>
        <w:pStyle w:val="BodyText"/>
        <w:spacing w:line="300" w:lineRule="auto" w:before="31"/>
        <w:ind w:right="1132" w:firstLine="420"/>
        <w:jc w:val="both"/>
      </w:pPr>
      <w:r>
        <w:rPr>
          <w:rFonts w:ascii="Times New Roman" w:hAnsi="Times New Roman" w:cs="Times New Roman" w:eastAsia="Times New Roman" w:hint="default"/>
          <w:spacing w:val="-1"/>
        </w:rPr>
        <w:t>3</w:t>
      </w:r>
      <w:r>
        <w:rPr>
          <w:spacing w:val="-1"/>
        </w:rPr>
        <w:t>）属于衍生金融工具，但是被指定为有效套期工具的衍生工具、属于财务担保合同的衍生工具、与在活跃市场中没有</w:t>
      </w:r>
      <w:r>
        <w:rPr/>
        <w:t> 报价且其公允价值不能可靠计量的权益工具投资挂钩并须通过交付该权益工具结算的衍生工具除外。</w:t>
      </w:r>
    </w:p>
    <w:p>
      <w:pPr>
        <w:pStyle w:val="BodyText"/>
        <w:spacing w:line="316" w:lineRule="auto" w:before="31"/>
        <w:ind w:right="1132" w:firstLine="420"/>
        <w:jc w:val="both"/>
      </w:pPr>
      <w:r>
        <w:rPr/>
        <w:t>只有符合以下条件之一，金融资产或金融负债才可在初始计量时指定为以公允价值计量且其变动计入损益的金融资产 或金融负债：</w:t>
      </w:r>
    </w:p>
    <w:p>
      <w:pPr>
        <w:pStyle w:val="BodyText"/>
        <w:spacing w:line="300" w:lineRule="auto" w:before="19"/>
        <w:ind w:right="1132" w:firstLine="420"/>
        <w:jc w:val="both"/>
      </w:pPr>
      <w:r>
        <w:rPr>
          <w:rFonts w:ascii="Times New Roman" w:hAnsi="Times New Roman" w:cs="Times New Roman" w:eastAsia="Times New Roman" w:hint="default"/>
          <w:spacing w:val="-1"/>
        </w:rPr>
        <w:t>1</w:t>
      </w:r>
      <w:r>
        <w:rPr>
          <w:spacing w:val="-1"/>
        </w:rPr>
        <w:t>）该项指定可以消除或明显减少由于金融资产或金融负债的计量基础不同所导致的相关利得或损失在确认或计量方面</w:t>
      </w:r>
      <w:r>
        <w:rPr/>
        <w:t> 不一致的情况；</w:t>
      </w:r>
    </w:p>
    <w:p>
      <w:pPr>
        <w:pStyle w:val="BodyText"/>
        <w:spacing w:line="300" w:lineRule="auto" w:before="31"/>
        <w:ind w:right="1081" w:firstLine="420"/>
        <w:jc w:val="both"/>
      </w:pPr>
      <w:r>
        <w:rPr>
          <w:rFonts w:ascii="Times New Roman" w:hAnsi="Times New Roman" w:cs="Times New Roman" w:eastAsia="Times New Roman" w:hint="default"/>
        </w:rPr>
        <w:t>2</w:t>
      </w:r>
      <w:r>
        <w:rPr/>
        <w:t>）风险管理或投资策略的正式书面文件已载明，该金融资产组合、该金融负债组合、或该金融资产和金融负债组合， 以公允价值为基础进行管理、评价并向关键管理人员报告；</w:t>
      </w:r>
    </w:p>
    <w:p>
      <w:pPr>
        <w:pStyle w:val="BodyText"/>
        <w:spacing w:line="300" w:lineRule="auto" w:before="31"/>
        <w:ind w:right="1130" w:firstLine="420"/>
        <w:jc w:val="both"/>
      </w:pPr>
      <w:r>
        <w:rPr>
          <w:rFonts w:ascii="Times New Roman" w:hAnsi="Times New Roman" w:cs="Times New Roman" w:eastAsia="Times New Roman" w:hint="default"/>
          <w:spacing w:val="-1"/>
        </w:rPr>
        <w:t>3</w:t>
      </w:r>
      <w:r>
        <w:rPr>
          <w:spacing w:val="-1"/>
        </w:rPr>
        <w:t>）包含一项或多项嵌入衍生工具的混合工具，除非嵌入衍生工具对混合工具的现金流量没有重大改变，或所嵌入的衍</w:t>
      </w:r>
      <w:r>
        <w:rPr/>
        <w:t> 生工具明显不应当从相关混合工具中分拆；</w:t>
      </w:r>
    </w:p>
    <w:p>
      <w:pPr>
        <w:spacing w:after="0" w:line="300" w:lineRule="auto"/>
        <w:jc w:val="both"/>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00" w:lineRule="auto" w:before="44"/>
        <w:ind w:left="532" w:right="0"/>
        <w:jc w:val="left"/>
      </w:pPr>
      <w:r>
        <w:rPr>
          <w:rFonts w:ascii="Times New Roman" w:hAnsi="Times New Roman" w:cs="Times New Roman" w:eastAsia="Times New Roman" w:hint="default"/>
        </w:rPr>
        <w:t>4</w:t>
      </w:r>
      <w:r>
        <w:rPr/>
        <w:t>）包含需要分拆但无法在取得时或后续的资产负债表日对其进行单独计量的嵌入衍生工具的混合工具。 本公司对以公允价值计量且其变动计入当期损益的金融资产或金融负债，在取得时以公允价值（扣除已宣告但尚未发</w:t>
      </w:r>
    </w:p>
    <w:p>
      <w:pPr>
        <w:pStyle w:val="BodyText"/>
        <w:spacing w:line="316" w:lineRule="auto" w:before="31"/>
        <w:ind w:right="1130"/>
        <w:jc w:val="both"/>
      </w:pPr>
      <w:r>
        <w:rPr>
          <w:spacing w:val="-2"/>
        </w:rPr>
        <w:t>放的现金股利或已到付息期但尚未领取的债券利息）作为初始确认金额，相关的交易费用计入当期损益。持有期间将取得的</w:t>
      </w:r>
      <w:r>
        <w:rPr>
          <w:spacing w:val="-63"/>
        </w:rPr>
        <w:t> </w:t>
      </w:r>
      <w:r>
        <w:rPr>
          <w:spacing w:val="-63"/>
        </w:rPr>
      </w:r>
      <w:r>
        <w:rPr>
          <w:spacing w:val="-2"/>
        </w:rPr>
        <w:t>利息或现金股利确认为投资收益，期末将公允价值变动计入当期损益。处置时，其公允价值与初始入账金额之间的差额确认</w:t>
      </w:r>
      <w:r>
        <w:rPr>
          <w:spacing w:val="-63"/>
        </w:rPr>
        <w:t> </w:t>
      </w:r>
      <w:r>
        <w:rPr>
          <w:spacing w:val="-63"/>
        </w:rPr>
      </w:r>
      <w:r>
        <w:rPr/>
        <w:t>为投资收益，同时调整公允价值变动损益。</w:t>
      </w:r>
    </w:p>
    <w:p>
      <w:pPr>
        <w:pStyle w:val="BodyText"/>
        <w:spacing w:line="300" w:lineRule="auto" w:before="19"/>
        <w:ind w:left="532" w:right="3854" w:firstLine="360"/>
        <w:jc w:val="left"/>
      </w:pPr>
      <w:r>
        <w:rPr/>
        <w:t>（</w:t>
      </w:r>
      <w:r>
        <w:rPr>
          <w:rFonts w:ascii="Times New Roman" w:hAnsi="Times New Roman" w:cs="Times New Roman" w:eastAsia="Times New Roman" w:hint="default"/>
        </w:rPr>
        <w:t>2</w:t>
      </w:r>
      <w:r>
        <w:rPr/>
        <w:t>）</w:t>
      </w:r>
      <w:r>
        <w:rPr>
          <w:spacing w:val="-2"/>
        </w:rPr>
        <w:t> </w:t>
      </w:r>
      <w:r>
        <w:rPr/>
        <w:t>应收款项</w:t>
      </w:r>
      <w:r>
        <w:rPr/>
        <w:t> 应收款项是指在活跃市场中没有报价、回收金额固定或可确定的非衍生金融资产。</w:t>
      </w:r>
    </w:p>
    <w:p>
      <w:pPr>
        <w:pStyle w:val="BodyText"/>
        <w:spacing w:line="316" w:lineRule="auto" w:before="31"/>
        <w:ind w:right="1132" w:firstLine="420"/>
        <w:jc w:val="both"/>
      </w:pPr>
      <w:r>
        <w:rPr/>
        <w:t>本公司对外销售商品或提供劳务形成的应收债权，以及公司持有的其他企业的债权（不包括在活跃市场上有报价的债 </w:t>
      </w:r>
      <w:r>
        <w:rPr>
          <w:spacing w:val="-2"/>
        </w:rPr>
        <w:t>务工具），包括应收账款、其他应收款等，以向购货方应收的合同或协议价款作为初始确认金额；具有融资性质的，按其现</w:t>
      </w:r>
      <w:r>
        <w:rPr>
          <w:spacing w:val="-65"/>
        </w:rPr>
        <w:t> </w:t>
      </w:r>
      <w:r>
        <w:rPr>
          <w:spacing w:val="-65"/>
        </w:rPr>
      </w:r>
      <w:r>
        <w:rPr/>
        <w:t>值进行初始确认。</w:t>
      </w:r>
    </w:p>
    <w:p>
      <w:pPr>
        <w:pStyle w:val="BodyText"/>
        <w:spacing w:line="240" w:lineRule="auto" w:before="19"/>
        <w:ind w:left="532" w:right="0"/>
        <w:jc w:val="left"/>
      </w:pPr>
      <w:r>
        <w:rPr/>
        <w:t>收回或处置时，将取得的价款与该应收款项账面价值之间的差额计入当期损益。</w:t>
      </w:r>
    </w:p>
    <w:p>
      <w:pPr>
        <w:pStyle w:val="BodyText"/>
        <w:spacing w:line="300" w:lineRule="auto" w:before="76"/>
        <w:ind w:left="532" w:right="0" w:firstLine="360"/>
        <w:jc w:val="left"/>
      </w:pPr>
      <w:r>
        <w:rPr/>
        <w:t>（</w:t>
      </w:r>
      <w:r>
        <w:rPr>
          <w:rFonts w:ascii="Times New Roman" w:hAnsi="Times New Roman" w:cs="Times New Roman" w:eastAsia="Times New Roman" w:hint="default"/>
        </w:rPr>
        <w:t>3</w:t>
      </w:r>
      <w:r>
        <w:rPr/>
        <w:t>）</w:t>
      </w:r>
      <w:r>
        <w:rPr>
          <w:spacing w:val="-2"/>
        </w:rPr>
        <w:t> </w:t>
      </w:r>
      <w:r>
        <w:rPr/>
        <w:t>持有至到期投资</w:t>
      </w:r>
      <w:r>
        <w:rPr/>
        <w:t> 持有至到期投资是指到期日固定、回收金额固定或可确定，且本公司有明确意图和能力持有至到期的非衍生性金融资</w:t>
      </w:r>
    </w:p>
    <w:p>
      <w:pPr>
        <w:pStyle w:val="BodyText"/>
        <w:spacing w:line="240" w:lineRule="auto" w:before="31"/>
        <w:ind w:right="0"/>
        <w:jc w:val="left"/>
      </w:pPr>
      <w:r>
        <w:rPr/>
        <w:t>产。</w:t>
      </w:r>
    </w:p>
    <w:p>
      <w:pPr>
        <w:pStyle w:val="BodyText"/>
        <w:spacing w:line="240" w:lineRule="auto" w:before="76"/>
        <w:ind w:left="532" w:right="0"/>
        <w:jc w:val="left"/>
      </w:pPr>
      <w:r>
        <w:rPr/>
        <w:t>本公司对持有至到期投资，在取得时按公允价值（扣除已到付息期但尚未领取的债券利息）和相关交易费用之和作为</w:t>
      </w:r>
    </w:p>
    <w:p>
      <w:pPr>
        <w:pStyle w:val="BodyText"/>
        <w:spacing w:line="316" w:lineRule="auto" w:before="76"/>
        <w:ind w:right="0"/>
        <w:jc w:val="left"/>
      </w:pPr>
      <w:r>
        <w:rPr>
          <w:spacing w:val="-4"/>
        </w:rPr>
        <w:t>初始确认金额。持有期间按照摊余成本和实际利率（如实际利率与票面利率差别较小的，可按票面利率）计算确认利息收入，</w:t>
      </w:r>
      <w:r>
        <w:rPr>
          <w:spacing w:val="-43"/>
        </w:rPr>
        <w:t> </w:t>
      </w:r>
      <w:r>
        <w:rPr>
          <w:spacing w:val="-43"/>
        </w:rPr>
      </w:r>
      <w:r>
        <w:rPr>
          <w:spacing w:val="-2"/>
        </w:rPr>
        <w:t>计入投资收益。实际利率在取得时确定，在该预期存续期间或适用的更短期间内保持不变。处置时，将所取得价款与该投资</w:t>
      </w:r>
      <w:r>
        <w:rPr>
          <w:spacing w:val="-64"/>
        </w:rPr>
        <w:t> </w:t>
      </w:r>
      <w:r>
        <w:rPr>
          <w:spacing w:val="-64"/>
        </w:rPr>
      </w:r>
      <w:r>
        <w:rPr/>
        <w:t>账面价值之间的差额计入投资收益。</w:t>
      </w:r>
    </w:p>
    <w:p>
      <w:pPr>
        <w:pStyle w:val="BodyText"/>
        <w:spacing w:line="316" w:lineRule="auto" w:before="19"/>
        <w:ind w:right="1130" w:firstLine="420"/>
        <w:jc w:val="both"/>
      </w:pPr>
      <w:r>
        <w:rPr/>
        <w:t>如果持有至到期投资处置或重分类为其他类金融资产的金额，相对于本公司全部持有至到期投资在出售或重分类前的 </w:t>
      </w:r>
      <w:r>
        <w:rPr>
          <w:spacing w:val="-2"/>
        </w:rPr>
        <w:t>总额较大，在处置或重分类后应立即将其剩余的持有至到期投资重分类为可供出售金融资产；重分类日，该投资的账面价值</w:t>
      </w:r>
      <w:r>
        <w:rPr>
          <w:spacing w:val="-63"/>
        </w:rPr>
        <w:t> </w:t>
      </w:r>
      <w:r>
        <w:rPr>
          <w:spacing w:val="-63"/>
        </w:rPr>
      </w:r>
      <w:r>
        <w:rPr>
          <w:spacing w:val="-2"/>
        </w:rPr>
        <w:t>与其公允价值之间的差额计入其他综合收益，在该可供出售金融资产发生减值或终止确认时转出，计入当期损益。但是，遇</w:t>
      </w:r>
      <w:r>
        <w:rPr>
          <w:spacing w:val="-64"/>
        </w:rPr>
        <w:t> </w:t>
      </w:r>
      <w:r>
        <w:rPr>
          <w:spacing w:val="-64"/>
        </w:rPr>
      </w:r>
      <w:r>
        <w:rPr/>
        <w:t>到下列情况可以除外：</w:t>
      </w:r>
    </w:p>
    <w:p>
      <w:pPr>
        <w:pStyle w:val="BodyText"/>
        <w:spacing w:line="300" w:lineRule="auto" w:before="19"/>
        <w:ind w:right="1124" w:firstLine="420"/>
        <w:jc w:val="left"/>
      </w:pPr>
      <w:r>
        <w:rPr>
          <w:rFonts w:ascii="Times New Roman" w:hAnsi="Times New Roman" w:cs="Times New Roman" w:eastAsia="Times New Roman" w:hint="default"/>
        </w:rPr>
        <w:t>1</w:t>
      </w:r>
      <w:r>
        <w:rPr/>
        <w:t>）出售日或重分类日距离该项投资到期日或赎回日较近</w:t>
      </w:r>
      <w:r>
        <w:rPr>
          <w:rFonts w:ascii="Times New Roman" w:hAnsi="Times New Roman" w:cs="Times New Roman" w:eastAsia="Times New Roman" w:hint="default"/>
        </w:rPr>
        <w:t>(</w:t>
      </w:r>
      <w:r>
        <w:rPr/>
        <w:t>如到期前三个月内</w:t>
      </w:r>
      <w:r>
        <w:rPr>
          <w:rFonts w:ascii="Times New Roman" w:hAnsi="Times New Roman" w:cs="Times New Roman" w:eastAsia="Times New Roman" w:hint="default"/>
        </w:rPr>
        <w:t>)</w:t>
      </w:r>
      <w:r>
        <w:rPr/>
        <w:t>，且市场利率变化对该项投资的公允价值 没有显著影响。</w:t>
      </w:r>
    </w:p>
    <w:p>
      <w:pPr>
        <w:pStyle w:val="BodyText"/>
        <w:spacing w:line="240" w:lineRule="auto" w:before="31"/>
        <w:ind w:left="532" w:right="0"/>
        <w:jc w:val="left"/>
      </w:pPr>
      <w:r>
        <w:rPr>
          <w:rFonts w:ascii="Times New Roman" w:hAnsi="Times New Roman" w:cs="Times New Roman" w:eastAsia="Times New Roman" w:hint="default"/>
        </w:rPr>
        <w:t>2</w:t>
      </w:r>
      <w:r>
        <w:rPr/>
        <w:t>）根据合同约定的偿付方式，企业已收回几乎所有初始本金。</w:t>
      </w:r>
    </w:p>
    <w:p>
      <w:pPr>
        <w:pStyle w:val="BodyText"/>
        <w:spacing w:line="240" w:lineRule="auto" w:before="63"/>
        <w:ind w:left="532" w:right="0"/>
        <w:jc w:val="left"/>
      </w:pPr>
      <w:r>
        <w:rPr>
          <w:rFonts w:ascii="Times New Roman" w:hAnsi="Times New Roman" w:cs="Times New Roman" w:eastAsia="Times New Roman" w:hint="default"/>
        </w:rPr>
        <w:t>3</w:t>
      </w:r>
      <w:r>
        <w:rPr/>
        <w:t>）出售或重分类是由于企业无法控制、预期不会重复发生且难以合理预计的独立事件所引起。</w:t>
      </w:r>
    </w:p>
    <w:p>
      <w:pPr>
        <w:pStyle w:val="BodyText"/>
        <w:spacing w:line="309" w:lineRule="auto" w:before="63"/>
        <w:ind w:left="532" w:right="1026" w:firstLine="360"/>
        <w:jc w:val="left"/>
      </w:pPr>
      <w:r>
        <w:rPr/>
        <w:t>（</w:t>
      </w:r>
      <w:r>
        <w:rPr>
          <w:rFonts w:ascii="Times New Roman" w:hAnsi="Times New Roman" w:cs="Times New Roman" w:eastAsia="Times New Roman" w:hint="default"/>
        </w:rPr>
        <w:t>4</w:t>
      </w:r>
      <w:r>
        <w:rPr/>
        <w:t>）</w:t>
      </w:r>
      <w:r>
        <w:rPr>
          <w:spacing w:val="-2"/>
        </w:rPr>
        <w:t> </w:t>
      </w:r>
      <w:r>
        <w:rPr/>
        <w:t>可供出售金融资产</w:t>
      </w:r>
      <w:r>
        <w:rPr/>
        <w:t> </w:t>
      </w:r>
      <w:r>
        <w:rPr>
          <w:spacing w:val="-1"/>
        </w:rPr>
        <w:t>可供出售金融资产，是指初始确认时即指定为可供出售的非衍生金融资产，以及除其他金融资产类别以外的金融资产。</w:t>
      </w:r>
      <w:r>
        <w:rPr/>
        <w:t> 本公司对可供出售金融资产，在取得时按公允价值（扣除已宣告但尚未发放的现金股利或已到付息期但尚未领取的债</w:t>
      </w:r>
    </w:p>
    <w:p>
      <w:pPr>
        <w:pStyle w:val="BodyText"/>
        <w:spacing w:line="316" w:lineRule="auto" w:before="24"/>
        <w:ind w:right="1130"/>
        <w:jc w:val="both"/>
      </w:pPr>
      <w:r>
        <w:rPr>
          <w:spacing w:val="-2"/>
        </w:rPr>
        <w:t>券利息）和相关交易费用之和作为初始确认金额。持有期间将取得的利息或现金股利确认为投资收益。可供出售金融资产的</w:t>
      </w:r>
      <w:r>
        <w:rPr>
          <w:spacing w:val="-63"/>
        </w:rPr>
        <w:t> </w:t>
      </w:r>
      <w:r>
        <w:rPr>
          <w:spacing w:val="-63"/>
        </w:rPr>
      </w:r>
      <w:r>
        <w:rPr>
          <w:spacing w:val="-2"/>
        </w:rPr>
        <w:t>公允价值变动形成的利得或损失，除减值损失和外币货币性金融资产形成的汇兑差额外，直接计入其他综合收益。处置可供</w:t>
      </w:r>
      <w:r>
        <w:rPr>
          <w:spacing w:val="-63"/>
        </w:rPr>
        <w:t> </w:t>
      </w:r>
      <w:r>
        <w:rPr>
          <w:spacing w:val="-63"/>
        </w:rPr>
      </w:r>
      <w:r>
        <w:rPr>
          <w:spacing w:val="-2"/>
        </w:rPr>
        <w:t>出售金融资产时，将取得的价款与该金融资产账面价值之间的差额，计入投资损益；同时，将原直接计入其他综合收益的公</w:t>
      </w:r>
      <w:r>
        <w:rPr>
          <w:spacing w:val="-64"/>
        </w:rPr>
        <w:t> </w:t>
      </w:r>
      <w:r>
        <w:rPr>
          <w:spacing w:val="-64"/>
        </w:rPr>
      </w:r>
      <w:r>
        <w:rPr/>
        <w:t>允价值变动累计额对应处置部分的金额转出，计入投资损益。</w:t>
      </w:r>
    </w:p>
    <w:p>
      <w:pPr>
        <w:pStyle w:val="BodyText"/>
        <w:spacing w:line="316" w:lineRule="auto" w:before="19"/>
        <w:ind w:right="0" w:firstLine="420"/>
        <w:jc w:val="left"/>
      </w:pPr>
      <w:r>
        <w:rPr/>
        <w:t>本公司对在活跃市场中没有报价且其公允价值不能可靠计量的权益工具投资，以及与该权益工具挂钩并须通过交付该 权益工具结算的衍生金融资产，按照成本计量。</w:t>
      </w:r>
    </w:p>
    <w:p>
      <w:pPr>
        <w:spacing w:line="295" w:lineRule="auto" w:before="19"/>
        <w:ind w:left="532" w:right="3674" w:firstLine="360"/>
        <w:jc w:val="left"/>
        <w:rPr>
          <w:rFonts w:ascii="宋体" w:hAnsi="宋体" w:cs="宋体" w:eastAsia="宋体" w:hint="default"/>
          <w:sz w:val="21"/>
          <w:szCs w:val="21"/>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宋体" w:hAnsi="宋体" w:cs="宋体" w:eastAsia="宋体" w:hint="default"/>
          <w:spacing w:val="-2"/>
          <w:sz w:val="18"/>
          <w:szCs w:val="18"/>
        </w:rPr>
        <w:t> </w:t>
      </w:r>
      <w:r>
        <w:rPr>
          <w:rFonts w:ascii="宋体" w:hAnsi="宋体" w:cs="宋体" w:eastAsia="宋体" w:hint="default"/>
          <w:sz w:val="18"/>
          <w:szCs w:val="18"/>
        </w:rPr>
        <w:t>其他金融负债</w:t>
      </w:r>
      <w:r>
        <w:rPr>
          <w:rFonts w:ascii="宋体" w:hAnsi="宋体" w:cs="宋体" w:eastAsia="宋体" w:hint="default"/>
          <w:sz w:val="18"/>
          <w:szCs w:val="18"/>
        </w:rPr>
        <w:t> 按其公允价值和相关交易费用之和作为初始确认金额。采用摊余成本进行后续计量。 </w:t>
      </w: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45"/>
          <w:sz w:val="21"/>
          <w:szCs w:val="21"/>
        </w:rPr>
        <w:t> </w:t>
      </w:r>
      <w:r>
        <w:rPr>
          <w:rFonts w:ascii="宋体" w:hAnsi="宋体" w:cs="宋体" w:eastAsia="宋体" w:hint="default"/>
          <w:b/>
          <w:bCs/>
          <w:sz w:val="21"/>
          <w:szCs w:val="21"/>
        </w:rPr>
        <w:t>金融资产转移的确认依据和计量方法</w:t>
      </w:r>
      <w:r>
        <w:rPr>
          <w:rFonts w:ascii="宋体" w:hAnsi="宋体" w:cs="宋体" w:eastAsia="宋体" w:hint="default"/>
          <w:sz w:val="21"/>
          <w:szCs w:val="21"/>
        </w:rPr>
      </w:r>
    </w:p>
    <w:p>
      <w:pPr>
        <w:pStyle w:val="BodyText"/>
        <w:spacing w:line="316" w:lineRule="auto"/>
        <w:ind w:right="0" w:firstLine="420"/>
        <w:jc w:val="left"/>
      </w:pPr>
      <w:r>
        <w:rPr/>
        <w:t>公司发生金融资产转移时，如已将金融资产所有权上几乎所有的风险和报酬转移给转入方，则终止确认该金融资产； 如保留了金融资产所有权上几乎所有的风险和报酬的，则不终止确认该金融资产。</w:t>
      </w:r>
    </w:p>
    <w:p>
      <w:pPr>
        <w:pStyle w:val="BodyText"/>
        <w:spacing w:line="316" w:lineRule="auto" w:before="19"/>
        <w:ind w:right="0" w:firstLine="420"/>
        <w:jc w:val="left"/>
      </w:pPr>
      <w:r>
        <w:rPr/>
        <w:t>在判断金融资产转移是否满足上述金融资产终止确认条件时，采用实质重于形式的原则。公司将金融资产转移区分为 金融资产整体转移和部分转移。金融资产整体转移满足终止确认条件的，将下列两项金额的差额计入当期损益：</w:t>
      </w:r>
    </w:p>
    <w:p>
      <w:pPr>
        <w:pStyle w:val="BodyText"/>
        <w:spacing w:line="240" w:lineRule="auto" w:before="19"/>
        <w:ind w:left="532" w:right="0"/>
        <w:jc w:val="left"/>
      </w:pPr>
      <w:r>
        <w:rPr/>
        <w:t>（</w:t>
      </w:r>
      <w:r>
        <w:rPr>
          <w:rFonts w:ascii="Times New Roman" w:hAnsi="Times New Roman" w:cs="Times New Roman" w:eastAsia="Times New Roman" w:hint="default"/>
        </w:rPr>
        <w:t>1</w:t>
      </w:r>
      <w:r>
        <w:rPr/>
        <w:t>）所转移金融资产的账面价值；</w:t>
      </w:r>
    </w:p>
    <w:p>
      <w:pPr>
        <w:pStyle w:val="BodyText"/>
        <w:spacing w:line="240" w:lineRule="auto" w:before="63"/>
        <w:ind w:left="532" w:right="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16" w:lineRule="auto" w:before="44"/>
        <w:ind w:left="532" w:right="1026" w:hanging="420"/>
        <w:jc w:val="left"/>
      </w:pPr>
      <w:r>
        <w:rPr/>
        <w:t>产的情形）之和。 </w:t>
      </w:r>
      <w:r>
        <w:rPr>
          <w:spacing w:val="-1"/>
        </w:rPr>
        <w:t>金融资产部分转移满足终止确认条件的，将所转移金融资产整体的账面价值，在终止确认部分和未终止确认部分之间，</w:t>
      </w:r>
    </w:p>
    <w:p>
      <w:pPr>
        <w:pStyle w:val="BodyText"/>
        <w:spacing w:line="240" w:lineRule="auto" w:before="19"/>
        <w:ind w:right="0"/>
        <w:jc w:val="both"/>
      </w:pPr>
      <w:r>
        <w:rPr/>
        <w:t>按照各自的相对公允价值进行分摊，并将下列两项金额的差额计入当期损益：</w:t>
      </w:r>
    </w:p>
    <w:p>
      <w:pPr>
        <w:pStyle w:val="BodyText"/>
        <w:spacing w:line="240" w:lineRule="auto" w:before="76"/>
        <w:ind w:left="532" w:right="0"/>
        <w:jc w:val="left"/>
      </w:pPr>
      <w:r>
        <w:rPr/>
        <w:t>（</w:t>
      </w:r>
      <w:r>
        <w:rPr>
          <w:rFonts w:ascii="Times New Roman" w:hAnsi="Times New Roman" w:cs="Times New Roman" w:eastAsia="Times New Roman" w:hint="default"/>
        </w:rPr>
        <w:t>1</w:t>
      </w:r>
      <w:r>
        <w:rPr/>
        <w:t>）终止确认部分的账面价值；</w:t>
      </w:r>
    </w:p>
    <w:p>
      <w:pPr>
        <w:pStyle w:val="BodyText"/>
        <w:spacing w:line="300" w:lineRule="auto" w:before="63"/>
        <w:ind w:right="1116" w:firstLine="420"/>
        <w:jc w:val="left"/>
      </w:pPr>
      <w:r>
        <w:rPr>
          <w:spacing w:val="-1"/>
        </w:rPr>
        <w:t>（</w:t>
      </w:r>
      <w:r>
        <w:rPr>
          <w:rFonts w:ascii="Times New Roman" w:hAnsi="Times New Roman" w:cs="Times New Roman" w:eastAsia="Times New Roman" w:hint="default"/>
          <w:spacing w:val="-1"/>
        </w:rPr>
        <w:t>2</w:t>
      </w:r>
      <w:r>
        <w:rPr>
          <w:spacing w:val="-1"/>
        </w:rPr>
        <w:t>）终止确认部分的对价，与原直接计入所有者权益的公允价值变动累计额中对应终止确认部分的金额（涉及转移的</w:t>
      </w:r>
      <w:r>
        <w:rPr/>
        <w:t> 金融资产为可供出售金融资产的情形）之和。</w:t>
      </w:r>
    </w:p>
    <w:p>
      <w:pPr>
        <w:pStyle w:val="BodyText"/>
        <w:spacing w:line="240" w:lineRule="auto" w:before="31"/>
        <w:ind w:left="532" w:right="0"/>
        <w:jc w:val="left"/>
      </w:pPr>
      <w:r>
        <w:rPr/>
        <w:t>金融资产转移不满足终止确认条件的，继续确认该金融资产，所收到的对价确认为一项金融负债。</w:t>
      </w:r>
    </w:p>
    <w:p>
      <w:pPr>
        <w:pStyle w:val="Heading5"/>
        <w:spacing w:line="240" w:lineRule="auto" w:before="51"/>
        <w:ind w:left="595" w:right="0"/>
        <w:jc w:val="left"/>
        <w:rPr>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47"/>
        </w:rPr>
        <w:t> </w:t>
      </w:r>
      <w:r>
        <w:rPr/>
        <w:t>金融负债终止确认条件</w:t>
      </w:r>
      <w:r>
        <w:rPr>
          <w:b w:val="0"/>
          <w:bCs w:val="0"/>
        </w:rPr>
      </w:r>
    </w:p>
    <w:p>
      <w:pPr>
        <w:pStyle w:val="BodyText"/>
        <w:spacing w:line="316" w:lineRule="auto" w:before="46"/>
        <w:ind w:right="1034" w:firstLine="420"/>
        <w:jc w:val="left"/>
      </w:pPr>
      <w:r>
        <w:rPr/>
        <w:t>金融负债的现时义务全部或部分已经解除的，则终止确认该金融负债或其一部分；本公司若与债权人签定协议，以承 担新金融负债方式替换现存金融负债，且新金融负债与现存金融负债的合同条款实质上不同的，则终止确认现存金融负债， 并同时确认新金融负债。</w:t>
      </w:r>
    </w:p>
    <w:p>
      <w:pPr>
        <w:pStyle w:val="BodyText"/>
        <w:spacing w:line="316" w:lineRule="auto" w:before="19"/>
        <w:ind w:right="0" w:firstLine="420"/>
        <w:jc w:val="left"/>
      </w:pPr>
      <w:r>
        <w:rPr/>
        <w:t>对现存金融负债全部或部分合同条款作出实质性修改的，则终止确认现存金融负债或其一部分，同时将修改条款后的 金融负债确认为一项新金融负债。</w:t>
      </w:r>
    </w:p>
    <w:p>
      <w:pPr>
        <w:pStyle w:val="BodyText"/>
        <w:spacing w:line="316" w:lineRule="auto" w:before="19"/>
        <w:ind w:right="0" w:firstLine="420"/>
        <w:jc w:val="left"/>
      </w:pPr>
      <w:r>
        <w:rPr/>
        <w:t>金融负债全部或部分终止确认时，终止确认的金融负债账面价值与支付对价（包括转出的非现金资产或承担的新金融 负债）之间的差额，计入当期损益。</w:t>
      </w:r>
    </w:p>
    <w:p>
      <w:pPr>
        <w:pStyle w:val="BodyText"/>
        <w:spacing w:line="316" w:lineRule="auto" w:before="19"/>
        <w:ind w:right="0" w:firstLine="420"/>
        <w:jc w:val="left"/>
      </w:pPr>
      <w:r>
        <w:rPr/>
        <w:t>本公司若回购部分金融负债的，在回购日按照继续确认部分与终止确认部分的相对公允价值，将该金融负债整体的账 </w:t>
      </w:r>
      <w:r>
        <w:rPr>
          <w:spacing w:val="-4"/>
        </w:rPr>
        <w:t>面价值进行分配。分配给终止确认部分的账面价值与支付的对价（包括转出的非现金资产或承担的新金融负债）之间的差额，</w:t>
      </w:r>
      <w:r>
        <w:rPr>
          <w:spacing w:val="-40"/>
        </w:rPr>
        <w:t> </w:t>
      </w:r>
      <w:r>
        <w:rPr>
          <w:spacing w:val="-40"/>
        </w:rPr>
      </w:r>
      <w:r>
        <w:rPr/>
        <w:t>计入当期损益。</w:t>
      </w:r>
    </w:p>
    <w:p>
      <w:pPr>
        <w:pStyle w:val="Heading5"/>
        <w:spacing w:line="284" w:lineRule="exact"/>
        <w:ind w:left="595" w:right="0"/>
        <w:jc w:val="left"/>
        <w:rPr>
          <w:b w:val="0"/>
          <w:bCs w:val="0"/>
        </w:rPr>
      </w:pPr>
      <w:r>
        <w:rPr>
          <w:rFonts w:ascii="Times New Roman" w:hAnsi="Times New Roman" w:cs="Times New Roman" w:eastAsia="Times New Roman" w:hint="default"/>
        </w:rPr>
        <w:t>5.</w:t>
      </w:r>
      <w:r>
        <w:rPr>
          <w:rFonts w:ascii="Times New Roman" w:hAnsi="Times New Roman" w:cs="Times New Roman" w:eastAsia="Times New Roman" w:hint="default"/>
          <w:spacing w:val="42"/>
        </w:rPr>
        <w:t> </w:t>
      </w:r>
      <w:r>
        <w:rPr/>
        <w:t>金融资产和金融负债公允价值的确定方法</w:t>
      </w:r>
      <w:r>
        <w:rPr>
          <w:b w:val="0"/>
          <w:bCs w:val="0"/>
        </w:rPr>
      </w:r>
    </w:p>
    <w:p>
      <w:pPr>
        <w:pStyle w:val="BodyText"/>
        <w:spacing w:line="316" w:lineRule="auto" w:before="46"/>
        <w:ind w:right="1130" w:firstLine="420"/>
        <w:jc w:val="both"/>
      </w:pPr>
      <w:r>
        <w:rPr/>
        <w:t>存在活跃市场的金融资产或金融负债，以活跃市场的报价确定其公允价值；活跃市场的报价包括易于且可定期从交易 </w:t>
      </w:r>
      <w:r>
        <w:rPr>
          <w:spacing w:val="-2"/>
        </w:rPr>
        <w:t>所、交易商、经纪人、行业集团、定价机构或监管机构等获得相关资产或负债的报价，且能代表在公平交易基础上实际并经</w:t>
      </w:r>
      <w:r>
        <w:rPr>
          <w:spacing w:val="-63"/>
        </w:rPr>
        <w:t> </w:t>
      </w:r>
      <w:r>
        <w:rPr>
          <w:spacing w:val="-63"/>
        </w:rPr>
      </w:r>
      <w:r>
        <w:rPr/>
        <w:t>常发生的市场交易。</w:t>
      </w:r>
    </w:p>
    <w:p>
      <w:pPr>
        <w:pStyle w:val="BodyText"/>
        <w:spacing w:line="316" w:lineRule="auto" w:before="19"/>
        <w:ind w:left="532" w:right="0"/>
        <w:jc w:val="left"/>
      </w:pPr>
      <w:r>
        <w:rPr/>
        <w:t>初始取得或衍生的金融资产或承担的金融负债，以市场交易价格作为确定其公允价值的基础。 不存在活跃市场的金融资产或金融负债，采用估值技术确定其公允价值。在估值时，本公司采用在当前情况下适用并</w:t>
      </w:r>
    </w:p>
    <w:p>
      <w:pPr>
        <w:pStyle w:val="BodyText"/>
        <w:spacing w:line="316" w:lineRule="auto" w:before="19"/>
        <w:ind w:right="1130"/>
        <w:jc w:val="both"/>
      </w:pPr>
      <w:r>
        <w:rPr>
          <w:spacing w:val="-2"/>
        </w:rPr>
        <w:t>且有足够可利用数据和其他信息支持的估值技术，选择与市场参与者在相关资产或负债的交易中所考虑的资产或负债特征相</w:t>
      </w:r>
      <w:r>
        <w:rPr>
          <w:spacing w:val="-64"/>
        </w:rPr>
        <w:t> </w:t>
      </w:r>
      <w:r>
        <w:rPr>
          <w:spacing w:val="-64"/>
        </w:rPr>
      </w:r>
      <w:r>
        <w:rPr>
          <w:spacing w:val="-2"/>
        </w:rPr>
        <w:t>一致的输入值，并尽可能优先使用相关可观察输入值。在相关可观察输入值无法取得或取得不切实可行的情况下，使用不可</w:t>
      </w:r>
      <w:r>
        <w:rPr>
          <w:spacing w:val="-63"/>
        </w:rPr>
        <w:t> </w:t>
      </w:r>
      <w:r>
        <w:rPr>
          <w:spacing w:val="-63"/>
        </w:rPr>
      </w:r>
      <w:r>
        <w:rPr/>
        <w:t>观察输入值。</w:t>
      </w:r>
    </w:p>
    <w:p>
      <w:pPr>
        <w:pStyle w:val="Heading5"/>
        <w:spacing w:line="284" w:lineRule="exact"/>
        <w:ind w:left="532" w:right="0"/>
        <w:jc w:val="left"/>
        <w:rPr>
          <w:b w:val="0"/>
          <w:bCs w:val="0"/>
        </w:rPr>
      </w:pPr>
      <w:r>
        <w:rPr>
          <w:rFonts w:ascii="Times New Roman" w:hAnsi="Times New Roman" w:cs="Times New Roman" w:eastAsia="Times New Roman" w:hint="default"/>
        </w:rPr>
        <w:t>6.</w:t>
      </w:r>
      <w:r>
        <w:rPr>
          <w:rFonts w:ascii="Times New Roman" w:hAnsi="Times New Roman" w:cs="Times New Roman" w:eastAsia="Times New Roman" w:hint="default"/>
          <w:spacing w:val="45"/>
        </w:rPr>
        <w:t> </w:t>
      </w:r>
      <w:r>
        <w:rPr/>
        <w:t>金融资产（不含应收款项）减值准备计提</w:t>
      </w:r>
      <w:r>
        <w:rPr>
          <w:b w:val="0"/>
          <w:bCs w:val="0"/>
        </w:rPr>
      </w:r>
    </w:p>
    <w:p>
      <w:pPr>
        <w:pStyle w:val="BodyText"/>
        <w:spacing w:line="316" w:lineRule="auto" w:before="46"/>
        <w:ind w:right="0" w:firstLine="420"/>
        <w:jc w:val="left"/>
      </w:pPr>
      <w:r>
        <w:rPr/>
        <w:t>资产负债表日对以公允价值计量且其变动计入当期损益的金融资产以外的金融资产的账面价值进行检查，如有客观证 据表明该金融资产发生减值的，计提减值准备。</w:t>
      </w:r>
    </w:p>
    <w:p>
      <w:pPr>
        <w:pStyle w:val="BodyText"/>
        <w:spacing w:line="240" w:lineRule="auto" w:before="19"/>
        <w:ind w:left="532" w:right="0"/>
        <w:jc w:val="left"/>
      </w:pPr>
      <w:r>
        <w:rPr/>
        <w:t>金融资产发生减值的客观证据，包括但不限于：</w:t>
      </w:r>
    </w:p>
    <w:p>
      <w:pPr>
        <w:pStyle w:val="BodyText"/>
        <w:spacing w:line="240" w:lineRule="auto" w:before="76"/>
        <w:ind w:left="804" w:right="0"/>
        <w:jc w:val="left"/>
      </w:pPr>
      <w:r>
        <w:rPr/>
        <w:t>（</w:t>
      </w:r>
      <w:r>
        <w:rPr>
          <w:rFonts w:ascii="Times New Roman" w:hAnsi="Times New Roman" w:cs="Times New Roman" w:eastAsia="Times New Roman" w:hint="default"/>
        </w:rPr>
        <w:t>1</w:t>
      </w:r>
      <w:r>
        <w:rPr/>
        <w:t>）发行方或债务人发生严重财务困难；</w:t>
      </w:r>
    </w:p>
    <w:p>
      <w:pPr>
        <w:pStyle w:val="BodyText"/>
        <w:spacing w:line="240" w:lineRule="auto" w:before="63"/>
        <w:ind w:left="804" w:right="0"/>
        <w:jc w:val="left"/>
      </w:pPr>
      <w:r>
        <w:rPr/>
        <w:t>（</w:t>
      </w:r>
      <w:r>
        <w:rPr>
          <w:rFonts w:ascii="Times New Roman" w:hAnsi="Times New Roman" w:cs="Times New Roman" w:eastAsia="Times New Roman" w:hint="default"/>
        </w:rPr>
        <w:t>2</w:t>
      </w:r>
      <w:r>
        <w:rPr/>
        <w:t>）债务人违反了合同条款，如偿付利息或本金发生违约或逾期等；</w:t>
      </w:r>
    </w:p>
    <w:p>
      <w:pPr>
        <w:pStyle w:val="BodyText"/>
        <w:spacing w:line="240" w:lineRule="auto" w:before="63"/>
        <w:ind w:left="804" w:right="0"/>
        <w:jc w:val="left"/>
      </w:pPr>
      <w:r>
        <w:rPr/>
        <w:t>（</w:t>
      </w:r>
      <w:r>
        <w:rPr>
          <w:rFonts w:ascii="Times New Roman" w:hAnsi="Times New Roman" w:cs="Times New Roman" w:eastAsia="Times New Roman" w:hint="default"/>
        </w:rPr>
        <w:t>3</w:t>
      </w:r>
      <w:r>
        <w:rPr/>
        <w:t>）债权人出于经济或法律等方面因素的考虑，对发生财务困难的债务人作出让步；</w:t>
      </w:r>
    </w:p>
    <w:p>
      <w:pPr>
        <w:pStyle w:val="BodyText"/>
        <w:spacing w:line="240" w:lineRule="auto" w:before="63"/>
        <w:ind w:left="804" w:right="0"/>
        <w:jc w:val="left"/>
      </w:pPr>
      <w:r>
        <w:rPr/>
        <w:t>（</w:t>
      </w:r>
      <w:r>
        <w:rPr>
          <w:rFonts w:ascii="Times New Roman" w:hAnsi="Times New Roman" w:cs="Times New Roman" w:eastAsia="Times New Roman" w:hint="default"/>
        </w:rPr>
        <w:t>4</w:t>
      </w:r>
      <w:r>
        <w:rPr/>
        <w:t>）债务人很可能倒闭或进行其他财务重组；</w:t>
      </w:r>
    </w:p>
    <w:p>
      <w:pPr>
        <w:pStyle w:val="BodyText"/>
        <w:spacing w:line="240" w:lineRule="auto" w:before="63"/>
        <w:ind w:left="804" w:right="0"/>
        <w:jc w:val="left"/>
      </w:pPr>
      <w:r>
        <w:rPr/>
        <w:t>（</w:t>
      </w:r>
      <w:r>
        <w:rPr>
          <w:rFonts w:ascii="Times New Roman" w:hAnsi="Times New Roman" w:cs="Times New Roman" w:eastAsia="Times New Roman" w:hint="default"/>
        </w:rPr>
        <w:t>5</w:t>
      </w:r>
      <w:r>
        <w:rPr/>
        <w:t>）因发行方发生重大财务困难，该金融资产无法在活跃市场继续交易；</w:t>
      </w:r>
    </w:p>
    <w:p>
      <w:pPr>
        <w:pStyle w:val="BodyText"/>
        <w:spacing w:line="309" w:lineRule="auto" w:before="63"/>
        <w:ind w:right="0" w:firstLine="691"/>
        <w:jc w:val="left"/>
      </w:pPr>
      <w:r>
        <w:rPr>
          <w:spacing w:val="-2"/>
        </w:rPr>
        <w:t>（</w:t>
      </w:r>
      <w:r>
        <w:rPr>
          <w:rFonts w:ascii="Times New Roman" w:hAnsi="Times New Roman" w:cs="Times New Roman" w:eastAsia="Times New Roman" w:hint="default"/>
          <w:spacing w:val="-2"/>
        </w:rPr>
        <w:t>6</w:t>
      </w:r>
      <w:r>
        <w:rPr>
          <w:spacing w:val="-2"/>
        </w:rPr>
        <w:t>）无法辨认一组金融资产中的某项资产的现金流量是否已经减少，但根据公开的数据对其进行总体评价后发现，</w:t>
      </w:r>
      <w:r>
        <w:rPr/>
        <w:t> </w:t>
      </w:r>
      <w:r>
        <w:rPr>
          <w:spacing w:val="-2"/>
        </w:rPr>
        <w:t>该组金融资产自初始确认以来的预计未来现金流量确已减少且可计量，如该组金融资产的债务人支付能力逐步恶化，或债务</w:t>
      </w:r>
      <w:r>
        <w:rPr>
          <w:spacing w:val="-64"/>
        </w:rPr>
        <w:t> </w:t>
      </w:r>
      <w:r>
        <w:rPr>
          <w:spacing w:val="-64"/>
        </w:rPr>
      </w:r>
      <w:r>
        <w:rPr/>
        <w:t>人所在国家或地区失业率提高、担保物在其所在地区的价格明显下降、所处行业不景气等；</w:t>
      </w:r>
    </w:p>
    <w:p>
      <w:pPr>
        <w:pStyle w:val="BodyText"/>
        <w:spacing w:line="300" w:lineRule="auto" w:before="24"/>
        <w:ind w:right="0" w:firstLine="691"/>
        <w:jc w:val="left"/>
      </w:pPr>
      <w:r>
        <w:rPr/>
        <w:t>（</w:t>
      </w:r>
      <w:r>
        <w:rPr>
          <w:rFonts w:ascii="Times New Roman" w:hAnsi="Times New Roman" w:cs="Times New Roman" w:eastAsia="Times New Roman" w:hint="default"/>
        </w:rPr>
        <w:t>7</w:t>
      </w:r>
      <w:r>
        <w:rPr/>
        <w:t>）权益工具发行方经营所处的技术、市场、经济或法律环境等发生重大不利变化，使权益工具投资人可能无法 收回投资成本；</w:t>
      </w:r>
    </w:p>
    <w:p>
      <w:pPr>
        <w:pStyle w:val="BodyText"/>
        <w:spacing w:line="300" w:lineRule="auto" w:before="31"/>
        <w:ind w:left="532" w:right="5473" w:firstLine="271"/>
        <w:jc w:val="left"/>
      </w:pPr>
      <w:r>
        <w:rPr/>
        <w:t>（</w:t>
      </w:r>
      <w:r>
        <w:rPr>
          <w:rFonts w:ascii="Times New Roman" w:hAnsi="Times New Roman" w:cs="Times New Roman" w:eastAsia="Times New Roman" w:hint="default"/>
        </w:rPr>
        <w:t>8</w:t>
      </w:r>
      <w:r>
        <w:rPr/>
        <w:t>）权益工具投资的公允价值发生严重或非暂时性下跌； 金融资产的具体减值方法如下：</w:t>
      </w:r>
    </w:p>
    <w:p>
      <w:pPr>
        <w:pStyle w:val="BodyText"/>
        <w:spacing w:line="240" w:lineRule="auto" w:before="31"/>
        <w:ind w:left="532" w:right="0"/>
        <w:jc w:val="left"/>
      </w:pPr>
      <w:r>
        <w:rPr/>
        <w:t>（</w:t>
      </w:r>
      <w:r>
        <w:rPr>
          <w:rFonts w:ascii="Times New Roman" w:hAnsi="Times New Roman" w:cs="Times New Roman" w:eastAsia="Times New Roman" w:hint="default"/>
        </w:rPr>
        <w:t>1</w:t>
      </w:r>
      <w:r>
        <w:rPr/>
        <w:t>）可供出售金融资产减值准备</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07" w:lineRule="auto" w:before="44"/>
        <w:ind w:right="0" w:firstLine="420"/>
        <w:jc w:val="left"/>
      </w:pPr>
      <w:r>
        <w:rPr/>
        <w:t>本公司于资产负债表日对各项可供出售权益工具投资单独进行检查，若该权益工具投资于资产负债表日的公允价值低 于其成本超过</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）或低于其成本持续时间超过一年（含一年）的，则表明其发生减值；若该权益工具投资于资产 </w:t>
      </w:r>
      <w:r>
        <w:rPr>
          <w:spacing w:val="-2"/>
        </w:rPr>
        <w:t>负债表日的公允价值低于其成本超过</w:t>
      </w:r>
      <w:r>
        <w:rPr>
          <w:rFonts w:ascii="Times New Roman" w:hAnsi="Times New Roman" w:cs="Times New Roman" w:eastAsia="Times New Roman" w:hint="default"/>
          <w:spacing w:val="-2"/>
        </w:rPr>
        <w:t>20%</w:t>
      </w:r>
      <w:r>
        <w:rPr>
          <w:spacing w:val="-2"/>
        </w:rPr>
        <w:t>（含</w:t>
      </w:r>
      <w:r>
        <w:rPr>
          <w:rFonts w:ascii="Times New Roman" w:hAnsi="Times New Roman" w:cs="Times New Roman" w:eastAsia="Times New Roman" w:hint="default"/>
          <w:spacing w:val="-2"/>
        </w:rPr>
        <w:t>20%</w:t>
      </w:r>
      <w:r>
        <w:rPr>
          <w:spacing w:val="-2"/>
        </w:rPr>
        <w:t>）但尚未达到</w:t>
      </w:r>
      <w:r>
        <w:rPr>
          <w:rFonts w:ascii="Times New Roman" w:hAnsi="Times New Roman" w:cs="Times New Roman" w:eastAsia="Times New Roman" w:hint="default"/>
          <w:spacing w:val="-2"/>
        </w:rPr>
        <w:t>50%</w:t>
      </w:r>
      <w:r>
        <w:rPr>
          <w:spacing w:val="-2"/>
        </w:rPr>
        <w:t>的，本公司会综合考虑其他相关因素诸如价格波动率等，</w:t>
      </w:r>
      <w:r>
        <w:rPr>
          <w:spacing w:val="-58"/>
        </w:rPr>
        <w:t> </w:t>
      </w:r>
      <w:r>
        <w:rPr>
          <w:spacing w:val="-58"/>
        </w:rPr>
      </w:r>
      <w:r>
        <w:rPr/>
        <w:t>判断该权益工具投资是否发生减值。</w:t>
      </w:r>
    </w:p>
    <w:p>
      <w:pPr>
        <w:pStyle w:val="BodyText"/>
        <w:spacing w:line="316" w:lineRule="auto" w:before="26"/>
        <w:ind w:right="1132" w:firstLine="420"/>
        <w:jc w:val="both"/>
      </w:pPr>
      <w:r>
        <w:rPr/>
        <w:t>上段所述成本按照可供出售权益工具投资的初始取得成本扣除已收回本金和已摊销金额、原已计入损益的减值损失确 </w:t>
      </w:r>
      <w:r>
        <w:rPr>
          <w:spacing w:val="-2"/>
        </w:rPr>
        <w:t>定；不存在活跃市场的可供出售权益工具投资的公允价值，按照类似金融资产当时市场收益率对未来现金流量折现确定的现</w:t>
      </w:r>
      <w:r>
        <w:rPr>
          <w:spacing w:val="-64"/>
        </w:rPr>
        <w:t> </w:t>
      </w:r>
      <w:r>
        <w:rPr>
          <w:spacing w:val="-64"/>
        </w:rPr>
      </w:r>
      <w:r>
        <w:rPr>
          <w:spacing w:val="-2"/>
        </w:rPr>
        <w:t>值确定；在活跃市场有报价的可供出售权益工具投资的公允价值根据证券交易所期末收盘价确定，除非该项可供出售权益工</w:t>
      </w:r>
      <w:r>
        <w:rPr>
          <w:spacing w:val="-64"/>
        </w:rPr>
        <w:t> </w:t>
      </w:r>
      <w:r>
        <w:rPr>
          <w:spacing w:val="-64"/>
        </w:rPr>
      </w:r>
      <w:r>
        <w:rPr>
          <w:spacing w:val="-2"/>
        </w:rPr>
        <w:t>具投资存在限售期。对于存在限售期的可供出售权益工具投资，按照证券交易所期末收盘价扣除市场参与者因承担指定期间</w:t>
      </w:r>
      <w:r>
        <w:rPr>
          <w:spacing w:val="-64"/>
        </w:rPr>
        <w:t> </w:t>
      </w:r>
      <w:r>
        <w:rPr>
          <w:spacing w:val="-64"/>
        </w:rPr>
      </w:r>
      <w:r>
        <w:rPr/>
        <w:t>内无法在公开市场上出售该权益工具的风险而要求获得的补偿金额后确定。</w:t>
      </w:r>
    </w:p>
    <w:p>
      <w:pPr>
        <w:pStyle w:val="BodyText"/>
        <w:spacing w:line="316" w:lineRule="auto" w:before="19"/>
        <w:ind w:right="1130" w:firstLine="420"/>
        <w:jc w:val="both"/>
      </w:pPr>
      <w:r>
        <w:rPr/>
        <w:t>可供出售金融资产发生减值时，即使该金融资产没有终止确认，本公司将原直接计入其他综合收益的因公允价值下降 </w:t>
      </w:r>
      <w:r>
        <w:rPr>
          <w:spacing w:val="-2"/>
        </w:rPr>
        <w:t>形成的累计损失从其他综合收益转出，计入当期损益。该转出的累计损失，等于可供出售金融资产的初始取得成本扣除已收</w:t>
      </w:r>
      <w:r>
        <w:rPr>
          <w:spacing w:val="-63"/>
        </w:rPr>
        <w:t> </w:t>
      </w:r>
      <w:r>
        <w:rPr>
          <w:spacing w:val="-63"/>
        </w:rPr>
      </w:r>
      <w:r>
        <w:rPr/>
        <w:t>回本金和已摊余金额、当前公允价值和原已计入损益的减值损失后的余额。</w:t>
      </w:r>
    </w:p>
    <w:p>
      <w:pPr>
        <w:pStyle w:val="BodyText"/>
        <w:spacing w:line="316" w:lineRule="auto" w:before="19"/>
        <w:ind w:right="1130" w:firstLine="420"/>
        <w:jc w:val="both"/>
      </w:pPr>
      <w:r>
        <w:rPr/>
        <w:t>对于已确认减值损失的可供出售债务工具，在随后的会计期间公允价值已上升且客观上与确认原减值损失后发生的事 </w:t>
      </w:r>
      <w:r>
        <w:rPr>
          <w:spacing w:val="-2"/>
        </w:rPr>
        <w:t>项有关的，原确认的减值损失予以转回计入当期损益；对于可供出售权益工具投资发生的减值损失，在该权益工具价值回升</w:t>
      </w:r>
      <w:r>
        <w:rPr>
          <w:spacing w:val="-63"/>
        </w:rPr>
        <w:t> </w:t>
      </w:r>
      <w:r>
        <w:rPr>
          <w:spacing w:val="-63"/>
        </w:rPr>
      </w:r>
      <w:r>
        <w:rPr>
          <w:spacing w:val="-2"/>
        </w:rPr>
        <w:t>时通过权益转回；但在活跃市场中没有报价且其公允价值不能可靠计量的权益工具投资，或与该权益工具挂钩并须通过交付</w:t>
      </w:r>
      <w:r>
        <w:rPr>
          <w:spacing w:val="-64"/>
        </w:rPr>
        <w:t> </w:t>
      </w:r>
      <w:r>
        <w:rPr>
          <w:spacing w:val="-64"/>
        </w:rPr>
      </w:r>
      <w:r>
        <w:rPr/>
        <w:t>该权益工具结算的衍生金融资产发生的减值损失，不得转回。</w:t>
      </w:r>
    </w:p>
    <w:p>
      <w:pPr>
        <w:pStyle w:val="BodyText"/>
        <w:spacing w:line="300" w:lineRule="auto" w:before="19"/>
        <w:ind w:left="532" w:right="0"/>
        <w:jc w:val="left"/>
      </w:pPr>
      <w:r>
        <w:rPr/>
        <w:t>（</w:t>
      </w:r>
      <w:r>
        <w:rPr>
          <w:rFonts w:ascii="Times New Roman" w:hAnsi="Times New Roman" w:cs="Times New Roman" w:eastAsia="Times New Roman" w:hint="default"/>
        </w:rPr>
        <w:t>2</w:t>
      </w:r>
      <w:r>
        <w:rPr/>
        <w:t>）持有至到期投资减值准备 对于持有至到期投资，有客观证据表明其发生了减值的，根据其账面价值与预计未来现金流量现值之间差额计算确认</w:t>
      </w:r>
    </w:p>
    <w:p>
      <w:pPr>
        <w:pStyle w:val="BodyText"/>
        <w:spacing w:line="316" w:lineRule="auto" w:before="31"/>
        <w:ind w:right="0"/>
        <w:jc w:val="left"/>
      </w:pPr>
      <w:r>
        <w:rPr>
          <w:spacing w:val="-2"/>
        </w:rPr>
        <w:t>减值损失；计提后如有证据表明其价值已恢复，原确认的减值损失可予以转回，记入当期损益，但该转回的账面价值不超过</w:t>
      </w:r>
      <w:r>
        <w:rPr>
          <w:spacing w:val="-64"/>
        </w:rPr>
        <w:t> </w:t>
      </w:r>
      <w:r>
        <w:rPr>
          <w:spacing w:val="-64"/>
        </w:rPr>
      </w:r>
      <w:r>
        <w:rPr/>
        <w:t>假定不计提减值准备情况下该金融资产在转回日的摊余成本。</w:t>
      </w:r>
    </w:p>
    <w:p>
      <w:pPr>
        <w:pStyle w:val="Heading5"/>
        <w:spacing w:line="284" w:lineRule="exact"/>
        <w:ind w:left="532" w:right="0"/>
        <w:jc w:val="left"/>
        <w:rPr>
          <w:b w:val="0"/>
          <w:bCs w:val="0"/>
        </w:rPr>
      </w:pPr>
      <w:r>
        <w:rPr>
          <w:rFonts w:ascii="Times New Roman" w:hAnsi="Times New Roman" w:cs="Times New Roman" w:eastAsia="Times New Roman" w:hint="default"/>
        </w:rPr>
        <w:t>7.</w:t>
      </w:r>
      <w:r>
        <w:rPr>
          <w:rFonts w:ascii="Times New Roman" w:hAnsi="Times New Roman" w:cs="Times New Roman" w:eastAsia="Times New Roman" w:hint="default"/>
          <w:spacing w:val="47"/>
        </w:rPr>
        <w:t> </w:t>
      </w:r>
      <w:r>
        <w:rPr/>
        <w:t>金融资产及金融负债的抵销</w:t>
      </w:r>
      <w:r>
        <w:rPr>
          <w:b w:val="0"/>
          <w:bCs w:val="0"/>
        </w:rPr>
      </w:r>
    </w:p>
    <w:p>
      <w:pPr>
        <w:pStyle w:val="BodyText"/>
        <w:spacing w:line="316" w:lineRule="auto" w:before="46"/>
        <w:ind w:right="1132" w:firstLine="420"/>
        <w:jc w:val="both"/>
      </w:pPr>
      <w:r>
        <w:rPr/>
        <w:t>金融资产和金融负债在资产负债表内分别列示，没有相互抵销。但是，同时满足下列条件的，以相互抵销后的净额在 资产负债表内列示：</w:t>
      </w:r>
    </w:p>
    <w:p>
      <w:pPr>
        <w:pStyle w:val="BodyText"/>
        <w:spacing w:line="240" w:lineRule="auto" w:before="19"/>
        <w:ind w:left="532" w:right="0"/>
        <w:jc w:val="left"/>
      </w:pPr>
      <w:r>
        <w:rPr/>
        <w:t>（</w:t>
      </w:r>
      <w:r>
        <w:rPr>
          <w:rFonts w:ascii="Times New Roman" w:hAnsi="Times New Roman" w:cs="Times New Roman" w:eastAsia="Times New Roman" w:hint="default"/>
        </w:rPr>
        <w:t>1</w:t>
      </w:r>
      <w:r>
        <w:rPr/>
        <w:t>）本公司具有抵销已确认金额的法定权利，且该种法定权利是当前可执行的；</w:t>
      </w:r>
    </w:p>
    <w:p>
      <w:pPr>
        <w:pStyle w:val="BodyText"/>
        <w:spacing w:line="240" w:lineRule="auto" w:before="63"/>
        <w:ind w:left="532" w:right="0"/>
        <w:jc w:val="left"/>
      </w:pPr>
      <w:r>
        <w:rPr/>
        <w:t>（</w:t>
      </w:r>
      <w:r>
        <w:rPr>
          <w:rFonts w:ascii="Times New Roman" w:hAnsi="Times New Roman" w:cs="Times New Roman" w:eastAsia="Times New Roman" w:hint="default"/>
        </w:rPr>
        <w:t>2</w:t>
      </w:r>
      <w:r>
        <w:rPr/>
        <w:t>）本公司计划以净额结算，或同时变现该金融资产和清偿该金融负债。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5"/>
        <w:spacing w:line="240" w:lineRule="auto"/>
        <w:ind w:right="0"/>
        <w:jc w:val="left"/>
        <w:rPr>
          <w:b w:val="0"/>
          <w:bCs w:val="0"/>
        </w:rPr>
      </w:pPr>
      <w:bookmarkStart w:name="11、应收票据及应收账款" w:id="180"/>
      <w:bookmarkEnd w:id="180"/>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单项金额重大并单独计提坏账准备的应收款项" w:id="181"/>
      <w:bookmarkEnd w:id="181"/>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70"/>
              <w:jc w:val="left"/>
              <w:rPr>
                <w:rFonts w:ascii="宋体" w:hAnsi="宋体" w:cs="宋体" w:eastAsia="宋体" w:hint="default"/>
                <w:sz w:val="18"/>
                <w:szCs w:val="18"/>
              </w:rPr>
            </w:pPr>
            <w:r>
              <w:rPr>
                <w:rFonts w:ascii="宋体" w:hAnsi="宋体" w:cs="宋体" w:eastAsia="宋体" w:hint="default"/>
                <w:sz w:val="18"/>
                <w:szCs w:val="18"/>
              </w:rPr>
              <w:t>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万元以上的应收款项，确定为单项金额重大的应 收款项。</w:t>
            </w:r>
          </w:p>
        </w:tc>
      </w:tr>
      <w:tr>
        <w:trPr>
          <w:trHeight w:val="102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0"/>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值的差额计提坏账准备，计入当期损益。单独测试未发生减 值的应收款项，将其归入相应组合计提坏账准备。</w:t>
            </w:r>
          </w:p>
        </w:tc>
      </w:tr>
    </w:tbl>
    <w:p>
      <w:pPr>
        <w:spacing w:line="240" w:lineRule="auto" w:before="3"/>
        <w:rPr>
          <w:rFonts w:ascii="宋体" w:hAnsi="宋体" w:cs="宋体" w:eastAsia="宋体" w:hint="default"/>
          <w:b/>
          <w:bCs/>
          <w:sz w:val="19"/>
          <w:szCs w:val="19"/>
        </w:rPr>
      </w:pPr>
    </w:p>
    <w:p>
      <w:pPr>
        <w:pStyle w:val="Heading5"/>
        <w:spacing w:line="240" w:lineRule="auto" w:before="34"/>
        <w:ind w:right="0"/>
        <w:jc w:val="left"/>
        <w:rPr>
          <w:b w:val="0"/>
          <w:bCs w:val="0"/>
        </w:rPr>
      </w:pPr>
      <w:bookmarkStart w:name="（2）按信用风险特征组合计提坏账准备的应收款项" w:id="182"/>
      <w:bookmarkEnd w:id="182"/>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0"/>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footerReference w:type="default" r:id="rId26"/>
          <w:pgSz w:w="11910" w:h="16840"/>
          <w:pgMar w:footer="978" w:header="746" w:top="1060" w:bottom="1160" w:left="1020" w:right="0"/>
          <w:pgNumType w:start="13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51"/>
        <w:ind w:right="0"/>
        <w:jc w:val="left"/>
      </w:pPr>
      <w:r>
        <w:rPr/>
        <w:t>组合中，采用余额百分比法计提坏账准备的：</w:t>
      </w:r>
    </w:p>
    <w:p>
      <w:pPr>
        <w:pStyle w:val="BodyText"/>
        <w:spacing w:line="338" w:lineRule="auto" w:before="117"/>
        <w:ind w:right="7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bookmarkStart w:name="（3）单项金额不重大但单独计提坏账准备的应收款项" w:id="183"/>
      <w:bookmarkEnd w:id="183"/>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70"/>
              <w:jc w:val="left"/>
              <w:rPr>
                <w:rFonts w:ascii="宋体" w:hAnsi="宋体" w:cs="宋体" w:eastAsia="宋体" w:hint="default"/>
                <w:sz w:val="18"/>
                <w:szCs w:val="18"/>
              </w:rPr>
            </w:pPr>
            <w:r>
              <w:rPr>
                <w:rFonts w:ascii="宋体" w:hAnsi="宋体" w:cs="宋体" w:eastAsia="宋体" w:hint="default"/>
                <w:sz w:val="18"/>
                <w:szCs w:val="18"/>
              </w:rPr>
              <w:t>存在客观证据表明本公司将无法按应收款项的原有条款收回 款项。</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根据应收款项的预计未来现金流量现值低于其账面价值的差 额进行计提。</w:t>
            </w:r>
          </w:p>
        </w:tc>
      </w:tr>
    </w:tbl>
    <w:p>
      <w:pPr>
        <w:spacing w:line="240" w:lineRule="auto" w:before="4"/>
        <w:rPr>
          <w:rFonts w:ascii="宋体" w:hAnsi="宋体" w:cs="宋体" w:eastAsia="宋体" w:hint="default"/>
          <w:b/>
          <w:bCs/>
          <w:sz w:val="19"/>
          <w:szCs w:val="19"/>
        </w:rPr>
      </w:pPr>
    </w:p>
    <w:p>
      <w:pPr>
        <w:pStyle w:val="Heading5"/>
        <w:spacing w:line="240" w:lineRule="auto" w:before="34"/>
        <w:ind w:right="0"/>
        <w:jc w:val="left"/>
        <w:rPr>
          <w:b w:val="0"/>
          <w:bCs w:val="0"/>
        </w:rPr>
      </w:pPr>
      <w:bookmarkStart w:name="12、存货" w:id="184"/>
      <w:bookmarkEnd w:id="184"/>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240" w:lineRule="auto" w:before="25"/>
        <w:ind w:right="0"/>
        <w:jc w:val="left"/>
      </w:pPr>
      <w:r>
        <w:rPr/>
        <w:t>软件与信息技术服务业</w:t>
      </w:r>
    </w:p>
    <w:p>
      <w:pPr>
        <w:pStyle w:val="BodyText"/>
        <w:spacing w:line="300" w:lineRule="auto" w:before="117"/>
        <w:ind w:left="532" w:right="1128"/>
        <w:jc w:val="left"/>
      </w:pPr>
      <w:r>
        <w:rPr>
          <w:rFonts w:ascii="Times New Roman" w:hAnsi="Times New Roman" w:cs="Times New Roman" w:eastAsia="Times New Roman" w:hint="default"/>
        </w:rPr>
        <w:t>1.</w:t>
      </w:r>
      <w:r>
        <w:rPr/>
        <w:t>存货的分类 存货是指本公司在日常活动中持有以备出售的产成品或商品、在制项目成本、在生产过程或提供劳务过程中耗用的材</w:t>
      </w:r>
    </w:p>
    <w:p>
      <w:pPr>
        <w:pStyle w:val="BodyText"/>
        <w:spacing w:line="240" w:lineRule="auto" w:before="31"/>
        <w:ind w:right="0"/>
        <w:jc w:val="left"/>
      </w:pPr>
      <w:r>
        <w:rPr/>
        <w:t>料和物料等。主要包括在制项目成本、原材料、库存商品等。</w:t>
      </w:r>
    </w:p>
    <w:p>
      <w:pPr>
        <w:pStyle w:val="BodyText"/>
        <w:spacing w:line="307" w:lineRule="auto" w:before="76"/>
        <w:ind w:left="532" w:right="1128"/>
        <w:jc w:val="left"/>
      </w:pPr>
      <w:r>
        <w:rPr>
          <w:rFonts w:ascii="Times New Roman" w:hAnsi="Times New Roman" w:cs="Times New Roman" w:eastAsia="Times New Roman" w:hint="default"/>
        </w:rPr>
        <w:t>2.</w:t>
      </w:r>
      <w:r>
        <w:rPr/>
        <w:t>存货的计价方法 存货在取得时，按成本进行初始计量，包括采购成本、加工成本和其他成本。存货发出时按个别认定法计价。 </w:t>
      </w:r>
      <w:r>
        <w:rPr>
          <w:rFonts w:ascii="Times New Roman" w:hAnsi="Times New Roman" w:cs="Times New Roman" w:eastAsia="Times New Roman" w:hint="default"/>
        </w:rPr>
        <w:t>3.</w:t>
      </w:r>
      <w:r>
        <w:rPr/>
        <w:t>存货可变现净值的确定依据及存货跌价准备的计提方法 期末对存货进行全面清查后，按存货的成本与可变现净值孰低提取或调整存货跌价准备。产成品、库存商品和用于出</w:t>
      </w:r>
    </w:p>
    <w:p>
      <w:pPr>
        <w:pStyle w:val="BodyText"/>
        <w:spacing w:line="316" w:lineRule="auto" w:before="26"/>
        <w:ind w:right="0"/>
        <w:jc w:val="left"/>
      </w:pPr>
      <w:r>
        <w:rPr>
          <w:spacing w:val="-2"/>
        </w:rPr>
        <w:t>售的材料等直接用于出售的商品存货，在正常生产经营过程中，以该存货的估计售价减去估计的销售费用和相关税费后的金</w:t>
      </w:r>
      <w:r>
        <w:rPr>
          <w:spacing w:val="-64"/>
        </w:rPr>
        <w:t> </w:t>
      </w:r>
      <w:r>
        <w:rPr>
          <w:spacing w:val="-64"/>
        </w:rPr>
      </w:r>
      <w:r>
        <w:rPr>
          <w:spacing w:val="-2"/>
        </w:rPr>
        <w:t>额，确定其可变现净值；需要经过加工的材料存货，在正常生产经营过程中，以所生产的产成品的估计售价减去至完工时估</w:t>
      </w:r>
      <w:r>
        <w:rPr>
          <w:spacing w:val="-64"/>
        </w:rPr>
        <w:t> </w:t>
      </w:r>
      <w:r>
        <w:rPr>
          <w:spacing w:val="-64"/>
        </w:rPr>
      </w:r>
      <w:r>
        <w:rPr>
          <w:spacing w:val="-4"/>
        </w:rPr>
        <w:t>计将要发生的成本、估计的销售费用和相关税费后的金额，确定其可变现净值；为执行销售合同或者劳务合同而持有的存货，</w:t>
      </w:r>
      <w:r>
        <w:rPr>
          <w:spacing w:val="-40"/>
        </w:rPr>
        <w:t> </w:t>
      </w:r>
      <w:r>
        <w:rPr>
          <w:spacing w:val="-40"/>
        </w:rPr>
      </w:r>
      <w:r>
        <w:rPr>
          <w:spacing w:val="-2"/>
        </w:rPr>
        <w:t>其可变现净值以合同价格为基础计算，若持有存货的数量多于销售合同订购数量的，超出部分的存货的可变现净值以一般销</w:t>
      </w:r>
      <w:r>
        <w:rPr>
          <w:spacing w:val="-64"/>
        </w:rPr>
        <w:t> </w:t>
      </w:r>
      <w:r>
        <w:rPr>
          <w:spacing w:val="-64"/>
        </w:rPr>
      </w:r>
      <w:r>
        <w:rPr/>
        <w:t>售价格为基础计算。</w:t>
      </w:r>
    </w:p>
    <w:p>
      <w:pPr>
        <w:pStyle w:val="BodyText"/>
        <w:spacing w:line="316" w:lineRule="auto" w:before="19"/>
        <w:ind w:right="1130" w:firstLine="420"/>
        <w:jc w:val="both"/>
      </w:pPr>
      <w:r>
        <w:rPr/>
        <w:t>期末按照单个存货项目计提存货跌价准备；但对于数量繁多、单价较低的存货，按照存货类别计提存货跌价准备；与 </w:t>
      </w:r>
      <w:r>
        <w:rPr>
          <w:spacing w:val="-2"/>
        </w:rPr>
        <w:t>在同一地区生产和销售的产品系列相关、具有相同或类似最终用途或目的，且难以与其他项目分开计量的存货，则合并计提</w:t>
      </w:r>
      <w:r>
        <w:rPr>
          <w:spacing w:val="-63"/>
        </w:rPr>
        <w:t> </w:t>
      </w:r>
      <w:r>
        <w:rPr>
          <w:spacing w:val="-63"/>
        </w:rPr>
      </w:r>
      <w:r>
        <w:rPr/>
        <w:t>存货跌价准备。</w:t>
      </w:r>
    </w:p>
    <w:p>
      <w:pPr>
        <w:pStyle w:val="BodyText"/>
        <w:spacing w:line="316" w:lineRule="auto" w:before="19"/>
        <w:ind w:right="1132" w:firstLine="420"/>
        <w:jc w:val="both"/>
      </w:pPr>
      <w:r>
        <w:rPr/>
        <w:t>以前减记存货价值的影响因素已经消失的，减记的金额予以恢复，并在原已计提的存货跌价准备金额内转回，转回的 金额计入当期损益。</w:t>
      </w:r>
    </w:p>
    <w:p>
      <w:pPr>
        <w:spacing w:after="0" w:line="316" w:lineRule="auto"/>
        <w:jc w:val="both"/>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00" w:lineRule="auto" w:before="44"/>
        <w:ind w:left="532" w:right="8939"/>
        <w:jc w:val="left"/>
      </w:pPr>
      <w:r>
        <w:rPr>
          <w:rFonts w:ascii="Times New Roman" w:hAnsi="Times New Roman" w:cs="Times New Roman" w:eastAsia="Times New Roman" w:hint="default"/>
        </w:rPr>
        <w:t>4.</w:t>
      </w:r>
      <w:r>
        <w:rPr/>
        <w:t>存货的盘存制度 采用永续盘存制</w:t>
      </w:r>
    </w:p>
    <w:p>
      <w:pPr>
        <w:pStyle w:val="BodyText"/>
        <w:spacing w:line="300" w:lineRule="auto" w:before="31"/>
        <w:ind w:left="532" w:right="7679"/>
        <w:jc w:val="left"/>
      </w:pPr>
      <w:r>
        <w:rPr>
          <w:rFonts w:ascii="Times New Roman" w:hAnsi="Times New Roman" w:cs="Times New Roman" w:eastAsia="Times New Roman" w:hint="default"/>
        </w:rPr>
        <w:t>5.</w:t>
      </w:r>
      <w:r>
        <w:rPr/>
        <w:t>低值易耗品和包装物的摊销方法 低值易耗品采用一次转销法；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7"/>
          <w:szCs w:val="17"/>
        </w:rPr>
      </w:pPr>
    </w:p>
    <w:p>
      <w:pPr>
        <w:pStyle w:val="Heading5"/>
        <w:spacing w:line="240" w:lineRule="auto"/>
        <w:ind w:right="0"/>
        <w:jc w:val="left"/>
        <w:rPr>
          <w:b w:val="0"/>
          <w:bCs w:val="0"/>
        </w:rPr>
      </w:pPr>
      <w:bookmarkStart w:name="13、持有待售资产" w:id="185"/>
      <w:bookmarkEnd w:id="185"/>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595"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划分为持有待售确认标准</w:t>
      </w:r>
      <w:r>
        <w:rPr>
          <w:b w:val="0"/>
          <w:bCs w:val="0"/>
        </w:rPr>
      </w:r>
    </w:p>
    <w:p>
      <w:pPr>
        <w:pStyle w:val="BodyText"/>
        <w:spacing w:line="240" w:lineRule="auto" w:before="46"/>
        <w:ind w:left="532" w:right="0"/>
        <w:jc w:val="left"/>
      </w:pPr>
      <w:r>
        <w:rPr/>
        <w:t>本公司将同时满足下列条件的非流动资产或处置组确认为持有待售组成部分：</w:t>
      </w:r>
    </w:p>
    <w:p>
      <w:pPr>
        <w:pStyle w:val="BodyText"/>
        <w:spacing w:line="240" w:lineRule="auto" w:before="76"/>
        <w:ind w:left="532" w:right="0"/>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00" w:lineRule="auto" w:before="63"/>
        <w:ind w:left="532" w:right="1064"/>
        <w:jc w:val="left"/>
      </w:pPr>
      <w:r>
        <w:rPr/>
        <w:t>（</w:t>
      </w:r>
      <w:r>
        <w:rPr>
          <w:rFonts w:ascii="Times New Roman" w:hAnsi="Times New Roman" w:cs="Times New Roman" w:eastAsia="Times New Roman" w:hint="default"/>
        </w:rPr>
        <w:t>2</w:t>
      </w:r>
      <w:r>
        <w:rPr/>
        <w:t>）出售极可能发生，即本公司已经就一项出售计划作出决议，且获得确定的购买承诺，预计出售将在一年内完成。 确定的购买承诺，是指本公司与其他方签订的具有法律约束力的购买协议，该协议包含交易价格、时间和足够严厉的</w:t>
      </w:r>
    </w:p>
    <w:p>
      <w:pPr>
        <w:pStyle w:val="BodyText"/>
        <w:spacing w:line="240" w:lineRule="auto" w:before="31"/>
        <w:ind w:right="0"/>
        <w:jc w:val="left"/>
      </w:pPr>
      <w:r>
        <w:rPr/>
        <w:t>违约惩罚等重要条款，使协议出现重大调整或者撤销的可能性极小。</w:t>
      </w:r>
    </w:p>
    <w:p>
      <w:pPr>
        <w:pStyle w:val="Heading5"/>
        <w:spacing w:line="240" w:lineRule="auto" w:before="51"/>
        <w:ind w:left="638"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7"/>
        </w:rPr>
        <w:t> </w:t>
      </w:r>
      <w:r>
        <w:rPr/>
        <w:t>持有待售核算方法</w:t>
      </w:r>
      <w:r>
        <w:rPr>
          <w:b w:val="0"/>
          <w:bCs w:val="0"/>
        </w:rPr>
      </w:r>
    </w:p>
    <w:p>
      <w:pPr>
        <w:pStyle w:val="BodyText"/>
        <w:spacing w:line="316" w:lineRule="auto" w:before="46"/>
        <w:ind w:right="1130" w:firstLine="420"/>
        <w:jc w:val="both"/>
      </w:pPr>
      <w:r>
        <w:rPr/>
        <w:t>本公司对于持有待售的非流动资产或处置组不计提折旧或摊销，其账面价值高于公允价值减去出售费用后的净额的， </w:t>
      </w:r>
      <w:r>
        <w:rPr>
          <w:spacing w:val="-2"/>
        </w:rPr>
        <w:t>应当将账面价值减记至公允价值减去出售费用后的净额，减记的金额确认为资产减值损失，计入当期损益，同时计提持有待</w:t>
      </w:r>
      <w:r>
        <w:rPr>
          <w:spacing w:val="-63"/>
        </w:rPr>
        <w:t> </w:t>
      </w:r>
      <w:r>
        <w:rPr>
          <w:spacing w:val="-63"/>
        </w:rPr>
      </w:r>
      <w:r>
        <w:rPr/>
        <w:t>售资产减值准备。</w:t>
      </w:r>
    </w:p>
    <w:p>
      <w:pPr>
        <w:pStyle w:val="BodyText"/>
        <w:spacing w:line="316" w:lineRule="auto" w:before="19"/>
        <w:ind w:right="1132" w:firstLine="420"/>
        <w:jc w:val="both"/>
      </w:pPr>
      <w:r>
        <w:rPr/>
        <w:t>对于取得日划分为持有待售类别的非流动资产或处置组，在初始计量时比较假定其不划分为持有待售类别情况下的初 始计量金额和公允价值减去出售费用后的净额，以两者孰低计量。</w:t>
      </w:r>
    </w:p>
    <w:p>
      <w:pPr>
        <w:pStyle w:val="BodyText"/>
        <w:spacing w:line="316" w:lineRule="auto" w:before="19"/>
        <w:ind w:right="1130" w:firstLine="420"/>
        <w:jc w:val="both"/>
      </w:pPr>
      <w:r>
        <w:rPr/>
        <w:t>上述原则适用于所有非流动资产，但不包括采用公允价值模式进行后续计量的投资性房地产、采用公允价值减去出售 </w:t>
      </w:r>
      <w:r>
        <w:rPr>
          <w:spacing w:val="-2"/>
        </w:rPr>
        <w:t>费用后的净额计量的生物资产、职工薪酬形成的资产、递延所得税资产、由金融工具相关会计准则规范的金融资产、由保险</w:t>
      </w:r>
      <w:r>
        <w:rPr>
          <w:spacing w:val="-64"/>
        </w:rPr>
        <w:t> </w:t>
      </w:r>
      <w:r>
        <w:rPr>
          <w:spacing w:val="-64"/>
        </w:rPr>
      </w:r>
      <w:r>
        <w:rPr/>
        <w:t>合同相关会计准则规范的保险合同所产生的权利。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6"/>
        <w:ind w:right="0"/>
        <w:jc w:val="left"/>
        <w:rPr>
          <w:b w:val="0"/>
          <w:bCs w:val="0"/>
        </w:rPr>
      </w:pPr>
      <w:bookmarkStart w:name="14、长期股权投资" w:id="186"/>
      <w:bookmarkEnd w:id="186"/>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595"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47"/>
        </w:rPr>
        <w:t> </w:t>
      </w:r>
      <w:r>
        <w:rPr/>
        <w:t>初始投资成本的确定</w:t>
      </w:r>
      <w:r>
        <w:rPr>
          <w:b w:val="0"/>
          <w:bCs w:val="0"/>
        </w:rPr>
      </w:r>
    </w:p>
    <w:p>
      <w:pPr>
        <w:pStyle w:val="BodyText"/>
        <w:spacing w:line="300" w:lineRule="auto" w:before="44"/>
        <w:ind w:right="1132" w:firstLine="420"/>
        <w:jc w:val="both"/>
      </w:pPr>
      <w:r>
        <w:rPr>
          <w:spacing w:val="-1"/>
        </w:rPr>
        <w:t>（</w:t>
      </w:r>
      <w:r>
        <w:rPr>
          <w:rFonts w:ascii="Times New Roman" w:hAnsi="Times New Roman" w:cs="Times New Roman" w:eastAsia="Times New Roman" w:hint="default"/>
          <w:spacing w:val="-1"/>
        </w:rPr>
        <w:t>1</w:t>
      </w:r>
      <w:r>
        <w:rPr>
          <w:spacing w:val="-1"/>
        </w:rPr>
        <w:t>）企业合并形成的长期股权投资，具体会计政策详见本附注四／（五）同一控制下和非同一控制下企业合并的会计</w:t>
      </w:r>
      <w:r>
        <w:rPr/>
        <w:t> 处理方法</w:t>
      </w:r>
    </w:p>
    <w:p>
      <w:pPr>
        <w:pStyle w:val="BodyText"/>
        <w:spacing w:line="300" w:lineRule="auto" w:before="31"/>
        <w:ind w:left="532" w:right="0"/>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以支付现金方式取得的长期股权投资，按照实际支付的购买价款作为初始投资成本。初始投资成本包括与取得长期股</w:t>
      </w:r>
    </w:p>
    <w:p>
      <w:pPr>
        <w:pStyle w:val="BodyText"/>
        <w:spacing w:line="316" w:lineRule="auto" w:before="31"/>
        <w:ind w:left="532" w:right="0" w:hanging="420"/>
        <w:jc w:val="left"/>
      </w:pPr>
      <w:r>
        <w:rPr/>
        <w:t>权投资直接相关的费用、税金及其他必要支出。 以发行权益性证券取得的长期股权投资，按照发行权益性证券的公允价值作为初始投资成本；发行或取得自身权益工</w:t>
      </w:r>
    </w:p>
    <w:p>
      <w:pPr>
        <w:pStyle w:val="BodyText"/>
        <w:spacing w:line="316" w:lineRule="auto" w:before="19"/>
        <w:ind w:left="532" w:right="0" w:hanging="420"/>
        <w:jc w:val="left"/>
      </w:pPr>
      <w:r>
        <w:rPr/>
        <w:t>具时发生的交易费用，可直接归属于权益性交易的从权益中扣减。 在非货币性资产交换具备商业实质和换入资产或换出资产的公允价值能够可靠计量的前提下，非货币性资产交换换入</w:t>
      </w:r>
    </w:p>
    <w:p>
      <w:pPr>
        <w:pStyle w:val="BodyText"/>
        <w:spacing w:line="316" w:lineRule="auto" w:before="19"/>
        <w:ind w:right="0"/>
        <w:jc w:val="left"/>
      </w:pPr>
      <w:r>
        <w:rPr>
          <w:spacing w:val="-2"/>
        </w:rPr>
        <w:t>的长期股权投资以换出资产的公允价值为基础确定其初始投资成本，除非有确凿证据表明换入资产的公允价值更加可靠；不</w:t>
      </w:r>
      <w:r>
        <w:rPr>
          <w:spacing w:val="-64"/>
        </w:rPr>
        <w:t> </w:t>
      </w:r>
      <w:r>
        <w:rPr>
          <w:spacing w:val="-64"/>
        </w:rPr>
      </w:r>
      <w:r>
        <w:rPr/>
        <w:t>满足上述前提的非货币性资产交换，以换出资产的账面价值和应支付的相关税费作为换入长期股权投资的初始投资成本。</w:t>
      </w:r>
    </w:p>
    <w:p>
      <w:pPr>
        <w:pStyle w:val="BodyText"/>
        <w:spacing w:line="240" w:lineRule="auto" w:before="19"/>
        <w:ind w:left="532" w:right="0"/>
        <w:jc w:val="left"/>
      </w:pPr>
      <w:r>
        <w:rPr/>
        <w:t>通过债务重组取得的长期股权投资，其初始投资成本按照公允价值为基础确定。</w:t>
      </w:r>
    </w:p>
    <w:p>
      <w:pPr>
        <w:pStyle w:val="Heading5"/>
        <w:spacing w:line="240" w:lineRule="auto" w:before="53"/>
        <w:ind w:left="595"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7"/>
        </w:rPr>
        <w:t> </w:t>
      </w:r>
      <w:r>
        <w:rPr/>
        <w:t>后续计量及损益确认</w:t>
      </w:r>
      <w:r>
        <w:rPr>
          <w:b w:val="0"/>
          <w:bCs w:val="0"/>
        </w:rPr>
      </w:r>
    </w:p>
    <w:p>
      <w:pPr>
        <w:pStyle w:val="BodyText"/>
        <w:spacing w:line="300" w:lineRule="auto" w:before="44"/>
        <w:ind w:left="532" w:right="1128"/>
        <w:jc w:val="left"/>
      </w:pPr>
      <w:r>
        <w:rPr/>
        <w:t>（</w:t>
      </w:r>
      <w:r>
        <w:rPr>
          <w:rFonts w:ascii="Times New Roman" w:hAnsi="Times New Roman" w:cs="Times New Roman" w:eastAsia="Times New Roman" w:hint="default"/>
        </w:rPr>
        <w:t>1</w:t>
      </w:r>
      <w:r>
        <w:rPr/>
        <w:t>）成本法 本公司能够对被投资单位实施控制的长期股权投资采用成本法核算，并按照初始投资成本计价，追加或收回投资调整</w:t>
      </w:r>
    </w:p>
    <w:p>
      <w:pPr>
        <w:pStyle w:val="BodyText"/>
        <w:spacing w:line="316" w:lineRule="auto" w:before="31"/>
        <w:ind w:left="532" w:right="0" w:hanging="420"/>
        <w:jc w:val="left"/>
      </w:pPr>
      <w:r>
        <w:rPr/>
        <w:t>长期股权投资的成本。 除取得投资时实际支付的价款或对价中包含的已宣告但尚未发放的现金股利或利润外，本公司按照享有被投资单位宣</w:t>
      </w:r>
    </w:p>
    <w:p>
      <w:pPr>
        <w:spacing w:after="0" w:line="316"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告分派的现金股利或利润确认为当期投资收益。</w:t>
      </w:r>
    </w:p>
    <w:p>
      <w:pPr>
        <w:pStyle w:val="BodyText"/>
        <w:spacing w:line="300" w:lineRule="auto" w:before="76"/>
        <w:ind w:left="532" w:right="1128"/>
        <w:jc w:val="left"/>
      </w:pPr>
      <w:r>
        <w:rPr/>
        <w:t>（</w:t>
      </w:r>
      <w:r>
        <w:rPr>
          <w:rFonts w:ascii="Times New Roman" w:hAnsi="Times New Roman" w:cs="Times New Roman" w:eastAsia="Times New Roman" w:hint="default"/>
        </w:rPr>
        <w:t>2</w:t>
      </w:r>
      <w:r>
        <w:rPr/>
        <w:t>）权益法 本公司对联营企业和合营企业的长期股权投资采用权益法核算；对于其中一部分通过风险投资机构、共同基金、信托</w:t>
      </w:r>
    </w:p>
    <w:p>
      <w:pPr>
        <w:pStyle w:val="BodyText"/>
        <w:spacing w:line="316" w:lineRule="auto" w:before="31"/>
        <w:ind w:left="532" w:right="0" w:hanging="420"/>
        <w:jc w:val="left"/>
      </w:pPr>
      <w:r>
        <w:rPr/>
        <w:t>公司或包括投连险基金在内的类似主体间接持有的联营企业的权益性投资，采用公允价值计量且其变动计入损益。 长期股权投资的初始投资成本大于投资时应享有被投资单位可辨认净资产公允价值份额的差额，不调整长期股权投资</w:t>
      </w:r>
    </w:p>
    <w:p>
      <w:pPr>
        <w:pStyle w:val="BodyText"/>
        <w:spacing w:line="316" w:lineRule="auto" w:before="19"/>
        <w:ind w:left="532" w:right="0" w:hanging="420"/>
        <w:jc w:val="left"/>
      </w:pPr>
      <w:r>
        <w:rPr/>
        <w:t>的初始投资成本；初始投资成本小于投资时应享有被投资单位可辨认净资产公允价值份额的差额，计入当期损益。 本公司取得长期股权投资后，按照应享有或应分担的被投资单位实现的净损益和其他综合收益的份额，分别确认投资</w:t>
      </w:r>
    </w:p>
    <w:p>
      <w:pPr>
        <w:pStyle w:val="BodyText"/>
        <w:spacing w:line="316" w:lineRule="auto" w:before="19"/>
        <w:ind w:right="0"/>
        <w:jc w:val="left"/>
      </w:pPr>
      <w:r>
        <w:rPr>
          <w:spacing w:val="-4"/>
        </w:rPr>
        <w:t>收益和其他综合收益，同时调整长期股权投资的账面价值；并按照被投资单位宣告分派的利润或现金股利计算应享有的部分，</w:t>
      </w:r>
      <w:r>
        <w:rPr>
          <w:spacing w:val="-41"/>
        </w:rPr>
        <w:t> </w:t>
      </w:r>
      <w:r>
        <w:rPr>
          <w:spacing w:val="-41"/>
        </w:rPr>
      </w:r>
      <w:r>
        <w:rPr>
          <w:spacing w:val="-2"/>
        </w:rPr>
        <w:t>相应减少长期股权投资的账面价值；对于被投资单位除净损益、其他综合收益和利润分配以外所有者权益的其他变动，调整</w:t>
      </w:r>
      <w:r>
        <w:rPr>
          <w:spacing w:val="-63"/>
        </w:rPr>
        <w:t> </w:t>
      </w:r>
      <w:r>
        <w:rPr>
          <w:spacing w:val="-63"/>
        </w:rPr>
      </w:r>
      <w:r>
        <w:rPr/>
        <w:t>长期股权投资的账面价值并计入所有者权益。</w:t>
      </w:r>
    </w:p>
    <w:p>
      <w:pPr>
        <w:pStyle w:val="BodyText"/>
        <w:spacing w:line="316" w:lineRule="auto" w:before="19"/>
        <w:ind w:right="1132" w:firstLine="420"/>
        <w:jc w:val="both"/>
      </w:pPr>
      <w:r>
        <w:rPr/>
        <w:t>本公司在确认应享有被投资单位净损益的份额时，以取得投资时被投资单位各项可辨认资产等的公允价值为基础，对 </w:t>
      </w:r>
      <w:r>
        <w:rPr>
          <w:spacing w:val="-2"/>
        </w:rPr>
        <w:t>被投资单位的净利润进行调整后确认。本公司与联营企业、合营企业之间发生的未实现内部交易损益按照应享有的比例计算</w:t>
      </w:r>
      <w:r>
        <w:rPr>
          <w:spacing w:val="-64"/>
        </w:rPr>
        <w:t> </w:t>
      </w:r>
      <w:r>
        <w:rPr>
          <w:spacing w:val="-64"/>
        </w:rPr>
      </w:r>
      <w:r>
        <w:rPr/>
        <w:t>归属于本公司的部分予以抵销，在此基础上确认投资损益。</w:t>
      </w:r>
    </w:p>
    <w:p>
      <w:pPr>
        <w:pStyle w:val="BodyText"/>
        <w:spacing w:line="316" w:lineRule="auto" w:before="19"/>
        <w:ind w:right="1130" w:firstLine="420"/>
        <w:jc w:val="both"/>
      </w:pPr>
      <w:r>
        <w:rPr/>
        <w:t>本公司确认应分担被投资单位发生的亏损时，按照以下顺序进行处理：首先，冲减长期股权投资的账面价值。其次， 长期股权投资的账面价值不足以冲减的，以其他实质上构成对被投资单位净投资的长期权益账面价值为限继续确认投资损</w:t>
      </w:r>
      <w:r>
        <w:rPr>
          <w:spacing w:val="-9"/>
        </w:rPr>
        <w:t> </w:t>
      </w:r>
      <w:r>
        <w:rPr>
          <w:spacing w:val="-9"/>
        </w:rPr>
      </w:r>
      <w:r>
        <w:rPr>
          <w:spacing w:val="-2"/>
        </w:rPr>
        <w:t>失，冲减长期应收项目等的账面价值。最后，经过上述处理，按照投资合同或协议约定企业仍承担额外义务的，按预计承担</w:t>
      </w:r>
      <w:r>
        <w:rPr>
          <w:spacing w:val="-63"/>
        </w:rPr>
        <w:t> </w:t>
      </w:r>
      <w:r>
        <w:rPr>
          <w:spacing w:val="-63"/>
        </w:rPr>
      </w:r>
      <w:r>
        <w:rPr/>
        <w:t>的义务确认预计负债，计入当期投资损失。</w:t>
      </w:r>
    </w:p>
    <w:p>
      <w:pPr>
        <w:pStyle w:val="BodyText"/>
        <w:spacing w:line="316" w:lineRule="auto" w:before="19"/>
        <w:ind w:right="1132" w:firstLine="420"/>
        <w:jc w:val="both"/>
      </w:pPr>
      <w:r>
        <w:rPr/>
        <w:t>被投资单位以后期间实现盈利的，公司在扣除未确认的亏损分担额后，按与上述相反的顺序处理，减记已确认预计负 债的账面余额、恢复其他实质上构成对被投资单位净投资的长期权益及长期股权投资的账面价值后，恢复确认投资收益。</w:t>
      </w:r>
    </w:p>
    <w:p>
      <w:pPr>
        <w:pStyle w:val="Heading5"/>
        <w:spacing w:line="284" w:lineRule="exact"/>
        <w:ind w:left="532" w:right="0"/>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长期股权投资核算方法的转换</w:t>
      </w:r>
      <w:r>
        <w:rPr>
          <w:b w:val="0"/>
          <w:bCs w:val="0"/>
        </w:rPr>
      </w:r>
    </w:p>
    <w:p>
      <w:pPr>
        <w:pStyle w:val="BodyText"/>
        <w:spacing w:line="300" w:lineRule="auto" w:before="46"/>
        <w:ind w:left="532" w:right="0" w:firstLine="420"/>
        <w:jc w:val="left"/>
      </w:pPr>
      <w:r>
        <w:rPr/>
        <w:t>（</w:t>
      </w:r>
      <w:r>
        <w:rPr>
          <w:rFonts w:ascii="Times New Roman" w:hAnsi="Times New Roman" w:cs="Times New Roman" w:eastAsia="Times New Roman" w:hint="default"/>
        </w:rPr>
        <w:t>1</w:t>
      </w:r>
      <w:r>
        <w:rPr/>
        <w:t>）公允价值计量转权益法核算 本公司原持有的对被投资单位不具有控制、共同控制或重大影响的按金融工具确认和计量准则进行会计处理的权益性</w:t>
      </w:r>
    </w:p>
    <w:p>
      <w:pPr>
        <w:pStyle w:val="BodyText"/>
        <w:spacing w:line="300" w:lineRule="auto" w:before="31"/>
        <w:ind w:right="1034"/>
        <w:jc w:val="left"/>
      </w:pPr>
      <w:r>
        <w:rPr>
          <w:spacing w:val="-2"/>
        </w:rPr>
        <w:t>投资，因追加投资等原因能够对被投资单位施加重大影响或实施共同控制但不构成控制的，按照《企业会计准则第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7"/>
        </w:rPr>
        <w:t> </w:t>
      </w:r>
      <w:r>
        <w:rPr/>
        <w:t>金融工具确认和计量》确定的原持有的股权投资的公允价值加上新增投资成本之和，作为改按权益法核算的初始投资成本。</w:t>
      </w:r>
    </w:p>
    <w:p>
      <w:pPr>
        <w:pStyle w:val="BodyText"/>
        <w:spacing w:line="316" w:lineRule="auto" w:before="31"/>
        <w:ind w:right="1132" w:firstLine="420"/>
        <w:jc w:val="both"/>
      </w:pPr>
      <w:r>
        <w:rPr/>
        <w:t>原持有的股权投资分类为可供出售金融资产的，其公允价值与账面价值之间的差额，以及原计入其他综合收益的累计 公允价值变动转入改按权益法核算的当期损益。</w:t>
      </w:r>
    </w:p>
    <w:p>
      <w:pPr>
        <w:pStyle w:val="BodyText"/>
        <w:spacing w:line="316" w:lineRule="auto" w:before="19"/>
        <w:ind w:right="1132" w:firstLine="420"/>
        <w:jc w:val="both"/>
      </w:pPr>
      <w:r>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p>
    <w:p>
      <w:pPr>
        <w:pStyle w:val="BodyText"/>
        <w:spacing w:line="300" w:lineRule="auto" w:before="19"/>
        <w:ind w:left="532" w:right="0" w:firstLine="360"/>
        <w:jc w:val="left"/>
      </w:pPr>
      <w:r>
        <w:rPr/>
        <w:t>（</w:t>
      </w:r>
      <w:r>
        <w:rPr>
          <w:rFonts w:ascii="Times New Roman" w:hAnsi="Times New Roman" w:cs="Times New Roman" w:eastAsia="Times New Roman" w:hint="default"/>
        </w:rPr>
        <w:t>2</w:t>
      </w:r>
      <w:r>
        <w:rPr/>
        <w:t>）公允价值计量或权益法核算转成本法核算 本公司原持有的对被投资单位不具有控制、共同控制或重大影响的按金融工具确认和计量准则进行会计处理的权益性</w:t>
      </w:r>
    </w:p>
    <w:p>
      <w:pPr>
        <w:pStyle w:val="BodyText"/>
        <w:spacing w:line="316" w:lineRule="auto" w:before="31"/>
        <w:ind w:right="1034"/>
        <w:jc w:val="left"/>
      </w:pPr>
      <w:r>
        <w:rPr/>
        <w:t>投资，或原持有对联营企业、合营企业的长期股权投资，因追加投资等原因能够对非同一控制下的被投资单位实施控制的， 在编制个别财务报表时，按照原持有的股权投资账面价值加上新增投资成本之和，作为改按成本法核算的初始投资成本。</w:t>
      </w:r>
    </w:p>
    <w:p>
      <w:pPr>
        <w:pStyle w:val="BodyText"/>
        <w:spacing w:line="316" w:lineRule="auto" w:before="19"/>
        <w:ind w:right="1132" w:firstLine="420"/>
        <w:jc w:val="both"/>
      </w:pPr>
      <w:r>
        <w:rPr/>
        <w:t>购买日之前持有的股权投资因采用权益法核算而确认的其他综合收益，在处置该项投资时采用与被投资单位直接处置 相关资产或负债相同的基础进行会计处理。</w:t>
      </w:r>
    </w:p>
    <w:p>
      <w:pPr>
        <w:pStyle w:val="BodyText"/>
        <w:spacing w:line="300" w:lineRule="auto" w:before="19"/>
        <w:ind w:right="1132" w:firstLine="420"/>
        <w:jc w:val="both"/>
      </w:pPr>
      <w:r>
        <w:rPr/>
        <w:t>购买日之前持有的股权投资按照《企业会计准则第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金融工具确认和计量》的有关规定进行会计处理的，原计 入其他综合收益的累计公允价值变动在改按成本法核算时转入当期损益。</w:t>
      </w:r>
    </w:p>
    <w:p>
      <w:pPr>
        <w:pStyle w:val="BodyText"/>
        <w:spacing w:line="300" w:lineRule="auto" w:before="31"/>
        <w:ind w:left="532" w:right="0" w:firstLine="271"/>
        <w:jc w:val="left"/>
      </w:pPr>
      <w:r>
        <w:rPr/>
        <w:t>（</w:t>
      </w:r>
      <w:r>
        <w:rPr>
          <w:rFonts w:ascii="Times New Roman" w:hAnsi="Times New Roman" w:cs="Times New Roman" w:eastAsia="Times New Roman" w:hint="default"/>
        </w:rPr>
        <w:t>3</w:t>
      </w:r>
      <w:r>
        <w:rPr/>
        <w:t>）权益法核算转公允价值计量 本公司因处置部分股权投资等原因丧失了对被投资单位的共同控制或重大影响的，处置后的剩余股权改按《企业会计</w:t>
      </w:r>
    </w:p>
    <w:p>
      <w:pPr>
        <w:pStyle w:val="BodyText"/>
        <w:spacing w:line="300" w:lineRule="auto" w:before="31"/>
        <w:ind w:right="1128"/>
        <w:jc w:val="left"/>
      </w:pPr>
      <w:r>
        <w:rPr>
          <w:spacing w:val="-2"/>
        </w:rPr>
        <w:t>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金融工具确认和计量》核算，其在丧失共同控制或重大影响之日的公允价值与账面价值之间的差额计入当期</w:t>
      </w:r>
      <w:r>
        <w:rPr>
          <w:spacing w:val="-63"/>
        </w:rPr>
        <w:t> </w:t>
      </w:r>
      <w:r>
        <w:rPr>
          <w:spacing w:val="-63"/>
        </w:rPr>
      </w:r>
      <w:r>
        <w:rPr/>
        <w:t>损益。</w:t>
      </w:r>
    </w:p>
    <w:p>
      <w:pPr>
        <w:pStyle w:val="BodyText"/>
        <w:spacing w:line="316" w:lineRule="auto" w:before="31"/>
        <w:ind w:right="1132" w:firstLine="420"/>
        <w:jc w:val="both"/>
      </w:pPr>
      <w:r>
        <w:rPr/>
        <w:t>原股权投资因采用权益法核算而确认的其他综合收益，在终止采用权益法核算时采用与被投资单位直接处置相关资产 或负债相同的基础进行会计处理。</w:t>
      </w:r>
    </w:p>
    <w:p>
      <w:pPr>
        <w:pStyle w:val="BodyText"/>
        <w:spacing w:line="300" w:lineRule="auto" w:before="19"/>
        <w:ind w:left="532" w:right="0" w:firstLine="271"/>
        <w:jc w:val="left"/>
      </w:pPr>
      <w:r>
        <w:rPr/>
        <w:t>（</w:t>
      </w:r>
      <w:r>
        <w:rPr>
          <w:rFonts w:ascii="Times New Roman" w:hAnsi="Times New Roman" w:cs="Times New Roman" w:eastAsia="Times New Roman" w:hint="default"/>
        </w:rPr>
        <w:t>4</w:t>
      </w:r>
      <w:r>
        <w:rPr/>
        <w:t>）成本法转权益法 本公司因处置部分权益性投资等原因丧失了对被投资单位的控制的，在编制个别财务报表时，处置后的剩余股权能够</w:t>
      </w:r>
    </w:p>
    <w:p>
      <w:pPr>
        <w:spacing w:after="0" w:line="30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对被投资单位实施共同控制或施加重大影响的</w:t>
      </w:r>
      <w:r>
        <w:rPr>
          <w:spacing w:val="-84"/>
        </w:rPr>
        <w:t>，</w:t>
      </w:r>
      <w:r>
        <w:rPr/>
        <w:t>改按权益法核算</w:t>
      </w:r>
      <w:r>
        <w:rPr>
          <w:spacing w:val="-87"/>
        </w:rPr>
        <w:t>，</w:t>
      </w:r>
      <w:r>
        <w:rPr/>
        <w:t>并对该剩余股权视同自取得时即采用权益法核算进行调整。</w:t>
      </w:r>
    </w:p>
    <w:p>
      <w:pPr>
        <w:pStyle w:val="BodyText"/>
        <w:spacing w:line="300" w:lineRule="auto" w:before="76"/>
        <w:ind w:left="532" w:right="0" w:firstLine="271"/>
        <w:jc w:val="left"/>
      </w:pPr>
      <w:r>
        <w:rPr/>
        <w:t>（</w:t>
      </w:r>
      <w:r>
        <w:rPr>
          <w:rFonts w:ascii="Times New Roman" w:hAnsi="Times New Roman" w:cs="Times New Roman" w:eastAsia="Times New Roman" w:hint="default"/>
        </w:rPr>
        <w:t>5</w:t>
      </w:r>
      <w:r>
        <w:rPr/>
        <w:t>）成本法转公允价值计量 本公司因处置部分权益性投资等原因丧失了对被投资单位的控制的，在编制个别财务报表时，处置后的剩余股权不能</w:t>
      </w:r>
    </w:p>
    <w:p>
      <w:pPr>
        <w:pStyle w:val="BodyText"/>
        <w:spacing w:line="300" w:lineRule="auto" w:before="31"/>
        <w:ind w:right="0"/>
        <w:jc w:val="left"/>
      </w:pPr>
      <w:r>
        <w:rPr>
          <w:spacing w:val="-2"/>
        </w:rPr>
        <w:t>对被投资单位实施共同控制或施加重大影响的，改按《企业会计准则第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w:t>
      </w:r>
      <w:r>
        <w:rPr>
          <w:spacing w:val="-62"/>
        </w:rPr>
        <w:t> </w:t>
      </w:r>
      <w:r>
        <w:rPr>
          <w:spacing w:val="-62"/>
        </w:rPr>
      </w:r>
      <w:r>
        <w:rPr/>
        <w:t>处理，其在丧失控制之日的公允价值与账面价值间的差额计入当期损益。</w:t>
      </w:r>
    </w:p>
    <w:p>
      <w:pPr>
        <w:pStyle w:val="Heading5"/>
        <w:spacing w:line="240" w:lineRule="auto" w:before="6"/>
        <w:ind w:left="532" w:right="0"/>
        <w:jc w:val="left"/>
        <w:rPr>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50"/>
        </w:rPr>
        <w:t> </w:t>
      </w:r>
      <w:r>
        <w:rPr/>
        <w:t>长期股权投资的处置</w:t>
      </w:r>
      <w:r>
        <w:rPr>
          <w:b w:val="0"/>
          <w:bCs w:val="0"/>
        </w:rPr>
      </w:r>
    </w:p>
    <w:p>
      <w:pPr>
        <w:pStyle w:val="BodyText"/>
        <w:spacing w:line="316" w:lineRule="auto" w:before="46"/>
        <w:ind w:right="1132" w:firstLine="420"/>
        <w:jc w:val="both"/>
      </w:pPr>
      <w:r>
        <w:rPr/>
        <w:t>处置长期股权投资，其账面价值与实际取得价款之间的差额，应当计入当期损益。采用权益法核算的长期股权投资， </w:t>
      </w:r>
      <w:r>
        <w:rPr>
          <w:spacing w:val="-2"/>
        </w:rPr>
        <w:t>在处置该项投资时，采用与被投资单位直接处置相关资产或负债相同的基础，按相应比例对原计入其他综合收益的部分进行</w:t>
      </w:r>
      <w:r>
        <w:rPr>
          <w:spacing w:val="-64"/>
        </w:rPr>
        <w:t> </w:t>
      </w:r>
      <w:r>
        <w:rPr>
          <w:spacing w:val="-64"/>
        </w:rPr>
      </w:r>
      <w:r>
        <w:rPr/>
        <w:t>会计处理。</w:t>
      </w:r>
    </w:p>
    <w:p>
      <w:pPr>
        <w:pStyle w:val="BodyText"/>
        <w:spacing w:line="316" w:lineRule="auto" w:before="19"/>
        <w:ind w:right="1132" w:firstLine="420"/>
        <w:jc w:val="both"/>
      </w:pPr>
      <w:r>
        <w:rPr/>
        <w:t>处置对子公司股权投资的各项交易的条款、条件以及经济影响符合以下一种或多种情况，将多次交易事项作为一揽子 交易进行会计处理：</w:t>
      </w:r>
    </w:p>
    <w:p>
      <w:pPr>
        <w:pStyle w:val="BodyText"/>
        <w:spacing w:line="316" w:lineRule="auto" w:before="19"/>
        <w:ind w:left="532" w:right="4934"/>
        <w:jc w:val="left"/>
      </w:pPr>
      <w:r>
        <w:rPr/>
        <w:t>这些交易是同时或者在考虑了彼此影响的情况下订立的； 这些交易整体才能达成一项完整的商业结果； 一项交易的发生取决于其他至少一项交易的发生； 一项交易单独看是不经济的，但是和其他交易一并考虑时是经济的。</w:t>
      </w:r>
    </w:p>
    <w:p>
      <w:pPr>
        <w:pStyle w:val="BodyText"/>
        <w:spacing w:line="316" w:lineRule="auto" w:before="19"/>
        <w:ind w:right="1132" w:firstLine="420"/>
        <w:jc w:val="both"/>
      </w:pPr>
      <w:r>
        <w:rPr/>
        <w:t>因处置部分股权投资或其他原因丧失了对原有子公司控制权的，不属于一揽子交易的，区分个别财务报表和合并财务 报表进行相关会计处理：</w:t>
      </w:r>
    </w:p>
    <w:p>
      <w:pPr>
        <w:pStyle w:val="BodyText"/>
        <w:spacing w:line="307" w:lineRule="auto" w:before="19"/>
        <w:ind w:right="1130" w:firstLine="420"/>
        <w:jc w:val="both"/>
      </w:pPr>
      <w:r>
        <w:rPr>
          <w:spacing w:val="-1"/>
        </w:rPr>
        <w:t>（</w:t>
      </w:r>
      <w:r>
        <w:rPr>
          <w:rFonts w:ascii="Times New Roman" w:hAnsi="Times New Roman" w:cs="Times New Roman" w:eastAsia="Times New Roman" w:hint="default"/>
          <w:spacing w:val="-1"/>
        </w:rPr>
        <w:t>1</w:t>
      </w:r>
      <w:r>
        <w:rPr>
          <w:spacing w:val="-1"/>
        </w:rPr>
        <w:t>）在个别财务报表中，对于处置的股权，其账面价值与实际取得价款之间的差额计入当期损益。处置后的剩余股权</w:t>
      </w:r>
      <w:r>
        <w:rPr/>
        <w:t> </w:t>
      </w:r>
      <w:r>
        <w:rPr>
          <w:spacing w:val="-2"/>
        </w:rPr>
        <w:t>能够对被投资单位实施共同控制或施加重大影响的，改按权益法核算，并对该剩余股权视同自取得时即采用权益法核算进行</w:t>
      </w:r>
      <w:r>
        <w:rPr>
          <w:spacing w:val="-64"/>
        </w:rPr>
        <w:t> </w:t>
      </w:r>
      <w:r>
        <w:rPr>
          <w:spacing w:val="-64"/>
        </w:rPr>
      </w:r>
      <w:r>
        <w:rPr>
          <w:spacing w:val="-2"/>
        </w:rPr>
        <w:t>调整；处置后的剩余股权不能对被投资单位实施共同控制或施加重大影响的，改按《企业会计准则第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w:t>
      </w:r>
      <w:r>
        <w:rPr>
          <w:spacing w:val="-62"/>
        </w:rPr>
        <w:t> </w:t>
      </w:r>
      <w:r>
        <w:rPr/>
        <w:t>和计量》的有关规定进行会计处理，其在丧失控制之日的公允价值与账面价值间的差额计入当期损益。</w:t>
      </w:r>
    </w:p>
    <w:p>
      <w:pPr>
        <w:pStyle w:val="BodyText"/>
        <w:spacing w:line="314" w:lineRule="auto" w:before="26"/>
        <w:ind w:right="1130" w:firstLine="420"/>
        <w:jc w:val="both"/>
      </w:pPr>
      <w:r>
        <w:rPr>
          <w:spacing w:val="-1"/>
        </w:rPr>
        <w:t>（</w:t>
      </w:r>
      <w:r>
        <w:rPr>
          <w:rFonts w:ascii="Times New Roman" w:hAnsi="Times New Roman" w:cs="Times New Roman" w:eastAsia="Times New Roman" w:hint="default"/>
          <w:spacing w:val="-1"/>
        </w:rPr>
        <w:t>2</w:t>
      </w:r>
      <w:r>
        <w:rPr>
          <w:spacing w:val="-1"/>
        </w:rPr>
        <w:t>）在合并财务报表中，对于在丧失对子公司控制权以前的各项交易，处置价款与处置长期股权投资相应对享有子公</w:t>
      </w:r>
      <w:r>
        <w:rPr/>
        <w:t> </w:t>
      </w:r>
      <w:r>
        <w:rPr>
          <w:spacing w:val="-2"/>
        </w:rPr>
        <w:t>司自购买日或合并日开始持续计算的净资产份额之间的差额，调整资本公积（股本溢价），资本公积不足冲减的，调整留存</w:t>
      </w:r>
      <w:r>
        <w:rPr>
          <w:spacing w:val="-67"/>
        </w:rPr>
        <w:t> </w:t>
      </w:r>
      <w:r>
        <w:rPr>
          <w:spacing w:val="-67"/>
        </w:rPr>
      </w:r>
      <w:r>
        <w:rPr>
          <w:spacing w:val="-2"/>
        </w:rPr>
        <w:t>收益；在丧失对子公司控制权时，对于剩余股权，按照其在丧失控制权日的公允价值进行重新计量。处置股权取得的对价与</w:t>
      </w:r>
      <w:r>
        <w:rPr>
          <w:spacing w:val="-64"/>
        </w:rPr>
        <w:t> </w:t>
      </w:r>
      <w:r>
        <w:rPr>
          <w:spacing w:val="-64"/>
        </w:rPr>
      </w:r>
      <w:r>
        <w:rPr>
          <w:spacing w:val="-2"/>
        </w:rPr>
        <w:t>剩余股权公允价值之和，减去按原持股比例计算应享有原有子公司自购买日开始持续计算的净资产的份额之间的差额，计入</w:t>
      </w:r>
      <w:r>
        <w:rPr>
          <w:spacing w:val="-64"/>
        </w:rPr>
        <w:t> </w:t>
      </w:r>
      <w:r>
        <w:rPr>
          <w:spacing w:val="-64"/>
        </w:rPr>
      </w:r>
      <w:r>
        <w:rPr>
          <w:spacing w:val="-2"/>
        </w:rPr>
        <w:t>丧失控制权当期的投资收益，同时冲减商誉。与原有子公司股权投资相关的其他综合收益等，在丧失控制权时转为当期投资</w:t>
      </w:r>
      <w:r>
        <w:rPr>
          <w:spacing w:val="-63"/>
        </w:rPr>
        <w:t> </w:t>
      </w:r>
      <w:r>
        <w:rPr>
          <w:spacing w:val="-63"/>
        </w:rPr>
      </w:r>
      <w:r>
        <w:rPr/>
        <w:t>收益。</w:t>
      </w:r>
    </w:p>
    <w:p>
      <w:pPr>
        <w:pStyle w:val="BodyText"/>
        <w:spacing w:line="316" w:lineRule="auto" w:before="20"/>
        <w:ind w:right="1132" w:firstLine="420"/>
        <w:jc w:val="both"/>
      </w:pPr>
      <w:r>
        <w:rPr/>
        <w:t>处置对子公司股权投资直至丧失控制权的各项交易属于一揽子交易的，将各项交易作为一项处置子公司股权投资并丧 失控制权的交易进行会计处理，区分个别财务报表和合并财务报表进行相关会计处理：</w:t>
      </w:r>
    </w:p>
    <w:p>
      <w:pPr>
        <w:pStyle w:val="BodyText"/>
        <w:spacing w:line="300" w:lineRule="auto" w:before="19"/>
        <w:ind w:right="1081" w:firstLine="420"/>
        <w:jc w:val="both"/>
      </w:pPr>
      <w:r>
        <w:rPr/>
        <w:t>（</w:t>
      </w:r>
      <w:r>
        <w:rPr>
          <w:rFonts w:ascii="Times New Roman" w:hAnsi="Times New Roman" w:cs="Times New Roman" w:eastAsia="Times New Roman" w:hint="default"/>
        </w:rPr>
        <w:t>1</w:t>
      </w:r>
      <w:r>
        <w:rPr/>
        <w:t>）在个别财务报表中，在丧失控制权之前每一次处置价款与处置的股权对应的长期股权投资账面价值之间的差额， 确认为其他综合收益，在丧失控制权时一并转入丧失控制权当期的损益。</w:t>
      </w:r>
    </w:p>
    <w:p>
      <w:pPr>
        <w:pStyle w:val="BodyText"/>
        <w:spacing w:line="300" w:lineRule="auto" w:before="31"/>
        <w:ind w:right="1130" w:firstLine="420"/>
        <w:jc w:val="both"/>
      </w:pPr>
      <w:r>
        <w:rPr>
          <w:spacing w:val="-1"/>
        </w:rPr>
        <w:t>（</w:t>
      </w:r>
      <w:r>
        <w:rPr>
          <w:rFonts w:ascii="Times New Roman" w:hAnsi="Times New Roman" w:cs="Times New Roman" w:eastAsia="Times New Roman" w:hint="default"/>
          <w:spacing w:val="-1"/>
        </w:rPr>
        <w:t>2</w:t>
      </w:r>
      <w:r>
        <w:rPr>
          <w:spacing w:val="-1"/>
        </w:rPr>
        <w:t>）在合并财务报表中，在丧失控制权之前每一次处置价款与处置投资对应的享有该子公司净资产份额的差额，确认</w:t>
      </w:r>
      <w:r>
        <w:rPr/>
        <w:t> 为其他综合收益，在丧失控制权时一并转入丧失控制权当期的损益。</w:t>
      </w:r>
    </w:p>
    <w:p>
      <w:pPr>
        <w:pStyle w:val="Heading5"/>
        <w:spacing w:line="240" w:lineRule="auto" w:before="6"/>
        <w:ind w:left="532" w:right="0"/>
        <w:jc w:val="left"/>
        <w:rPr>
          <w:b w:val="0"/>
          <w:bCs w:val="0"/>
        </w:rPr>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共同控制、重大影响的判断标准</w:t>
      </w:r>
      <w:r>
        <w:rPr>
          <w:b w:val="0"/>
          <w:bCs w:val="0"/>
        </w:rPr>
      </w:r>
    </w:p>
    <w:p>
      <w:pPr>
        <w:pStyle w:val="BodyText"/>
        <w:spacing w:line="316" w:lineRule="auto" w:before="46"/>
        <w:ind w:right="1132" w:firstLine="420"/>
        <w:jc w:val="both"/>
      </w:pPr>
      <w:r>
        <w:rPr/>
        <w:t>如果本公司按照相关约定与其他参与方集体控制某项安排，并且对该安排回报具有重大影响的活动决策，需要经过分 享控制权的参与方一致同意时才存在，则视为本公司与其他参与方共同控制某项安排，该安排即属于合营安排。</w:t>
      </w:r>
    </w:p>
    <w:p>
      <w:pPr>
        <w:pStyle w:val="BodyText"/>
        <w:spacing w:line="316" w:lineRule="auto" w:before="19"/>
        <w:ind w:right="1130" w:firstLine="420"/>
        <w:jc w:val="both"/>
      </w:pPr>
      <w:r>
        <w:rPr/>
        <w:t>合营安排通过单独主体达成的，根据相关约定判断本公司对该单独主体的净资产享有权利时，将该单独主体作为合营 </w:t>
      </w:r>
      <w:r>
        <w:rPr>
          <w:spacing w:val="-2"/>
        </w:rPr>
        <w:t>企业，采用权益法核算。若根据相关约定判断本公司并非对该单独主体的净资产享有权利时，该单独主体作为共同经营，本</w:t>
      </w:r>
      <w:r>
        <w:rPr>
          <w:spacing w:val="-64"/>
        </w:rPr>
        <w:t> </w:t>
      </w:r>
      <w:r>
        <w:rPr>
          <w:spacing w:val="-64"/>
        </w:rPr>
      </w:r>
      <w:r>
        <w:rPr/>
        <w:t>公司确认与共同经营利益份额相关的项目，并按照相关企业会计准则的规定进行会计处理。</w:t>
      </w:r>
    </w:p>
    <w:p>
      <w:pPr>
        <w:pStyle w:val="BodyText"/>
        <w:spacing w:line="307" w:lineRule="auto" w:before="19"/>
        <w:ind w:right="0" w:firstLine="420"/>
        <w:jc w:val="left"/>
      </w:pPr>
      <w:r>
        <w:rPr/>
        <w:t>重大影响，是指投资方对被投资单位的财务和经营政策有参与决策的权力，但并不能够控制或者与其他方一起共同控 </w:t>
      </w:r>
      <w:r>
        <w:rPr>
          <w:spacing w:val="-5"/>
        </w:rPr>
        <w:t>制这些政策的制定。本公司通过以下一种或多种情形，并综合考虑所有事实和情况后，判断对被投资单位具有重大影响。（</w:t>
      </w:r>
      <w:r>
        <w:rPr>
          <w:rFonts w:ascii="Times New Roman" w:hAnsi="Times New Roman" w:cs="Times New Roman" w:eastAsia="Times New Roman" w:hint="default"/>
          <w:spacing w:val="-5"/>
        </w:rPr>
        <w:t>1</w:t>
      </w:r>
      <w:r>
        <w:rPr>
          <w:spacing w:val="-5"/>
        </w:rPr>
        <w:t>）</w:t>
      </w:r>
      <w:r>
        <w:rPr>
          <w:spacing w:val="-73"/>
        </w:rPr>
        <w:t> </w:t>
      </w:r>
      <w:r>
        <w:rPr>
          <w:spacing w:val="-5"/>
        </w:rPr>
        <w:t>在被投资单位的董事会或类似权力机构中派有代表；（</w:t>
      </w:r>
      <w:r>
        <w:rPr>
          <w:rFonts w:ascii="Times New Roman" w:hAnsi="Times New Roman" w:cs="Times New Roman" w:eastAsia="Times New Roman" w:hint="default"/>
          <w:spacing w:val="-5"/>
        </w:rPr>
        <w:t>2</w:t>
      </w:r>
      <w:r>
        <w:rPr>
          <w:spacing w:val="-5"/>
        </w:rPr>
        <w:t>）参与被投资单位财务和经营政策制定过程；（</w:t>
      </w:r>
      <w:r>
        <w:rPr>
          <w:rFonts w:ascii="Times New Roman" w:hAnsi="Times New Roman" w:cs="Times New Roman" w:eastAsia="Times New Roman" w:hint="default"/>
          <w:spacing w:val="-5"/>
        </w:rPr>
        <w:t>3</w:t>
      </w:r>
      <w:r>
        <w:rPr>
          <w:spacing w:val="-5"/>
        </w:rPr>
        <w:t>）与被投资单位之间</w:t>
      </w:r>
      <w:r>
        <w:rPr>
          <w:spacing w:val="-73"/>
        </w:rPr>
        <w:t> </w:t>
      </w:r>
      <w:r>
        <w:rPr>
          <w:spacing w:val="-73"/>
        </w:rPr>
      </w:r>
      <w:r>
        <w:rPr>
          <w:spacing w:val="-5"/>
        </w:rPr>
        <w:t>发生重要交易；（</w:t>
      </w:r>
      <w:r>
        <w:rPr>
          <w:rFonts w:ascii="Times New Roman" w:hAnsi="Times New Roman" w:cs="Times New Roman" w:eastAsia="Times New Roman" w:hint="default"/>
          <w:spacing w:val="-5"/>
        </w:rPr>
        <w:t>4</w:t>
      </w:r>
      <w:r>
        <w:rPr>
          <w:spacing w:val="-5"/>
        </w:rPr>
        <w:t>）向被投资单位派出管理人员；（</w:t>
      </w:r>
      <w:r>
        <w:rPr>
          <w:rFonts w:ascii="Times New Roman" w:hAnsi="Times New Roman" w:cs="Times New Roman" w:eastAsia="Times New Roman" w:hint="default"/>
          <w:spacing w:val="-5"/>
        </w:rPr>
        <w:t>5</w:t>
      </w:r>
      <w:r>
        <w:rPr>
          <w:spacing w:val="-5"/>
        </w:rPr>
        <w:t>）向被投资单位提供关键技术资料。</w:t>
      </w:r>
    </w:p>
    <w:p>
      <w:pPr>
        <w:spacing w:after="0" w:line="307"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5"/>
        <w:spacing w:line="240" w:lineRule="auto" w:before="34"/>
        <w:ind w:right="0"/>
        <w:jc w:val="left"/>
        <w:rPr>
          <w:b w:val="0"/>
          <w:bCs w:val="0"/>
        </w:rPr>
      </w:pPr>
      <w:bookmarkStart w:name="15、投资性房地产" w:id="187"/>
      <w:bookmarkEnd w:id="187"/>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8954"/>
        <w:jc w:val="left"/>
      </w:pPr>
      <w:r>
        <w:rPr/>
        <w:t>投资性房地产计量模式 不适用</w:t>
      </w:r>
    </w:p>
    <w:p>
      <w:pPr>
        <w:spacing w:line="240" w:lineRule="auto" w:before="12"/>
        <w:rPr>
          <w:rFonts w:ascii="宋体" w:hAnsi="宋体" w:cs="宋体" w:eastAsia="宋体" w:hint="default"/>
          <w:sz w:val="19"/>
          <w:szCs w:val="19"/>
        </w:rPr>
      </w:pPr>
    </w:p>
    <w:p>
      <w:pPr>
        <w:pStyle w:val="Heading5"/>
        <w:spacing w:line="240" w:lineRule="auto"/>
        <w:ind w:right="0"/>
        <w:jc w:val="left"/>
        <w:rPr>
          <w:b w:val="0"/>
          <w:bCs w:val="0"/>
        </w:rPr>
      </w:pPr>
      <w:bookmarkStart w:name="16、固定资产" w:id="188"/>
      <w:bookmarkEnd w:id="188"/>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确认条件" w:id="189"/>
      <w:bookmarkEnd w:id="189"/>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固定资产指为生产商品、提供劳务、出租或经营管理而持有，并且使用寿命超过一个会计年度的有形资产。固定资产在同时</w:t>
      </w:r>
      <w:r>
        <w:rPr>
          <w:spacing w:val="-66"/>
        </w:rPr>
        <w:t> </w:t>
      </w:r>
      <w:r>
        <w:rPr>
          <w:spacing w:val="-66"/>
        </w:rPr>
      </w:r>
      <w:r>
        <w:rPr>
          <w:spacing w:val="-4"/>
        </w:rPr>
        <w:t>满足下列条件时予以确认：（</w:t>
      </w:r>
      <w:r>
        <w:rPr>
          <w:rFonts w:ascii="Times New Roman" w:hAnsi="Times New Roman" w:cs="Times New Roman" w:eastAsia="Times New Roman" w:hint="default"/>
          <w:spacing w:val="-4"/>
        </w:rPr>
        <w:t>1</w:t>
      </w:r>
      <w:r>
        <w:rPr>
          <w:spacing w:val="-4"/>
        </w:rPr>
        <w:t>）与该固定资产有关的经济利益很可能流入企业；（</w:t>
      </w:r>
      <w:r>
        <w:rPr>
          <w:rFonts w:ascii="Times New Roman" w:hAnsi="Times New Roman" w:cs="Times New Roman" w:eastAsia="Times New Roman" w:hint="default"/>
          <w:spacing w:val="-4"/>
        </w:rPr>
        <w:t>2</w:t>
      </w:r>
      <w:r>
        <w:rPr>
          <w:spacing w:val="-4"/>
        </w:rPr>
        <w:t>）该固定资产的成本能够可靠地计量。</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bookmarkStart w:name="（2）折旧方法" w:id="190"/>
      <w:bookmarkEnd w:id="190"/>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23.75</w:t>
            </w:r>
          </w:p>
        </w:tc>
      </w:tr>
    </w:tbl>
    <w:p>
      <w:pPr>
        <w:spacing w:line="240" w:lineRule="auto" w:before="5"/>
        <w:rPr>
          <w:rFonts w:ascii="宋体" w:hAnsi="宋体" w:cs="宋体" w:eastAsia="宋体" w:hint="default"/>
          <w:b/>
          <w:bCs/>
          <w:sz w:val="19"/>
          <w:szCs w:val="19"/>
        </w:rPr>
      </w:pPr>
    </w:p>
    <w:p>
      <w:pPr>
        <w:pStyle w:val="Heading5"/>
        <w:spacing w:line="240" w:lineRule="auto" w:before="34"/>
        <w:ind w:right="0"/>
        <w:jc w:val="left"/>
        <w:rPr>
          <w:b w:val="0"/>
          <w:bCs w:val="0"/>
        </w:rPr>
      </w:pPr>
      <w:bookmarkStart w:name="（3）融资租入固定资产的认定依据、计价和折旧方法" w:id="191"/>
      <w:bookmarkEnd w:id="191"/>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0" w:firstLine="360"/>
        <w:jc w:val="left"/>
      </w:pPr>
      <w:r>
        <w:rPr>
          <w:spacing w:val="-4"/>
        </w:rPr>
        <w:t>当本公司租入的固定资产符合下列一项或数项标准时，确认为融资租入固定资产：（</w:t>
      </w:r>
      <w:r>
        <w:rPr>
          <w:rFonts w:ascii="Times New Roman" w:hAnsi="Times New Roman" w:cs="Times New Roman" w:eastAsia="Times New Roman" w:hint="default"/>
          <w:spacing w:val="-4"/>
        </w:rPr>
        <w:t>1</w:t>
      </w:r>
      <w:r>
        <w:rPr>
          <w:spacing w:val="-4"/>
        </w:rPr>
        <w:t>）在租赁期届满时，租赁资产的所</w:t>
      </w:r>
      <w:r>
        <w:rPr/>
        <w:t> </w:t>
      </w:r>
      <w:r>
        <w:rPr>
          <w:spacing w:val="-4"/>
        </w:rPr>
        <w:t>有权转移给本公司。（</w:t>
      </w:r>
      <w:r>
        <w:rPr>
          <w:rFonts w:ascii="Times New Roman" w:hAnsi="Times New Roman" w:cs="Times New Roman" w:eastAsia="Times New Roman" w:hint="default"/>
          <w:spacing w:val="-4"/>
        </w:rPr>
        <w:t>2</w:t>
      </w:r>
      <w:r>
        <w:rPr>
          <w:spacing w:val="-4"/>
        </w:rPr>
        <w:t>）本公司有购买租赁资产的选择权，所订立的购买价款预计将远低于行使选择权时租赁资产的公允价</w:t>
      </w:r>
      <w:r>
        <w:rPr>
          <w:spacing w:val="-44"/>
        </w:rPr>
        <w:t> </w:t>
      </w:r>
      <w:r>
        <w:rPr>
          <w:spacing w:val="-44"/>
        </w:rPr>
      </w:r>
      <w:r>
        <w:rPr>
          <w:spacing w:val="-4"/>
        </w:rPr>
        <w:t>值，因而在租赁开始日就可以合理确定本公司将会行使这种选择权。（</w:t>
      </w:r>
      <w:r>
        <w:rPr>
          <w:rFonts w:ascii="Times New Roman" w:hAnsi="Times New Roman" w:cs="Times New Roman" w:eastAsia="Times New Roman" w:hint="default"/>
          <w:spacing w:val="-4"/>
        </w:rPr>
        <w:t>3</w:t>
      </w:r>
      <w:r>
        <w:rPr>
          <w:spacing w:val="-4"/>
        </w:rPr>
        <w:t>）即使资产的所有权不转移，但租赁期占租赁资产使</w:t>
      </w:r>
      <w:r>
        <w:rPr>
          <w:spacing w:val="-45"/>
        </w:rPr>
        <w:t> </w:t>
      </w:r>
      <w:r>
        <w:rPr>
          <w:spacing w:val="-45"/>
        </w:rPr>
      </w:r>
      <w:r>
        <w:rPr>
          <w:spacing w:val="-5"/>
        </w:rPr>
        <w:t>用寿命的大部分。（</w:t>
      </w:r>
      <w:r>
        <w:rPr>
          <w:rFonts w:ascii="Times New Roman" w:hAnsi="Times New Roman" w:cs="Times New Roman" w:eastAsia="Times New Roman" w:hint="default"/>
          <w:spacing w:val="-5"/>
        </w:rPr>
        <w:t>4</w:t>
      </w:r>
      <w:r>
        <w:rPr>
          <w:spacing w:val="-5"/>
        </w:rPr>
        <w:t>）本公司在租赁开始日的最低租赁付款额现值，几乎相当于租赁开始日租赁资产公允价值。（</w:t>
      </w:r>
      <w:r>
        <w:rPr>
          <w:rFonts w:ascii="Times New Roman" w:hAnsi="Times New Roman" w:cs="Times New Roman" w:eastAsia="Times New Roman" w:hint="default"/>
          <w:spacing w:val="-5"/>
        </w:rPr>
        <w:t>5</w:t>
      </w:r>
      <w:r>
        <w:rPr>
          <w:spacing w:val="-5"/>
        </w:rPr>
        <w:t>）租赁资</w:t>
      </w:r>
      <w:r>
        <w:rPr>
          <w:spacing w:val="-74"/>
        </w:rPr>
        <w:t> </w:t>
      </w:r>
      <w:r>
        <w:rPr>
          <w:spacing w:val="-74"/>
        </w:rPr>
      </w:r>
      <w:r>
        <w:rPr>
          <w:spacing w:val="-2"/>
        </w:rPr>
        <w:t>产性质特殊，如果不作较大改造，只有本公司才能使用。融资租赁租入的固定资产，按租赁开始日租赁资产公允价值与最低</w:t>
      </w:r>
      <w:r>
        <w:rPr>
          <w:spacing w:val="-66"/>
        </w:rPr>
        <w:t> </w:t>
      </w:r>
      <w:r>
        <w:rPr>
          <w:spacing w:val="-66"/>
        </w:rPr>
      </w:r>
      <w:r>
        <w:rPr>
          <w:spacing w:val="-4"/>
        </w:rPr>
        <w:t>租赁付款额的现值两者中较低者，作为入账价值。最低租赁付款额作为长期应付款的入账价值，其差额作为未确认融资费用。</w:t>
      </w:r>
      <w:r>
        <w:rPr>
          <w:spacing w:val="-42"/>
        </w:rPr>
        <w:t> </w:t>
      </w:r>
      <w:r>
        <w:rPr>
          <w:spacing w:val="-42"/>
        </w:rPr>
      </w:r>
      <w:r>
        <w:rPr>
          <w:spacing w:val="-2"/>
        </w:rPr>
        <w:t>在租赁谈判和签订租赁合同过程中发生的，可归属于租赁项目的手续费、律师费、差旅费、印花税等初始直接费用，计入租</w:t>
      </w:r>
      <w:r>
        <w:rPr>
          <w:spacing w:val="-65"/>
        </w:rPr>
        <w:t> </w:t>
      </w:r>
      <w:r>
        <w:rPr>
          <w:spacing w:val="-65"/>
        </w:rPr>
      </w:r>
      <w:r>
        <w:rPr>
          <w:spacing w:val="-2"/>
        </w:rPr>
        <w:t>入资产价值。未确认融资费用在租赁期内各个期间采用实际利率法进行分摊。本公司采用与自有固定资产相一致的折旧政策</w:t>
      </w:r>
      <w:r>
        <w:rPr>
          <w:spacing w:val="-64"/>
        </w:rPr>
        <w:t> </w:t>
      </w:r>
      <w:r>
        <w:rPr>
          <w:spacing w:val="-64"/>
        </w:rPr>
      </w:r>
      <w:r>
        <w:rPr>
          <w:spacing w:val="-2"/>
        </w:rPr>
        <w:t>计提融资租入固定资产折旧。能够合理确定租赁期届满时取得租赁资产所有权的，在租赁资产使用寿命内计提折旧。无法合</w:t>
      </w:r>
      <w:r>
        <w:rPr>
          <w:spacing w:val="-65"/>
        </w:rPr>
        <w:t> </w:t>
      </w:r>
      <w:r>
        <w:rPr>
          <w:spacing w:val="-65"/>
        </w:rPr>
      </w:r>
      <w:r>
        <w:rPr/>
        <w:t>理确定租赁期届满时能够取得租赁资产所有权的，在租赁期与租赁资产使用寿命两者中较短的期间内计提折旧。</w:t>
      </w:r>
    </w:p>
    <w:p>
      <w:pPr>
        <w:spacing w:line="240" w:lineRule="auto" w:before="0"/>
        <w:rPr>
          <w:rFonts w:ascii="宋体" w:hAnsi="宋体" w:cs="宋体" w:eastAsia="宋体" w:hint="default"/>
          <w:sz w:val="23"/>
          <w:szCs w:val="23"/>
        </w:rPr>
      </w:pPr>
    </w:p>
    <w:p>
      <w:pPr>
        <w:pStyle w:val="Heading5"/>
        <w:spacing w:line="240" w:lineRule="auto"/>
        <w:ind w:right="0"/>
        <w:jc w:val="left"/>
        <w:rPr>
          <w:b w:val="0"/>
          <w:bCs w:val="0"/>
        </w:rPr>
      </w:pPr>
      <w:bookmarkStart w:name="17、在建工程" w:id="192"/>
      <w:bookmarkEnd w:id="192"/>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240" w:lineRule="auto" w:before="25"/>
        <w:ind w:right="0"/>
        <w:jc w:val="left"/>
      </w:pPr>
      <w:r>
        <w:rPr/>
        <w:t>软件与信息技术服务业</w:t>
      </w:r>
    </w:p>
    <w:p>
      <w:pPr>
        <w:pStyle w:val="Heading5"/>
        <w:spacing w:line="240" w:lineRule="auto" w:before="92"/>
        <w:ind w:left="595"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47"/>
        </w:rPr>
        <w:t> </w:t>
      </w:r>
      <w:r>
        <w:rPr/>
        <w:t>在建工程初始计量</w:t>
      </w:r>
      <w:r>
        <w:rPr>
          <w:b w:val="0"/>
          <w:bCs w:val="0"/>
        </w:rPr>
      </w:r>
    </w:p>
    <w:p>
      <w:pPr>
        <w:pStyle w:val="BodyText"/>
        <w:spacing w:line="316" w:lineRule="auto" w:before="46"/>
        <w:ind w:right="1026" w:firstLine="420"/>
        <w:jc w:val="left"/>
      </w:pPr>
      <w:r>
        <w:rPr>
          <w:spacing w:val="-1"/>
        </w:rPr>
        <w:t>本公司自行建造的在建工程按实际成本计价，实际成本由建造该项资产达到预定可使用状态前所发生的必要支出构成，</w:t>
      </w:r>
      <w:r>
        <w:rPr/>
        <w:t> </w:t>
      </w:r>
      <w:r>
        <w:rPr>
          <w:spacing w:val="-2"/>
        </w:rPr>
        <w:t>包括工程用物资成本、人工成本、交纳的相关税费、应予资本化的借款费用以及应分摊的间接费用等。本公司的在建工程以</w:t>
      </w:r>
      <w:r>
        <w:rPr>
          <w:spacing w:val="-64"/>
        </w:rPr>
        <w:t> </w:t>
      </w:r>
      <w:r>
        <w:rPr>
          <w:spacing w:val="-64"/>
        </w:rPr>
      </w:r>
      <w:r>
        <w:rPr/>
        <w:t>项目分类核算。</w:t>
      </w:r>
    </w:p>
    <w:p>
      <w:pPr>
        <w:pStyle w:val="Heading5"/>
        <w:spacing w:line="284" w:lineRule="exact"/>
        <w:ind w:left="532"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t>在建工程结转为固定资产的标准和时点</w:t>
      </w:r>
      <w:r>
        <w:rPr>
          <w:b w:val="0"/>
          <w:bCs w:val="0"/>
        </w:rPr>
      </w:r>
    </w:p>
    <w:p>
      <w:pPr>
        <w:pStyle w:val="BodyText"/>
        <w:spacing w:line="316" w:lineRule="auto" w:before="46"/>
        <w:ind w:right="0" w:firstLine="420"/>
        <w:jc w:val="left"/>
      </w:pPr>
      <w:r>
        <w:rPr/>
        <w:t>在建工程项目按建造该项资产达到预定可使用状态前所发生的全部支出，作为固定资产的入账价值。所建造的在建工 </w:t>
      </w:r>
      <w:r>
        <w:rPr>
          <w:spacing w:val="-2"/>
        </w:rPr>
        <w:t>程已达到预定可使用状态，但尚未办理竣工决算的，自达到预定可使用状态之日起，根据工程预算、造价或者工程实际成本</w:t>
      </w:r>
    </w:p>
    <w:p>
      <w:pPr>
        <w:spacing w:after="0" w:line="316"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等，按估计的价值转入固定资产，并按本公司固定资产折旧政策计提固定资产的折旧，待办理竣工决算后，再按实际成本调</w:t>
      </w:r>
      <w:r>
        <w:rPr>
          <w:spacing w:val="-64"/>
        </w:rPr>
        <w:t> </w:t>
      </w:r>
      <w:r>
        <w:rPr>
          <w:spacing w:val="-64"/>
        </w:rPr>
      </w:r>
      <w:r>
        <w:rPr/>
        <w:t>整原来的暂估价值，但不调整原已计提的折旧额。</w:t>
      </w:r>
    </w:p>
    <w:p>
      <w:pPr>
        <w:spacing w:line="240" w:lineRule="auto" w:before="6"/>
        <w:rPr>
          <w:rFonts w:ascii="宋体" w:hAnsi="宋体" w:cs="宋体" w:eastAsia="宋体" w:hint="default"/>
          <w:sz w:val="22"/>
          <w:szCs w:val="22"/>
        </w:rPr>
      </w:pPr>
    </w:p>
    <w:p>
      <w:pPr>
        <w:pStyle w:val="Heading5"/>
        <w:spacing w:line="240" w:lineRule="auto"/>
        <w:ind w:right="0"/>
        <w:jc w:val="left"/>
        <w:rPr>
          <w:b w:val="0"/>
          <w:bCs w:val="0"/>
        </w:rPr>
      </w:pPr>
      <w:bookmarkStart w:name="18、借款费用" w:id="193"/>
      <w:bookmarkEnd w:id="193"/>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595"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借款费用资本化的确认原则</w:t>
      </w:r>
      <w:r>
        <w:rPr>
          <w:b w:val="0"/>
          <w:bCs w:val="0"/>
        </w:rPr>
      </w:r>
    </w:p>
    <w:p>
      <w:pPr>
        <w:pStyle w:val="BodyText"/>
        <w:spacing w:line="316" w:lineRule="auto" w:before="46"/>
        <w:ind w:right="0" w:firstLine="420"/>
        <w:jc w:val="left"/>
      </w:pPr>
      <w:r>
        <w:rPr/>
        <w:t>本公司发生的借款费用，可直接归属于符合资本化条件的资产的购建或者生产的，予以资本化，计入相关资产成本； 其他借款费用，在发生时根据其发生额确认为费用，计入当期损益。</w:t>
      </w:r>
    </w:p>
    <w:p>
      <w:pPr>
        <w:pStyle w:val="BodyText"/>
        <w:spacing w:line="316" w:lineRule="auto" w:before="19"/>
        <w:ind w:right="0" w:firstLine="420"/>
        <w:jc w:val="left"/>
      </w:pPr>
      <w:r>
        <w:rPr/>
        <w:t>符合资本化条件的资产，是指需要经过相当长时间的购建或者生产活动才能达到预定可使用或者可销售状态的固定资 产、投资性房地产和存货等资产。</w:t>
      </w:r>
    </w:p>
    <w:p>
      <w:pPr>
        <w:pStyle w:val="BodyText"/>
        <w:spacing w:line="240" w:lineRule="auto" w:before="19"/>
        <w:ind w:left="532" w:right="0"/>
        <w:jc w:val="left"/>
      </w:pPr>
      <w:r>
        <w:rPr/>
        <w:t>借款费用同时满足下列条件时开始资本化：</w:t>
      </w:r>
    </w:p>
    <w:p>
      <w:pPr>
        <w:pStyle w:val="BodyText"/>
        <w:spacing w:line="300" w:lineRule="auto" w:before="76"/>
        <w:ind w:right="1116" w:firstLine="420"/>
        <w:jc w:val="left"/>
      </w:pPr>
      <w:r>
        <w:rPr>
          <w:spacing w:val="-1"/>
        </w:rPr>
        <w:t>（</w:t>
      </w:r>
      <w:r>
        <w:rPr>
          <w:rFonts w:ascii="Times New Roman" w:hAnsi="Times New Roman" w:cs="Times New Roman" w:eastAsia="Times New Roman" w:hint="default"/>
          <w:spacing w:val="-1"/>
        </w:rPr>
        <w:t>1</w:t>
      </w:r>
      <w:r>
        <w:rPr>
          <w:spacing w:val="-1"/>
        </w:rPr>
        <w:t>）资产支出已经发生，资产支出包括为购建或者生产符合资本化条件的资产而以支付现金、转移非现金资产或者承</w:t>
      </w:r>
      <w:r>
        <w:rPr/>
        <w:t> 担带息债务形式发生的支出；</w:t>
      </w:r>
    </w:p>
    <w:p>
      <w:pPr>
        <w:pStyle w:val="BodyText"/>
        <w:spacing w:line="240" w:lineRule="auto" w:before="31"/>
        <w:ind w:left="532" w:right="0"/>
        <w:jc w:val="left"/>
      </w:pPr>
      <w:r>
        <w:rPr/>
        <w:t>（</w:t>
      </w:r>
      <w:r>
        <w:rPr>
          <w:rFonts w:ascii="Times New Roman" w:hAnsi="Times New Roman" w:cs="Times New Roman" w:eastAsia="Times New Roman" w:hint="default"/>
        </w:rPr>
        <w:t>2</w:t>
      </w:r>
      <w:r>
        <w:rPr/>
        <w:t>）借款费用已经发生；</w:t>
      </w:r>
    </w:p>
    <w:p>
      <w:pPr>
        <w:pStyle w:val="BodyText"/>
        <w:spacing w:line="240" w:lineRule="auto" w:before="63"/>
        <w:ind w:left="532"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pStyle w:val="BodyText"/>
        <w:spacing w:line="297" w:lineRule="auto" w:before="37"/>
        <w:ind w:left="532" w:right="1514" w:firstLine="62"/>
        <w:jc w:val="left"/>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借款费用资本化期间</w:t>
      </w:r>
      <w:r>
        <w:rPr>
          <w:rFonts w:ascii="宋体" w:hAnsi="宋体" w:cs="宋体" w:eastAsia="宋体" w:hint="default"/>
          <w:b/>
          <w:bCs/>
          <w:w w:val="99"/>
          <w:sz w:val="21"/>
          <w:szCs w:val="21"/>
        </w:rPr>
        <w:t> </w:t>
      </w:r>
      <w:r>
        <w:rPr/>
        <w:t>资本化期间，指从借款费用开始资本化时点到停止资本化时点的期间，借款费用暂停资本化的期间不包括在内。 当购建或者生产符合资本化条件的资产达到预定可使用或者可销售状态时，借款费用停止资本化。</w:t>
      </w:r>
    </w:p>
    <w:p>
      <w:pPr>
        <w:pStyle w:val="BodyText"/>
        <w:spacing w:line="316" w:lineRule="auto" w:before="33"/>
        <w:ind w:left="532" w:right="0"/>
        <w:jc w:val="left"/>
      </w:pPr>
      <w:r>
        <w:rPr/>
        <w:t>当购建或者生产符合资本化条件的资产中部分项目分别完工且可单独使用时，该部分资产借款费用停止资本化。 购建或者生产的资产的各部分分别完工，但必须等到整体完工后才可使用或可对外销售的，在该资产整体完工时停止</w:t>
      </w:r>
    </w:p>
    <w:p>
      <w:pPr>
        <w:pStyle w:val="BodyText"/>
        <w:spacing w:line="240" w:lineRule="auto" w:before="19"/>
        <w:ind w:right="0"/>
        <w:jc w:val="left"/>
      </w:pPr>
      <w:r>
        <w:rPr/>
        <w:t>借款费用资本化。</w:t>
      </w:r>
    </w:p>
    <w:p>
      <w:pPr>
        <w:pStyle w:val="Heading5"/>
        <w:spacing w:line="240" w:lineRule="auto" w:before="51"/>
        <w:ind w:left="595" w:right="0"/>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46"/>
        </w:rPr>
        <w:t> </w:t>
      </w:r>
      <w:r>
        <w:rPr/>
        <w:t>暂停资本化期间</w:t>
      </w:r>
      <w:r>
        <w:rPr>
          <w:b w:val="0"/>
          <w:bCs w:val="0"/>
        </w:rPr>
      </w:r>
    </w:p>
    <w:p>
      <w:pPr>
        <w:pStyle w:val="BodyText"/>
        <w:spacing w:line="309" w:lineRule="auto" w:before="46"/>
        <w:ind w:right="0" w:firstLine="420"/>
        <w:jc w:val="left"/>
      </w:pPr>
      <w:r>
        <w:rPr>
          <w:spacing w:val="-3"/>
        </w:rPr>
        <w:t>符合资本化条件的资产在购建或生产过程中发生的非正常中断、且中断时间连续超过</w:t>
      </w:r>
      <w:r>
        <w:rPr>
          <w:rFonts w:ascii="Times New Roman" w:hAnsi="Times New Roman" w:cs="Times New Roman" w:eastAsia="Times New Roman" w:hint="default"/>
          <w:spacing w:val="-3"/>
        </w:rPr>
        <w:t>3</w:t>
      </w:r>
      <w:r>
        <w:rPr>
          <w:spacing w:val="-3"/>
        </w:rPr>
        <w:t>个月的，则借款费用暂停资本化；</w:t>
      </w:r>
      <w:r>
        <w:rPr/>
        <w:t> </w:t>
      </w: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pStyle w:val="Heading5"/>
        <w:spacing w:line="289" w:lineRule="exact"/>
        <w:ind w:left="532" w:right="0"/>
        <w:jc w:val="left"/>
        <w:rPr>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借款费用资本化金额的计算方法</w:t>
      </w:r>
      <w:r>
        <w:rPr>
          <w:b w:val="0"/>
          <w:bCs w:val="0"/>
        </w:rPr>
      </w:r>
    </w:p>
    <w:p>
      <w:pPr>
        <w:pStyle w:val="BodyText"/>
        <w:spacing w:line="316" w:lineRule="auto" w:before="46"/>
        <w:ind w:right="0" w:firstLine="420"/>
        <w:jc w:val="left"/>
      </w:pPr>
      <w:r>
        <w:rPr/>
        <w:t>专门借款的利息费用（扣除尚未动用的借款资金存入银行取得的利息收入或者进行暂时性投资取得的投资收益）及其 辅助费用在所购建或者生产的符合资本化条件的资产达到预定可使用或者可销售状态前，予以资本化。</w:t>
      </w:r>
    </w:p>
    <w:p>
      <w:pPr>
        <w:pStyle w:val="BodyText"/>
        <w:spacing w:line="316" w:lineRule="auto" w:before="19"/>
        <w:ind w:right="0" w:firstLine="420"/>
        <w:jc w:val="left"/>
      </w:pPr>
      <w:r>
        <w:rPr/>
        <w:t>根据累计资产支出超过专门借款部分的资产支出加权平均数乘以所占用一般借款的资本化率，计算确定一般借款应予 资本化的利息金额。资本化率根据一般借款加权平均利率计算确定。</w:t>
      </w:r>
    </w:p>
    <w:p>
      <w:pPr>
        <w:pStyle w:val="BodyText"/>
        <w:spacing w:line="240" w:lineRule="auto" w:before="19"/>
        <w:ind w:left="532" w:right="0"/>
        <w:jc w:val="left"/>
      </w:pPr>
      <w:r>
        <w:rPr/>
        <w:t>借款存在折价或者溢价的，按照实际利率法确定每一会计期间应摊销的折价或者溢价金额，调整每期利息金额。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5"/>
        <w:spacing w:line="240" w:lineRule="auto"/>
        <w:ind w:right="0"/>
        <w:jc w:val="left"/>
        <w:rPr>
          <w:b w:val="0"/>
          <w:bCs w:val="0"/>
        </w:rPr>
      </w:pPr>
      <w:bookmarkStart w:name="19、生物资产" w:id="194"/>
      <w:bookmarkEnd w:id="194"/>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bookmarkStart w:name="20、油气资产" w:id="195"/>
      <w:bookmarkEnd w:id="195"/>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bookmarkStart w:name="21、无形资产" w:id="196"/>
      <w:bookmarkEnd w:id="196"/>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计价方法、使用寿命、减值测试" w:id="197"/>
      <w:bookmarkEnd w:id="197"/>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240" w:lineRule="auto" w:before="25"/>
        <w:ind w:right="0"/>
        <w:jc w:val="left"/>
      </w:pPr>
      <w:r>
        <w:rPr/>
        <w:t>软件与信息技术服务业</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16" w:lineRule="auto" w:before="44"/>
        <w:ind w:left="472" w:right="1132" w:firstLine="420"/>
        <w:jc w:val="both"/>
      </w:pPr>
      <w:r>
        <w:rPr/>
        <w:t>无形资产是指本公司拥有或者控制的没有实物形态的可辨认非货币性资产，包括计算机软件、特许权、商标、专有技 术、客户关系等。</w:t>
      </w:r>
    </w:p>
    <w:p>
      <w:pPr>
        <w:pStyle w:val="Heading5"/>
        <w:spacing w:line="284" w:lineRule="exact"/>
        <w:ind w:left="892" w:right="1026"/>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无形资产的初始计量</w:t>
      </w:r>
      <w:r>
        <w:rPr>
          <w:b w:val="0"/>
          <w:bCs w:val="0"/>
        </w:rPr>
      </w:r>
    </w:p>
    <w:p>
      <w:pPr>
        <w:pStyle w:val="BodyText"/>
        <w:spacing w:line="316" w:lineRule="auto" w:before="46"/>
        <w:ind w:left="472" w:right="1132" w:firstLine="420"/>
        <w:jc w:val="both"/>
      </w:pPr>
      <w:r>
        <w:rPr/>
        <w:t>外购无形资产的成本，包括购买价款、相关税费以及直接归属于使该项资产达到预定用途所发生的其他支出。购买无 形资产的价款超过正常信用条件延期支付，实质上具有融资性质的，无形资产的成本以购买价款的现值为基础确定。</w:t>
      </w:r>
    </w:p>
    <w:p>
      <w:pPr>
        <w:pStyle w:val="BodyText"/>
        <w:spacing w:line="316" w:lineRule="auto" w:before="19"/>
        <w:ind w:left="472" w:right="1132" w:firstLine="420"/>
        <w:jc w:val="both"/>
      </w:pPr>
      <w:r>
        <w:rPr/>
        <w:t>债务重组取得债务人用以抵债的无形资产，以该无形资产的公允价值为基础确定其入账价值，并将重组债务的账面价 值与该用以抵债的无形资产公允价值之间的差额，计入当期损益。</w:t>
      </w:r>
    </w:p>
    <w:p>
      <w:pPr>
        <w:pStyle w:val="BodyText"/>
        <w:spacing w:line="316" w:lineRule="auto" w:before="19"/>
        <w:ind w:left="472" w:right="1132" w:firstLine="420"/>
        <w:jc w:val="both"/>
      </w:pPr>
      <w:r>
        <w:rPr/>
        <w:t>在非货币性资产交换具备商业实质且换入资产或换出资产的公允价值能够可靠计量的前提下，非货币性资产交换换入 </w:t>
      </w:r>
      <w:r>
        <w:rPr>
          <w:spacing w:val="-2"/>
        </w:rPr>
        <w:t>的无形资产以换出资产的公允价值为基础确定其入账价值，除非有确凿证据表明换入资产的公允价值更加可靠；不满足上述</w:t>
      </w:r>
      <w:r>
        <w:rPr>
          <w:spacing w:val="-64"/>
        </w:rPr>
        <w:t> </w:t>
      </w:r>
      <w:r>
        <w:rPr>
          <w:spacing w:val="-64"/>
        </w:rPr>
      </w:r>
      <w:r>
        <w:rPr/>
        <w:t>前提的非货币性资产交换，以换出资产的账面价值和应支付的相关税费作为换入无形资产的成本，不确认损益。</w:t>
      </w:r>
    </w:p>
    <w:p>
      <w:pPr>
        <w:pStyle w:val="BodyText"/>
        <w:spacing w:line="316" w:lineRule="auto" w:before="19"/>
        <w:ind w:left="472" w:right="1132" w:firstLine="420"/>
        <w:jc w:val="both"/>
      </w:pPr>
      <w:r>
        <w:rPr/>
        <w:t>以同一控制下的企业吸收合并方式取得的无形资产按被合并方的账面价值确定其入账价值；以非同一控制下的企业吸 收合并方式取得的无形资产按公允价值确定其入账价值。</w:t>
      </w:r>
    </w:p>
    <w:p>
      <w:pPr>
        <w:pStyle w:val="BodyText"/>
        <w:spacing w:line="316" w:lineRule="auto" w:before="19"/>
        <w:ind w:left="472" w:right="1132" w:firstLine="420"/>
        <w:jc w:val="both"/>
      </w:pPr>
      <w:r>
        <w:rPr/>
        <w:t>内部自行开发的无形资产，其成本包括：开发该无形资产时耗用的材料、劳务成本、注册费、在开发过程中使用的其 他专利权和特许权的摊销以及满足资本化条件的利息费用，以及为使该无形资产达到预定用途前所发生的其他直接费用。</w:t>
      </w:r>
    </w:p>
    <w:p>
      <w:pPr>
        <w:pStyle w:val="Heading5"/>
        <w:spacing w:line="284" w:lineRule="exact"/>
        <w:ind w:left="892" w:right="1026"/>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无形资产的后续计量</w:t>
      </w:r>
      <w:r>
        <w:rPr>
          <w:b w:val="0"/>
          <w:bCs w:val="0"/>
        </w:rPr>
      </w:r>
    </w:p>
    <w:p>
      <w:pPr>
        <w:pStyle w:val="BodyText"/>
        <w:spacing w:line="240" w:lineRule="auto" w:before="46"/>
        <w:ind w:left="892" w:right="1026"/>
        <w:jc w:val="left"/>
      </w:pPr>
      <w:r>
        <w:rPr/>
        <w:t>本公司在取得无形资产时分析判断其使用寿命，划分为使用寿命有限和使用寿命不确定的无形资产。</w:t>
      </w:r>
    </w:p>
    <w:p>
      <w:pPr>
        <w:pStyle w:val="BodyText"/>
        <w:spacing w:line="300" w:lineRule="auto" w:before="76"/>
        <w:ind w:left="892" w:right="1026" w:hanging="60"/>
        <w:jc w:val="left"/>
      </w:pPr>
      <w:r>
        <w:rPr/>
        <w:t>（</w:t>
      </w:r>
      <w:r>
        <w:rPr>
          <w:rFonts w:ascii="Times New Roman" w:hAnsi="Times New Roman" w:cs="Times New Roman" w:eastAsia="Times New Roman" w:hint="default"/>
        </w:rPr>
        <w:t>1</w:t>
      </w:r>
      <w:r>
        <w:rPr/>
        <w:t>）使用寿命有限的无形资产 对于使用寿命有限的无形资产，在为企业带来经济利益的期限内按直线法摊销。使用寿命有限的无形资产预计寿命及</w:t>
      </w:r>
    </w:p>
    <w:p>
      <w:pPr>
        <w:pStyle w:val="BodyText"/>
        <w:spacing w:line="240" w:lineRule="auto" w:before="31"/>
        <w:ind w:left="472" w:right="1026"/>
        <w:jc w:val="left"/>
      </w:pPr>
      <w:r>
        <w:rPr/>
        <w:t>依据如下：</w:t>
      </w:r>
    </w:p>
    <w:p>
      <w:pPr>
        <w:spacing w:line="240" w:lineRule="auto" w:before="13"/>
        <w:rPr>
          <w:rFonts w:ascii="宋体" w:hAnsi="宋体" w:cs="宋体" w:eastAsia="宋体" w:hint="default"/>
          <w:sz w:val="4"/>
          <w:szCs w:val="4"/>
        </w:rPr>
      </w:pPr>
    </w:p>
    <w:tbl>
      <w:tblPr>
        <w:tblW w:w="0" w:type="auto"/>
        <w:jc w:val="left"/>
        <w:tblInd w:w="466" w:type="dxa"/>
        <w:tblLayout w:type="fixed"/>
        <w:tblCellMar>
          <w:top w:w="0" w:type="dxa"/>
          <w:left w:w="0" w:type="dxa"/>
          <w:bottom w:w="0" w:type="dxa"/>
          <w:right w:w="0" w:type="dxa"/>
        </w:tblCellMar>
        <w:tblLook w:val="01E0"/>
      </w:tblPr>
      <w:tblGrid>
        <w:gridCol w:w="2806"/>
        <w:gridCol w:w="1872"/>
        <w:gridCol w:w="3544"/>
      </w:tblGrid>
      <w:tr>
        <w:trPr>
          <w:trHeight w:val="354" w:hRule="exact"/>
        </w:trPr>
        <w:tc>
          <w:tcPr>
            <w:tcW w:w="28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5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61"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54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1411"/>
              <w:jc w:val="right"/>
              <w:rPr>
                <w:rFonts w:ascii="宋体" w:hAnsi="宋体" w:cs="宋体" w:eastAsia="宋体" w:hint="default"/>
                <w:sz w:val="18"/>
                <w:szCs w:val="18"/>
              </w:rPr>
            </w:pPr>
            <w:r>
              <w:rPr>
                <w:rFonts w:ascii="宋体" w:hAnsi="宋体" w:cs="宋体" w:eastAsia="宋体" w:hint="default"/>
                <w:sz w:val="18"/>
                <w:szCs w:val="18"/>
              </w:rPr>
              <w:t>依据</w:t>
            </w:r>
          </w:p>
        </w:tc>
      </w:tr>
      <w:tr>
        <w:trPr>
          <w:trHeight w:val="362" w:hRule="exact"/>
        </w:trPr>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63"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360" w:right="0"/>
              <w:jc w:val="center"/>
              <w:rPr>
                <w:rFonts w:ascii="Times New Roman" w:hAnsi="Times New Roman" w:cs="Times New Roman" w:eastAsia="Times New Roman" w:hint="default"/>
                <w:sz w:val="18"/>
                <w:szCs w:val="18"/>
              </w:rPr>
            </w:pPr>
            <w:r>
              <w:rPr>
                <w:rFonts w:ascii="Times New Roman"/>
                <w:sz w:val="18"/>
              </w:rPr>
              <w:t>3-10</w:t>
            </w:r>
          </w:p>
        </w:tc>
        <w:tc>
          <w:tcPr>
            <w:tcW w:w="35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1530"/>
              <w:jc w:val="right"/>
              <w:rPr>
                <w:rFonts w:ascii="Times New Roman" w:hAnsi="Times New Roman" w:cs="Times New Roman" w:eastAsia="Times New Roman" w:hint="default"/>
                <w:sz w:val="18"/>
                <w:szCs w:val="18"/>
              </w:rPr>
            </w:pPr>
            <w:r>
              <w:rPr>
                <w:rFonts w:ascii="Times New Roman"/>
                <w:sz w:val="18"/>
              </w:rPr>
              <w:t>--</w:t>
            </w:r>
          </w:p>
        </w:tc>
      </w:tr>
      <w:tr>
        <w:trPr>
          <w:trHeight w:val="362" w:hRule="exact"/>
        </w:trPr>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63" w:right="0"/>
              <w:jc w:val="left"/>
              <w:rPr>
                <w:rFonts w:ascii="宋体" w:hAnsi="宋体" w:cs="宋体" w:eastAsia="宋体" w:hint="default"/>
                <w:sz w:val="18"/>
                <w:szCs w:val="18"/>
              </w:rPr>
            </w:pPr>
            <w:r>
              <w:rPr>
                <w:rFonts w:ascii="宋体" w:hAnsi="宋体" w:cs="宋体" w:eastAsia="宋体" w:hint="default"/>
                <w:sz w:val="18"/>
                <w:szCs w:val="18"/>
              </w:rPr>
              <w:t>特许权</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360" w:right="0"/>
              <w:jc w:val="center"/>
              <w:rPr>
                <w:rFonts w:ascii="Times New Roman" w:hAnsi="Times New Roman" w:cs="Times New Roman" w:eastAsia="Times New Roman" w:hint="default"/>
                <w:sz w:val="18"/>
                <w:szCs w:val="18"/>
              </w:rPr>
            </w:pPr>
            <w:r>
              <w:rPr>
                <w:rFonts w:ascii="Times New Roman"/>
                <w:sz w:val="18"/>
              </w:rPr>
              <w:t>5</w:t>
            </w:r>
          </w:p>
        </w:tc>
        <w:tc>
          <w:tcPr>
            <w:tcW w:w="35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1530"/>
              <w:jc w:val="right"/>
              <w:rPr>
                <w:rFonts w:ascii="Times New Roman" w:hAnsi="Times New Roman" w:cs="Times New Roman" w:eastAsia="Times New Roman" w:hint="default"/>
                <w:sz w:val="18"/>
                <w:szCs w:val="18"/>
              </w:rPr>
            </w:pPr>
            <w:r>
              <w:rPr>
                <w:rFonts w:ascii="Times New Roman"/>
                <w:sz w:val="18"/>
              </w:rPr>
              <w:t>--</w:t>
            </w:r>
          </w:p>
        </w:tc>
      </w:tr>
      <w:tr>
        <w:trPr>
          <w:trHeight w:val="362" w:hRule="exact"/>
        </w:trPr>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363"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left="360" w:right="0"/>
              <w:jc w:val="center"/>
              <w:rPr>
                <w:rFonts w:ascii="Times New Roman" w:hAnsi="Times New Roman" w:cs="Times New Roman" w:eastAsia="Times New Roman" w:hint="default"/>
                <w:sz w:val="18"/>
                <w:szCs w:val="18"/>
              </w:rPr>
            </w:pPr>
            <w:r>
              <w:rPr>
                <w:rFonts w:ascii="Times New Roman"/>
                <w:sz w:val="18"/>
              </w:rPr>
              <w:t>10</w:t>
            </w:r>
          </w:p>
        </w:tc>
        <w:tc>
          <w:tcPr>
            <w:tcW w:w="35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150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62" w:hRule="exact"/>
        </w:trPr>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63"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left="360" w:right="0"/>
              <w:jc w:val="center"/>
              <w:rPr>
                <w:rFonts w:ascii="Times New Roman" w:hAnsi="Times New Roman" w:cs="Times New Roman" w:eastAsia="Times New Roman" w:hint="default"/>
                <w:sz w:val="18"/>
                <w:szCs w:val="18"/>
              </w:rPr>
            </w:pPr>
            <w:r>
              <w:rPr>
                <w:rFonts w:ascii="Times New Roman"/>
                <w:sz w:val="18"/>
              </w:rPr>
              <w:t>10</w:t>
            </w:r>
          </w:p>
        </w:tc>
        <w:tc>
          <w:tcPr>
            <w:tcW w:w="35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150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62" w:hRule="exact"/>
        </w:trPr>
        <w:tc>
          <w:tcPr>
            <w:tcW w:w="280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63" w:right="0"/>
              <w:jc w:val="left"/>
              <w:rPr>
                <w:rFonts w:ascii="宋体" w:hAnsi="宋体" w:cs="宋体" w:eastAsia="宋体" w:hint="default"/>
                <w:sz w:val="18"/>
                <w:szCs w:val="18"/>
              </w:rPr>
            </w:pPr>
            <w:r>
              <w:rPr>
                <w:rFonts w:ascii="宋体" w:hAnsi="宋体" w:cs="宋体" w:eastAsia="宋体" w:hint="default"/>
                <w:sz w:val="18"/>
                <w:szCs w:val="18"/>
              </w:rPr>
              <w:t>客户关系</w:t>
            </w:r>
          </w:p>
        </w:tc>
        <w:tc>
          <w:tcPr>
            <w:tcW w:w="18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left="362" w:right="0"/>
              <w:jc w:val="center"/>
              <w:rPr>
                <w:rFonts w:ascii="Times New Roman" w:hAnsi="Times New Roman" w:cs="Times New Roman" w:eastAsia="Times New Roman" w:hint="default"/>
                <w:sz w:val="18"/>
                <w:szCs w:val="18"/>
              </w:rPr>
            </w:pPr>
            <w:r>
              <w:rPr>
                <w:rFonts w:ascii="Times New Roman"/>
                <w:sz w:val="18"/>
              </w:rPr>
              <w:t>5-8</w:t>
            </w:r>
          </w:p>
        </w:tc>
        <w:tc>
          <w:tcPr>
            <w:tcW w:w="35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150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9"/>
        <w:rPr>
          <w:rFonts w:ascii="宋体" w:hAnsi="宋体" w:cs="宋体" w:eastAsia="宋体" w:hint="default"/>
          <w:sz w:val="6"/>
          <w:szCs w:val="6"/>
        </w:rPr>
      </w:pPr>
    </w:p>
    <w:p>
      <w:pPr>
        <w:pStyle w:val="BodyText"/>
        <w:spacing w:line="316" w:lineRule="auto" w:before="44"/>
        <w:ind w:left="892" w:right="1026"/>
        <w:jc w:val="left"/>
      </w:pPr>
      <w:r>
        <w:rPr>
          <w:spacing w:val="-1"/>
        </w:rPr>
        <w:t>每期末，对使用寿命有限的无形资产的使用寿命及摊销方法进行复核，如与原先估计数存在差异的，进行相应的调整。</w:t>
      </w:r>
      <w:r>
        <w:rPr/>
        <w:t> 经复核，本期期末无形资产的使用寿命及摊销方法与以前估计未有不同。</w:t>
      </w:r>
    </w:p>
    <w:p>
      <w:pPr>
        <w:pStyle w:val="BodyText"/>
        <w:spacing w:line="300" w:lineRule="auto" w:before="19"/>
        <w:ind w:left="892" w:right="3854" w:hanging="60"/>
        <w:jc w:val="left"/>
      </w:pPr>
      <w:r>
        <w:rPr/>
        <w:t>（</w:t>
      </w:r>
      <w:r>
        <w:rPr>
          <w:rFonts w:ascii="Times New Roman" w:hAnsi="Times New Roman" w:cs="Times New Roman" w:eastAsia="Times New Roman" w:hint="default"/>
        </w:rPr>
        <w:t>2</w:t>
      </w:r>
      <w:r>
        <w:rPr/>
        <w:t>）使用寿命不确定的无形资产 无法预见无形资产为企业带来经济利益期限的，视为使用寿命不确定的无形资产。</w:t>
      </w:r>
    </w:p>
    <w:p>
      <w:pPr>
        <w:pStyle w:val="BodyText"/>
        <w:spacing w:line="316" w:lineRule="auto" w:before="31"/>
        <w:ind w:left="472" w:right="1026" w:firstLine="420"/>
        <w:jc w:val="left"/>
      </w:pPr>
      <w:r>
        <w:rPr/>
        <w:t>对于使用寿命不确定的无形资产，在持有期间内不摊销，每期末对无形资产的寿命进行复核。如果期末重新复核后仍 为不确定的，在每个会计期间继续进行减值测试。</w:t>
      </w:r>
    </w:p>
    <w:p>
      <w:pPr>
        <w:tabs>
          <w:tab w:pos="892" w:val="left" w:leader="none"/>
        </w:tabs>
        <w:spacing w:line="297" w:lineRule="auto" w:before="0"/>
        <w:ind w:left="892" w:right="1132" w:hanging="780"/>
        <w:jc w:val="left"/>
        <w:rPr>
          <w:rFonts w:ascii="宋体" w:hAnsi="宋体" w:cs="宋体" w:eastAsia="宋体" w:hint="default"/>
          <w:sz w:val="18"/>
          <w:szCs w:val="18"/>
        </w:rPr>
      </w:pPr>
      <w:r>
        <w:rPr>
          <w:rFonts w:ascii="宋体" w:hAnsi="宋体" w:cs="宋体" w:eastAsia="宋体" w:hint="default"/>
          <w:b/>
          <w:bCs/>
          <w:sz w:val="21"/>
          <w:szCs w:val="21"/>
        </w:rPr>
        <w:t>1.</w:t>
        <w:tab/>
      </w: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44"/>
          <w:sz w:val="21"/>
          <w:szCs w:val="21"/>
        </w:rPr>
        <w:t> </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w w:val="99"/>
          <w:sz w:val="21"/>
          <w:szCs w:val="21"/>
        </w:rPr>
        <w:t> </w:t>
      </w:r>
      <w:r>
        <w:rPr>
          <w:rFonts w:ascii="宋体" w:hAnsi="宋体" w:cs="宋体" w:eastAsia="宋体" w:hint="default"/>
          <w:sz w:val="18"/>
          <w:szCs w:val="18"/>
        </w:rPr>
        <w:t>研究阶段：为获取并理解新的科学或技术知识等而进行的独创性的有计划调查、研究活动的阶段。 开发阶段：在进行商业性生产或使用前，将研究成果或其他知识应用于某项计划或设计，以生产出新的或具有实质性</w:t>
      </w:r>
    </w:p>
    <w:p>
      <w:pPr>
        <w:pStyle w:val="BodyText"/>
        <w:spacing w:line="316" w:lineRule="auto" w:before="33"/>
        <w:ind w:left="892" w:right="5474" w:hanging="420"/>
        <w:jc w:val="left"/>
      </w:pPr>
      <w:r>
        <w:rPr/>
        <w:t>改进的材料、装置、产品等活动的阶段。 内部研究开发项目研究阶段的支出，在发生时计入当期损益。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4"/>
        <w:ind w:left="472" w:right="1026"/>
        <w:jc w:val="left"/>
        <w:rPr>
          <w:b w:val="0"/>
          <w:bCs w:val="0"/>
        </w:rPr>
      </w:pPr>
      <w:bookmarkStart w:name="（2）内部研究开发支出会计政策" w:id="198"/>
      <w:bookmarkEnd w:id="198"/>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892" w:right="1026"/>
        <w:jc w:val="left"/>
      </w:pPr>
      <w:r>
        <w:rPr/>
        <w:t>内部研究开发项目开发阶段的支出，同时满足下列条件时确认为无形资产：</w:t>
      </w:r>
    </w:p>
    <w:p>
      <w:pPr>
        <w:pStyle w:val="BodyText"/>
        <w:spacing w:line="240" w:lineRule="auto" w:before="76"/>
        <w:ind w:left="892" w:right="1026"/>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63"/>
        <w:ind w:left="892" w:right="1026"/>
        <w:jc w:val="left"/>
      </w:pPr>
      <w:r>
        <w:rPr/>
        <w:t>（</w:t>
      </w:r>
      <w:r>
        <w:rPr>
          <w:rFonts w:ascii="Times New Roman" w:hAnsi="Times New Roman" w:cs="Times New Roman" w:eastAsia="Times New Roman" w:hint="default"/>
        </w:rPr>
        <w:t>2</w:t>
      </w:r>
      <w:r>
        <w:rPr/>
        <w:t>）具有完成该无形资产并使用或出售的意图；</w:t>
      </w:r>
    </w:p>
    <w:p>
      <w:pPr>
        <w:spacing w:after="0" w:line="240" w:lineRule="auto"/>
        <w:jc w:val="left"/>
        <w:sectPr>
          <w:pgSz w:w="11910" w:h="16840"/>
          <w:pgMar w:header="746" w:footer="978" w:top="1060" w:bottom="1160" w:left="660" w:right="0"/>
        </w:sectPr>
      </w:pPr>
    </w:p>
    <w:p>
      <w:pPr>
        <w:spacing w:line="240" w:lineRule="auto" w:before="12"/>
        <w:rPr>
          <w:rFonts w:ascii="宋体" w:hAnsi="宋体" w:cs="宋体" w:eastAsia="宋体" w:hint="default"/>
          <w:sz w:val="25"/>
          <w:szCs w:val="25"/>
        </w:rPr>
      </w:pPr>
    </w:p>
    <w:p>
      <w:pPr>
        <w:pStyle w:val="BodyText"/>
        <w:tabs>
          <w:tab w:pos="2363" w:val="left" w:leader="none"/>
        </w:tabs>
        <w:spacing w:line="300" w:lineRule="auto" w:before="44"/>
        <w:ind w:right="1130" w:firstLine="420"/>
        <w:jc w:val="left"/>
      </w:pPr>
      <w:r>
        <w:rPr>
          <w:spacing w:val="-1"/>
        </w:rPr>
        <w:t>（</w:t>
      </w:r>
      <w:r>
        <w:rPr>
          <w:rFonts w:ascii="Times New Roman" w:hAnsi="Times New Roman" w:cs="Times New Roman" w:eastAsia="Times New Roman" w:hint="default"/>
          <w:spacing w:val="-1"/>
        </w:rPr>
        <w:t>3</w:t>
      </w:r>
      <w:r>
        <w:rPr>
          <w:spacing w:val="-1"/>
        </w:rPr>
        <w:t>）无形资产产生经济利益的方式，包括能够证明运用该无形资产生产的产品存在市场或无形资产自身存在市场，无</w:t>
      </w:r>
      <w:r>
        <w:rPr/>
        <w:t> 形资产将在内部使用的，</w:t>
        <w:tab/>
        <w:t>能够证明其有用性；</w:t>
      </w:r>
    </w:p>
    <w:p>
      <w:pPr>
        <w:pStyle w:val="BodyText"/>
        <w:spacing w:line="240" w:lineRule="auto" w:before="31"/>
        <w:ind w:left="532" w:right="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00" w:lineRule="auto" w:before="63"/>
        <w:ind w:left="532" w:right="0"/>
        <w:jc w:val="left"/>
      </w:pPr>
      <w:r>
        <w:rPr/>
        <w:t>（</w:t>
      </w:r>
      <w:r>
        <w:rPr>
          <w:rFonts w:ascii="Times New Roman" w:hAnsi="Times New Roman" w:cs="Times New Roman" w:eastAsia="Times New Roman" w:hint="default"/>
        </w:rPr>
        <w:t>5</w:t>
      </w:r>
      <w:r>
        <w:rPr/>
        <w:t>）归属于该无形资产开发阶段的支出能够可靠地计量。 不满足上述条件的开发阶段的支出，于发生时计入当期损益。以前期间已计入损益的开发支出不在以后期间重新确认</w:t>
      </w:r>
    </w:p>
    <w:p>
      <w:pPr>
        <w:pStyle w:val="BodyText"/>
        <w:spacing w:line="240" w:lineRule="auto" w:before="31"/>
        <w:ind w:right="0"/>
        <w:jc w:val="both"/>
      </w:pPr>
      <w:r>
        <w:rPr/>
        <w:t>为资产。已资本化的开发阶段的支出在资产负债表上列示为开发支出，自该项目达到预定用途之日起转为无形资产。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5"/>
        <w:spacing w:line="240" w:lineRule="auto"/>
        <w:ind w:right="0"/>
        <w:jc w:val="both"/>
        <w:rPr>
          <w:b w:val="0"/>
          <w:bCs w:val="0"/>
        </w:rPr>
      </w:pPr>
      <w:bookmarkStart w:name="22、长期资产减值" w:id="199"/>
      <w:bookmarkEnd w:id="199"/>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4" w:firstLine="420"/>
        <w:jc w:val="left"/>
      </w:pPr>
      <w:r>
        <w:rPr/>
        <w:t>本公司在资产负债表日判断长期资产是否存在可能发生减值的迹象。如果长期资产存在减值迹象的，以单项资产为基 础估计其可收回金额；难以对单项资产的可收回金额进行估计的，以该资产所属的资产组为基础确定资产组的可收回金额。</w:t>
      </w:r>
    </w:p>
    <w:p>
      <w:pPr>
        <w:pStyle w:val="BodyText"/>
        <w:spacing w:line="316" w:lineRule="auto" w:before="19"/>
        <w:ind w:left="532" w:right="1026"/>
        <w:jc w:val="left"/>
      </w:pPr>
      <w:r>
        <w:rPr>
          <w:spacing w:val="-1"/>
        </w:rPr>
        <w:t>资产可收回金额的估计，根据其公允价值减去处置费用后的净额与资产预计未来现金流量的现值两者之间较高者确定。</w:t>
      </w:r>
      <w:r>
        <w:rPr/>
        <w:t> 可收回金额的计量结果表明，长期资产的可收回金额低于其账面价值的，将长期资产的账面价值减记至可收回金额，</w:t>
      </w:r>
    </w:p>
    <w:p>
      <w:pPr>
        <w:pStyle w:val="BodyText"/>
        <w:spacing w:line="316" w:lineRule="auto" w:before="19"/>
        <w:ind w:right="1130"/>
        <w:jc w:val="both"/>
      </w:pPr>
      <w:r>
        <w:rPr>
          <w:spacing w:val="-2"/>
        </w:rPr>
        <w:t>减记的金额确认为资产减值损失，计入当期损益，同时计提相应的资产减值准备。资产减值损失一经确认，在以后会计期间</w:t>
      </w:r>
      <w:r>
        <w:rPr>
          <w:spacing w:val="-64"/>
        </w:rPr>
        <w:t> </w:t>
      </w:r>
      <w:r>
        <w:rPr>
          <w:spacing w:val="-64"/>
        </w:rPr>
      </w:r>
      <w:r>
        <w:rPr/>
        <w:t>不得转回。</w:t>
      </w:r>
    </w:p>
    <w:p>
      <w:pPr>
        <w:pStyle w:val="BodyText"/>
        <w:spacing w:line="316" w:lineRule="auto" w:before="19"/>
        <w:ind w:right="0" w:firstLine="420"/>
        <w:jc w:val="left"/>
      </w:pPr>
      <w:r>
        <w:rPr/>
        <w:t>资产减值损失确认后，减值资产的折旧或者摊销费用在未来期间作相应调整，以使该资产在剩余使用寿命内，系统地 </w:t>
      </w:r>
      <w:r>
        <w:rPr>
          <w:spacing w:val="-5"/>
        </w:rPr>
        <w:t>分摊调整后的资产账面价值（扣除预计净残值）。</w:t>
      </w:r>
    </w:p>
    <w:p>
      <w:pPr>
        <w:pStyle w:val="BodyText"/>
        <w:spacing w:line="316" w:lineRule="auto" w:before="19"/>
        <w:ind w:left="532" w:right="0"/>
        <w:jc w:val="left"/>
      </w:pPr>
      <w:r>
        <w:rPr/>
        <w:t>因企业合并所形成的商誉和使用寿命不确定的无形资产，无论是否存在减值迹象，每年都进行减值测试。 在对商誉进行减值测试时，将商誉的账面价值分摊至预期从企业合并的协同效应中受益的资产组或资产组组合。在对</w:t>
      </w:r>
    </w:p>
    <w:p>
      <w:pPr>
        <w:pStyle w:val="BodyText"/>
        <w:spacing w:line="316" w:lineRule="auto" w:before="19"/>
        <w:ind w:right="1130"/>
        <w:jc w:val="both"/>
      </w:pPr>
      <w:r>
        <w:rPr>
          <w:spacing w:val="-2"/>
        </w:rPr>
        <w:t>包含商誉的相关资产组或者资产组组合进行减值测试时，如与商誉相关的资产组或者资产组组合存在减值迹象的，先对不包</w:t>
      </w:r>
      <w:r>
        <w:rPr>
          <w:spacing w:val="-64"/>
        </w:rPr>
        <w:t> </w:t>
      </w:r>
      <w:r>
        <w:rPr>
          <w:spacing w:val="-64"/>
        </w:rPr>
      </w:r>
      <w:r>
        <w:rPr>
          <w:spacing w:val="-2"/>
        </w:rPr>
        <w:t>含商誉的资产组或者资产组组合进行减值测试，计算可收回金额，并与相关账面价值相比较，确认相应的减值损失。再对包</w:t>
      </w:r>
      <w:r>
        <w:rPr>
          <w:spacing w:val="-64"/>
        </w:rPr>
        <w:t> </w:t>
      </w:r>
      <w:r>
        <w:rPr>
          <w:spacing w:val="-64"/>
        </w:rPr>
      </w:r>
      <w:r>
        <w:rPr>
          <w:spacing w:val="-2"/>
        </w:rPr>
        <w:t>含商誉的资产组或者资产组组合进行减值测试，比较这些相关资产组或者资产组组合的账面价值（包括所分摊的商誉的账面</w:t>
      </w:r>
      <w:r>
        <w:rPr>
          <w:spacing w:val="-64"/>
        </w:rPr>
        <w:t> </w:t>
      </w:r>
      <w:r>
        <w:rPr>
          <w:spacing w:val="-64"/>
        </w:rPr>
      </w:r>
      <w:r>
        <w:rPr/>
        <w:t>价值部分）与其可收回金额，如相关资产组或者资产组组合的可收回金额低于其账面价值的，确认商誉的减值损失。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6"/>
        <w:ind w:right="0"/>
        <w:jc w:val="both"/>
        <w:rPr>
          <w:b w:val="0"/>
          <w:bCs w:val="0"/>
        </w:rPr>
      </w:pPr>
      <w:bookmarkStart w:name="23、长期待摊费用" w:id="200"/>
      <w:bookmarkEnd w:id="200"/>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034" w:firstLine="420"/>
        <w:jc w:val="left"/>
      </w:pPr>
      <w:r>
        <w:rPr/>
        <w:t>长期待摊费用，是指本公司已经发生但应由本期和以后各期负担的分摊期限在</w:t>
      </w:r>
      <w:r>
        <w:rPr>
          <w:rFonts w:ascii="Times New Roman" w:hAnsi="Times New Roman" w:cs="Times New Roman" w:eastAsia="Times New Roman" w:hint="default"/>
        </w:rPr>
        <w:t>1</w:t>
      </w:r>
      <w:r>
        <w:rPr/>
        <w:t>年以上的各项费用，以及本公司共同经 营利益份额中确认的单独所持有的资产，具体为共同经营项目系统建设成本。长期待摊费用在受益期内按直线法分期摊销。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49"/>
        <w:ind w:right="0"/>
        <w:jc w:val="both"/>
        <w:rPr>
          <w:b w:val="0"/>
          <w:bCs w:val="0"/>
        </w:rPr>
      </w:pPr>
      <w:bookmarkStart w:name="24、职工薪酬" w:id="201"/>
      <w:bookmarkEnd w:id="201"/>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both"/>
        <w:rPr>
          <w:b w:val="0"/>
          <w:bCs w:val="0"/>
        </w:rPr>
      </w:pPr>
      <w:bookmarkStart w:name="（1）短期薪酬的会计处理方法" w:id="202"/>
      <w:bookmarkEnd w:id="202"/>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132"/>
        <w:jc w:val="both"/>
      </w:pPr>
      <w:r>
        <w:rPr>
          <w:spacing w:val="-2"/>
        </w:rPr>
        <w:t>短期薪酬是指本公司在职工提供相关服务的年度报告期间结束后十二个月内需要全部予以支付的职工薪酬，离职后福利和辞</w:t>
      </w:r>
      <w:r>
        <w:rPr>
          <w:spacing w:val="-64"/>
        </w:rPr>
        <w:t> </w:t>
      </w:r>
      <w:r>
        <w:rPr>
          <w:spacing w:val="-64"/>
        </w:rPr>
      </w:r>
      <w:r>
        <w:rPr>
          <w:spacing w:val="-2"/>
        </w:rPr>
        <w:t>退福利除外。本公司在职工提供服务的会计期间，将应付的短期薪酬确认为负债，并根据职工提供服务的受益对象计入相关</w:t>
      </w:r>
      <w:r>
        <w:rPr>
          <w:spacing w:val="-65"/>
        </w:rPr>
        <w:t> </w:t>
      </w:r>
      <w:r>
        <w:rPr>
          <w:spacing w:val="-65"/>
        </w:rPr>
      </w:r>
      <w:r>
        <w:rPr/>
        <w:t>资产成本和费用。</w:t>
      </w:r>
    </w:p>
    <w:p>
      <w:pPr>
        <w:spacing w:line="240" w:lineRule="auto" w:before="6"/>
        <w:rPr>
          <w:rFonts w:ascii="宋体" w:hAnsi="宋体" w:cs="宋体" w:eastAsia="宋体" w:hint="default"/>
          <w:sz w:val="22"/>
          <w:szCs w:val="22"/>
        </w:rPr>
      </w:pPr>
    </w:p>
    <w:p>
      <w:pPr>
        <w:pStyle w:val="Heading5"/>
        <w:spacing w:line="240" w:lineRule="auto"/>
        <w:ind w:right="0"/>
        <w:jc w:val="both"/>
        <w:rPr>
          <w:b w:val="0"/>
          <w:bCs w:val="0"/>
        </w:rPr>
      </w:pPr>
      <w:bookmarkStart w:name="（2）离职后福利的会计处理方法" w:id="203"/>
      <w:bookmarkEnd w:id="203"/>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26" w:firstLine="420"/>
        <w:jc w:val="left"/>
      </w:pPr>
      <w:r>
        <w:rPr>
          <w:spacing w:val="-1"/>
        </w:rPr>
        <w:t>离职后福利是指本公司为获得职工提供的服务而在职工退休或与企业解除劳动关系后，提供的各种形式的报酬和福利，</w:t>
      </w:r>
      <w:r>
        <w:rPr/>
        <w:t> 短期薪酬和辞退福利除外。</w:t>
      </w:r>
    </w:p>
    <w:p>
      <w:pPr>
        <w:pStyle w:val="BodyText"/>
        <w:spacing w:line="240" w:lineRule="auto" w:before="19"/>
        <w:ind w:left="532" w:right="0"/>
        <w:jc w:val="left"/>
      </w:pPr>
      <w:r>
        <w:rPr/>
        <w:t>本公司的离职后福利计划全部为设定提存计划。</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316" w:lineRule="auto" w:before="44"/>
        <w:ind w:right="1132" w:firstLine="420"/>
        <w:jc w:val="both"/>
      </w:pPr>
      <w:r>
        <w:rPr/>
        <w:t>离职后福利设定提存计划主要为参加由各地劳动及社会保障机构组织实施的社会基本养老保险、失业保险等。在职工 为本公司提供服务的会计期间，将根据设定提存计划计算的应缴存金额确认为负债，并计入当期损益或相关资产成本。</w:t>
      </w:r>
    </w:p>
    <w:p>
      <w:pPr>
        <w:pStyle w:val="BodyText"/>
        <w:spacing w:line="240" w:lineRule="auto" w:before="19"/>
        <w:ind w:left="532" w:right="0"/>
        <w:jc w:val="left"/>
      </w:pPr>
      <w:r>
        <w:rPr/>
        <w:t>本公司按照国家规定的标准定期缴付上述款项后，不再有其他的支付义务。</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辞退福利的会计处理方法" w:id="204"/>
      <w:bookmarkEnd w:id="204"/>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420"/>
        <w:jc w:val="both"/>
      </w:pPr>
      <w:r>
        <w:rPr/>
        <w:t>辞退福利是指本公司在职工劳动合同到期之前解除与职工的劳动关系，或者为鼓励职工自愿接受裁减而给予职工的补 </w:t>
      </w:r>
      <w:r>
        <w:rPr>
          <w:spacing w:val="-2"/>
        </w:rPr>
        <w:t>偿，在本公司不能单方面撤回解除劳动关系计划或裁减建议时和确认与涉及支付辞退福利的重组相关的成本费用时两者孰早</w:t>
      </w:r>
      <w:r>
        <w:rPr>
          <w:spacing w:val="-64"/>
        </w:rPr>
        <w:t> </w:t>
      </w:r>
      <w:r>
        <w:rPr>
          <w:spacing w:val="-64"/>
        </w:rPr>
      </w:r>
      <w:r>
        <w:rPr/>
        <w:t>日，确认因解除与职工的劳动关系给予补偿而产生的负债，同时计入当期损益。</w:t>
      </w:r>
    </w:p>
    <w:p>
      <w:pPr>
        <w:pStyle w:val="BodyText"/>
        <w:spacing w:line="316" w:lineRule="auto" w:before="19"/>
        <w:ind w:right="1130" w:firstLine="420"/>
        <w:jc w:val="both"/>
      </w:pPr>
      <w:r>
        <w:rPr/>
        <w:t>本公司向接受内部退休安排的职工提供内退福利。内退福利是指，向未达到国家规定的退休年龄、经本公司管理层批 </w:t>
      </w:r>
      <w:r>
        <w:rPr>
          <w:spacing w:val="-2"/>
        </w:rPr>
        <w:t>准自愿退出工作岗位的职工支付的工资及为其缴纳的社会保险费等。本公司自内部退休安排开始之日起至职工达到正常退休</w:t>
      </w:r>
      <w:r>
        <w:rPr>
          <w:spacing w:val="-64"/>
        </w:rPr>
        <w:t> </w:t>
      </w:r>
      <w:r>
        <w:rPr>
          <w:spacing w:val="-64"/>
        </w:rPr>
      </w:r>
      <w:r>
        <w:rPr>
          <w:spacing w:val="-2"/>
        </w:rPr>
        <w:t>年龄止，向内退职工支付内部退养福利。对于内退福利，本公司比照辞退福利进行会计处理，在符合辞退福利相关确认条件</w:t>
      </w:r>
      <w:r>
        <w:rPr>
          <w:spacing w:val="-64"/>
        </w:rPr>
        <w:t> </w:t>
      </w:r>
      <w:r>
        <w:rPr>
          <w:spacing w:val="-64"/>
        </w:rPr>
      </w:r>
      <w:r>
        <w:rPr>
          <w:spacing w:val="-2"/>
        </w:rPr>
        <w:t>时，将自职工停止提供服务日至正常退休日期间拟支付的内退职工工资和缴纳的社会保险费等，确认为负债，一次性计入当</w:t>
      </w:r>
      <w:r>
        <w:rPr>
          <w:spacing w:val="-63"/>
        </w:rPr>
        <w:t> </w:t>
      </w:r>
      <w:r>
        <w:rPr>
          <w:spacing w:val="-63"/>
        </w:rPr>
      </w:r>
      <w:r>
        <w:rPr/>
        <w:t>期损益。内退福利的精算假设变化及福利标准调整引起的差异于发生时计入当期损益。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6"/>
        <w:ind w:right="0"/>
        <w:jc w:val="left"/>
        <w:rPr>
          <w:b w:val="0"/>
          <w:bCs w:val="0"/>
        </w:rPr>
      </w:pPr>
      <w:bookmarkStart w:name="（4）其他长期职工福利的会计处理方法" w:id="205"/>
      <w:bookmarkEnd w:id="205"/>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32" w:right="0"/>
        <w:jc w:val="left"/>
      </w:pPr>
      <w:r>
        <w:rPr/>
        <w:t>其他长期职工福利是指除短期薪酬、离职后福利、辞退福利之外的其他所有职工福利。 对符合设定提存计划条件的其他长期职工福利，在职工为本公司提供服务的会计期间，将应缴存金额确认为负债，并</w:t>
      </w:r>
    </w:p>
    <w:p>
      <w:pPr>
        <w:pStyle w:val="BodyText"/>
        <w:spacing w:line="316" w:lineRule="auto" w:before="19"/>
        <w:ind w:right="0"/>
        <w:jc w:val="left"/>
      </w:pPr>
      <w:r>
        <w:rPr>
          <w:spacing w:val="-2"/>
        </w:rPr>
        <w:t>计入当期损益或相关资产成本；除上述情形外的其他长期职工福利，在资产负债表日使用预期累计福利单位法进行精算，将</w:t>
      </w:r>
      <w:r>
        <w:rPr>
          <w:spacing w:val="-63"/>
        </w:rPr>
        <w:t> </w:t>
      </w:r>
      <w:r>
        <w:rPr>
          <w:spacing w:val="-63"/>
        </w:rPr>
      </w:r>
      <w:r>
        <w:rPr/>
        <w:t>设定受益计划产生的福利义务归属于职工提供服务的期间，并计入当期损益或相关资产成本。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6"/>
        <w:ind w:right="0"/>
        <w:jc w:val="left"/>
        <w:rPr>
          <w:b w:val="0"/>
          <w:bCs w:val="0"/>
        </w:rPr>
      </w:pPr>
      <w:bookmarkStart w:name="25、预计负债" w:id="206"/>
      <w:bookmarkEnd w:id="206"/>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4"/>
          <w:szCs w:val="24"/>
        </w:rPr>
      </w:pPr>
    </w:p>
    <w:p>
      <w:pPr>
        <w:spacing w:line="297" w:lineRule="auto" w:before="0"/>
        <w:ind w:left="532" w:right="4754" w:firstLine="62"/>
        <w:jc w:val="left"/>
        <w:rPr>
          <w:rFonts w:ascii="宋体" w:hAnsi="宋体" w:cs="宋体" w:eastAsia="宋体" w:hint="default"/>
          <w:sz w:val="18"/>
          <w:szCs w:val="18"/>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预计负债的确认标准</w:t>
      </w:r>
      <w:r>
        <w:rPr>
          <w:rFonts w:ascii="宋体" w:hAnsi="宋体" w:cs="宋体" w:eastAsia="宋体" w:hint="default"/>
          <w:b/>
          <w:bCs/>
          <w:w w:val="99"/>
          <w:sz w:val="21"/>
          <w:szCs w:val="21"/>
        </w:rPr>
        <w:t> </w:t>
      </w:r>
      <w:r>
        <w:rPr>
          <w:rFonts w:ascii="宋体" w:hAnsi="宋体" w:cs="宋体" w:eastAsia="宋体" w:hint="default"/>
          <w:sz w:val="18"/>
          <w:szCs w:val="18"/>
        </w:rPr>
        <w:t>与或有事项相关的义务同时满足下列条件时，本公司确认为预计负债： 该义务是本公司承担的现时义务；</w:t>
      </w:r>
    </w:p>
    <w:p>
      <w:pPr>
        <w:pStyle w:val="BodyText"/>
        <w:spacing w:line="316" w:lineRule="auto" w:before="33"/>
        <w:ind w:left="532" w:right="6734"/>
        <w:jc w:val="left"/>
      </w:pPr>
      <w:r>
        <w:rPr/>
        <w:t>履行该义务很可能导致经济利益流出本公司； 该义务的金额能够可靠地计量。</w:t>
      </w:r>
    </w:p>
    <w:p>
      <w:pPr>
        <w:pStyle w:val="Heading5"/>
        <w:spacing w:line="284" w:lineRule="exact"/>
        <w:ind w:left="532"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预计负债的计量方法</w:t>
      </w:r>
      <w:r>
        <w:rPr>
          <w:b w:val="0"/>
          <w:bCs w:val="0"/>
        </w:rPr>
      </w:r>
    </w:p>
    <w:p>
      <w:pPr>
        <w:pStyle w:val="BodyText"/>
        <w:spacing w:line="316" w:lineRule="auto" w:before="46"/>
        <w:ind w:left="532" w:right="1154"/>
        <w:jc w:val="left"/>
      </w:pPr>
      <w:r>
        <w:rPr/>
        <w:t>本公司预计负债按履行相关现时义务所需的支出的最佳估计数进行初始计量。 本公司在确定最佳估计数时，综合考虑与或有事项有关的风险、不确定性和货币时间价值等因素。对于货币时间价值</w:t>
      </w:r>
    </w:p>
    <w:p>
      <w:pPr>
        <w:pStyle w:val="BodyText"/>
        <w:spacing w:line="316" w:lineRule="auto" w:before="19"/>
        <w:ind w:left="532" w:right="5354" w:hanging="420"/>
        <w:jc w:val="left"/>
      </w:pPr>
      <w:r>
        <w:rPr/>
        <w:t>影响重大的，通过对相关未来现金流出进行折现后确定最佳估计数。 最佳估计数分别以下情况处理：</w:t>
      </w:r>
    </w:p>
    <w:p>
      <w:pPr>
        <w:pStyle w:val="BodyText"/>
        <w:spacing w:line="316" w:lineRule="auto" w:before="19"/>
        <w:ind w:right="1130" w:firstLine="420"/>
        <w:jc w:val="both"/>
      </w:pPr>
      <w:r>
        <w:rPr>
          <w:spacing w:val="-3"/>
        </w:rPr>
        <w:t>所需支出存在一个连续范围（或区间），且该范围内各种结果发生的可能性相同的，则最佳估计数按照该范围的中间值</w:t>
      </w:r>
      <w:r>
        <w:rPr/>
        <w:t> 即上下限金额的平均数确定。</w:t>
      </w:r>
    </w:p>
    <w:p>
      <w:pPr>
        <w:pStyle w:val="BodyText"/>
        <w:spacing w:line="316" w:lineRule="auto" w:before="19"/>
        <w:ind w:right="1130" w:firstLine="420"/>
        <w:jc w:val="both"/>
      </w:pPr>
      <w:r>
        <w:rPr>
          <w:spacing w:val="-3"/>
        </w:rPr>
        <w:t>所需支出不存在一个连续范围（或区间），或虽然存在一个连续范围但该范围内各种结果发生的可能性不相同的，如或</w:t>
      </w:r>
      <w:r>
        <w:rPr/>
        <w:t> </w:t>
      </w:r>
      <w:r>
        <w:rPr>
          <w:spacing w:val="-2"/>
        </w:rPr>
        <w:t>有事项涉及单个项目的，则最佳估计数按照最可能发生金额确定；如或有事项涉及多个项目的，则最佳估计数按各种可能结</w:t>
      </w:r>
      <w:r>
        <w:rPr>
          <w:spacing w:val="-63"/>
        </w:rPr>
        <w:t> </w:t>
      </w:r>
      <w:r>
        <w:rPr>
          <w:spacing w:val="-63"/>
        </w:rPr>
      </w:r>
      <w:r>
        <w:rPr/>
        <w:t>果及相关概率计算确定。</w:t>
      </w:r>
    </w:p>
    <w:p>
      <w:pPr>
        <w:pStyle w:val="BodyText"/>
        <w:spacing w:line="316" w:lineRule="auto" w:before="19"/>
        <w:ind w:right="1041" w:firstLine="420"/>
        <w:jc w:val="both"/>
      </w:pPr>
      <w:r>
        <w:rPr>
          <w:spacing w:val="-1"/>
        </w:rPr>
        <w:t>本公司清偿预计负债所需支出全部或部分预期由第三方补偿的，补偿金额在基本确定能够收到时，作为资产单独确认，</w:t>
      </w:r>
      <w:r>
        <w:rPr/>
        <w:t> 确认的补偿金额不超过预计负债的账面价值。</w:t>
      </w:r>
    </w:p>
    <w:p>
      <w:pPr>
        <w:spacing w:after="0" w:line="316" w:lineRule="auto"/>
        <w:jc w:val="both"/>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5"/>
        <w:spacing w:line="240" w:lineRule="auto" w:before="34"/>
        <w:ind w:right="0"/>
        <w:jc w:val="left"/>
        <w:rPr>
          <w:b w:val="0"/>
          <w:bCs w:val="0"/>
        </w:rPr>
      </w:pPr>
      <w:bookmarkStart w:name="26、股份支付" w:id="207"/>
      <w:bookmarkEnd w:id="207"/>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4"/>
          <w:szCs w:val="24"/>
        </w:rPr>
      </w:pPr>
    </w:p>
    <w:p>
      <w:pPr>
        <w:pStyle w:val="Heading5"/>
        <w:tabs>
          <w:tab w:pos="479" w:val="left" w:leader="none"/>
        </w:tabs>
        <w:spacing w:line="240" w:lineRule="auto"/>
        <w:ind w:right="0"/>
        <w:jc w:val="left"/>
        <w:rPr>
          <w:b w:val="0"/>
          <w:bCs w:val="0"/>
        </w:rPr>
      </w:pPr>
      <w:r>
        <w:rPr>
          <w:rFonts w:ascii="Times New Roman" w:hAnsi="Times New Roman" w:cs="Times New Roman" w:eastAsia="Times New Roman" w:hint="default"/>
        </w:rPr>
        <w:t>1.</w:t>
        <w:tab/>
      </w:r>
      <w:r>
        <w:rPr/>
        <w:t>股份支付的种类</w:t>
      </w:r>
      <w:r>
        <w:rPr>
          <w:b w:val="0"/>
          <w:bCs w:val="0"/>
        </w:rPr>
      </w:r>
    </w:p>
    <w:p>
      <w:pPr>
        <w:pStyle w:val="BodyText"/>
        <w:spacing w:line="240" w:lineRule="auto" w:before="46"/>
        <w:ind w:left="532" w:right="0"/>
        <w:jc w:val="left"/>
      </w:pPr>
      <w:r>
        <w:rPr/>
        <w:t>本公司的股份支付分为以权益结算的股份支付和以现金结算的股份支付。</w:t>
      </w:r>
    </w:p>
    <w:p>
      <w:pPr>
        <w:pStyle w:val="Heading5"/>
        <w:tabs>
          <w:tab w:pos="479" w:val="left" w:leader="none"/>
        </w:tabs>
        <w:spacing w:line="240" w:lineRule="auto" w:before="51"/>
        <w:ind w:right="0"/>
        <w:jc w:val="left"/>
        <w:rPr>
          <w:b w:val="0"/>
          <w:bCs w:val="0"/>
        </w:rPr>
      </w:pPr>
      <w:r>
        <w:rPr>
          <w:rFonts w:ascii="Times New Roman" w:hAnsi="Times New Roman" w:cs="Times New Roman" w:eastAsia="Times New Roman" w:hint="default"/>
        </w:rPr>
        <w:t>2.</w:t>
        <w:tab/>
      </w:r>
      <w:r>
        <w:rPr/>
        <w:t>权益工具公允价值的确定方法</w:t>
      </w:r>
      <w:r>
        <w:rPr>
          <w:b w:val="0"/>
          <w:bCs w:val="0"/>
        </w:rPr>
      </w:r>
    </w:p>
    <w:p>
      <w:pPr>
        <w:pStyle w:val="BodyText"/>
        <w:spacing w:line="309" w:lineRule="auto" w:before="46"/>
        <w:ind w:right="1130" w:firstLine="420"/>
        <w:jc w:val="both"/>
      </w:pPr>
      <w:r>
        <w:rPr/>
        <w:t>对于授予的存在活跃市场的期权等权益工具，按照活跃市场中的报价确定其公允价值。对于授予的不存在活跃市场的 </w:t>
      </w:r>
      <w:r>
        <w:rPr>
          <w:spacing w:val="-5"/>
        </w:rPr>
        <w:t>期权等权益工具，采用期权定价模型等确定其公允价值，选用的期权定价模型考虑以下因素：（</w:t>
      </w:r>
      <w:r>
        <w:rPr>
          <w:rFonts w:ascii="Times New Roman" w:hAnsi="Times New Roman" w:cs="Times New Roman" w:eastAsia="Times New Roman" w:hint="default"/>
          <w:spacing w:val="-5"/>
        </w:rPr>
        <w:t>1</w:t>
      </w:r>
      <w:r>
        <w:rPr>
          <w:spacing w:val="-5"/>
        </w:rPr>
        <w:t>）期权的行权价格；（</w:t>
      </w:r>
      <w:r>
        <w:rPr>
          <w:rFonts w:ascii="Times New Roman" w:hAnsi="Times New Roman" w:cs="Times New Roman" w:eastAsia="Times New Roman" w:hint="default"/>
          <w:spacing w:val="-5"/>
        </w:rPr>
        <w:t>2</w:t>
      </w:r>
      <w:r>
        <w:rPr>
          <w:spacing w:val="-5"/>
        </w:rPr>
        <w:t>）期</w:t>
      </w:r>
      <w:r>
        <w:rPr>
          <w:spacing w:val="-74"/>
        </w:rPr>
        <w:t> </w:t>
      </w:r>
      <w:r>
        <w:rPr>
          <w:spacing w:val="-74"/>
        </w:rPr>
      </w:r>
      <w:r>
        <w:rPr>
          <w:spacing w:val="-7"/>
        </w:rPr>
        <w:t>权的有效期；（</w:t>
      </w:r>
      <w:r>
        <w:rPr>
          <w:rFonts w:ascii="Times New Roman" w:hAnsi="Times New Roman" w:cs="Times New Roman" w:eastAsia="Times New Roman" w:hint="default"/>
          <w:spacing w:val="-7"/>
        </w:rPr>
        <w:t>3</w:t>
      </w:r>
      <w:r>
        <w:rPr>
          <w:spacing w:val="-7"/>
        </w:rPr>
        <w:t>）标的股份的现行价格；（</w:t>
      </w:r>
      <w:r>
        <w:rPr>
          <w:rFonts w:ascii="Times New Roman" w:hAnsi="Times New Roman" w:cs="Times New Roman" w:eastAsia="Times New Roman" w:hint="default"/>
          <w:spacing w:val="-7"/>
        </w:rPr>
        <w:t>4</w:t>
      </w:r>
      <w:r>
        <w:rPr>
          <w:spacing w:val="-7"/>
        </w:rPr>
        <w:t>）股价预计波动率；（</w:t>
      </w:r>
      <w:r>
        <w:rPr>
          <w:rFonts w:ascii="Times New Roman" w:hAnsi="Times New Roman" w:cs="Times New Roman" w:eastAsia="Times New Roman" w:hint="default"/>
          <w:spacing w:val="-7"/>
        </w:rPr>
        <w:t>5</w:t>
      </w:r>
      <w:r>
        <w:rPr>
          <w:spacing w:val="-7"/>
        </w:rPr>
        <w:t>）股份的预计股利；（</w:t>
      </w:r>
      <w:r>
        <w:rPr>
          <w:rFonts w:ascii="Times New Roman" w:hAnsi="Times New Roman" w:cs="Times New Roman" w:eastAsia="Times New Roman" w:hint="default"/>
          <w:spacing w:val="-7"/>
        </w:rPr>
        <w:t>6</w:t>
      </w:r>
      <w:r>
        <w:rPr>
          <w:spacing w:val="-7"/>
        </w:rPr>
        <w:t>）期权有效期内的无风险利率。</w:t>
      </w:r>
    </w:p>
    <w:p>
      <w:pPr>
        <w:pStyle w:val="BodyText"/>
        <w:spacing w:line="316" w:lineRule="auto" w:before="5"/>
        <w:ind w:right="1132" w:firstLine="420"/>
        <w:jc w:val="both"/>
      </w:pPr>
      <w:r>
        <w:rPr/>
        <w:t>在确定权益工具授予日的公允价值时，考虑股份支付协议规定的可行权条件中的市场条件和非可行权条件的影响。股 </w:t>
      </w:r>
      <w:r>
        <w:rPr>
          <w:spacing w:val="-2"/>
        </w:rPr>
        <w:t>份支付存在非可行权条件的，只要职工或其他方满足了所有可行权条件中的非市场条件（如服务期限等），即确认已得到服</w:t>
      </w:r>
      <w:r>
        <w:rPr>
          <w:spacing w:val="-68"/>
        </w:rPr>
        <w:t> </w:t>
      </w:r>
      <w:r>
        <w:rPr>
          <w:spacing w:val="-68"/>
        </w:rPr>
      </w:r>
      <w:r>
        <w:rPr/>
        <w:t>务相对应的成本费用。</w:t>
      </w:r>
    </w:p>
    <w:p>
      <w:pPr>
        <w:pStyle w:val="Heading5"/>
        <w:tabs>
          <w:tab w:pos="479" w:val="left" w:leader="none"/>
        </w:tabs>
        <w:spacing w:line="284" w:lineRule="exact"/>
        <w:ind w:right="0"/>
        <w:jc w:val="left"/>
        <w:rPr>
          <w:b w:val="0"/>
          <w:bCs w:val="0"/>
        </w:rPr>
      </w:pPr>
      <w:r>
        <w:rPr>
          <w:rFonts w:ascii="Times New Roman" w:hAnsi="Times New Roman" w:cs="Times New Roman" w:eastAsia="Times New Roman" w:hint="default"/>
        </w:rPr>
        <w:t>3.</w:t>
        <w:tab/>
      </w:r>
      <w:r>
        <w:rPr/>
        <w:t>确定可行权权益工具最佳估计的依据</w:t>
      </w:r>
      <w:r>
        <w:rPr>
          <w:b w:val="0"/>
          <w:bCs w:val="0"/>
        </w:rPr>
      </w:r>
    </w:p>
    <w:p>
      <w:pPr>
        <w:pStyle w:val="BodyText"/>
        <w:spacing w:line="316" w:lineRule="auto" w:before="46"/>
        <w:ind w:right="1132" w:firstLine="420"/>
        <w:jc w:val="both"/>
      </w:pPr>
      <w:r>
        <w:rPr/>
        <w:t>等待期内每个资产负债表日，根据最新取得的可行权职工人数变动等后续信息作出最佳估计，修正预计可行权的权益 工具数量。在可行权日，最终预计可行权权益工具的数量与实际可行权数量一致。</w:t>
      </w:r>
    </w:p>
    <w:p>
      <w:pPr>
        <w:pStyle w:val="Heading5"/>
        <w:tabs>
          <w:tab w:pos="479" w:val="left" w:leader="none"/>
        </w:tabs>
        <w:spacing w:line="284" w:lineRule="exact"/>
        <w:ind w:right="0"/>
        <w:jc w:val="left"/>
        <w:rPr>
          <w:b w:val="0"/>
          <w:bCs w:val="0"/>
        </w:rPr>
      </w:pPr>
      <w:r>
        <w:rPr>
          <w:rFonts w:ascii="Times New Roman" w:hAnsi="Times New Roman" w:cs="Times New Roman" w:eastAsia="Times New Roman" w:hint="default"/>
        </w:rPr>
        <w:t>4.</w:t>
        <w:tab/>
      </w:r>
      <w:r>
        <w:rPr/>
        <w:t>会计处理方法</w:t>
      </w:r>
      <w:r>
        <w:rPr>
          <w:b w:val="0"/>
          <w:bCs w:val="0"/>
        </w:rPr>
      </w:r>
    </w:p>
    <w:p>
      <w:pPr>
        <w:pStyle w:val="BodyText"/>
        <w:spacing w:line="316" w:lineRule="auto" w:before="46"/>
        <w:ind w:right="1130" w:firstLine="420"/>
        <w:jc w:val="both"/>
      </w:pPr>
      <w:r>
        <w:rPr/>
        <w:t>以权益结算的股份支付，按授予职工权益工具的公允价值计量。授予后立即可行权的，在授予日按照权益工具的公允 </w:t>
      </w:r>
      <w:r>
        <w:rPr>
          <w:spacing w:val="-2"/>
        </w:rPr>
        <w:t>价值计入相关成本或费用，相应增加资本公积。在完成等待期内的服务或达到规定业绩条件才可行权的，在等待期内的每个</w:t>
      </w:r>
      <w:r>
        <w:rPr>
          <w:spacing w:val="-63"/>
        </w:rPr>
        <w:t> </w:t>
      </w:r>
      <w:r>
        <w:rPr>
          <w:spacing w:val="-63"/>
        </w:rPr>
      </w:r>
      <w:r>
        <w:rPr>
          <w:spacing w:val="-2"/>
        </w:rPr>
        <w:t>资产负债表日，以对可行权权益工具数量的最佳估计为基础，按照权益工具授予日的公允价值，将当期取得的服务计入相关</w:t>
      </w:r>
      <w:r>
        <w:rPr>
          <w:spacing w:val="-63"/>
        </w:rPr>
        <w:t> </w:t>
      </w:r>
      <w:r>
        <w:rPr>
          <w:spacing w:val="-63"/>
        </w:rPr>
      </w:r>
      <w:r>
        <w:rPr/>
        <w:t>成本或费用和资本公积。在可行权日之后不再对已确认的相关成本或费用和所有者权益总额进行调整。</w:t>
      </w:r>
    </w:p>
    <w:p>
      <w:pPr>
        <w:pStyle w:val="BodyText"/>
        <w:spacing w:line="316" w:lineRule="auto" w:before="19"/>
        <w:ind w:right="1034" w:firstLine="420"/>
        <w:jc w:val="left"/>
      </w:pPr>
      <w:r>
        <w:rPr/>
        <w:t>以现金结算的股份支付，按照本公司承担的以股份或其他权益工具为基础计算确定的负债的公允价值计量。授予后立 </w:t>
      </w:r>
      <w:r>
        <w:rPr>
          <w:spacing w:val="-2"/>
        </w:rPr>
        <w:t>即可行权的，在授予日以本公司承担负债的公允价值计入相关成本或费用，相应增加负债。在完成等待期内的服务或达到规</w:t>
      </w:r>
      <w:r>
        <w:rPr>
          <w:spacing w:val="-63"/>
        </w:rPr>
        <w:t> </w:t>
      </w:r>
      <w:r>
        <w:rPr>
          <w:spacing w:val="-63"/>
        </w:rPr>
      </w:r>
      <w:r>
        <w:rPr/>
        <w:t>定业绩条件以后才可行权的以现金结算的股份支付，在等待期内的每个资产负债表日，以对可行权情况的最佳估计为基础， </w:t>
      </w:r>
      <w:r>
        <w:rPr>
          <w:spacing w:val="-2"/>
        </w:rPr>
        <w:t>按照本公司承担负债的公允价值金额，将当期取得的服务计入成本或费用和相应的负债。在相关负债结算前的每个资产负债</w:t>
      </w:r>
      <w:r>
        <w:rPr>
          <w:spacing w:val="-64"/>
        </w:rPr>
        <w:t> </w:t>
      </w:r>
      <w:r>
        <w:rPr>
          <w:spacing w:val="-64"/>
        </w:rPr>
      </w:r>
      <w:r>
        <w:rPr/>
        <w:t>表日以及结算日，对负债的公允价值重新计量，其变动计入当期损益。</w:t>
      </w:r>
    </w:p>
    <w:p>
      <w:pPr>
        <w:pStyle w:val="BodyText"/>
        <w:spacing w:line="316" w:lineRule="auto" w:before="19"/>
        <w:ind w:right="1130" w:firstLine="420"/>
        <w:jc w:val="both"/>
      </w:pPr>
      <w:r>
        <w:rPr/>
        <w:t>若在等待期内取消了授予的权益工具，本公司对取消所授予的权益性工具作为加速行权处理，将剩余等待期内应确认 </w:t>
      </w:r>
      <w:r>
        <w:rPr>
          <w:spacing w:val="-2"/>
        </w:rPr>
        <w:t>的金额立即计入当期损益，同时确认资本公积。职工或其他方能够选择满足非可行权条件但在等待期内未满足的，本公司将</w:t>
      </w:r>
      <w:r>
        <w:rPr>
          <w:spacing w:val="-63"/>
        </w:rPr>
        <w:t> </w:t>
      </w:r>
      <w:r>
        <w:rPr>
          <w:spacing w:val="-63"/>
        </w:rPr>
      </w:r>
      <w:r>
        <w:rPr/>
        <w:t>其作为授予权益工具的取消处理。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6"/>
        <w:ind w:right="0"/>
        <w:jc w:val="left"/>
        <w:rPr>
          <w:b w:val="0"/>
          <w:bCs w:val="0"/>
        </w:rPr>
      </w:pPr>
      <w:bookmarkStart w:name="27、优先股、永续债等其他金融工具" w:id="208"/>
      <w:bookmarkEnd w:id="208"/>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firstLine="420"/>
        <w:jc w:val="both"/>
      </w:pPr>
      <w:r>
        <w:rPr/>
        <w:t>本公司按照金融工具准则的规定，根据所发行优先股、永续债等金融工具的合同条款及其所反映的经济实质而非仅以 法律形式，结合金融负债和权益工具的定义，在初始确认时将该金融工具或其组成部分分类为金融负债或权益工具：</w:t>
      </w:r>
    </w:p>
    <w:p>
      <w:pPr>
        <w:pStyle w:val="Heading5"/>
        <w:spacing w:line="287" w:lineRule="exact"/>
        <w:ind w:left="532"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符合下列条件之一，将发行的金融工具分类为金融负债：</w:t>
      </w:r>
      <w:r>
        <w:rPr>
          <w:b w:val="0"/>
          <w:bCs w:val="0"/>
        </w:rPr>
      </w:r>
    </w:p>
    <w:p>
      <w:pPr>
        <w:pStyle w:val="BodyText"/>
        <w:spacing w:line="240" w:lineRule="auto" w:before="44"/>
        <w:ind w:left="532" w:right="0"/>
        <w:jc w:val="left"/>
      </w:pPr>
      <w:r>
        <w:rPr/>
        <w:t>（</w:t>
      </w:r>
      <w:r>
        <w:rPr>
          <w:rFonts w:ascii="Times New Roman" w:hAnsi="Times New Roman" w:cs="Times New Roman" w:eastAsia="Times New Roman" w:hint="default"/>
        </w:rPr>
        <w:t>1</w:t>
      </w:r>
      <w:r>
        <w:rPr/>
        <w:t>）向其他方交付现金或其他金融资产的合同义务；</w:t>
      </w:r>
    </w:p>
    <w:p>
      <w:pPr>
        <w:pStyle w:val="BodyText"/>
        <w:spacing w:line="240" w:lineRule="auto" w:before="63"/>
        <w:ind w:left="532" w:right="0"/>
        <w:jc w:val="left"/>
      </w:pPr>
      <w:r>
        <w:rPr/>
        <w:t>（</w:t>
      </w:r>
      <w:r>
        <w:rPr>
          <w:rFonts w:ascii="Times New Roman" w:hAnsi="Times New Roman" w:cs="Times New Roman" w:eastAsia="Times New Roman" w:hint="default"/>
        </w:rPr>
        <w:t>2</w:t>
      </w:r>
      <w:r>
        <w:rPr/>
        <w:t>）在潜在不利条件下，与其他方交换金融资产或金融负债的合同义务；</w:t>
      </w:r>
    </w:p>
    <w:p>
      <w:pPr>
        <w:pStyle w:val="BodyText"/>
        <w:spacing w:line="240" w:lineRule="auto" w:before="63"/>
        <w:ind w:left="532" w:right="0"/>
        <w:jc w:val="left"/>
      </w:pPr>
      <w:r>
        <w:rPr/>
        <w:t>（</w:t>
      </w:r>
      <w:r>
        <w:rPr>
          <w:rFonts w:ascii="Times New Roman" w:hAnsi="Times New Roman" w:cs="Times New Roman" w:eastAsia="Times New Roman" w:hint="default"/>
        </w:rPr>
        <w:t>3</w:t>
      </w:r>
      <w:r>
        <w:rPr/>
        <w:t>）将来须用或可用企业自身权益工具进行结算的非衍生工具合同，且企业根据该合同将交付可变数量的自身权益工</w:t>
      </w:r>
    </w:p>
    <w:p>
      <w:pPr>
        <w:pStyle w:val="BodyText"/>
        <w:spacing w:line="240" w:lineRule="auto" w:before="63"/>
        <w:ind w:right="0"/>
        <w:jc w:val="left"/>
      </w:pPr>
      <w:r>
        <w:rPr/>
        <w:t>具；</w:t>
      </w:r>
    </w:p>
    <w:p>
      <w:pPr>
        <w:pStyle w:val="BodyText"/>
        <w:spacing w:line="240" w:lineRule="auto" w:before="76"/>
        <w:ind w:left="532" w:right="0"/>
        <w:jc w:val="left"/>
      </w:pPr>
      <w:r>
        <w:rPr/>
        <w:t>（</w:t>
      </w:r>
      <w:r>
        <w:rPr>
          <w:rFonts w:ascii="Times New Roman" w:hAnsi="Times New Roman" w:cs="Times New Roman" w:eastAsia="Times New Roman" w:hint="default"/>
        </w:rPr>
        <w:t>4</w:t>
      </w:r>
      <w:r>
        <w:rPr/>
        <w:t>）将来须用或可用企业自身权益工具进行结算的衍生工具合同，但以固定数量的自身权益工具交换固定金额的现金</w:t>
      </w:r>
    </w:p>
    <w:p>
      <w:pPr>
        <w:pStyle w:val="BodyText"/>
        <w:spacing w:line="240" w:lineRule="auto" w:before="63"/>
        <w:ind w:right="0"/>
        <w:jc w:val="left"/>
      </w:pPr>
      <w:r>
        <w:rPr/>
        <w:t>或其他金融资产的衍生工具合同除外。</w:t>
      </w:r>
    </w:p>
    <w:p>
      <w:pPr>
        <w:pStyle w:val="Heading5"/>
        <w:spacing w:line="240" w:lineRule="auto" w:before="53"/>
        <w:ind w:left="532"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同时满足下列条件的，将发行的金融工具分类为权益工具：</w:t>
      </w:r>
      <w:r>
        <w:rPr>
          <w:b w:val="0"/>
          <w:bCs w:val="0"/>
        </w:rPr>
      </w:r>
    </w:p>
    <w:p>
      <w:pPr>
        <w:pStyle w:val="BodyText"/>
        <w:spacing w:line="300" w:lineRule="auto" w:before="44"/>
        <w:ind w:right="1116" w:firstLine="420"/>
        <w:jc w:val="left"/>
      </w:pPr>
      <w:r>
        <w:rPr>
          <w:spacing w:val="-1"/>
        </w:rPr>
        <w:t>（</w:t>
      </w:r>
      <w:r>
        <w:rPr>
          <w:rFonts w:ascii="Times New Roman" w:hAnsi="Times New Roman" w:cs="Times New Roman" w:eastAsia="Times New Roman" w:hint="default"/>
          <w:spacing w:val="-1"/>
        </w:rPr>
        <w:t>1</w:t>
      </w:r>
      <w:r>
        <w:rPr>
          <w:spacing w:val="-1"/>
        </w:rPr>
        <w:t>）该金融工具不包括交付现金或其他金融资产给其他方，或在潜在不利条件下与其他方交换金融资产或金融负债的</w:t>
      </w:r>
      <w:r>
        <w:rPr/>
        <w:t> 合同义务；</w:t>
      </w:r>
    </w:p>
    <w:p>
      <w:pPr>
        <w:pStyle w:val="BodyText"/>
        <w:spacing w:line="240" w:lineRule="auto" w:before="31"/>
        <w:ind w:left="532" w:right="0"/>
        <w:jc w:val="left"/>
      </w:pPr>
      <w:r>
        <w:rPr/>
        <w:t>（</w:t>
      </w:r>
      <w:r>
        <w:rPr>
          <w:rFonts w:ascii="Times New Roman" w:hAnsi="Times New Roman" w:cs="Times New Roman" w:eastAsia="Times New Roman" w:hint="default"/>
        </w:rPr>
        <w:t>2</w:t>
      </w:r>
      <w:r>
        <w:rPr/>
        <w:t>）将来须用或可用企业自身权益工具结算该金融工具的，如该金融工具为非衍生工具，不包括交付可变数量的自身</w:t>
      </w:r>
    </w:p>
    <w:p>
      <w:pPr>
        <w:spacing w:after="0" w:line="240" w:lineRule="auto"/>
        <w:jc w:val="left"/>
        <w:sectPr>
          <w:footerReference w:type="default" r:id="rId27"/>
          <w:pgSz w:w="11910" w:h="16840"/>
          <w:pgMar w:footer="978" w:header="746" w:top="1060" w:bottom="1160" w:left="1020" w:right="0"/>
          <w:pgNumType w:start="14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权益工具进行结算的合同义务；如为衍生工具，企业只能通过以固定数量的自身权益工具交换固定金额的现金或其他金融资</w:t>
      </w:r>
      <w:r>
        <w:rPr>
          <w:spacing w:val="-64"/>
        </w:rPr>
        <w:t> </w:t>
      </w:r>
      <w:r>
        <w:rPr>
          <w:spacing w:val="-64"/>
        </w:rPr>
      </w:r>
      <w:r>
        <w:rPr/>
        <w:t>产结算该金融工具。</w:t>
      </w:r>
    </w:p>
    <w:p>
      <w:pPr>
        <w:pStyle w:val="Heading5"/>
        <w:spacing w:line="284" w:lineRule="exact"/>
        <w:ind w:left="532" w:right="0"/>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49"/>
        </w:rPr>
        <w:t> </w:t>
      </w:r>
      <w:r>
        <w:rPr/>
        <w:t>会计处理方法</w:t>
      </w:r>
      <w:r>
        <w:rPr>
          <w:b w:val="0"/>
          <w:bCs w:val="0"/>
        </w:rPr>
      </w:r>
    </w:p>
    <w:p>
      <w:pPr>
        <w:pStyle w:val="BodyText"/>
        <w:spacing w:line="316" w:lineRule="auto" w:before="46"/>
        <w:ind w:right="0" w:firstLine="420"/>
        <w:jc w:val="left"/>
      </w:pPr>
      <w:r>
        <w:rPr/>
        <w:t>对于归类为权益工具的金融工具，其利息支出或股利分配都应当作为发行企业的利润分配，其回购、注销等作为权益 的变动处理，手续费、佣金等交易费用从权益中扣除；</w:t>
      </w:r>
    </w:p>
    <w:p>
      <w:pPr>
        <w:pStyle w:val="BodyText"/>
        <w:spacing w:line="316" w:lineRule="auto" w:before="19"/>
        <w:ind w:right="0" w:firstLine="420"/>
        <w:jc w:val="left"/>
      </w:pPr>
      <w:r>
        <w:rPr/>
        <w:t>对于归类为金融负债的金融工具，其利息支出或股利分配原则上按照借款费用进行处理，其回购或赎回产生的利得或 损失等计入当期损益，手续费、佣金等交易费用计入所发行工具的初始计量金额。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4"/>
        <w:ind w:right="0"/>
        <w:jc w:val="both"/>
        <w:rPr>
          <w:b w:val="0"/>
          <w:bCs w:val="0"/>
        </w:rPr>
      </w:pPr>
      <w:bookmarkStart w:name="28、收入" w:id="209"/>
      <w:bookmarkEnd w:id="209"/>
      <w:r>
        <w:rPr>
          <w:b w:val="0"/>
          <w:bCs w:val="0"/>
        </w:rPr>
      </w: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是</w:t>
      </w:r>
    </w:p>
    <w:p>
      <w:pPr>
        <w:pStyle w:val="BodyText"/>
        <w:spacing w:line="240" w:lineRule="auto" w:before="25"/>
        <w:ind w:right="0"/>
        <w:jc w:val="both"/>
      </w:pPr>
      <w:r>
        <w:rPr/>
        <w:t>软件与信息技术服务业</w:t>
      </w:r>
    </w:p>
    <w:p>
      <w:pPr>
        <w:pStyle w:val="BodyText"/>
        <w:spacing w:line="240" w:lineRule="auto" w:before="117"/>
        <w:ind w:right="0"/>
        <w:jc w:val="both"/>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Heading5"/>
        <w:spacing w:line="240" w:lineRule="auto" w:before="78"/>
        <w:ind w:left="218"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42"/>
        </w:rPr>
        <w:t> </w:t>
      </w:r>
      <w:r>
        <w:rPr/>
        <w:t>销售商品收入确认时间的具体判断标准</w:t>
      </w:r>
      <w:r>
        <w:rPr>
          <w:b w:val="0"/>
          <w:bCs w:val="0"/>
        </w:rPr>
      </w:r>
    </w:p>
    <w:p>
      <w:pPr>
        <w:pStyle w:val="BodyText"/>
        <w:spacing w:line="316" w:lineRule="auto" w:before="46"/>
        <w:ind w:right="1130" w:firstLine="420"/>
        <w:jc w:val="both"/>
      </w:pPr>
      <w:r>
        <w:rPr/>
        <w:t>公司已将商品所有权上的主要风险和报酬转移给购买方；公司既没有保留与所有权相联系的继续管理权，也没有对已 </w:t>
      </w:r>
      <w:r>
        <w:rPr>
          <w:spacing w:val="-2"/>
        </w:rPr>
        <w:t>售出的商品实施有效控制；收入的金额能够可靠地计量；相关的经济利益很可能流入企业；相关的已发生或将发生的成本能</w:t>
      </w:r>
      <w:r>
        <w:rPr>
          <w:spacing w:val="-63"/>
        </w:rPr>
        <w:t> </w:t>
      </w:r>
      <w:r>
        <w:rPr>
          <w:spacing w:val="-63"/>
        </w:rPr>
      </w:r>
      <w:r>
        <w:rPr/>
        <w:t>够可靠地计量时，确认商品销售收入实现。</w:t>
      </w:r>
    </w:p>
    <w:p>
      <w:pPr>
        <w:pStyle w:val="BodyText"/>
        <w:spacing w:line="316" w:lineRule="auto" w:before="19"/>
        <w:ind w:right="0" w:firstLine="420"/>
        <w:jc w:val="left"/>
      </w:pPr>
      <w:r>
        <w:rPr/>
        <w:t>本公司商品销售业务主要包括专项功能软件销售以及外购软硬件销售。不需要安装的商品销售以产品交付并经购货方 签收后确认收入，需要安装调试的商品销售业务在安装调试完成并经购货方验收合格后确认收入。</w:t>
      </w:r>
    </w:p>
    <w:p>
      <w:pPr>
        <w:pStyle w:val="Heading5"/>
        <w:spacing w:line="284" w:lineRule="exact"/>
        <w:ind w:left="218"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t>确认让渡资产使用权收入的依据</w:t>
      </w:r>
      <w:r>
        <w:rPr>
          <w:b w:val="0"/>
          <w:bCs w:val="0"/>
        </w:rPr>
      </w:r>
    </w:p>
    <w:p>
      <w:pPr>
        <w:pStyle w:val="BodyText"/>
        <w:spacing w:line="240" w:lineRule="auto" w:before="46"/>
        <w:ind w:left="532" w:right="0"/>
        <w:jc w:val="left"/>
      </w:pPr>
      <w:r>
        <w:rPr/>
        <w:t>与交易相关的经济利益很可能流入企业，收入的金额能够可靠地计量时，分别下列情况确定让渡资产使用权收入金额：</w:t>
      </w:r>
    </w:p>
    <w:p>
      <w:pPr>
        <w:pStyle w:val="BodyText"/>
        <w:spacing w:line="240" w:lineRule="auto" w:before="76"/>
        <w:ind w:left="532" w:right="0"/>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63"/>
        <w:ind w:left="532" w:right="0"/>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pStyle w:val="Heading5"/>
        <w:spacing w:line="240" w:lineRule="auto" w:before="37"/>
        <w:ind w:left="218" w:right="0"/>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45"/>
        </w:rPr>
        <w:t> </w:t>
      </w:r>
      <w:r>
        <w:rPr/>
        <w:t>提供劳务收入的确认依据和方法</w:t>
      </w:r>
      <w:r>
        <w:rPr>
          <w:b w:val="0"/>
          <w:bCs w:val="0"/>
        </w:rPr>
      </w:r>
    </w:p>
    <w:p>
      <w:pPr>
        <w:pStyle w:val="BodyText"/>
        <w:spacing w:line="316" w:lineRule="auto" w:before="46"/>
        <w:ind w:right="0" w:firstLine="420"/>
        <w:jc w:val="left"/>
      </w:pPr>
      <w:r>
        <w:rPr/>
        <w:t>本公司提供劳务收入主要包括：技术开发收入、技术服务收入。本公司在资产负债表日提供劳务交易的结果能够可靠 估计的，采用完工百分比法确认劳务收入。具体方法如下：</w:t>
      </w:r>
    </w:p>
    <w:p>
      <w:pPr>
        <w:pStyle w:val="BodyText"/>
        <w:spacing w:line="300" w:lineRule="auto" w:before="19"/>
        <w:ind w:left="532" w:right="0"/>
        <w:jc w:val="left"/>
      </w:pPr>
      <w:r>
        <w:rPr/>
        <w:t>（</w:t>
      </w:r>
      <w:r>
        <w:rPr>
          <w:rFonts w:ascii="Times New Roman" w:hAnsi="Times New Roman" w:cs="Times New Roman" w:eastAsia="Times New Roman" w:hint="default"/>
        </w:rPr>
        <w:t>1</w:t>
      </w:r>
      <w:r>
        <w:rPr/>
        <w:t>）技术开发收入 本公司技术开发收入是指根据与用户签订的技术开发、技术转让合同，对用户的业务进行充分实地调查，并根据用户</w:t>
      </w:r>
    </w:p>
    <w:p>
      <w:pPr>
        <w:pStyle w:val="BodyText"/>
        <w:spacing w:line="316" w:lineRule="auto" w:before="31"/>
        <w:ind w:right="1130"/>
        <w:jc w:val="both"/>
      </w:pPr>
      <w:r>
        <w:rPr>
          <w:spacing w:val="-2"/>
        </w:rPr>
        <w:t>的实际需求进行专门的软件设计与开发，由此开发出来的软件不具有通用性。公司技术开发业务一般包括需求分析、客户化</w:t>
      </w:r>
      <w:r>
        <w:rPr>
          <w:spacing w:val="-63"/>
        </w:rPr>
        <w:t> </w:t>
      </w:r>
      <w:r>
        <w:rPr>
          <w:spacing w:val="-63"/>
        </w:rPr>
      </w:r>
      <w:r>
        <w:rPr>
          <w:spacing w:val="-2"/>
        </w:rPr>
        <w:t>开发、系统环境测试、上线推广、维护等阶段。定制化技术开发，本公司在完成系统环境测试验收后，根据具体合同约定的</w:t>
      </w:r>
      <w:r>
        <w:rPr>
          <w:spacing w:val="-64"/>
        </w:rPr>
        <w:t> </w:t>
      </w:r>
      <w:r>
        <w:rPr>
          <w:spacing w:val="-64"/>
        </w:rPr>
      </w:r>
      <w:r>
        <w:rPr>
          <w:spacing w:val="-2"/>
        </w:rPr>
        <w:t>工作阶段，在取得客户的验收文件并获取收取货款权利时确认收入；定量或定期技术开发，本公司根据用户定期对本公司提</w:t>
      </w:r>
      <w:r>
        <w:rPr>
          <w:spacing w:val="-63"/>
        </w:rPr>
        <w:t> </w:t>
      </w:r>
      <w:r>
        <w:rPr>
          <w:spacing w:val="-63"/>
        </w:rPr>
      </w:r>
      <w:r>
        <w:rPr/>
        <w:t>供技术开发项目的进度确认文件，按经确认的工作量及合同约定的单价计算确认收入。</w:t>
      </w:r>
    </w:p>
    <w:p>
      <w:pPr>
        <w:pStyle w:val="BodyText"/>
        <w:spacing w:line="300" w:lineRule="auto" w:before="19"/>
        <w:ind w:left="532" w:right="0"/>
        <w:jc w:val="left"/>
      </w:pPr>
      <w:r>
        <w:rPr/>
        <w:t>（</w:t>
      </w:r>
      <w:r>
        <w:rPr>
          <w:rFonts w:ascii="Times New Roman" w:hAnsi="Times New Roman" w:cs="Times New Roman" w:eastAsia="Times New Roman" w:hint="default"/>
        </w:rPr>
        <w:t>2</w:t>
      </w:r>
      <w:r>
        <w:rPr/>
        <w:t>）技术服务收入 技术服务主要是指根据与委托方签订的技术服务合同，向委托方提供技术咨询、系统维护、实施和产品售后服务等业</w:t>
      </w:r>
    </w:p>
    <w:p>
      <w:pPr>
        <w:pStyle w:val="BodyText"/>
        <w:spacing w:line="316" w:lineRule="auto" w:before="31"/>
        <w:ind w:right="0"/>
        <w:jc w:val="left"/>
      </w:pPr>
      <w:r>
        <w:rPr>
          <w:spacing w:val="-2"/>
        </w:rPr>
        <w:t>务。技术服务收入根据合同中约定的合同总额与服务期间，委托方对服务进度进行确认，经委托方确认后，公司开出结算票</w:t>
      </w:r>
      <w:r>
        <w:rPr>
          <w:spacing w:val="-64"/>
        </w:rPr>
        <w:t> </w:t>
      </w:r>
      <w:r>
        <w:rPr>
          <w:spacing w:val="-64"/>
        </w:rPr>
      </w:r>
      <w:r>
        <w:rPr/>
        <w:t>据或已取得收款的依据时，确认收入。</w:t>
      </w:r>
    </w:p>
    <w:p>
      <w:pPr>
        <w:pStyle w:val="BodyText"/>
        <w:tabs>
          <w:tab w:pos="1372" w:val="left" w:leader="none"/>
        </w:tabs>
        <w:spacing w:line="300" w:lineRule="auto" w:before="19"/>
        <w:ind w:left="532" w:right="1132"/>
        <w:jc w:val="left"/>
      </w:pPr>
      <w:r>
        <w:rPr/>
        <w:t>（</w:t>
      </w:r>
      <w:r>
        <w:rPr>
          <w:rFonts w:ascii="Times New Roman" w:hAnsi="Times New Roman" w:cs="Times New Roman" w:eastAsia="Times New Roman" w:hint="default"/>
        </w:rPr>
        <w:t>3</w:t>
      </w:r>
      <w:r>
        <w:rPr/>
        <w:t>）</w:t>
        <w:tab/>
        <w:t>战略合作收入 战略合作收入主要是指公司在客户的业务基础上进行系统开发，并拓展开发产品，相关产品的收益以合作分成的形式</w:t>
      </w:r>
    </w:p>
    <w:p>
      <w:pPr>
        <w:pStyle w:val="BodyText"/>
        <w:spacing w:line="240" w:lineRule="auto" w:before="31"/>
        <w:ind w:right="0"/>
        <w:jc w:val="both"/>
      </w:pPr>
      <w:r>
        <w:rPr/>
        <w:t>取得。战略合作收入于相关产品产生收益，在取得客户的验收文件并获取收款权利时确认。</w:t>
      </w:r>
    </w:p>
    <w:p>
      <w:pPr>
        <w:spacing w:after="0" w:line="240" w:lineRule="auto"/>
        <w:jc w:val="both"/>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5"/>
        <w:spacing w:line="240" w:lineRule="auto" w:before="34"/>
        <w:ind w:right="0"/>
        <w:jc w:val="left"/>
        <w:rPr>
          <w:b w:val="0"/>
          <w:bCs w:val="0"/>
        </w:rPr>
      </w:pPr>
      <w:bookmarkStart w:name="29、政府补助" w:id="210"/>
      <w:bookmarkEnd w:id="210"/>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595"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类型</w:t>
      </w:r>
      <w:r>
        <w:rPr>
          <w:b w:val="0"/>
          <w:bCs w:val="0"/>
        </w:rPr>
      </w:r>
    </w:p>
    <w:p>
      <w:pPr>
        <w:pStyle w:val="BodyText"/>
        <w:spacing w:line="316" w:lineRule="auto" w:before="46"/>
        <w:ind w:right="0" w:firstLine="420"/>
        <w:jc w:val="left"/>
      </w:pPr>
      <w:r>
        <w:rPr/>
        <w:t>政府补助，是本公司从政府无偿取得的货币性资产与非货币性资产。根据相关政府文件规定的补助对象，将政府补助 划分为与资产相关的政府补助和与收益相关的政府补助。</w:t>
      </w:r>
    </w:p>
    <w:p>
      <w:pPr>
        <w:pStyle w:val="BodyText"/>
        <w:spacing w:line="316" w:lineRule="auto" w:before="19"/>
        <w:ind w:right="1128" w:firstLine="420"/>
        <w:jc w:val="left"/>
      </w:pPr>
      <w:r>
        <w:rPr/>
        <w:t>对于政府文件未明确补助对象的政府补助，公司根据实际补助对象划分为与资产相关的政府补助或与收益相关的政府 补助。</w:t>
      </w:r>
    </w:p>
    <w:p>
      <w:pPr>
        <w:pStyle w:val="BodyText"/>
        <w:spacing w:line="316" w:lineRule="auto" w:before="19"/>
        <w:ind w:right="0" w:firstLine="420"/>
        <w:jc w:val="left"/>
      </w:pPr>
      <w:r>
        <w:rPr/>
        <w:t>与资产相关的政府补助，是指本公司取得的、用于购建或以其他方式形成长期资产的政府补助。与收益相关的政府补 助，是指除与资产相关的政府补助之外的政府补助。</w:t>
      </w:r>
    </w:p>
    <w:p>
      <w:pPr>
        <w:pStyle w:val="Heading5"/>
        <w:spacing w:line="284" w:lineRule="exact"/>
        <w:ind w:left="595"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6"/>
        </w:rPr>
        <w:t> </w:t>
      </w:r>
      <w:r>
        <w:rPr/>
        <w:t>政府补助的确认</w:t>
      </w:r>
      <w:r>
        <w:rPr>
          <w:b w:val="0"/>
          <w:bCs w:val="0"/>
        </w:rPr>
      </w:r>
    </w:p>
    <w:p>
      <w:pPr>
        <w:pStyle w:val="BodyText"/>
        <w:spacing w:line="316" w:lineRule="auto" w:before="46"/>
        <w:ind w:right="0" w:firstLine="420"/>
        <w:jc w:val="left"/>
      </w:pPr>
      <w:r>
        <w:rPr/>
        <w:t>对期末有证据表明公司能够符合财政扶持政策规定的相关条件且预计能够收到财政扶持资金的，按应收金额确认政府 补助。除此之外，政府补助均在实际收到时确认。</w:t>
      </w:r>
    </w:p>
    <w:p>
      <w:pPr>
        <w:pStyle w:val="BodyText"/>
        <w:spacing w:line="316" w:lineRule="auto" w:before="19"/>
        <w:ind w:right="0" w:firstLine="420"/>
        <w:jc w:val="left"/>
      </w:pPr>
      <w:r>
        <w:rPr/>
        <w:t>政府补助为货币性资产的，按照收到或应收的金额计量。政府补助为非货币性资产的，按照公允价值计量；公允价值 不能够可靠取得的，按照名义金额（人民币</w:t>
      </w:r>
      <w:r>
        <w:rPr>
          <w:rFonts w:ascii="Times New Roman" w:hAnsi="Times New Roman" w:cs="Times New Roman" w:eastAsia="Times New Roman" w:hint="default"/>
        </w:rPr>
        <w:t>1</w:t>
      </w:r>
      <w:r>
        <w:rPr/>
        <w:t>元）计量。按照名义金额计量的政府补助，直接计入当期损益。</w:t>
      </w:r>
    </w:p>
    <w:p>
      <w:pPr>
        <w:pStyle w:val="Heading5"/>
        <w:spacing w:line="264" w:lineRule="exact"/>
        <w:ind w:left="532" w:right="0"/>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49"/>
        </w:rPr>
        <w:t> </w:t>
      </w:r>
      <w:r>
        <w:rPr/>
        <w:t>会计处理方法</w:t>
      </w:r>
      <w:r>
        <w:rPr>
          <w:b w:val="0"/>
          <w:bCs w:val="0"/>
        </w:rPr>
      </w:r>
    </w:p>
    <w:p>
      <w:pPr>
        <w:pStyle w:val="BodyText"/>
        <w:spacing w:line="316" w:lineRule="auto" w:before="46"/>
        <w:ind w:right="0" w:firstLine="420"/>
        <w:jc w:val="left"/>
      </w:pPr>
      <w:r>
        <w:rPr/>
        <w:t>本公司根据经济业务的实质，确定某一类政府补助业务应当采用总额法还是净额法进行会计处理。通常情况下，本公 司对于同类或类似政府补助业务只选用一种方法，且对该业务一贯地运用该方法。</w:t>
      </w:r>
    </w:p>
    <w:p>
      <w:pPr>
        <w:pStyle w:val="BodyText"/>
        <w:spacing w:line="316" w:lineRule="auto" w:before="19"/>
        <w:ind w:right="0" w:firstLine="420"/>
        <w:jc w:val="left"/>
      </w:pPr>
      <w:r>
        <w:rPr/>
        <w:t>与资产相关的政府补助，确认为递延收益，按照所建造或购买的资产使用年限内按照合理、系统的方法分期计入损益 或冲减相关资产账面价值；</w:t>
      </w:r>
    </w:p>
    <w:p>
      <w:pPr>
        <w:pStyle w:val="BodyText"/>
        <w:spacing w:line="316" w:lineRule="auto" w:before="19"/>
        <w:ind w:right="0" w:firstLine="420"/>
        <w:jc w:val="left"/>
      </w:pPr>
      <w:r>
        <w:rPr/>
        <w:t>与收益相关的政府补助，用于补偿企业以后期间的相关费用或损失的，确认为递延收益，在确认相关费用或损失的期 间计入当期损益或冲减相关成本；用于补偿企业已发生的相关费用或损失的，取得时直接计入当期损益或冲减相关成本。</w:t>
      </w:r>
    </w:p>
    <w:p>
      <w:pPr>
        <w:pStyle w:val="BodyText"/>
        <w:spacing w:line="316" w:lineRule="auto" w:before="19"/>
        <w:ind w:left="532" w:right="1026"/>
        <w:jc w:val="left"/>
      </w:pPr>
      <w:r>
        <w:rPr>
          <w:spacing w:val="-1"/>
        </w:rPr>
        <w:t>与企业日常活动相关的政府补助计入其他收益或冲减相关成本费用；与企业日常活动无关的政府补助计入营业外收支。</w:t>
      </w:r>
      <w:r>
        <w:rPr/>
        <w:t> 收到与政策性优惠贷款贴息相关的政府补助冲减相关借款费用；取得贷款银行提供的政策性优惠利率贷款的，以实际</w:t>
      </w:r>
    </w:p>
    <w:p>
      <w:pPr>
        <w:pStyle w:val="BodyText"/>
        <w:spacing w:line="316" w:lineRule="auto" w:before="19"/>
        <w:ind w:left="532" w:right="1026" w:hanging="420"/>
        <w:jc w:val="left"/>
      </w:pPr>
      <w:r>
        <w:rPr/>
        <w:t>收到的借款金额作为借款的入账价值，按照借款本金和该政策性优惠利率计算相关借款费用。 </w:t>
      </w:r>
      <w:r>
        <w:rPr>
          <w:spacing w:val="-1"/>
        </w:rPr>
        <w:t>已确认的政府补助需要返还时，初始确认时冲减相关资产账面价值的，调整资产账面价值；存在相关递延收益余额的，</w:t>
      </w:r>
    </w:p>
    <w:p>
      <w:pPr>
        <w:pStyle w:val="BodyText"/>
        <w:spacing w:line="240" w:lineRule="auto" w:before="19"/>
        <w:ind w:right="0"/>
        <w:jc w:val="left"/>
      </w:pPr>
      <w:r>
        <w:rPr/>
        <w:t>冲减相关递延收益账面余额，超出部分计入当期损益；不存在相关递延收益的，直接计入当期损益。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5"/>
        <w:spacing w:line="240" w:lineRule="auto"/>
        <w:ind w:right="0"/>
        <w:jc w:val="left"/>
        <w:rPr>
          <w:b w:val="0"/>
          <w:bCs w:val="0"/>
        </w:rPr>
      </w:pPr>
      <w:bookmarkStart w:name="30、递延所得税资产/递延所得税负债" w:id="211"/>
      <w:bookmarkEnd w:id="211"/>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0" w:firstLine="420"/>
        <w:jc w:val="left"/>
      </w:pPr>
      <w:r>
        <w:rPr>
          <w:spacing w:val="-2"/>
        </w:rPr>
        <w:t>递延所得税资产和递延所得税负债根据资产和负债的计税基础与其账面价值的差额</w:t>
      </w:r>
      <w:r>
        <w:rPr>
          <w:rFonts w:ascii="Times New Roman" w:hAnsi="Times New Roman" w:cs="Times New Roman" w:eastAsia="Times New Roman" w:hint="default"/>
          <w:spacing w:val="-2"/>
        </w:rPr>
        <w:t>(</w:t>
      </w:r>
      <w:r>
        <w:rPr>
          <w:spacing w:val="-2"/>
        </w:rPr>
        <w:t>暂时性差异</w:t>
      </w:r>
      <w:r>
        <w:rPr>
          <w:rFonts w:ascii="Times New Roman" w:hAnsi="Times New Roman" w:cs="Times New Roman" w:eastAsia="Times New Roman" w:hint="default"/>
          <w:spacing w:val="-2"/>
        </w:rPr>
        <w:t>)</w:t>
      </w:r>
      <w:r>
        <w:rPr>
          <w:spacing w:val="-2"/>
        </w:rPr>
        <w:t>计算确认。于资产负债</w:t>
      </w:r>
      <w:r>
        <w:rPr/>
        <w:t> 表日，递延所得税资产和递延所得税负债，按照预期收回该资产或清偿该负债期间的适用税率计量。</w:t>
      </w:r>
    </w:p>
    <w:p>
      <w:pPr>
        <w:pStyle w:val="Heading5"/>
        <w:spacing w:line="240" w:lineRule="auto" w:before="128"/>
        <w:ind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47"/>
        </w:rPr>
        <w:t> </w:t>
      </w:r>
      <w:r>
        <w:rPr/>
        <w:t>确认递延所得税资产的依据</w:t>
      </w:r>
      <w:r>
        <w:rPr>
          <w:b w:val="0"/>
          <w:bCs w:val="0"/>
        </w:rPr>
      </w:r>
    </w:p>
    <w:p>
      <w:pPr>
        <w:pStyle w:val="BodyText"/>
        <w:spacing w:line="316" w:lineRule="auto" w:before="44"/>
        <w:ind w:right="1051" w:firstLine="420"/>
        <w:jc w:val="both"/>
      </w:pPr>
      <w:r>
        <w:rPr/>
        <w:t>本公司以很可能取得用来抵扣可抵扣暂时性差异、能够结转以后年度的可抵扣亏损和税款抵减的应纳税所得额为限， </w:t>
      </w:r>
      <w:r>
        <w:rPr>
          <w:spacing w:val="-2"/>
        </w:rPr>
        <w:t>确认由可抵扣暂时性差异产生的递延所得税资产。但是，同时具有下列特征的交易中因资产或负债的初始确认所产生的递延</w:t>
      </w:r>
      <w:r>
        <w:rPr>
          <w:spacing w:val="-64"/>
        </w:rPr>
        <w:t> </w:t>
      </w:r>
      <w:r>
        <w:rPr>
          <w:spacing w:val="-64"/>
        </w:rPr>
      </w:r>
      <w:r>
        <w:rPr>
          <w:spacing w:val="-4"/>
        </w:rPr>
        <w:t>所得税资产不予确认：（</w:t>
      </w:r>
      <w:r>
        <w:rPr>
          <w:rFonts w:ascii="Times New Roman" w:hAnsi="Times New Roman" w:cs="Times New Roman" w:eastAsia="Times New Roman" w:hint="default"/>
          <w:spacing w:val="-4"/>
        </w:rPr>
        <w:t>1</w:t>
      </w:r>
      <w:r>
        <w:rPr>
          <w:spacing w:val="-4"/>
        </w:rPr>
        <w:t>）该交易不是企业合并；（</w:t>
      </w:r>
      <w:r>
        <w:rPr>
          <w:rFonts w:ascii="Times New Roman" w:hAnsi="Times New Roman" w:cs="Times New Roman" w:eastAsia="Times New Roman" w:hint="default"/>
          <w:spacing w:val="-4"/>
        </w:rPr>
        <w:t>2</w:t>
      </w:r>
      <w:r>
        <w:rPr>
          <w:spacing w:val="-4"/>
        </w:rPr>
        <w:t>）交易发生时既不影响会计利润也不影响应纳税所得额或可抵扣亏损。</w:t>
      </w:r>
    </w:p>
    <w:p>
      <w:pPr>
        <w:pStyle w:val="BodyText"/>
        <w:spacing w:line="316" w:lineRule="auto"/>
        <w:ind w:right="0" w:firstLine="420"/>
        <w:jc w:val="left"/>
      </w:pPr>
      <w:r>
        <w:rPr/>
        <w:t>对于与联营企业投资相关的可抵扣暂时性差异，同时满足下列条件的，确认相应的递延所得税资产：暂时性差异在可 预见的未来很可能转回，且未来很可能获得用来抵扣可抵扣暂时性差异的应纳税所得额。</w:t>
      </w:r>
    </w:p>
    <w:p>
      <w:pPr>
        <w:pStyle w:val="Heading5"/>
        <w:spacing w:line="240" w:lineRule="auto" w:before="116"/>
        <w:ind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7"/>
        </w:rPr>
        <w:t> </w:t>
      </w:r>
      <w:r>
        <w:rPr/>
        <w:t>确认递延所得税负债的依据</w:t>
      </w:r>
      <w:r>
        <w:rPr>
          <w:b w:val="0"/>
          <w:bCs w:val="0"/>
        </w:rPr>
      </w:r>
    </w:p>
    <w:p>
      <w:pPr>
        <w:pStyle w:val="BodyText"/>
        <w:spacing w:line="240" w:lineRule="auto" w:before="44"/>
        <w:ind w:left="532" w:right="0"/>
        <w:jc w:val="left"/>
      </w:pPr>
      <w:r>
        <w:rPr/>
        <w:t>公司将当期与以前期间应交未交的应纳税暂时性差异确认为递延所得税负债。但不包括：</w:t>
      </w:r>
    </w:p>
    <w:p>
      <w:pPr>
        <w:pStyle w:val="BodyText"/>
        <w:spacing w:line="240" w:lineRule="auto" w:before="76"/>
        <w:ind w:left="532" w:right="0"/>
        <w:jc w:val="left"/>
      </w:pPr>
      <w:r>
        <w:rPr/>
        <w:t>（</w:t>
      </w:r>
      <w:r>
        <w:rPr>
          <w:rFonts w:ascii="Times New Roman" w:hAnsi="Times New Roman" w:cs="Times New Roman" w:eastAsia="Times New Roman" w:hint="default"/>
        </w:rPr>
        <w:t>1</w:t>
      </w:r>
      <w:r>
        <w:rPr/>
        <w:t>）商誉的初始确认所形成的暂时性差异；</w:t>
      </w:r>
    </w:p>
    <w:p>
      <w:pPr>
        <w:pStyle w:val="BodyText"/>
        <w:spacing w:line="300" w:lineRule="auto" w:before="63"/>
        <w:ind w:right="1116" w:firstLine="420"/>
        <w:jc w:val="left"/>
      </w:pPr>
      <w:r>
        <w:rPr>
          <w:spacing w:val="-1"/>
        </w:rPr>
        <w:t>（</w:t>
      </w:r>
      <w:r>
        <w:rPr>
          <w:rFonts w:ascii="Times New Roman" w:hAnsi="Times New Roman" w:cs="Times New Roman" w:eastAsia="Times New Roman" w:hint="default"/>
          <w:spacing w:val="-1"/>
        </w:rPr>
        <w:t>2</w:t>
      </w:r>
      <w:r>
        <w:rPr>
          <w:spacing w:val="-1"/>
        </w:rPr>
        <w:t>）非企业合并形成的交易或事项，且该交易或事项发生时既不影响会计利润，也不影响应纳税所得额（或可抵扣亏</w:t>
      </w:r>
      <w:r>
        <w:rPr/>
        <w:t> 损）所形成的暂时性差异；</w:t>
      </w:r>
    </w:p>
    <w:p>
      <w:pPr>
        <w:pStyle w:val="BodyText"/>
        <w:spacing w:line="240" w:lineRule="auto" w:before="31"/>
        <w:ind w:left="532" w:right="0"/>
        <w:jc w:val="left"/>
      </w:pPr>
      <w:r>
        <w:rPr/>
        <w:t>（</w:t>
      </w:r>
      <w:r>
        <w:rPr>
          <w:rFonts w:ascii="Times New Roman" w:hAnsi="Times New Roman" w:cs="Times New Roman" w:eastAsia="Times New Roman" w:hint="default"/>
        </w:rPr>
        <w:t>3</w:t>
      </w:r>
      <w:r>
        <w:rPr/>
        <w:t>）对于与子公司、联营企业投资相关的应纳税暂时性差异，该暂时性差异转回的时间能够控制并且该暂时性差异在</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可预见的未来很可能不会转回。</w:t>
      </w:r>
    </w:p>
    <w:p>
      <w:pPr>
        <w:spacing w:line="240" w:lineRule="auto" w:before="1"/>
        <w:rPr>
          <w:rFonts w:ascii="宋体" w:hAnsi="宋体" w:cs="宋体" w:eastAsia="宋体" w:hint="default"/>
          <w:sz w:val="13"/>
          <w:szCs w:val="13"/>
        </w:rPr>
      </w:pPr>
    </w:p>
    <w:p>
      <w:pPr>
        <w:pStyle w:val="Heading5"/>
        <w:spacing w:line="240" w:lineRule="auto"/>
        <w:ind w:right="0"/>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42"/>
        </w:rPr>
        <w:t> </w:t>
      </w:r>
      <w:r>
        <w:rPr/>
        <w:t>同时满足下列条件时，将递延所得税资产及递延所得税负债以抵销后的净额列示</w:t>
      </w:r>
      <w:r>
        <w:rPr>
          <w:b w:val="0"/>
          <w:bCs w:val="0"/>
        </w:rPr>
      </w:r>
    </w:p>
    <w:p>
      <w:pPr>
        <w:pStyle w:val="BodyText"/>
        <w:spacing w:line="240" w:lineRule="auto" w:before="46"/>
        <w:ind w:left="532" w:right="0"/>
        <w:jc w:val="left"/>
      </w:pPr>
      <w:r>
        <w:rPr/>
        <w:t>（</w:t>
      </w:r>
      <w:r>
        <w:rPr>
          <w:rFonts w:ascii="Times New Roman" w:hAnsi="Times New Roman" w:cs="Times New Roman" w:eastAsia="Times New Roman" w:hint="default"/>
        </w:rPr>
        <w:t>1</w:t>
      </w:r>
      <w:r>
        <w:rPr/>
        <w:t>）企业拥有以净额结算当期所得税资产及当期所得税负债的法定权利；</w:t>
      </w:r>
    </w:p>
    <w:p>
      <w:pPr>
        <w:pStyle w:val="BodyText"/>
        <w:spacing w:line="309" w:lineRule="auto" w:before="63"/>
        <w:ind w:right="1132" w:firstLine="424"/>
        <w:jc w:val="both"/>
      </w:pPr>
      <w:r>
        <w:rPr>
          <w:spacing w:val="-2"/>
        </w:rPr>
        <w:t>（</w:t>
      </w:r>
      <w:r>
        <w:rPr>
          <w:rFonts w:ascii="Times New Roman" w:hAnsi="Times New Roman" w:cs="Times New Roman" w:eastAsia="Times New Roman" w:hint="default"/>
          <w:spacing w:val="-2"/>
        </w:rPr>
        <w:t>2</w:t>
      </w:r>
      <w:r>
        <w:rPr>
          <w:spacing w:val="-2"/>
        </w:rPr>
        <w:t>）递延所得税资产和递延所得税负债是与同一税收征管部门对同一纳税主体征收的所得税相关或者对不同的纳税主</w:t>
      </w:r>
      <w:r>
        <w:rPr/>
        <w:t> </w:t>
      </w:r>
      <w:r>
        <w:rPr>
          <w:spacing w:val="-2"/>
        </w:rPr>
        <w:t>体相关，但在未来每一具有重要性的递延所得税资产和递延所得税负债转回的期间内，涉及的纳税主体体意图以净额结算当</w:t>
      </w:r>
      <w:r>
        <w:rPr>
          <w:spacing w:val="-64"/>
        </w:rPr>
        <w:t> </w:t>
      </w:r>
      <w:r>
        <w:rPr>
          <w:spacing w:val="-64"/>
        </w:rPr>
      </w:r>
      <w:r>
        <w:rPr/>
        <w:t>期所得税资产及当期所得税负债或是同时取得资产、清偿债务。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31、租赁" w:id="212"/>
      <w:bookmarkEnd w:id="212"/>
      <w:r>
        <w:rPr>
          <w:b w:val="0"/>
          <w:bCs w:val="0"/>
        </w:rPr>
      </w:r>
      <w:r>
        <w:rPr>
          <w:rFonts w:ascii="Times New Roman" w:hAnsi="Times New Roman" w:cs="Times New Roman" w:eastAsia="Times New Roman" w:hint="default"/>
        </w:rPr>
        <w:t>31</w:t>
      </w:r>
      <w:r>
        <w:rPr/>
        <w:t>、租赁</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经营租赁的会计处理方法" w:id="213"/>
      <w:bookmarkEnd w:id="213"/>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32" w:right="0"/>
        <w:jc w:val="left"/>
      </w:pPr>
      <w:r>
        <w:rPr/>
        <w:t>（</w:t>
      </w:r>
      <w:r>
        <w:rPr>
          <w:rFonts w:ascii="Times New Roman" w:hAnsi="Times New Roman" w:cs="Times New Roman" w:eastAsia="Times New Roman" w:hint="default"/>
        </w:rPr>
        <w:t>1</w:t>
      </w:r>
      <w:r>
        <w:rPr/>
        <w:t>）经营租入资产 公司租入资产所支付的租赁费，在不扣除免租期的整个租赁期内，按直线法进行分摊，计入当期费用。公司支付的与</w:t>
      </w:r>
    </w:p>
    <w:p>
      <w:pPr>
        <w:pStyle w:val="BodyText"/>
        <w:spacing w:line="316" w:lineRule="auto" w:before="31"/>
        <w:ind w:left="532" w:right="0" w:hanging="420"/>
        <w:jc w:val="left"/>
      </w:pPr>
      <w:r>
        <w:rPr/>
        <w:t>租赁交易相关的初始直接费用，计入当期费用。 资产出租方承担了应由公司承担的与租赁相关的费用时，公司将该部分费用从租金总额中扣除，按扣除后的租金费用</w:t>
      </w:r>
    </w:p>
    <w:p>
      <w:pPr>
        <w:pStyle w:val="BodyText"/>
        <w:spacing w:line="240" w:lineRule="auto" w:before="19"/>
        <w:ind w:right="0"/>
        <w:jc w:val="left"/>
      </w:pPr>
      <w:r>
        <w:rPr/>
        <w:t>在租赁期内分摊，计入当期费用。</w:t>
      </w:r>
    </w:p>
    <w:p>
      <w:pPr>
        <w:pStyle w:val="BodyText"/>
        <w:spacing w:line="300" w:lineRule="auto" w:before="76"/>
        <w:ind w:left="532" w:right="0"/>
        <w:jc w:val="left"/>
      </w:pPr>
      <w:r>
        <w:rPr/>
        <w:t>（</w:t>
      </w:r>
      <w:r>
        <w:rPr>
          <w:rFonts w:ascii="Times New Roman" w:hAnsi="Times New Roman" w:cs="Times New Roman" w:eastAsia="Times New Roman" w:hint="default"/>
        </w:rPr>
        <w:t>2</w:t>
      </w:r>
      <w:r>
        <w:rPr/>
        <w:t>）经营租出资产 公司出租资产所收取的租赁费，在不扣除免租期的整个租赁期内，按直线法进行分摊，确认为租赁收入。公司支付的</w:t>
      </w:r>
    </w:p>
    <w:p>
      <w:pPr>
        <w:pStyle w:val="BodyText"/>
        <w:spacing w:line="316" w:lineRule="auto" w:before="31"/>
        <w:ind w:right="0"/>
        <w:jc w:val="left"/>
      </w:pPr>
      <w:r>
        <w:rPr>
          <w:spacing w:val="-2"/>
        </w:rPr>
        <w:t>与租赁交易相关的初始直接费用，计入当期费用；如金额较大的，则予以资本化，在整个租赁期间内按照与租赁收入确认相</w:t>
      </w:r>
      <w:r>
        <w:rPr>
          <w:spacing w:val="-64"/>
        </w:rPr>
        <w:t> </w:t>
      </w:r>
      <w:r>
        <w:rPr>
          <w:spacing w:val="-64"/>
        </w:rPr>
      </w:r>
      <w:r>
        <w:rPr/>
        <w:t>同的基础分期计入当期收益。</w:t>
      </w:r>
    </w:p>
    <w:p>
      <w:pPr>
        <w:pStyle w:val="BodyText"/>
        <w:spacing w:line="316" w:lineRule="auto" w:before="19"/>
        <w:ind w:right="0" w:firstLine="420"/>
        <w:jc w:val="left"/>
      </w:pPr>
      <w:r>
        <w:rPr/>
        <w:t>公司承担了应由承租方承担的与租赁相关的费用时，公司将该部分费用从租金收入总额中扣除，按扣除后的租金费用 在租赁期内分配。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6"/>
        <w:ind w:right="0"/>
        <w:jc w:val="left"/>
        <w:rPr>
          <w:b w:val="0"/>
          <w:bCs w:val="0"/>
        </w:rPr>
      </w:pPr>
      <w:bookmarkStart w:name="（2）融资租赁的会计处理方法" w:id="214"/>
      <w:bookmarkEnd w:id="214"/>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16" w:firstLine="420"/>
        <w:jc w:val="left"/>
      </w:pPr>
      <w:r>
        <w:rPr>
          <w:spacing w:val="-1"/>
        </w:rPr>
        <w:t>（</w:t>
      </w:r>
      <w:r>
        <w:rPr>
          <w:rFonts w:ascii="Times New Roman" w:hAnsi="Times New Roman" w:cs="Times New Roman" w:eastAsia="Times New Roman" w:hint="default"/>
          <w:spacing w:val="-1"/>
        </w:rPr>
        <w:t>1</w:t>
      </w:r>
      <w:r>
        <w:rPr>
          <w:spacing w:val="-1"/>
        </w:rPr>
        <w:t>）融资租入资产：公司在承租开始日，将租赁资产公允价值与最低租赁付款额现值两者中较低者作为租入资产的入</w:t>
      </w:r>
      <w:r>
        <w:rPr/>
        <w:t> 账价值，将最低租赁付款额作为长期应付款的入账价值，其差额作为未确认的融资费用。</w:t>
      </w:r>
    </w:p>
    <w:p>
      <w:pPr>
        <w:pStyle w:val="BodyText"/>
        <w:spacing w:line="240" w:lineRule="auto" w:before="31"/>
        <w:ind w:left="532" w:right="0"/>
        <w:jc w:val="left"/>
      </w:pPr>
      <w:r>
        <w:rPr/>
        <w:t>公司采用实际利率法对未确认的融资费用，在资产租赁期间内摊销，计入财务费用。</w:t>
      </w:r>
    </w:p>
    <w:p>
      <w:pPr>
        <w:pStyle w:val="BodyText"/>
        <w:spacing w:line="309" w:lineRule="auto" w:before="76"/>
        <w:ind w:right="0" w:firstLine="420"/>
        <w:jc w:val="left"/>
      </w:pPr>
      <w:r>
        <w:rPr>
          <w:spacing w:val="-3"/>
        </w:rPr>
        <w:t>（</w:t>
      </w:r>
      <w:r>
        <w:rPr>
          <w:rFonts w:ascii="Times New Roman" w:hAnsi="Times New Roman" w:cs="Times New Roman" w:eastAsia="Times New Roman" w:hint="default"/>
          <w:spacing w:val="-3"/>
        </w:rPr>
        <w:t>2</w:t>
      </w:r>
      <w:r>
        <w:rPr>
          <w:spacing w:val="-3"/>
        </w:rPr>
        <w:t>）融资租出资产：公司在租赁开始日，将应收融资租赁款，未担保余值之和与其现值的差额确认为未实现融资收益，</w:t>
      </w:r>
      <w:r>
        <w:rPr/>
        <w:t> </w:t>
      </w:r>
      <w:r>
        <w:rPr>
          <w:spacing w:val="-2"/>
        </w:rPr>
        <w:t>在将来收到租金的各期间内确认为租赁收入，公司发生的与出租交易相关的初始直接费用，计入应收融资租赁款的初始计量</w:t>
      </w:r>
      <w:r>
        <w:rPr>
          <w:spacing w:val="-64"/>
        </w:rPr>
        <w:t> </w:t>
      </w:r>
      <w:r>
        <w:rPr>
          <w:spacing w:val="-64"/>
        </w:rPr>
      </w:r>
      <w:r>
        <w:rPr/>
        <w:t>中，并减少租赁期内确认的收益金额。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32、其他重要的会计政策和会计估计" w:id="215"/>
      <w:bookmarkEnd w:id="215"/>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33、重要会计政策和会计估计变更" w:id="216"/>
      <w:bookmarkEnd w:id="216"/>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重要会计政策变更" w:id="217"/>
      <w:bookmarkEnd w:id="217"/>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5"/>
        <w:spacing w:line="240" w:lineRule="auto" w:before="34"/>
        <w:ind w:right="0"/>
        <w:jc w:val="left"/>
        <w:rPr>
          <w:b w:val="0"/>
          <w:bCs w:val="0"/>
        </w:rPr>
      </w:pPr>
      <w:bookmarkStart w:name="（2）重要会计估计变更" w:id="218"/>
      <w:bookmarkEnd w:id="218"/>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96"/>
        <w:gridCol w:w="2388"/>
        <w:gridCol w:w="2392"/>
        <w:gridCol w:w="2392"/>
      </w:tblGrid>
      <w:tr>
        <w:trPr>
          <w:trHeight w:val="402"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3"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开始适用的时点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7" w:hRule="exact"/>
        </w:trPr>
        <w:tc>
          <w:tcPr>
            <w:tcW w:w="23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鉴于公司业务不断拓展，新设</w:t>
            </w:r>
          </w:p>
        </w:tc>
        <w:tc>
          <w:tcPr>
            <w:tcW w:w="2388"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
        </w:tc>
        <w:tc>
          <w:tcPr>
            <w:tcW w:w="2392" w:type="dxa"/>
            <w:vMerge w:val="restart"/>
            <w:tcBorders>
              <w:top w:val="single" w:sz="4" w:space="0" w:color="000000"/>
              <w:left w:val="single" w:sz="4" w:space="0" w:color="000000"/>
              <w:right w:val="single" w:sz="4" w:space="0" w:color="000000"/>
            </w:tcBorders>
          </w:tcPr>
          <w:p>
            <w:pPr/>
          </w:p>
        </w:tc>
      </w:tr>
      <w:tr>
        <w:trPr>
          <w:trHeight w:val="312"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公司及被收购公司带来了数据</w:t>
            </w:r>
          </w:p>
        </w:tc>
        <w:tc>
          <w:tcPr>
            <w:tcW w:w="2388"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vMerge/>
            <w:tcBorders>
              <w:left w:val="single" w:sz="4" w:space="0" w:color="000000"/>
              <w:right w:val="single" w:sz="4" w:space="0" w:color="000000"/>
            </w:tcBorders>
          </w:tcPr>
          <w:p>
            <w:pPr/>
          </w:p>
        </w:tc>
      </w:tr>
      <w:tr>
        <w:trPr>
          <w:trHeight w:val="312"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库等非专利技术、商标等无形</w:t>
            </w:r>
          </w:p>
        </w:tc>
        <w:tc>
          <w:tcPr>
            <w:tcW w:w="2388"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vMerge/>
            <w:tcBorders>
              <w:left w:val="single" w:sz="4" w:space="0" w:color="000000"/>
              <w:right w:val="single" w:sz="4" w:space="0" w:color="000000"/>
            </w:tcBorders>
          </w:tcPr>
          <w:p>
            <w:pPr/>
          </w:p>
        </w:tc>
      </w:tr>
      <w:tr>
        <w:trPr>
          <w:trHeight w:val="312"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资产均有较高的价值，预计可</w:t>
            </w:r>
          </w:p>
        </w:tc>
        <w:tc>
          <w:tcPr>
            <w:tcW w:w="2388"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vMerge/>
            <w:tcBorders>
              <w:left w:val="single" w:sz="4" w:space="0" w:color="000000"/>
              <w:right w:val="single" w:sz="4" w:space="0" w:color="000000"/>
            </w:tcBorders>
          </w:tcPr>
          <w:p>
            <w:pPr/>
          </w:p>
        </w:tc>
      </w:tr>
      <w:tr>
        <w:trPr>
          <w:trHeight w:val="312"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使用年限较长，公司现行的无</w:t>
            </w:r>
          </w:p>
        </w:tc>
        <w:tc>
          <w:tcPr>
            <w:tcW w:w="23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公司第二届董事会第二十一</w:t>
            </w:r>
          </w:p>
        </w:tc>
        <w:tc>
          <w:tcPr>
            <w:tcW w:w="2392" w:type="dxa"/>
            <w:tcBorders>
              <w:top w:val="nil" w:sz="6" w:space="0" w:color="auto"/>
              <w:left w:val="single" w:sz="4" w:space="0" w:color="000000"/>
              <w:bottom w:val="nil" w:sz="6" w:space="0" w:color="auto"/>
              <w:right w:val="single" w:sz="4" w:space="0" w:color="000000"/>
            </w:tcBorders>
          </w:tcPr>
          <w:p>
            <w:pPr/>
          </w:p>
        </w:tc>
        <w:tc>
          <w:tcPr>
            <w:tcW w:w="2392" w:type="dxa"/>
            <w:vMerge/>
            <w:tcBorders>
              <w:left w:val="single" w:sz="4" w:space="0" w:color="000000"/>
              <w:right w:val="single" w:sz="4" w:space="0" w:color="000000"/>
            </w:tcBorders>
          </w:tcPr>
          <w:p>
            <w:pPr/>
          </w:p>
        </w:tc>
      </w:tr>
      <w:tr>
        <w:trPr>
          <w:trHeight w:val="312"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形资产摊销年限与该无形资产</w:t>
            </w:r>
          </w:p>
        </w:tc>
        <w:tc>
          <w:tcPr>
            <w:tcW w:w="23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次会议议和第二届监事会第</w:t>
            </w:r>
          </w:p>
        </w:tc>
        <w:tc>
          <w:tcPr>
            <w:tcW w:w="2392" w:type="dxa"/>
            <w:tcBorders>
              <w:top w:val="nil" w:sz="6" w:space="0" w:color="auto"/>
              <w:left w:val="single" w:sz="4" w:space="0" w:color="000000"/>
              <w:bottom w:val="nil" w:sz="6" w:space="0" w:color="auto"/>
              <w:right w:val="single" w:sz="4" w:space="0" w:color="000000"/>
            </w:tcBorders>
          </w:tcPr>
          <w:p>
            <w:pPr/>
          </w:p>
        </w:tc>
        <w:tc>
          <w:tcPr>
            <w:tcW w:w="2392" w:type="dxa"/>
            <w:vMerge/>
            <w:tcBorders>
              <w:left w:val="single" w:sz="4" w:space="0" w:color="000000"/>
              <w:right w:val="single" w:sz="4" w:space="0" w:color="000000"/>
            </w:tcBorders>
          </w:tcPr>
          <w:p>
            <w:pPr/>
          </w:p>
        </w:tc>
      </w:tr>
      <w:tr>
        <w:trPr>
          <w:trHeight w:val="312"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实际可使用年限差异较大。为</w:t>
            </w:r>
          </w:p>
        </w:tc>
        <w:tc>
          <w:tcPr>
            <w:tcW w:w="23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十七次会议，会议审议通过了</w:t>
            </w:r>
          </w:p>
        </w:tc>
        <w:tc>
          <w:tcPr>
            <w:tcW w:w="2392" w:type="dxa"/>
            <w:tcBorders>
              <w:top w:val="nil" w:sz="6" w:space="0" w:color="auto"/>
              <w:left w:val="single" w:sz="4" w:space="0" w:color="000000"/>
              <w:bottom w:val="nil" w:sz="6" w:space="0" w:color="auto"/>
              <w:right w:val="single" w:sz="4" w:space="0" w:color="000000"/>
            </w:tcBorders>
          </w:tcPr>
          <w:p>
            <w:pPr/>
          </w:p>
        </w:tc>
        <w:tc>
          <w:tcPr>
            <w:tcW w:w="2392" w:type="dxa"/>
            <w:vMerge/>
            <w:tcBorders>
              <w:left w:val="single" w:sz="4" w:space="0" w:color="000000"/>
              <w:right w:val="single" w:sz="4" w:space="0" w:color="000000"/>
            </w:tcBorders>
          </w:tcPr>
          <w:p>
            <w:pPr/>
          </w:p>
        </w:tc>
      </w:tr>
      <w:tr>
        <w:trPr>
          <w:trHeight w:val="312"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了适应公司业务实际情况及业</w:t>
            </w:r>
          </w:p>
        </w:tc>
        <w:tc>
          <w:tcPr>
            <w:tcW w:w="23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《关于会计估计变更的议</w:t>
            </w:r>
          </w:p>
        </w:tc>
        <w:tc>
          <w:tcPr>
            <w:tcW w:w="2392" w:type="dxa"/>
            <w:tcBorders>
              <w:top w:val="nil" w:sz="6" w:space="0" w:color="auto"/>
              <w:left w:val="single" w:sz="4" w:space="0" w:color="000000"/>
              <w:bottom w:val="nil" w:sz="6" w:space="0" w:color="auto"/>
              <w:right w:val="single" w:sz="4" w:space="0" w:color="000000"/>
            </w:tcBorders>
          </w:tcPr>
          <w:p>
            <w:pPr/>
          </w:p>
        </w:tc>
        <w:tc>
          <w:tcPr>
            <w:tcW w:w="2392" w:type="dxa"/>
            <w:vMerge/>
            <w:tcBorders>
              <w:left w:val="single" w:sz="4" w:space="0" w:color="000000"/>
              <w:right w:val="single" w:sz="4" w:space="0" w:color="000000"/>
            </w:tcBorders>
          </w:tcPr>
          <w:p>
            <w:pPr/>
          </w:p>
        </w:tc>
      </w:tr>
      <w:tr>
        <w:trPr>
          <w:trHeight w:val="312"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务特性，更加公允、客观地反</w:t>
            </w:r>
          </w:p>
        </w:tc>
        <w:tc>
          <w:tcPr>
            <w:tcW w:w="23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89"/>
                <w:sz w:val="18"/>
                <w:szCs w:val="18"/>
              </w:rPr>
              <w:t>》</w:t>
            </w:r>
            <w:r>
              <w:rPr>
                <w:rFonts w:ascii="宋体" w:hAnsi="宋体" w:cs="宋体" w:eastAsia="宋体" w:hint="default"/>
                <w:sz w:val="18"/>
                <w:szCs w:val="18"/>
              </w:rPr>
              <w:t>。公司独立董事对公司会</w:t>
            </w:r>
          </w:p>
        </w:tc>
        <w:tc>
          <w:tcPr>
            <w:tcW w:w="2392" w:type="dxa"/>
            <w:tcBorders>
              <w:top w:val="nil" w:sz="6" w:space="0" w:color="auto"/>
              <w:left w:val="single" w:sz="4" w:space="0" w:color="000000"/>
              <w:bottom w:val="nil" w:sz="6" w:space="0" w:color="auto"/>
              <w:right w:val="single" w:sz="4" w:space="0" w:color="000000"/>
            </w:tcBorders>
          </w:tcPr>
          <w:p>
            <w:pPr/>
          </w:p>
        </w:tc>
        <w:tc>
          <w:tcPr>
            <w:tcW w:w="2392" w:type="dxa"/>
            <w:vMerge/>
            <w:tcBorders>
              <w:left w:val="single" w:sz="4" w:space="0" w:color="000000"/>
              <w:right w:val="single" w:sz="4" w:space="0" w:color="000000"/>
            </w:tcBorders>
          </w:tcPr>
          <w:p>
            <w:pPr/>
          </w:p>
        </w:tc>
      </w:tr>
      <w:tr>
        <w:trPr>
          <w:trHeight w:val="312"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映公司的财务状况和经营成</w:t>
            </w:r>
          </w:p>
        </w:tc>
        <w:tc>
          <w:tcPr>
            <w:tcW w:w="23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计估计变更发表了明确的独</w:t>
            </w:r>
          </w:p>
        </w:tc>
        <w:tc>
          <w:tcPr>
            <w:tcW w:w="2392" w:type="dxa"/>
            <w:tcBorders>
              <w:top w:val="nil" w:sz="6" w:space="0" w:color="auto"/>
              <w:left w:val="single" w:sz="4" w:space="0" w:color="000000"/>
              <w:bottom w:val="nil" w:sz="6" w:space="0" w:color="auto"/>
              <w:right w:val="single" w:sz="4" w:space="0" w:color="000000"/>
            </w:tcBorders>
          </w:tcPr>
          <w:p>
            <w:pPr/>
          </w:p>
        </w:tc>
        <w:tc>
          <w:tcPr>
            <w:tcW w:w="2392" w:type="dxa"/>
            <w:vMerge/>
            <w:tcBorders>
              <w:left w:val="single" w:sz="4" w:space="0" w:color="000000"/>
              <w:right w:val="single" w:sz="4" w:space="0" w:color="000000"/>
            </w:tcBorders>
          </w:tcPr>
          <w:p>
            <w:pPr/>
          </w:p>
        </w:tc>
      </w:tr>
      <w:tr>
        <w:trPr>
          <w:trHeight w:val="629"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pacing w:val="-7"/>
                <w:sz w:val="18"/>
                <w:szCs w:val="18"/>
              </w:rPr>
              <w:t>果，提供更加可靠的会计信息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依照《企业会计准则》相关规</w:t>
            </w:r>
          </w:p>
        </w:tc>
        <w:tc>
          <w:tcPr>
            <w:tcW w:w="238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1"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立意见。根据《深圳证券交易 所创业板股票上市规则（</w:t>
            </w:r>
            <w:r>
              <w:rPr>
                <w:rFonts w:ascii="Times New Roman" w:hAnsi="Times New Roman" w:cs="Times New Roman" w:eastAsia="Times New Roman" w:hint="default"/>
                <w:sz w:val="18"/>
                <w:szCs w:val="18"/>
              </w:rPr>
              <w:t>2018</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vMerge/>
            <w:tcBorders>
              <w:left w:val="single" w:sz="4" w:space="0" w:color="000000"/>
              <w:right w:val="single" w:sz="4" w:space="0" w:color="000000"/>
            </w:tcBorders>
          </w:tcPr>
          <w:p>
            <w:pPr/>
          </w:p>
        </w:tc>
      </w:tr>
      <w:tr>
        <w:trPr>
          <w:trHeight w:val="307"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定，公司对无形资产摊销计提</w:t>
            </w:r>
          </w:p>
        </w:tc>
        <w:tc>
          <w:tcPr>
            <w:tcW w:w="238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年修订</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《创业板信息披露</w:t>
            </w:r>
          </w:p>
        </w:tc>
        <w:tc>
          <w:tcPr>
            <w:tcW w:w="2392" w:type="dxa"/>
            <w:tcBorders>
              <w:top w:val="nil" w:sz="6" w:space="0" w:color="auto"/>
              <w:left w:val="single" w:sz="4" w:space="0" w:color="000000"/>
              <w:bottom w:val="nil" w:sz="6" w:space="0" w:color="auto"/>
              <w:right w:val="single" w:sz="4" w:space="0" w:color="000000"/>
            </w:tcBorders>
          </w:tcPr>
          <w:p>
            <w:pPr/>
          </w:p>
        </w:tc>
        <w:tc>
          <w:tcPr>
            <w:tcW w:w="2392" w:type="dxa"/>
            <w:vMerge/>
            <w:tcBorders>
              <w:left w:val="single" w:sz="4" w:space="0" w:color="000000"/>
              <w:right w:val="single" w:sz="4" w:space="0" w:color="000000"/>
            </w:tcBorders>
          </w:tcPr>
          <w:p>
            <w:pPr/>
          </w:p>
        </w:tc>
      </w:tr>
      <w:tr>
        <w:trPr>
          <w:trHeight w:val="317"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进行会计估计变更。软件的使</w:t>
            </w:r>
          </w:p>
        </w:tc>
        <w:tc>
          <w:tcPr>
            <w:tcW w:w="23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业务备忘录第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会计政</w:t>
            </w:r>
          </w:p>
        </w:tc>
        <w:tc>
          <w:tcPr>
            <w:tcW w:w="2392" w:type="dxa"/>
            <w:tcBorders>
              <w:top w:val="nil" w:sz="6" w:space="0" w:color="auto"/>
              <w:left w:val="single" w:sz="4" w:space="0" w:color="000000"/>
              <w:bottom w:val="nil" w:sz="6" w:space="0" w:color="auto"/>
              <w:right w:val="single" w:sz="4" w:space="0" w:color="000000"/>
            </w:tcBorders>
          </w:tcPr>
          <w:p>
            <w:pPr/>
          </w:p>
        </w:tc>
        <w:tc>
          <w:tcPr>
            <w:tcW w:w="2392" w:type="dxa"/>
            <w:vMerge/>
            <w:tcBorders>
              <w:left w:val="single" w:sz="4" w:space="0" w:color="000000"/>
              <w:right w:val="single" w:sz="4" w:space="0" w:color="000000"/>
            </w:tcBorders>
          </w:tcPr>
          <w:p>
            <w:pPr/>
          </w:p>
        </w:tc>
      </w:tr>
      <w:tr>
        <w:trPr>
          <w:trHeight w:val="312"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用寿命变更前为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年，变更后</w:t>
            </w:r>
          </w:p>
        </w:tc>
        <w:tc>
          <w:tcPr>
            <w:tcW w:w="238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策与会计估计变更》等有关规</w:t>
            </w:r>
          </w:p>
        </w:tc>
        <w:tc>
          <w:tcPr>
            <w:tcW w:w="2392" w:type="dxa"/>
            <w:tcBorders>
              <w:top w:val="nil" w:sz="6" w:space="0" w:color="auto"/>
              <w:left w:val="single" w:sz="4" w:space="0" w:color="000000"/>
              <w:bottom w:val="nil" w:sz="6" w:space="0" w:color="auto"/>
              <w:right w:val="single" w:sz="4" w:space="0" w:color="000000"/>
            </w:tcBorders>
          </w:tcPr>
          <w:p>
            <w:pPr/>
          </w:p>
        </w:tc>
        <w:tc>
          <w:tcPr>
            <w:tcW w:w="2392" w:type="dxa"/>
            <w:vMerge/>
            <w:tcBorders>
              <w:left w:val="single" w:sz="4" w:space="0" w:color="000000"/>
              <w:right w:val="single" w:sz="4" w:space="0" w:color="000000"/>
            </w:tcBorders>
          </w:tcPr>
          <w:p>
            <w:pPr/>
          </w:p>
        </w:tc>
      </w:tr>
      <w:tr>
        <w:trPr>
          <w:trHeight w:val="312"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3-10</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年；商标、客户关系的</w:t>
            </w:r>
          </w:p>
        </w:tc>
        <w:tc>
          <w:tcPr>
            <w:tcW w:w="238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定，公司本次会计估计变更属</w:t>
            </w:r>
          </w:p>
        </w:tc>
        <w:tc>
          <w:tcPr>
            <w:tcW w:w="2392" w:type="dxa"/>
            <w:tcBorders>
              <w:top w:val="nil" w:sz="6" w:space="0" w:color="auto"/>
              <w:left w:val="single" w:sz="4" w:space="0" w:color="000000"/>
              <w:bottom w:val="nil" w:sz="6" w:space="0" w:color="auto"/>
              <w:right w:val="single" w:sz="4" w:space="0" w:color="000000"/>
            </w:tcBorders>
          </w:tcPr>
          <w:p>
            <w:pPr/>
          </w:p>
        </w:tc>
        <w:tc>
          <w:tcPr>
            <w:tcW w:w="2392" w:type="dxa"/>
            <w:vMerge/>
            <w:tcBorders>
              <w:left w:val="single" w:sz="4" w:space="0" w:color="000000"/>
              <w:right w:val="single" w:sz="4" w:space="0" w:color="000000"/>
            </w:tcBorders>
          </w:tcPr>
          <w:p>
            <w:pPr/>
          </w:p>
        </w:tc>
      </w:tr>
      <w:tr>
        <w:trPr>
          <w:trHeight w:val="312"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使用寿命准则规定为</w:t>
            </w:r>
            <w:r>
              <w:rPr>
                <w:rFonts w:ascii="Times New Roman" w:hAnsi="Times New Roman" w:cs="Times New Roman" w:eastAsia="Times New Roman" w:hint="default"/>
                <w:sz w:val="18"/>
                <w:szCs w:val="18"/>
              </w:rPr>
              <w:t>“</w:t>
            </w:r>
            <w:r>
              <w:rPr>
                <w:rFonts w:ascii="宋体" w:hAnsi="宋体" w:cs="宋体" w:eastAsia="宋体" w:hint="default"/>
                <w:sz w:val="18"/>
                <w:szCs w:val="18"/>
              </w:rPr>
              <w:t>按预计</w:t>
            </w:r>
          </w:p>
        </w:tc>
        <w:tc>
          <w:tcPr>
            <w:tcW w:w="238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于董事会决议权限，不需要提</w:t>
            </w:r>
          </w:p>
        </w:tc>
        <w:tc>
          <w:tcPr>
            <w:tcW w:w="2392" w:type="dxa"/>
            <w:tcBorders>
              <w:top w:val="nil" w:sz="6" w:space="0" w:color="auto"/>
              <w:left w:val="single" w:sz="4" w:space="0" w:color="000000"/>
              <w:bottom w:val="nil" w:sz="6" w:space="0" w:color="auto"/>
              <w:right w:val="single" w:sz="4" w:space="0" w:color="000000"/>
            </w:tcBorders>
          </w:tcPr>
          <w:p>
            <w:pPr/>
          </w:p>
        </w:tc>
        <w:tc>
          <w:tcPr>
            <w:tcW w:w="2392" w:type="dxa"/>
            <w:vMerge/>
            <w:tcBorders>
              <w:left w:val="single" w:sz="4" w:space="0" w:color="000000"/>
              <w:right w:val="single" w:sz="4" w:space="0" w:color="000000"/>
            </w:tcBorders>
          </w:tcPr>
          <w:p>
            <w:pPr/>
          </w:p>
        </w:tc>
      </w:tr>
      <w:tr>
        <w:trPr>
          <w:trHeight w:val="307"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使用年限、合同规定的受益年</w:t>
            </w:r>
          </w:p>
        </w:tc>
        <w:tc>
          <w:tcPr>
            <w:tcW w:w="238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交股东大会审议。</w:t>
            </w:r>
          </w:p>
        </w:tc>
        <w:tc>
          <w:tcPr>
            <w:tcW w:w="2392" w:type="dxa"/>
            <w:tcBorders>
              <w:top w:val="nil" w:sz="6" w:space="0" w:color="auto"/>
              <w:left w:val="single" w:sz="4" w:space="0" w:color="000000"/>
              <w:bottom w:val="nil" w:sz="6" w:space="0" w:color="auto"/>
              <w:right w:val="single" w:sz="4" w:space="0" w:color="000000"/>
            </w:tcBorders>
          </w:tcPr>
          <w:p>
            <w:pPr/>
          </w:p>
        </w:tc>
        <w:tc>
          <w:tcPr>
            <w:tcW w:w="2392" w:type="dxa"/>
            <w:vMerge/>
            <w:tcBorders>
              <w:left w:val="single" w:sz="4" w:space="0" w:color="000000"/>
              <w:right w:val="single" w:sz="4" w:space="0" w:color="000000"/>
            </w:tcBorders>
          </w:tcPr>
          <w:p>
            <w:pPr/>
          </w:p>
        </w:tc>
      </w:tr>
      <w:tr>
        <w:trPr>
          <w:trHeight w:val="312"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限和法律规定的有效年限三者</w:t>
            </w:r>
          </w:p>
        </w:tc>
        <w:tc>
          <w:tcPr>
            <w:tcW w:w="2388"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vMerge/>
            <w:tcBorders>
              <w:left w:val="single" w:sz="4" w:space="0" w:color="000000"/>
              <w:right w:val="single" w:sz="4" w:space="0" w:color="000000"/>
            </w:tcBorders>
          </w:tcPr>
          <w:p>
            <w:pPr/>
          </w:p>
        </w:tc>
      </w:tr>
      <w:tr>
        <w:trPr>
          <w:trHeight w:val="317"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中最短者</w:t>
            </w:r>
            <w:r>
              <w:rPr>
                <w:rFonts w:ascii="Times New Roman" w:hAnsi="Times New Roman" w:cs="Times New Roman" w:eastAsia="Times New Roman" w:hint="default"/>
                <w:spacing w:val="-1"/>
                <w:w w:val="99"/>
                <w:sz w:val="18"/>
                <w:szCs w:val="18"/>
              </w:rPr>
              <w:t>”</w:t>
            </w:r>
            <w:r>
              <w:rPr>
                <w:rFonts w:ascii="宋体" w:hAnsi="宋体" w:cs="宋体" w:eastAsia="宋体" w:hint="default"/>
                <w:spacing w:val="-80"/>
                <w:sz w:val="18"/>
                <w:szCs w:val="18"/>
              </w:rPr>
              <w:t>，</w:t>
            </w:r>
            <w:r>
              <w:rPr>
                <w:rFonts w:ascii="宋体" w:hAnsi="宋体" w:cs="宋体" w:eastAsia="宋体" w:hint="default"/>
                <w:sz w:val="18"/>
                <w:szCs w:val="18"/>
              </w:rPr>
              <w:t>变更后商标使用年</w:t>
            </w:r>
          </w:p>
        </w:tc>
        <w:tc>
          <w:tcPr>
            <w:tcW w:w="2388"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vMerge/>
            <w:tcBorders>
              <w:left w:val="single" w:sz="4" w:space="0" w:color="000000"/>
              <w:right w:val="single" w:sz="4" w:space="0" w:color="000000"/>
            </w:tcBorders>
          </w:tcPr>
          <w:p>
            <w:pPr/>
          </w:p>
        </w:tc>
      </w:tr>
      <w:tr>
        <w:trPr>
          <w:trHeight w:val="312" w:hRule="exact"/>
        </w:trPr>
        <w:tc>
          <w:tcPr>
            <w:tcW w:w="23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限为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92"/>
                <w:sz w:val="18"/>
                <w:szCs w:val="18"/>
              </w:rPr>
              <w:t>，</w:t>
            </w:r>
            <w:r>
              <w:rPr>
                <w:rFonts w:ascii="宋体" w:hAnsi="宋体" w:cs="宋体" w:eastAsia="宋体" w:hint="default"/>
                <w:sz w:val="18"/>
                <w:szCs w:val="18"/>
              </w:rPr>
              <w:t>客户关系使用年限</w:t>
            </w:r>
          </w:p>
        </w:tc>
        <w:tc>
          <w:tcPr>
            <w:tcW w:w="2388"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vMerge/>
            <w:tcBorders>
              <w:left w:val="single" w:sz="4" w:space="0" w:color="000000"/>
              <w:right w:val="single" w:sz="4" w:space="0" w:color="000000"/>
            </w:tcBorders>
          </w:tcPr>
          <w:p>
            <w:pPr/>
          </w:p>
        </w:tc>
      </w:tr>
      <w:tr>
        <w:trPr>
          <w:trHeight w:val="352" w:hRule="exact"/>
        </w:trPr>
        <w:tc>
          <w:tcPr>
            <w:tcW w:w="23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388"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
        </w:tc>
        <w:tc>
          <w:tcPr>
            <w:tcW w:w="2392" w:type="dxa"/>
            <w:vMerge/>
            <w:tcBorders>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6"/>
          <w:szCs w:val="6"/>
        </w:rPr>
      </w:pPr>
    </w:p>
    <w:p>
      <w:pPr>
        <w:pStyle w:val="BodyText"/>
        <w:spacing w:line="309" w:lineRule="auto" w:before="44"/>
        <w:ind w:right="1130" w:firstLine="420"/>
        <w:jc w:val="both"/>
      </w:pPr>
      <w:r>
        <w:rPr/>
        <w:pict>
          <v:shape style="position:absolute;margin-left:170.639999pt;margin-top:-352.147308pt;width:125.2pt;height:347.45pt;mso-position-horizontal-relative:page;mso-position-vertical-relative:paragraph;z-index:-1502392"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26"/>
                      <w:szCs w:val="26"/>
                    </w:rPr>
                  </w:pPr>
                </w:p>
                <w:p>
                  <w:pPr>
                    <w:pStyle w:val="BodyText"/>
                    <w:spacing w:line="240" w:lineRule="auto"/>
                    <w:ind w:left="0" w:right="0"/>
                    <w:jc w:val="left"/>
                  </w:pPr>
                  <w:r>
                    <w:rPr/>
                    <w:t>，</w:t>
                  </w:r>
                </w:p>
              </w:txbxContent>
            </v:textbox>
            <w10:wrap type="none"/>
          </v:shape>
        </w:pict>
      </w:r>
      <w:r>
        <w:rPr/>
        <w:pict>
          <v:group style="position:absolute;margin-left:176.649994pt;margin-top:-352.147308pt;width:119.15pt;height:347.45pt;mso-position-horizontal-relative:page;mso-position-vertical-relative:paragraph;z-index:-1502368" coordorigin="3533,-7043" coordsize="2383,6949">
            <v:shape style="position:absolute;left:3533;top:-7043;width:2383;height:6949" coordorigin="3533,-7043" coordsize="2383,6949" path="m3533,-7043l5916,-7043,5916,-94,3533,-94,3533,-7043xe" filled="true" fillcolor="#ffffff" stroked="false">
              <v:path arrowok="t"/>
              <v:fill type="solid"/>
            </v:shape>
            <w10:wrap type="none"/>
          </v:group>
        </w:pict>
      </w:r>
      <w:r>
        <w:rPr/>
        <w:t>本次会计估计变更后，原有无形资产的摊销年限保持不变，本次会计估计变更不会对公司所有者权益、净利润等指标 产生实质性影响。根据《企业会计准则第</w:t>
      </w:r>
      <w:r>
        <w:rPr>
          <w:rFonts w:ascii="Times New Roman" w:hAnsi="Times New Roman" w:cs="Times New Roman" w:eastAsia="Times New Roman" w:hint="default"/>
        </w:rPr>
        <w:t>28 </w:t>
      </w:r>
      <w:r>
        <w:rPr/>
        <w:t>号</w:t>
      </w:r>
      <w:r>
        <w:rPr>
          <w:rFonts w:ascii="Times New Roman" w:hAnsi="Times New Roman" w:cs="Times New Roman" w:eastAsia="Times New Roman" w:hint="default"/>
        </w:rPr>
        <w:t>--</w:t>
      </w:r>
      <w:r>
        <w:rPr/>
        <w:t>会计政策、会计估计变更和差错更正》的相关规定，本次会计估计变更采</w:t>
      </w:r>
      <w:r>
        <w:rPr>
          <w:spacing w:val="-77"/>
        </w:rPr>
        <w:t> </w:t>
      </w:r>
      <w:r>
        <w:rPr>
          <w:spacing w:val="-77"/>
        </w:rPr>
      </w:r>
      <w:r>
        <w:rPr/>
        <w:t>用未来适用法进行会计处理，不需追溯调整，不会对以前年度财务状况和经营成果产生影响。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487" w:lineRule="auto" w:before="139"/>
        <w:ind w:left="112" w:right="8967" w:firstLine="0"/>
        <w:jc w:val="left"/>
        <w:rPr>
          <w:rFonts w:ascii="宋体" w:hAnsi="宋体" w:cs="宋体" w:eastAsia="宋体" w:hint="default"/>
          <w:sz w:val="21"/>
          <w:szCs w:val="21"/>
        </w:rPr>
      </w:pPr>
      <w:bookmarkStart w:name="34、其他" w:id="219"/>
      <w:bookmarkEnd w:id="219"/>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20"/>
      <w:bookmarkEnd w:id="220"/>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w w:val="99"/>
          <w:sz w:val="24"/>
          <w:szCs w:val="24"/>
        </w:rPr>
        <w:t> </w:t>
      </w:r>
      <w:bookmarkStart w:name="1、主要税种及税率" w:id="221"/>
      <w:bookmarkEnd w:id="22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6"/>
        <w:rPr>
          <w:rFonts w:ascii="宋体" w:hAnsi="宋体" w:cs="宋体" w:eastAsia="宋体" w:hint="default"/>
          <w:b/>
          <w:bCs/>
          <w:sz w:val="7"/>
          <w:szCs w:val="7"/>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、销售收入 </w:t>
            </w:r>
            <w:r>
              <w:rPr>
                <w:rFonts w:ascii="Times New Roman" w:hAnsi="Times New Roman" w:cs="Times New Roman" w:eastAsia="Times New Roman" w:hint="default"/>
                <w:sz w:val="18"/>
                <w:szCs w:val="18"/>
              </w:rPr>
              <w:t>2</w:t>
            </w:r>
            <w:r>
              <w:rPr>
                <w:rFonts w:ascii="宋体" w:hAnsi="宋体" w:cs="宋体" w:eastAsia="宋体" w:hint="default"/>
                <w:sz w:val="18"/>
                <w:szCs w:val="18"/>
              </w:rPr>
              <w:t>、技术服务收入</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、技术 开发收入、技术转让收入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、免税</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实缴流转税额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22%</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b/>
          <w:bCs/>
          <w:sz w:val="28"/>
          <w:szCs w:val="2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实缴流转税额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实缴流转税额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0"/>
        <w:ind w:right="0"/>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深圳科蓝金信科技发展有限公司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科蓝软体系统（香港）有限公司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大陆云盾电子认证服务有限公司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北京尼客矩阵科技有限公司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SUNJE SOFT</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株式会社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22%</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bookmarkStart w:name="2、税收优惠" w:id="222"/>
      <w:bookmarkEnd w:id="222"/>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32" w:right="0"/>
        <w:jc w:val="left"/>
      </w:pPr>
      <w:r>
        <w:rPr>
          <w:rFonts w:ascii="Times New Roman" w:hAnsi="Times New Roman" w:cs="Times New Roman" w:eastAsia="Times New Roman" w:hint="default"/>
        </w:rPr>
        <w:t>1</w:t>
      </w:r>
      <w:r>
        <w:rPr/>
        <w:t>、增值税</w:t>
      </w:r>
    </w:p>
    <w:p>
      <w:pPr>
        <w:pStyle w:val="BodyText"/>
        <w:spacing w:line="300" w:lineRule="auto" w:before="63"/>
        <w:ind w:right="1128" w:firstLine="420"/>
        <w:jc w:val="both"/>
      </w:pPr>
      <w:r>
        <w:rPr/>
        <w:t>（</w:t>
      </w:r>
      <w:r>
        <w:rPr>
          <w:rFonts w:ascii="Times New Roman" w:hAnsi="Times New Roman" w:cs="Times New Roman" w:eastAsia="Times New Roman" w:hint="default"/>
        </w:rPr>
        <w:t>1</w:t>
      </w:r>
      <w:r>
        <w:rPr/>
        <w:t>）根据财政部、国家税务总局财税字</w:t>
      </w:r>
      <w:r>
        <w:rPr>
          <w:rFonts w:ascii="Times New Roman" w:hAnsi="Times New Roman" w:cs="Times New Roman" w:eastAsia="Times New Roman" w:hint="default"/>
        </w:rPr>
        <w:t>[1999]</w:t>
      </w:r>
      <w:r>
        <w:rPr/>
        <w:t>第</w:t>
      </w:r>
      <w:r>
        <w:rPr>
          <w:rFonts w:ascii="Times New Roman" w:hAnsi="Times New Roman" w:cs="Times New Roman" w:eastAsia="Times New Roman" w:hint="default"/>
        </w:rPr>
        <w:t>273</w:t>
      </w:r>
      <w:r>
        <w:rPr/>
        <w:t>号文《关于贯彻落实</w:t>
      </w:r>
      <w:r>
        <w:rPr>
          <w:rFonts w:ascii="Times New Roman" w:hAnsi="Times New Roman" w:cs="Times New Roman" w:eastAsia="Times New Roman" w:hint="default"/>
        </w:rPr>
        <w:t>&lt;</w:t>
      </w:r>
      <w:r>
        <w:rPr/>
        <w:t>中共中央国务院关于加强技术创新，发展高 </w:t>
      </w:r>
      <w:r>
        <w:rPr>
          <w:spacing w:val="-2"/>
        </w:rPr>
        <w:t>科技，实现产业化的决定</w:t>
      </w:r>
      <w:r>
        <w:rPr>
          <w:rFonts w:ascii="Times New Roman" w:hAnsi="Times New Roman" w:cs="Times New Roman" w:eastAsia="Times New Roman" w:hint="default"/>
          <w:spacing w:val="-2"/>
        </w:rPr>
        <w:t>&gt;</w:t>
      </w:r>
      <w:r>
        <w:rPr>
          <w:spacing w:val="-2"/>
        </w:rPr>
        <w:t>有关税收问题的通知》和《国家税务总局关于取消</w:t>
      </w:r>
      <w:r>
        <w:rPr>
          <w:rFonts w:ascii="Times New Roman" w:hAnsi="Times New Roman" w:cs="Times New Roman" w:eastAsia="Times New Roman" w:hint="default"/>
          <w:spacing w:val="-2"/>
        </w:rPr>
        <w:t>“</w:t>
      </w:r>
      <w:r>
        <w:rPr>
          <w:spacing w:val="-2"/>
        </w:rPr>
        <w:t>单位和个人从事技术转让、技术开发业务免征</w:t>
      </w:r>
      <w:r>
        <w:rPr>
          <w:spacing w:val="-65"/>
        </w:rPr>
        <w:t> </w:t>
      </w:r>
      <w:r>
        <w:rPr>
          <w:spacing w:val="-65"/>
        </w:rPr>
      </w:r>
      <w:r>
        <w:rPr>
          <w:spacing w:val="-1"/>
          <w:w w:val="99"/>
        </w:rPr>
        <w:t>营业税审批</w:t>
      </w:r>
      <w:r>
        <w:rPr>
          <w:rFonts w:ascii="Times New Roman" w:hAnsi="Times New Roman" w:cs="Times New Roman" w:eastAsia="Times New Roman" w:hint="default"/>
          <w:spacing w:val="-1"/>
          <w:w w:val="99"/>
        </w:rPr>
        <w:t>”</w:t>
      </w:r>
      <w:r>
        <w:rPr>
          <w:spacing w:val="-1"/>
          <w:w w:val="99"/>
        </w:rPr>
        <w:t>后有关税收管理问题的通知》（国税函</w:t>
      </w:r>
      <w:r>
        <w:rPr>
          <w:rFonts w:ascii="Times New Roman" w:hAnsi="Times New Roman" w:cs="Times New Roman" w:eastAsia="Times New Roman" w:hint="default"/>
          <w:spacing w:val="-1"/>
          <w:w w:val="99"/>
        </w:rPr>
        <w:t>[2004]825</w:t>
      </w:r>
      <w:r>
        <w:rPr>
          <w:spacing w:val="-1"/>
          <w:w w:val="99"/>
        </w:rPr>
        <w:t>号）的规定：从事技术转让、技术开发业务和与之相关的技术</w:t>
      </w:r>
      <w:r>
        <w:rPr>
          <w:spacing w:val="-56"/>
          <w:w w:val="99"/>
        </w:rPr>
        <w:t> </w:t>
      </w:r>
      <w:r>
        <w:rPr>
          <w:spacing w:val="-56"/>
          <w:w w:val="99"/>
        </w:rPr>
      </w:r>
      <w:r>
        <w:rPr/>
        <w:t>咨询、技术服务业务取得的收入，免征营业税。根据财政部和国家税务总局财税</w:t>
      </w:r>
      <w:r>
        <w:rPr>
          <w:rFonts w:ascii="Times New Roman" w:hAnsi="Times New Roman" w:cs="Times New Roman" w:eastAsia="Times New Roman" w:hint="default"/>
        </w:rPr>
        <w:t>[2011]110</w:t>
      </w:r>
      <w:r>
        <w:rPr/>
        <w:t>号文《营业税改征增值税试点方</w:t>
      </w:r>
      <w:r>
        <w:rPr>
          <w:spacing w:val="-37"/>
        </w:rPr>
        <w:t> </w:t>
      </w:r>
      <w:r>
        <w:rPr>
          <w:spacing w:val="-37"/>
        </w:rPr>
      </w:r>
      <w:r>
        <w:rPr>
          <w:spacing w:val="-2"/>
        </w:rPr>
        <w:t>案》规定，国家给予试点行业的原营业税优惠政策可以延续。本公司从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w:t>
      </w:r>
      <w:r>
        <w:rPr>
          <w:spacing w:val="-2"/>
        </w:rPr>
        <w:t>日起营业税改征增值税，适用于原营业税</w:t>
      </w:r>
      <w:r>
        <w:rPr>
          <w:spacing w:val="-61"/>
        </w:rPr>
        <w:t> </w:t>
      </w:r>
      <w:r>
        <w:rPr>
          <w:spacing w:val="-61"/>
        </w:rPr>
      </w:r>
      <w:r>
        <w:rPr/>
        <w:t>免税政策的收入继续免征增值税。</w:t>
      </w:r>
    </w:p>
    <w:p>
      <w:pPr>
        <w:pStyle w:val="BodyText"/>
        <w:spacing w:line="309" w:lineRule="auto" w:before="31"/>
        <w:ind w:right="0" w:firstLine="420"/>
        <w:jc w:val="left"/>
      </w:pPr>
      <w:r>
        <w:rPr>
          <w:spacing w:val="-1"/>
        </w:rPr>
        <w:t>（</w:t>
      </w:r>
      <w:r>
        <w:rPr>
          <w:rFonts w:ascii="Times New Roman" w:hAnsi="Times New Roman" w:cs="Times New Roman" w:eastAsia="Times New Roman" w:hint="default"/>
          <w:spacing w:val="-1"/>
        </w:rPr>
        <w:t>2</w:t>
      </w:r>
      <w:r>
        <w:rPr>
          <w:spacing w:val="-1"/>
        </w:rPr>
        <w:t>）根据财政部、国家税务总局财税</w:t>
      </w:r>
      <w:r>
        <w:rPr>
          <w:rFonts w:ascii="Times New Roman" w:hAnsi="Times New Roman" w:cs="Times New Roman" w:eastAsia="Times New Roman" w:hint="default"/>
          <w:spacing w:val="-1"/>
        </w:rPr>
        <w:t>[2011]100</w:t>
      </w:r>
      <w:r>
        <w:rPr>
          <w:spacing w:val="-1"/>
        </w:rPr>
        <w:t>号文《关于软件产品增值税政策的通知》的规定，自</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日起，</w:t>
      </w:r>
      <w:r>
        <w:rPr/>
        <w:t> 增值税一般纳税人销售其自行开发生产的软件产品，按</w:t>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的部分实行即</w:t>
      </w:r>
      <w:r>
        <w:rPr>
          <w:spacing w:val="-33"/>
        </w:rPr>
        <w:t> </w:t>
      </w:r>
      <w:r>
        <w:rPr>
          <w:spacing w:val="-33"/>
        </w:rPr>
      </w:r>
      <w:r>
        <w:rPr>
          <w:spacing w:val="-2"/>
        </w:rPr>
        <w:t>征即退政策。增值税一般纳税人将进口软件产品进行本地化改造后对外销售，其销售的软件产品可享受上述规定的增值税即</w:t>
      </w:r>
      <w:r>
        <w:rPr>
          <w:spacing w:val="-64"/>
        </w:rPr>
        <w:t> </w:t>
      </w:r>
      <w:r>
        <w:rPr>
          <w:spacing w:val="-64"/>
        </w:rPr>
      </w:r>
      <w:r>
        <w:rPr>
          <w:spacing w:val="-2"/>
        </w:rPr>
        <w:t>征即退政策。纳税人受托开发软件产品，著作权属于受托方的征收增值税，著作权属于委托方或属于双方共同拥有的不征收</w:t>
      </w:r>
      <w:r>
        <w:rPr>
          <w:spacing w:val="-63"/>
        </w:rPr>
        <w:t> </w:t>
      </w:r>
      <w:r>
        <w:rPr>
          <w:spacing w:val="-63"/>
        </w:rPr>
      </w:r>
      <w:r>
        <w:rPr/>
        <w:t>增值税；对经过国家版权局注册登记，纳税人在销售时一并转让著作权、所有权的，不征收增值税。</w:t>
      </w:r>
    </w:p>
    <w:p>
      <w:pPr>
        <w:pStyle w:val="BodyText"/>
        <w:spacing w:line="240" w:lineRule="auto" w:before="24"/>
        <w:ind w:left="532" w:right="0"/>
        <w:jc w:val="left"/>
      </w:pPr>
      <w:r>
        <w:rPr>
          <w:rFonts w:ascii="Times New Roman" w:hAnsi="Times New Roman" w:cs="Times New Roman" w:eastAsia="Times New Roman" w:hint="default"/>
        </w:rPr>
        <w:t>2</w:t>
      </w:r>
      <w:r>
        <w:rPr/>
        <w:t>、所得税</w:t>
      </w:r>
    </w:p>
    <w:p>
      <w:pPr>
        <w:pStyle w:val="BodyText"/>
        <w:spacing w:line="300" w:lineRule="auto" w:before="63"/>
        <w:ind w:right="1130" w:firstLine="42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日，依据北京市科学技术委员会、北京市财政局、北京市国家税务局、北京市地方税务局《关于公 </w:t>
      </w:r>
      <w:r>
        <w:rPr>
          <w:spacing w:val="-3"/>
          <w:w w:val="99"/>
        </w:rPr>
        <w:t>示北京市</w:t>
      </w:r>
      <w:r>
        <w:rPr>
          <w:rFonts w:ascii="Times New Roman" w:hAnsi="Times New Roman" w:cs="Times New Roman" w:eastAsia="Times New Roman" w:hint="default"/>
          <w:spacing w:val="-3"/>
          <w:w w:val="99"/>
        </w:rPr>
        <w:t>2015</w:t>
      </w:r>
      <w:r>
        <w:rPr>
          <w:spacing w:val="-3"/>
          <w:w w:val="99"/>
        </w:rPr>
        <w:t>年度第二批拟认定高新技术企业名单的通知》，本公司取得了编号为</w:t>
      </w:r>
      <w:r>
        <w:rPr>
          <w:rFonts w:ascii="Times New Roman" w:hAnsi="Times New Roman" w:cs="Times New Roman" w:eastAsia="Times New Roman" w:hint="default"/>
          <w:spacing w:val="-3"/>
          <w:w w:val="99"/>
        </w:rPr>
        <w:t>GR201511001622</w:t>
      </w:r>
      <w:r>
        <w:rPr>
          <w:spacing w:val="-3"/>
          <w:w w:val="99"/>
        </w:rPr>
        <w:t>的高新技术企业证书，继</w:t>
      </w:r>
      <w:r>
        <w:rPr>
          <w:spacing w:val="-61"/>
          <w:w w:val="99"/>
        </w:rPr>
        <w:t> </w:t>
      </w:r>
      <w:r>
        <w:rPr>
          <w:spacing w:val="-61"/>
          <w:w w:val="99"/>
        </w:rPr>
      </w:r>
      <w:r>
        <w:rPr/>
        <w:t>续享受所得税</w:t>
      </w:r>
      <w:r>
        <w:rPr>
          <w:rFonts w:ascii="Times New Roman" w:hAnsi="Times New Roman" w:cs="Times New Roman" w:eastAsia="Times New Roman" w:hint="default"/>
        </w:rPr>
        <w:t>15%</w:t>
      </w:r>
      <w:r>
        <w:rPr/>
        <w:t>的税收优惠政策，有效期为</w:t>
      </w:r>
      <w:r>
        <w:rPr>
          <w:rFonts w:ascii="Times New Roman" w:hAnsi="Times New Roman" w:cs="Times New Roman" w:eastAsia="Times New Roman" w:hint="default"/>
        </w:rPr>
        <w:t>3</w:t>
      </w:r>
      <w:r>
        <w:rPr/>
        <w:t>年，优惠期间为</w:t>
      </w:r>
      <w:r>
        <w:rPr>
          <w:rFonts w:ascii="Times New Roman" w:hAnsi="Times New Roman" w:cs="Times New Roman" w:eastAsia="Times New Roman" w:hint="default"/>
        </w:rPr>
        <w:t>2018</w:t>
      </w:r>
      <w:r>
        <w:rPr/>
        <w:t>年度、</w:t>
      </w:r>
      <w:r>
        <w:rPr>
          <w:rFonts w:ascii="Times New Roman" w:hAnsi="Times New Roman" w:cs="Times New Roman" w:eastAsia="Times New Roman" w:hint="default"/>
        </w:rPr>
        <w:t>2019</w:t>
      </w:r>
      <w:r>
        <w:rPr/>
        <w:t>年度、</w:t>
      </w:r>
      <w:r>
        <w:rPr>
          <w:rFonts w:ascii="Times New Roman" w:hAnsi="Times New Roman" w:cs="Times New Roman" w:eastAsia="Times New Roman" w:hint="default"/>
        </w:rPr>
        <w:t>2020</w:t>
      </w:r>
      <w:r>
        <w:rPr/>
        <w:t>年度。</w:t>
      </w:r>
    </w:p>
    <w:p>
      <w:pPr>
        <w:pStyle w:val="BodyText"/>
        <w:spacing w:line="300" w:lineRule="auto" w:before="13"/>
        <w:ind w:right="1081" w:firstLine="42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日，经深圳市科技创新委员会、深圳市财政委员会、深圳市国家税务局、深圳市地方税务局批准， 本公司之子公司深圳科蓝金信科技发展有限公司取得了编号为</w:t>
      </w:r>
      <w:r>
        <w:rPr>
          <w:rFonts w:ascii="Times New Roman" w:hAnsi="Times New Roman" w:cs="Times New Roman" w:eastAsia="Times New Roman" w:hint="default"/>
        </w:rPr>
        <w:t>GR201744203621</w:t>
      </w:r>
      <w:r>
        <w:rPr/>
        <w:t>的高新技术企业证书，可以自获取当年起享</w:t>
      </w:r>
      <w:r>
        <w:rPr>
          <w:spacing w:val="-71"/>
        </w:rPr>
        <w:t> </w:t>
      </w:r>
      <w:r>
        <w:rPr>
          <w:spacing w:val="-71"/>
        </w:rPr>
      </w:r>
      <w:r>
        <w:rPr/>
        <w:t>受所得税</w:t>
      </w:r>
      <w:r>
        <w:rPr>
          <w:rFonts w:ascii="Times New Roman" w:hAnsi="Times New Roman" w:cs="Times New Roman" w:eastAsia="Times New Roman" w:hint="default"/>
        </w:rPr>
        <w:t>15%</w:t>
      </w:r>
      <w:r>
        <w:rPr/>
        <w:t>的税收优惠政策，有效期为</w:t>
      </w:r>
      <w:r>
        <w:rPr>
          <w:rFonts w:ascii="Times New Roman" w:hAnsi="Times New Roman" w:cs="Times New Roman" w:eastAsia="Times New Roman" w:hint="default"/>
        </w:rPr>
        <w:t>3</w:t>
      </w:r>
      <w:r>
        <w:rPr/>
        <w:t>年，优惠期间为</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2018</w:t>
      </w:r>
      <w:r>
        <w:rPr/>
        <w:t>年度、</w:t>
      </w:r>
      <w:r>
        <w:rPr>
          <w:rFonts w:ascii="Times New Roman" w:hAnsi="Times New Roman" w:cs="Times New Roman" w:eastAsia="Times New Roman" w:hint="default"/>
        </w:rPr>
        <w:t>2019</w:t>
      </w:r>
      <w:r>
        <w:rPr/>
        <w:t>年度。</w:t>
      </w:r>
    </w:p>
    <w:p>
      <w:pPr>
        <w:spacing w:line="240" w:lineRule="auto" w:before="0"/>
        <w:rPr>
          <w:rFonts w:ascii="宋体" w:hAnsi="宋体" w:cs="宋体" w:eastAsia="宋体" w:hint="default"/>
          <w:sz w:val="18"/>
          <w:szCs w:val="18"/>
        </w:rPr>
      </w:pPr>
    </w:p>
    <w:p>
      <w:pPr>
        <w:pStyle w:val="BodyText"/>
        <w:spacing w:line="240" w:lineRule="auto" w:before="130"/>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0"/>
        <w:rPr>
          <w:rFonts w:ascii="宋体" w:hAnsi="宋体" w:cs="宋体" w:eastAsia="宋体" w:hint="default"/>
          <w:sz w:val="25"/>
          <w:szCs w:val="25"/>
        </w:rPr>
      </w:pPr>
    </w:p>
    <w:p>
      <w:pPr>
        <w:spacing w:line="487" w:lineRule="auto" w:before="0"/>
        <w:ind w:left="112" w:right="7862" w:firstLine="0"/>
        <w:jc w:val="left"/>
        <w:rPr>
          <w:rFonts w:ascii="宋体" w:hAnsi="宋体" w:cs="宋体" w:eastAsia="宋体" w:hint="default"/>
          <w:sz w:val="21"/>
          <w:szCs w:val="21"/>
        </w:rPr>
      </w:pPr>
      <w:bookmarkStart w:name="3、其他" w:id="223"/>
      <w:bookmarkEnd w:id="22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七、合并财务报表项目注释" w:id="224"/>
      <w:bookmarkEnd w:id="224"/>
      <w:r>
        <w:rPr>
          <w:rFonts w:ascii="宋体" w:hAnsi="宋体" w:cs="宋体" w:eastAsia="宋体" w:hint="default"/>
          <w:b/>
          <w:bCs/>
          <w:w w:val="99"/>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bookmarkStart w:name="1、货币资金" w:id="225"/>
      <w:bookmarkEnd w:id="22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9"/>
        <w:ind w:left="0" w:right="1132"/>
        <w:jc w:val="right"/>
      </w:pPr>
      <w:r>
        <w:rPr/>
        <w:t>单位：</w:t>
      </w:r>
      <w:r>
        <w:rPr>
          <w:spacing w:val="-2"/>
        </w:rPr>
        <w:t> </w:t>
      </w:r>
      <w:r>
        <w:rPr/>
        <w:t>元</w:t>
      </w:r>
    </w:p>
    <w:p>
      <w:pPr>
        <w:spacing w:after="0" w:line="240" w:lineRule="auto"/>
        <w:jc w:val="right"/>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6,773.55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786.40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402,234,569.43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378,071,824.58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5,067,217.70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11,947,421.70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407,308,560.68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390,020,032.68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31,000,326.27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10,203,445.47</w:t>
            </w:r>
          </w:p>
        </w:tc>
      </w:tr>
    </w:tbl>
    <w:p>
      <w:pPr>
        <w:pStyle w:val="BodyText"/>
        <w:spacing w:line="240" w:lineRule="auto" w:before="50"/>
        <w:ind w:right="0"/>
        <w:jc w:val="left"/>
      </w:pPr>
      <w:r>
        <w:rPr/>
        <w:t>其他说明</w:t>
      </w:r>
    </w:p>
    <w:p>
      <w:pPr>
        <w:spacing w:line="240" w:lineRule="auto" w:before="3"/>
        <w:rPr>
          <w:rFonts w:ascii="宋体" w:hAnsi="宋体" w:cs="宋体" w:eastAsia="宋体" w:hint="default"/>
          <w:sz w:val="13"/>
          <w:szCs w:val="13"/>
        </w:rPr>
      </w:pPr>
    </w:p>
    <w:p>
      <w:pPr>
        <w:pStyle w:val="Heading6"/>
        <w:spacing w:line="240" w:lineRule="auto"/>
        <w:ind w:right="0"/>
        <w:jc w:val="left"/>
      </w:pPr>
      <w:r>
        <w:rPr/>
        <w:t>其中受限制的货币资金明细如下：</w:t>
      </w:r>
    </w:p>
    <w:p>
      <w:pPr>
        <w:spacing w:line="240" w:lineRule="auto" w:before="11"/>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652"/>
        <w:gridCol w:w="2438"/>
        <w:gridCol w:w="2438"/>
      </w:tblGrid>
      <w:tr>
        <w:trPr>
          <w:trHeight w:val="354" w:hRule="exact"/>
        </w:trPr>
        <w:tc>
          <w:tcPr>
            <w:tcW w:w="36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637"/>
              <w:jc w:val="right"/>
              <w:rPr>
                <w:rFonts w:ascii="宋体" w:hAnsi="宋体" w:cs="宋体" w:eastAsia="宋体" w:hint="default"/>
                <w:sz w:val="18"/>
                <w:szCs w:val="18"/>
              </w:rPr>
            </w:pPr>
            <w:r>
              <w:rPr>
                <w:rFonts w:ascii="宋体" w:hAnsi="宋体" w:cs="宋体" w:eastAsia="宋体" w:hint="default"/>
                <w:sz w:val="18"/>
                <w:szCs w:val="18"/>
              </w:rPr>
              <w:t>项目</w:t>
            </w:r>
          </w:p>
        </w:tc>
        <w:tc>
          <w:tcPr>
            <w:tcW w:w="24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3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2"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4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4,420,096.00</w:t>
            </w:r>
          </w:p>
        </w:tc>
        <w:tc>
          <w:tcPr>
            <w:tcW w:w="24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3,947,421.70</w:t>
            </w:r>
          </w:p>
        </w:tc>
      </w:tr>
      <w:tr>
        <w:trPr>
          <w:trHeight w:val="362"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3" w:right="0"/>
              <w:jc w:val="left"/>
              <w:rPr>
                <w:rFonts w:ascii="宋体" w:hAnsi="宋体" w:cs="宋体" w:eastAsia="宋体" w:hint="default"/>
                <w:sz w:val="18"/>
                <w:szCs w:val="18"/>
              </w:rPr>
            </w:pPr>
            <w:r>
              <w:rPr>
                <w:rFonts w:ascii="宋体" w:hAnsi="宋体" w:cs="宋体" w:eastAsia="宋体" w:hint="default"/>
                <w:sz w:val="18"/>
                <w:szCs w:val="18"/>
              </w:rPr>
              <w:t>为获取借款质押的保证金</w:t>
            </w:r>
          </w:p>
        </w:tc>
        <w:tc>
          <w:tcPr>
            <w:tcW w:w="24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362"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附使用条件的政府补助</w:t>
            </w:r>
          </w:p>
        </w:tc>
        <w:tc>
          <w:tcPr>
            <w:tcW w:w="24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325,333.00</w:t>
            </w:r>
          </w:p>
        </w:tc>
        <w:tc>
          <w:tcPr>
            <w:tcW w:w="24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637"/>
              <w:jc w:val="right"/>
              <w:rPr>
                <w:rFonts w:ascii="宋体" w:hAnsi="宋体" w:cs="宋体" w:eastAsia="宋体" w:hint="default"/>
                <w:sz w:val="18"/>
                <w:szCs w:val="18"/>
              </w:rPr>
            </w:pPr>
            <w:r>
              <w:rPr>
                <w:rFonts w:ascii="宋体" w:hAnsi="宋体" w:cs="宋体" w:eastAsia="宋体" w:hint="default"/>
                <w:sz w:val="18"/>
                <w:szCs w:val="18"/>
              </w:rPr>
              <w:t>合计</w:t>
            </w:r>
          </w:p>
        </w:tc>
        <w:tc>
          <w:tcPr>
            <w:tcW w:w="24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4,745,429.00</w:t>
            </w:r>
          </w:p>
        </w:tc>
        <w:tc>
          <w:tcPr>
            <w:tcW w:w="24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8"/>
              <w:jc w:val="right"/>
              <w:rPr>
                <w:rFonts w:ascii="Times New Roman" w:hAnsi="Times New Roman" w:cs="Times New Roman" w:eastAsia="Times New Roman" w:hint="default"/>
                <w:sz w:val="18"/>
                <w:szCs w:val="18"/>
              </w:rPr>
            </w:pPr>
            <w:r>
              <w:rPr>
                <w:rFonts w:ascii="Times New Roman"/>
                <w:spacing w:val="-1"/>
                <w:sz w:val="18"/>
              </w:rPr>
              <w:t>11,947,421.70</w:t>
            </w:r>
          </w:p>
        </w:tc>
      </w:tr>
    </w:tbl>
    <w:p>
      <w:pPr>
        <w:spacing w:line="240" w:lineRule="auto" w:before="7"/>
        <w:rPr>
          <w:rFonts w:ascii="宋体" w:hAnsi="宋体" w:cs="宋体" w:eastAsia="宋体" w:hint="default"/>
          <w:sz w:val="5"/>
          <w:szCs w:val="5"/>
        </w:rPr>
      </w:pPr>
    </w:p>
    <w:p>
      <w:pPr>
        <w:pStyle w:val="Heading6"/>
        <w:spacing w:line="240" w:lineRule="auto" w:before="34"/>
        <w:ind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日止，除上述受限货币资金外，本公司不存在冻结或有潜在收回风险的款项。</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5"/>
        <w:spacing w:line="240" w:lineRule="auto"/>
        <w:ind w:right="0"/>
        <w:jc w:val="left"/>
        <w:rPr>
          <w:b w:val="0"/>
          <w:bCs w:val="0"/>
        </w:rPr>
      </w:pPr>
      <w:bookmarkStart w:name="2、以公允价值计量且其变动计入当期损益的金融资产" w:id="226"/>
      <w:bookmarkEnd w:id="226"/>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3、衍生金融资产" w:id="227"/>
      <w:bookmarkEnd w:id="227"/>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4、应收票据及应收账款" w:id="228"/>
      <w:bookmarkEnd w:id="228"/>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545,859,103.03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487,769,199.26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545,859,103.03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487,769,199.26</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bookmarkStart w:name="（1）应收票据" w:id="229"/>
      <w:bookmarkEnd w:id="229"/>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rFonts w:ascii="Times New Roman" w:hAnsi="Times New Roman" w:cs="Times New Roman" w:eastAsia="Times New Roman" w:hint="default"/>
        </w:rPr>
        <w:t>2)</w:t>
      </w:r>
      <w:r>
        <w:rPr/>
        <w:t>期末公司已质押的应收票据</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240" w:lineRule="auto" w:before="44"/>
        <w:ind w:left="0" w:right="1132"/>
        <w:jc w:val="right"/>
      </w:pPr>
      <w:r>
        <w:rPr/>
        <w:t>单位：</w:t>
      </w:r>
      <w:r>
        <w:rPr>
          <w:spacing w:val="-2"/>
        </w:rPr>
        <w:t> </w:t>
      </w:r>
      <w:r>
        <w:rPr/>
        <w:t>元</w:t>
      </w:r>
    </w:p>
    <w:p>
      <w:pPr>
        <w:spacing w:line="240" w:lineRule="auto" w:before="8"/>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9;height:397" coordorigin="13,13" coordsize="4779,397">
              <v:shape style="position:absolute;left:13;top:13;width:4779;height:397" coordorigin="13,13" coordsize="4779,397" path="m13,13l4792,13,4792,410,13,410,13,13xe" filled="true" fillcolor="#d2d2d2" stroked="false">
                <v:path arrowok="t"/>
                <v:fill type="solid"/>
              </v:shape>
            </v:group>
            <v:group style="position:absolute;left:4797;top:13;width:4779;height:397" coordorigin="4797,13" coordsize="4779,397">
              <v:shape style="position:absolute;left:4797;top:13;width:4779;height:397" coordorigin="4797,13" coordsize="4779,397" path="m4797,13l9576,13,9576,410,4797,410,4797,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期末已质押金额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52"/>
        <w:ind w:right="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1"/>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pStyle w:val="BodyText"/>
        <w:spacing w:line="240" w:lineRule="auto" w:before="50"/>
        <w:ind w:right="0"/>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3"/>
        <w:ind w:left="0" w:right="1132"/>
        <w:jc w:val="right"/>
      </w:pPr>
      <w:r>
        <w:rPr/>
        <w:t>单位：</w:t>
      </w:r>
      <w:r>
        <w:rPr>
          <w:spacing w:val="-2"/>
        </w:rPr>
        <w:t> </w:t>
      </w:r>
      <w:r>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9;height:397" coordorigin="13,13" coordsize="4779,397">
              <v:shape style="position:absolute;left:13;top:13;width:4779;height:397" coordorigin="13,13" coordsize="4779,397" path="m13,13l4792,13,4792,410,13,410,13,13xe" filled="true" fillcolor="#d2d2d2" stroked="false">
                <v:path arrowok="t"/>
                <v:fill type="solid"/>
              </v:shape>
            </v:group>
            <v:group style="position:absolute;left:4797;top:13;width:4779;height:397" coordorigin="4797,13" coordsize="4779,397">
              <v:shape style="position:absolute;left:4797;top:13;width:4779;height:397" coordorigin="4797,13" coordsize="4779,397" path="m4797,13l9576,13,9576,410,4797,410,4797,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4"/>
                        <w:ind w:left="1582" w:right="0" w:firstLine="0"/>
                        <w:jc w:val="left"/>
                        <w:rPr>
                          <w:rFonts w:ascii="宋体" w:hAnsi="宋体" w:cs="宋体" w:eastAsia="宋体" w:hint="default"/>
                          <w:sz w:val="18"/>
                          <w:szCs w:val="18"/>
                        </w:rPr>
                      </w:pPr>
                      <w:r>
                        <w:rPr>
                          <w:rFonts w:ascii="宋体" w:hAnsi="宋体" w:cs="宋体" w:eastAsia="宋体" w:hint="default"/>
                          <w:sz w:val="18"/>
                          <w:szCs w:val="18"/>
                        </w:rPr>
                        <w:t>期末转应收账款金额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2）应收账款" w:id="230"/>
      <w:bookmarkEnd w:id="230"/>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637,123,</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387.62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91,264,2</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84.59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14.32%</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545,859,1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03.03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553,154</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,929.17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65,385,72</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9.91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11.82%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487,769,19</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9.26</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33,625.2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33,625.2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100.00%</w:t>
            </w:r>
          </w:p>
        </w:tc>
        <w:tc>
          <w:tcPr>
            <w:tcW w:w="789"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637,157,</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012.89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91,297,9</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09.86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14.33%</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545,859,1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03.03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 w:right="0"/>
              <w:jc w:val="left"/>
              <w:rPr>
                <w:rFonts w:ascii="Times New Roman" w:hAnsi="Times New Roman" w:cs="Times New Roman" w:eastAsia="Times New Roman" w:hint="default"/>
                <w:sz w:val="18"/>
                <w:szCs w:val="18"/>
              </w:rPr>
            </w:pPr>
            <w:r>
              <w:rPr>
                <w:rFonts w:ascii="Times New Roman"/>
                <w:sz w:val="18"/>
              </w:rPr>
              <w:t>553,154</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,929.17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65,385,72</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9.91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11.82%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487,769,19</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9.26</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0"/>
        </w:sectPr>
      </w:pPr>
    </w:p>
    <w:p>
      <w:pPr>
        <w:pStyle w:val="BodyText"/>
        <w:spacing w:line="240" w:lineRule="auto" w:before="52"/>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0"/>
          <w:cols w:num="2" w:equalWidth="0">
            <w:col w:w="4253" w:space="4576"/>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392,198,189.80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19,609,909.49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100,468,562.00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10,046,856.20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0"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70,526,320.46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14,105,264.09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40,132,158.96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20,066,079.48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12,723,962.14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6,361,981.07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21,074,194.26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21,074,194.26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637,123,387.62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91,264,284.59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0"/>
        <w:jc w:val="left"/>
      </w:pPr>
      <w:r>
        <w:rPr/>
        <w:t>确定该组合依据的说明：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4"/>
        <w:ind w:right="0"/>
        <w:jc w:val="left"/>
      </w:pPr>
      <w:r>
        <w:rPr/>
        <w:t>组合中，采用余额百分比法计提坏账准备的应收账款：</w:t>
      </w:r>
    </w:p>
    <w:p>
      <w:pPr>
        <w:pStyle w:val="BodyText"/>
        <w:spacing w:line="338"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组合中，采用其他方法计提坏账准备的应收账款：</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943"/>
        <w:gridCol w:w="1984"/>
        <w:gridCol w:w="1985"/>
        <w:gridCol w:w="1423"/>
      </w:tblGrid>
      <w:tr>
        <w:trPr>
          <w:trHeight w:val="354" w:hRule="exact"/>
        </w:trPr>
        <w:tc>
          <w:tcPr>
            <w:tcW w:w="2943" w:type="dxa"/>
            <w:vMerge w:val="restart"/>
            <w:tcBorders>
              <w:top w:val="single" w:sz="6" w:space="0" w:color="000000"/>
              <w:left w:val="single" w:sz="6" w:space="0" w:color="000000"/>
              <w:right w:val="single" w:sz="6"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392"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2" w:hRule="exact"/>
        </w:trPr>
        <w:tc>
          <w:tcPr>
            <w:tcW w:w="2943" w:type="dxa"/>
            <w:vMerge/>
            <w:tcBorders>
              <w:left w:val="single" w:sz="6" w:space="0" w:color="000000"/>
              <w:bottom w:val="single" w:sz="12" w:space="0" w:color="000000"/>
              <w:right w:val="single" w:sz="6" w:space="0" w:color="000000"/>
            </w:tcBorders>
          </w:tcPr>
          <w:p>
            <w:pP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6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62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2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计提比（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74"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21"/>
              <w:ind w:left="3" w:right="44"/>
              <w:jc w:val="left"/>
              <w:rPr>
                <w:rFonts w:ascii="宋体" w:hAnsi="宋体" w:cs="宋体" w:eastAsia="宋体" w:hint="default"/>
                <w:sz w:val="18"/>
                <w:szCs w:val="18"/>
              </w:rPr>
            </w:pPr>
            <w:r>
              <w:rPr>
                <w:rFonts w:ascii="宋体" w:hAnsi="宋体" w:cs="宋体" w:eastAsia="宋体" w:hint="default"/>
                <w:sz w:val="18"/>
                <w:szCs w:val="18"/>
              </w:rPr>
              <w:t>单项金额虽不重大但单独计提坏账准 备的应收账款</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33,625.27</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33,625.27</w:t>
            </w:r>
          </w:p>
        </w:tc>
        <w:tc>
          <w:tcPr>
            <w:tcW w:w="142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3"/>
              <w:jc w:val="center"/>
              <w:rPr>
                <w:rFonts w:ascii="Times New Roman" w:hAnsi="Times New Roman" w:cs="Times New Roman" w:eastAsia="Times New Roman" w:hint="default"/>
                <w:sz w:val="18"/>
                <w:szCs w:val="18"/>
              </w:rPr>
            </w:pPr>
            <w:r>
              <w:rPr>
                <w:rFonts w:ascii="Times New Roman"/>
                <w:sz w:val="18"/>
              </w:rPr>
              <w:t>100.00</w:t>
            </w:r>
          </w:p>
        </w:tc>
      </w:tr>
      <w:tr>
        <w:trPr>
          <w:trHeight w:val="362" w:hRule="exact"/>
        </w:trPr>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33,625.27</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33,625.27</w:t>
            </w:r>
          </w:p>
        </w:tc>
        <w:tc>
          <w:tcPr>
            <w:tcW w:w="142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3"/>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0"/>
        <w:rPr>
          <w:rFonts w:ascii="宋体" w:hAnsi="宋体" w:cs="宋体" w:eastAsia="宋体" w:hint="default"/>
          <w:sz w:val="6"/>
          <w:szCs w:val="6"/>
        </w:rPr>
      </w:pPr>
    </w:p>
    <w:p>
      <w:pPr>
        <w:pStyle w:val="BodyText"/>
        <w:spacing w:line="240" w:lineRule="auto" w:before="44"/>
        <w:ind w:left="532" w:right="0"/>
        <w:jc w:val="left"/>
      </w:pPr>
      <w:r>
        <w:rPr/>
        <w:t>本年新纳入合并范围的的</w:t>
      </w:r>
      <w:r>
        <w:rPr>
          <w:rFonts w:ascii="Times New Roman" w:hAnsi="Times New Roman" w:cs="Times New Roman" w:eastAsia="Times New Roman" w:hint="default"/>
        </w:rPr>
        <w:t>SUNJE</w:t>
      </w:r>
      <w:r>
        <w:rPr>
          <w:rFonts w:ascii="Times New Roman" w:hAnsi="Times New Roman" w:cs="Times New Roman" w:eastAsia="Times New Roman" w:hint="default"/>
          <w:spacing w:val="-9"/>
        </w:rPr>
        <w:t> </w:t>
      </w:r>
      <w:r>
        <w:rPr>
          <w:rFonts w:ascii="Times New Roman" w:hAnsi="Times New Roman" w:cs="Times New Roman" w:eastAsia="Times New Roman" w:hint="default"/>
        </w:rPr>
        <w:t>SOFT</w:t>
      </w:r>
      <w:r>
        <w:rPr/>
        <w:t>株式会社，将逾期的可收回性极小的应收账款</w:t>
      </w:r>
      <w:r>
        <w:rPr>
          <w:rFonts w:ascii="Times New Roman" w:hAnsi="Times New Roman" w:cs="Times New Roman" w:eastAsia="Times New Roman" w:hint="default"/>
        </w:rPr>
        <w:t>33,625.27</w:t>
      </w:r>
      <w:r>
        <w:rPr/>
        <w:t>元，全额计提坏账准备。</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BodyText"/>
        <w:spacing w:line="240" w:lineRule="auto"/>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3"/>
        <w:ind w:right="0"/>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4374"/>
        <w:jc w:val="left"/>
      </w:pPr>
      <w:r>
        <w:rPr/>
        <w:t>本期计提坏账准备金额</w:t>
      </w:r>
      <w:r>
        <w:rPr>
          <w:spacing w:val="-47"/>
        </w:rPr>
        <w:t> </w:t>
      </w:r>
      <w:r>
        <w:rPr>
          <w:rFonts w:ascii="Times New Roman" w:hAnsi="Times New Roman" w:cs="Times New Roman" w:eastAsia="Times New Roman" w:hint="default"/>
        </w:rPr>
        <w:t>25,692,191.46</w:t>
      </w:r>
      <w:r>
        <w:rPr>
          <w:rFonts w:ascii="Times New Roman" w:hAnsi="Times New Roman" w:cs="Times New Roman" w:eastAsia="Times New Roman" w:hint="default"/>
          <w:spacing w:val="-3"/>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其中本期坏账准备收回或转回金额重要的：</w:t>
      </w:r>
    </w:p>
    <w:p>
      <w:pPr>
        <w:pStyle w:val="BodyText"/>
        <w:spacing w:line="240" w:lineRule="auto" w:before="43"/>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59"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left="0" w:right="1132"/>
        <w:jc w:val="right"/>
      </w:pPr>
      <w:r>
        <w:rPr/>
        <w:t>单位：</w:t>
      </w:r>
      <w:r>
        <w:rPr>
          <w:spacing w:val="-2"/>
        </w:rPr>
        <w:t> </w:t>
      </w:r>
      <w:r>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9;height:397" coordorigin="13,13" coordsize="4779,397">
              <v:shape style="position:absolute;left:13;top:13;width:4779;height:397" coordorigin="13,13" coordsize="4779,397" path="m13,13l4792,13,4792,410,13,410,13,13xe" filled="true" fillcolor="#d2d2d2" stroked="false">
                <v:path arrowok="t"/>
                <v:fill type="solid"/>
              </v:shape>
            </v:group>
            <v:group style="position:absolute;left:4797;top:13;width:4779;height:397" coordorigin="4797,13" coordsize="4779,397">
              <v:shape style="position:absolute;left:4797;top:13;width:4779;height:397" coordorigin="4797,13" coordsize="4779,397" path="m4797,13l9576,13,9576,410,4797,410,4797,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52"/>
        <w:ind w:right="0"/>
        <w:jc w:val="left"/>
      </w:pPr>
      <w:r>
        <w:rPr/>
        <w:t>其中重要的应收账款核销情况：</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2" w:right="70"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0" w:lineRule="auto" w:before="50"/>
        <w:ind w:right="6824"/>
        <w:jc w:val="left"/>
      </w:pPr>
      <w:r>
        <w:rPr/>
        <w:t>应收账款核销说明： </w:t>
      </w:r>
      <w:r>
        <w:rPr>
          <w:rFonts w:ascii="Times New Roman" w:hAnsi="Times New Roman" w:cs="Times New Roman" w:eastAsia="Times New Roman" w:hint="default"/>
        </w:rPr>
        <w:t>4)</w:t>
      </w:r>
      <w:r>
        <w:rPr/>
        <w:t>按欠款方归集的期末余额前五名的应收账款情况 公司是否需要遵守特殊行业的披露要求</w:t>
      </w:r>
    </w:p>
    <w:p>
      <w:pPr>
        <w:pStyle w:val="BodyText"/>
        <w:spacing w:line="360" w:lineRule="auto" w:before="32"/>
        <w:ind w:right="8954"/>
        <w:jc w:val="left"/>
      </w:pPr>
      <w:r>
        <w:rPr/>
        <w:t>是 软件与信息技术服务业</w:t>
      </w:r>
    </w:p>
    <w:tbl>
      <w:tblPr>
        <w:tblW w:w="0" w:type="auto"/>
        <w:jc w:val="left"/>
        <w:tblInd w:w="106" w:type="dxa"/>
        <w:tblLayout w:type="fixed"/>
        <w:tblCellMar>
          <w:top w:w="0" w:type="dxa"/>
          <w:left w:w="0" w:type="dxa"/>
          <w:bottom w:w="0" w:type="dxa"/>
          <w:right w:w="0" w:type="dxa"/>
        </w:tblCellMar>
        <w:tblLook w:val="01E0"/>
      </w:tblPr>
      <w:tblGrid>
        <w:gridCol w:w="3317"/>
        <w:gridCol w:w="1800"/>
        <w:gridCol w:w="1559"/>
        <w:gridCol w:w="1836"/>
      </w:tblGrid>
      <w:tr>
        <w:trPr>
          <w:trHeight w:val="664" w:hRule="exact"/>
        </w:trPr>
        <w:tc>
          <w:tcPr>
            <w:tcW w:w="33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5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279" w:right="51" w:hanging="228"/>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 额的比例</w:t>
            </w:r>
            <w:r>
              <w:rPr>
                <w:rFonts w:ascii="Times New Roman" w:hAnsi="Times New Roman" w:cs="Times New Roman" w:eastAsia="Times New Roman" w:hint="default"/>
                <w:sz w:val="18"/>
                <w:szCs w:val="18"/>
              </w:rPr>
              <w:t>(%)</w:t>
            </w:r>
          </w:p>
        </w:tc>
        <w:tc>
          <w:tcPr>
            <w:tcW w:w="183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280"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3317"/>
        <w:gridCol w:w="1800"/>
        <w:gridCol w:w="1559"/>
        <w:gridCol w:w="1836"/>
      </w:tblGrid>
      <w:tr>
        <w:trPr>
          <w:trHeight w:val="369" w:hRule="exact"/>
        </w:trPr>
        <w:tc>
          <w:tcPr>
            <w:tcW w:w="33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left="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8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0"/>
              <w:jc w:val="right"/>
              <w:rPr>
                <w:rFonts w:ascii="Times New Roman" w:hAnsi="Times New Roman" w:cs="Times New Roman" w:eastAsia="Times New Roman" w:hint="default"/>
                <w:sz w:val="18"/>
                <w:szCs w:val="18"/>
              </w:rPr>
            </w:pPr>
            <w:r>
              <w:rPr>
                <w:rFonts w:ascii="Times New Roman"/>
                <w:spacing w:val="-1"/>
                <w:sz w:val="18"/>
              </w:rPr>
              <w:t>34,141,455.28</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419"/>
              <w:jc w:val="right"/>
              <w:rPr>
                <w:rFonts w:ascii="Times New Roman" w:hAnsi="Times New Roman" w:cs="Times New Roman" w:eastAsia="Times New Roman" w:hint="default"/>
                <w:sz w:val="18"/>
                <w:szCs w:val="18"/>
              </w:rPr>
            </w:pPr>
            <w:r>
              <w:rPr>
                <w:rFonts w:ascii="Times New Roman"/>
                <w:sz w:val="18"/>
              </w:rPr>
              <w:t>5.36</w:t>
            </w:r>
          </w:p>
        </w:tc>
        <w:tc>
          <w:tcPr>
            <w:tcW w:w="183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7"/>
              <w:ind w:right="6"/>
              <w:jc w:val="right"/>
              <w:rPr>
                <w:rFonts w:ascii="Times New Roman" w:hAnsi="Times New Roman" w:cs="Times New Roman" w:eastAsia="Times New Roman" w:hint="default"/>
                <w:sz w:val="18"/>
                <w:szCs w:val="18"/>
              </w:rPr>
            </w:pPr>
            <w:r>
              <w:rPr>
                <w:rFonts w:ascii="Times New Roman"/>
                <w:spacing w:val="-1"/>
                <w:sz w:val="18"/>
              </w:rPr>
              <w:t>1,842,503.53</w:t>
            </w:r>
          </w:p>
        </w:tc>
      </w:tr>
      <w:tr>
        <w:trPr>
          <w:trHeight w:val="362" w:hRule="exact"/>
        </w:trPr>
        <w:tc>
          <w:tcPr>
            <w:tcW w:w="33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26,074,370.00</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419"/>
              <w:jc w:val="right"/>
              <w:rPr>
                <w:rFonts w:ascii="Times New Roman" w:hAnsi="Times New Roman" w:cs="Times New Roman" w:eastAsia="Times New Roman" w:hint="default"/>
                <w:sz w:val="18"/>
                <w:szCs w:val="18"/>
              </w:rPr>
            </w:pPr>
            <w:r>
              <w:rPr>
                <w:rFonts w:ascii="Times New Roman"/>
                <w:sz w:val="18"/>
              </w:rPr>
              <w:t>4.09</w:t>
            </w:r>
          </w:p>
        </w:tc>
        <w:tc>
          <w:tcPr>
            <w:tcW w:w="18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6"/>
              <w:jc w:val="right"/>
              <w:rPr>
                <w:rFonts w:ascii="Times New Roman" w:hAnsi="Times New Roman" w:cs="Times New Roman" w:eastAsia="Times New Roman" w:hint="default"/>
                <w:sz w:val="18"/>
                <w:szCs w:val="18"/>
              </w:rPr>
            </w:pPr>
            <w:r>
              <w:rPr>
                <w:rFonts w:ascii="Times New Roman"/>
                <w:spacing w:val="-1"/>
                <w:sz w:val="18"/>
              </w:rPr>
              <w:t>4,054,358.50</w:t>
            </w:r>
          </w:p>
        </w:tc>
      </w:tr>
      <w:tr>
        <w:trPr>
          <w:trHeight w:val="362" w:hRule="exact"/>
        </w:trPr>
        <w:tc>
          <w:tcPr>
            <w:tcW w:w="33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25,982,696.60</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419"/>
              <w:jc w:val="right"/>
              <w:rPr>
                <w:rFonts w:ascii="Times New Roman" w:hAnsi="Times New Roman" w:cs="Times New Roman" w:eastAsia="Times New Roman" w:hint="default"/>
                <w:sz w:val="18"/>
                <w:szCs w:val="18"/>
              </w:rPr>
            </w:pPr>
            <w:r>
              <w:rPr>
                <w:rFonts w:ascii="Times New Roman"/>
                <w:sz w:val="18"/>
              </w:rPr>
              <w:t>4.08</w:t>
            </w:r>
          </w:p>
        </w:tc>
        <w:tc>
          <w:tcPr>
            <w:tcW w:w="18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6"/>
              <w:jc w:val="right"/>
              <w:rPr>
                <w:rFonts w:ascii="Times New Roman" w:hAnsi="Times New Roman" w:cs="Times New Roman" w:eastAsia="Times New Roman" w:hint="default"/>
                <w:sz w:val="18"/>
                <w:szCs w:val="18"/>
              </w:rPr>
            </w:pPr>
            <w:r>
              <w:rPr>
                <w:rFonts w:ascii="Times New Roman"/>
                <w:spacing w:val="-1"/>
                <w:sz w:val="18"/>
              </w:rPr>
              <w:t>7,697,541.50</w:t>
            </w:r>
          </w:p>
        </w:tc>
      </w:tr>
      <w:tr>
        <w:trPr>
          <w:trHeight w:val="362" w:hRule="exact"/>
        </w:trPr>
        <w:tc>
          <w:tcPr>
            <w:tcW w:w="33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25,584,508.07</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419"/>
              <w:jc w:val="right"/>
              <w:rPr>
                <w:rFonts w:ascii="Times New Roman" w:hAnsi="Times New Roman" w:cs="Times New Roman" w:eastAsia="Times New Roman" w:hint="default"/>
                <w:sz w:val="18"/>
                <w:szCs w:val="18"/>
              </w:rPr>
            </w:pPr>
            <w:r>
              <w:rPr>
                <w:rFonts w:ascii="Times New Roman"/>
                <w:sz w:val="18"/>
              </w:rPr>
              <w:t>4.02</w:t>
            </w:r>
          </w:p>
        </w:tc>
        <w:tc>
          <w:tcPr>
            <w:tcW w:w="18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3,681,766.31</w:t>
            </w:r>
          </w:p>
        </w:tc>
      </w:tr>
      <w:tr>
        <w:trPr>
          <w:trHeight w:val="362" w:hRule="exact"/>
        </w:trPr>
        <w:tc>
          <w:tcPr>
            <w:tcW w:w="33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25,196,083.80</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419"/>
              <w:jc w:val="right"/>
              <w:rPr>
                <w:rFonts w:ascii="Times New Roman" w:hAnsi="Times New Roman" w:cs="Times New Roman" w:eastAsia="Times New Roman" w:hint="default"/>
                <w:sz w:val="18"/>
                <w:szCs w:val="18"/>
              </w:rPr>
            </w:pPr>
            <w:r>
              <w:rPr>
                <w:rFonts w:ascii="Times New Roman"/>
                <w:sz w:val="18"/>
              </w:rPr>
              <w:t>3.95</w:t>
            </w:r>
          </w:p>
        </w:tc>
        <w:tc>
          <w:tcPr>
            <w:tcW w:w="18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2,160,191.51</w:t>
            </w:r>
          </w:p>
        </w:tc>
      </w:tr>
      <w:tr>
        <w:trPr>
          <w:trHeight w:val="362" w:hRule="exact"/>
        </w:trPr>
        <w:tc>
          <w:tcPr>
            <w:tcW w:w="33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136,979,113.75</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419"/>
              <w:jc w:val="right"/>
              <w:rPr>
                <w:rFonts w:ascii="Times New Roman" w:hAnsi="Times New Roman" w:cs="Times New Roman" w:eastAsia="Times New Roman" w:hint="default"/>
                <w:sz w:val="18"/>
                <w:szCs w:val="18"/>
              </w:rPr>
            </w:pPr>
            <w:r>
              <w:rPr>
                <w:rFonts w:ascii="Times New Roman"/>
                <w:sz w:val="18"/>
              </w:rPr>
              <w:t>21.50</w:t>
            </w:r>
          </w:p>
        </w:tc>
        <w:tc>
          <w:tcPr>
            <w:tcW w:w="18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6"/>
              <w:jc w:val="right"/>
              <w:rPr>
                <w:rFonts w:ascii="Times New Roman" w:hAnsi="Times New Roman" w:cs="Times New Roman" w:eastAsia="Times New Roman" w:hint="default"/>
                <w:sz w:val="18"/>
                <w:szCs w:val="18"/>
              </w:rPr>
            </w:pPr>
            <w:r>
              <w:rPr>
                <w:rFonts w:ascii="Times New Roman"/>
                <w:spacing w:val="-1"/>
                <w:sz w:val="18"/>
              </w:rPr>
              <w:t>19,436,361.35</w:t>
            </w:r>
          </w:p>
        </w:tc>
      </w:tr>
    </w:tbl>
    <w:p>
      <w:pPr>
        <w:pStyle w:val="BodyText"/>
        <w:spacing w:line="240" w:lineRule="auto" w:before="52"/>
        <w:ind w:right="0"/>
        <w:jc w:val="left"/>
      </w:pPr>
      <w:r>
        <w:rPr>
          <w:rFonts w:ascii="Times New Roman" w:hAnsi="Times New Roman" w:cs="Times New Roman" w:eastAsia="Times New Roman" w:hint="default"/>
        </w:rPr>
        <w:t>5)</w:t>
      </w:r>
      <w:r>
        <w:rPr/>
        <w:t>因金融资产转移而终止确认的应收账款</w:t>
      </w:r>
    </w:p>
    <w:p>
      <w:pPr>
        <w:pStyle w:val="BodyText"/>
        <w:spacing w:line="340" w:lineRule="auto" w:before="101"/>
        <w:ind w:right="6824"/>
        <w:jc w:val="left"/>
      </w:pPr>
      <w:r>
        <w:rPr>
          <w:rFonts w:ascii="Times New Roman" w:hAnsi="Times New Roman" w:cs="Times New Roman" w:eastAsia="Times New Roman" w:hint="default"/>
        </w:rPr>
        <w:t>6)</w:t>
      </w:r>
      <w:r>
        <w:rPr/>
        <w:t>转移应收账款且继续涉入形成的资产、负债金额 其他说明：</w:t>
      </w:r>
    </w:p>
    <w:p>
      <w:pPr>
        <w:pStyle w:val="BodyText"/>
        <w:spacing w:line="240" w:lineRule="auto" w:before="41"/>
        <w:ind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日止，通过质押、保理等方式为本公司融资提供担保的应收账款期末余额为人民币</w:t>
      </w:r>
      <w:r>
        <w:rPr>
          <w:rFonts w:ascii="Times New Roman" w:hAnsi="Times New Roman" w:cs="Times New Roman" w:eastAsia="Times New Roman" w:hint="default"/>
        </w:rPr>
        <w:t>18,014.59</w:t>
      </w:r>
      <w:r>
        <w:rPr/>
        <w:t>万元。</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5、预付款项" w:id="231"/>
      <w:bookmarkEnd w:id="231"/>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预付款项按账龄列示" w:id="232"/>
      <w:bookmarkEnd w:id="232"/>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13,725,208.59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2"/>
                <w:sz w:val="18"/>
              </w:rPr>
              <w:t>98.11%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7,234,742.74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8" w:right="0"/>
              <w:jc w:val="lef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263,897.34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13,989,105.93</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7,234,742.74</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2）按预付对象归集的期末余额前五名的预付款情况" w:id="233"/>
      <w:bookmarkEnd w:id="233"/>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3402"/>
        <w:gridCol w:w="1276"/>
        <w:gridCol w:w="992"/>
        <w:gridCol w:w="1276"/>
        <w:gridCol w:w="1559"/>
      </w:tblGrid>
      <w:tr>
        <w:trPr>
          <w:trHeight w:val="328" w:hRule="exact"/>
        </w:trPr>
        <w:tc>
          <w:tcPr>
            <w:tcW w:w="34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9"/>
              <w:ind w:left="27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9"/>
              <w:ind w:right="36"/>
              <w:jc w:val="right"/>
              <w:rPr>
                <w:rFonts w:ascii="宋体" w:hAnsi="宋体" w:cs="宋体" w:eastAsia="宋体" w:hint="default"/>
                <w:sz w:val="18"/>
                <w:szCs w:val="18"/>
              </w:rPr>
            </w:pPr>
            <w:r>
              <w:rPr>
                <w:rFonts w:ascii="宋体" w:hAnsi="宋体" w:cs="宋体" w:eastAsia="宋体" w:hint="default"/>
                <w:sz w:val="18"/>
                <w:szCs w:val="18"/>
              </w:rPr>
              <w:t>占预付账款</w:t>
            </w:r>
          </w:p>
        </w:tc>
        <w:tc>
          <w:tcPr>
            <w:tcW w:w="127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9"/>
              <w:ind w:left="179" w:right="0"/>
              <w:jc w:val="left"/>
              <w:rPr>
                <w:rFonts w:ascii="宋体" w:hAnsi="宋体" w:cs="宋体" w:eastAsia="宋体" w:hint="default"/>
                <w:sz w:val="18"/>
                <w:szCs w:val="18"/>
              </w:rPr>
            </w:pPr>
            <w:r>
              <w:rPr>
                <w:rFonts w:ascii="宋体" w:hAnsi="宋体" w:cs="宋体" w:eastAsia="宋体" w:hint="default"/>
                <w:sz w:val="18"/>
                <w:szCs w:val="18"/>
              </w:rPr>
              <w:t>预付款时间</w:t>
            </w:r>
          </w:p>
        </w:tc>
        <w:tc>
          <w:tcPr>
            <w:tcW w:w="1559" w:type="dxa"/>
            <w:tcBorders>
              <w:top w:val="single" w:sz="6" w:space="0" w:color="000000"/>
              <w:left w:val="single" w:sz="6" w:space="0" w:color="000000"/>
              <w:bottom w:val="nil" w:sz="6" w:space="0" w:color="auto"/>
              <w:right w:val="nil" w:sz="6" w:space="0" w:color="auto"/>
            </w:tcBorders>
          </w:tcPr>
          <w:p>
            <w:pPr>
              <w:pStyle w:val="TableParagraph"/>
              <w:spacing w:line="240" w:lineRule="auto" w:before="19"/>
              <w:ind w:left="322"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17" w:hRule="exact"/>
        </w:trPr>
        <w:tc>
          <w:tcPr>
            <w:tcW w:w="3402"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36"/>
              <w:jc w:val="right"/>
              <w:rPr>
                <w:rFonts w:ascii="宋体" w:hAnsi="宋体" w:cs="宋体" w:eastAsia="宋体" w:hint="default"/>
                <w:sz w:val="18"/>
                <w:szCs w:val="18"/>
              </w:rPr>
            </w:pPr>
            <w:r>
              <w:rPr>
                <w:rFonts w:ascii="宋体" w:hAnsi="宋体" w:cs="宋体" w:eastAsia="宋体" w:hint="default"/>
                <w:sz w:val="18"/>
                <w:szCs w:val="18"/>
              </w:rPr>
              <w:t>总额的比例</w:t>
            </w:r>
          </w:p>
        </w:tc>
        <w:tc>
          <w:tcPr>
            <w:tcW w:w="1276" w:type="dxa"/>
            <w:tcBorders>
              <w:top w:val="nil" w:sz="6" w:space="0" w:color="auto"/>
              <w:left w:val="single" w:sz="6" w:space="0" w:color="000000"/>
              <w:bottom w:val="nil" w:sz="6" w:space="0" w:color="auto"/>
              <w:right w:val="single" w:sz="6" w:space="0" w:color="000000"/>
            </w:tcBorders>
          </w:tcPr>
          <w:p>
            <w:pPr/>
          </w:p>
        </w:tc>
        <w:tc>
          <w:tcPr>
            <w:tcW w:w="1559" w:type="dxa"/>
            <w:tcBorders>
              <w:top w:val="nil" w:sz="6" w:space="0" w:color="auto"/>
              <w:left w:val="single" w:sz="6" w:space="0" w:color="000000"/>
              <w:bottom w:val="nil" w:sz="6" w:space="0" w:color="auto"/>
              <w:right w:val="nil" w:sz="6" w:space="0" w:color="auto"/>
            </w:tcBorders>
          </w:tcPr>
          <w:p>
            <w:pPr/>
          </w:p>
        </w:tc>
      </w:tr>
      <w:tr>
        <w:trPr>
          <w:trHeight w:val="333" w:hRule="exact"/>
        </w:trPr>
        <w:tc>
          <w:tcPr>
            <w:tcW w:w="3402" w:type="dxa"/>
            <w:tcBorders>
              <w:top w:val="nil" w:sz="6" w:space="0" w:color="auto"/>
              <w:left w:val="single" w:sz="6" w:space="0" w:color="000000"/>
              <w:bottom w:val="single" w:sz="12" w:space="0" w:color="000000"/>
              <w:right w:val="single" w:sz="6" w:space="0" w:color="000000"/>
            </w:tcBorders>
          </w:tcPr>
          <w:p>
            <w:pPr/>
          </w:p>
        </w:tc>
        <w:tc>
          <w:tcPr>
            <w:tcW w:w="1276" w:type="dxa"/>
            <w:tcBorders>
              <w:top w:val="nil" w:sz="6" w:space="0" w:color="auto"/>
              <w:left w:val="single" w:sz="6" w:space="0" w:color="000000"/>
              <w:bottom w:val="single" w:sz="12" w:space="0" w:color="000000"/>
              <w:right w:val="single" w:sz="6" w:space="0" w:color="000000"/>
            </w:tcBorders>
          </w:tcPr>
          <w:p>
            <w:pPr/>
          </w:p>
        </w:tc>
        <w:tc>
          <w:tcPr>
            <w:tcW w:w="992"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47"/>
              <w:ind w:right="1"/>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nil" w:sz="6" w:space="0" w:color="auto"/>
              <w:left w:val="single" w:sz="6" w:space="0" w:color="000000"/>
              <w:bottom w:val="single" w:sz="12" w:space="0" w:color="000000"/>
              <w:right w:val="single" w:sz="6" w:space="0" w:color="000000"/>
            </w:tcBorders>
          </w:tcPr>
          <w:p>
            <w:pPr/>
          </w:p>
        </w:tc>
        <w:tc>
          <w:tcPr>
            <w:tcW w:w="1559" w:type="dxa"/>
            <w:tcBorders>
              <w:top w:val="nil" w:sz="6" w:space="0" w:color="auto"/>
              <w:left w:val="single" w:sz="6" w:space="0" w:color="000000"/>
              <w:bottom w:val="single" w:sz="12" w:space="0" w:color="000000"/>
              <w:right w:val="nil" w:sz="6" w:space="0" w:color="auto"/>
            </w:tcBorders>
          </w:tcPr>
          <w:p>
            <w:pPr/>
          </w:p>
        </w:tc>
      </w:tr>
      <w:tr>
        <w:trPr>
          <w:trHeight w:val="362" w:hRule="exact"/>
        </w:trPr>
        <w:tc>
          <w:tcPr>
            <w:tcW w:w="34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3,801,002.60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27.17</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left="142"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62" w:hRule="exact"/>
        </w:trPr>
        <w:tc>
          <w:tcPr>
            <w:tcW w:w="34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3,400,000.00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24.30</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0"/>
              <w:ind w:left="142"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62" w:hRule="exact"/>
        </w:trPr>
        <w:tc>
          <w:tcPr>
            <w:tcW w:w="34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2,100,000.00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z w:val="18"/>
              </w:rPr>
              <w:t>15.01</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left="142"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62" w:hRule="exact"/>
        </w:trPr>
        <w:tc>
          <w:tcPr>
            <w:tcW w:w="34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610,391.25</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4.36</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left="142"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62" w:hRule="exact"/>
        </w:trPr>
        <w:tc>
          <w:tcPr>
            <w:tcW w:w="34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321,977.84</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2.31</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left="142" w:right="0"/>
              <w:jc w:val="left"/>
              <w:rPr>
                <w:rFonts w:ascii="宋体" w:hAnsi="宋体" w:cs="宋体" w:eastAsia="宋体" w:hint="default"/>
                <w:sz w:val="18"/>
                <w:szCs w:val="18"/>
              </w:rPr>
            </w:pPr>
            <w:r>
              <w:rPr>
                <w:rFonts w:ascii="宋体" w:hAnsi="宋体" w:cs="宋体" w:eastAsia="宋体" w:hint="default"/>
                <w:sz w:val="18"/>
                <w:szCs w:val="18"/>
              </w:rPr>
              <w:t>合同未执行完毕</w:t>
            </w:r>
          </w:p>
        </w:tc>
      </w:tr>
      <w:tr>
        <w:trPr>
          <w:trHeight w:val="362" w:hRule="exact"/>
        </w:trPr>
        <w:tc>
          <w:tcPr>
            <w:tcW w:w="34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10,233,371.69</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73.15</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5"/>
        <w:rPr>
          <w:rFonts w:ascii="宋体" w:hAnsi="宋体" w:cs="宋体" w:eastAsia="宋体" w:hint="default"/>
          <w:b/>
          <w:bCs/>
          <w:sz w:val="24"/>
          <w:szCs w:val="24"/>
        </w:rPr>
      </w:pPr>
    </w:p>
    <w:p>
      <w:pPr>
        <w:pStyle w:val="BodyText"/>
        <w:spacing w:line="439" w:lineRule="auto" w:before="44"/>
        <w:ind w:right="4619"/>
        <w:jc w:val="left"/>
      </w:pPr>
      <w:r>
        <w:rPr/>
        <w:t>其他说明： 期末预付账款余额较期初增加</w:t>
      </w:r>
      <w:r>
        <w:rPr>
          <w:rFonts w:ascii="Times New Roman" w:hAnsi="Times New Roman" w:cs="Times New Roman" w:eastAsia="Times New Roman" w:hint="default"/>
        </w:rPr>
        <w:t>93.36%</w:t>
      </w:r>
      <w:r>
        <w:rPr/>
        <w:t>，主要系本期支付战略合作预付款所致。</w:t>
      </w:r>
    </w:p>
    <w:p>
      <w:pPr>
        <w:spacing w:after="0" w:line="439"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5"/>
        <w:spacing w:line="240" w:lineRule="auto" w:before="34"/>
        <w:ind w:right="0"/>
        <w:jc w:val="left"/>
        <w:rPr>
          <w:b w:val="0"/>
          <w:bCs w:val="0"/>
        </w:rPr>
      </w:pPr>
      <w:bookmarkStart w:name="6、其他应收款" w:id="234"/>
      <w:bookmarkEnd w:id="234"/>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120,923.10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18,615,740.72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15,150,261.99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18,736,663.82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15,150,261.99</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bookmarkStart w:name="（1）应收利息" w:id="235"/>
      <w:bookmarkEnd w:id="235"/>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120,923.10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120,923.10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0"/>
        <w:jc w:val="left"/>
      </w:pPr>
      <w:r>
        <w:rPr>
          <w:rFonts w:ascii="Times New Roman" w:hAnsi="Times New Roman" w:cs="Times New Roman" w:eastAsia="Times New Roman" w:hint="default"/>
        </w:rPr>
        <w:t>2)</w:t>
      </w:r>
      <w:r>
        <w:rPr/>
        <w:t>重要逾期利息</w:t>
      </w:r>
    </w:p>
    <w:p>
      <w:pPr>
        <w:pStyle w:val="BodyText"/>
        <w:spacing w:line="240" w:lineRule="auto" w:before="103"/>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应收股利" w:id="236"/>
      <w:bookmarkEnd w:id="236"/>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应收股利</w:t>
      </w:r>
    </w:p>
    <w:p>
      <w:pPr>
        <w:pStyle w:val="BodyText"/>
        <w:spacing w:line="240" w:lineRule="auto" w:before="103"/>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0"/>
        <w:jc w:val="left"/>
      </w:pPr>
      <w:r>
        <w:rPr>
          <w:rFonts w:ascii="Times New Roman" w:hAnsi="Times New Roman" w:cs="Times New Roman" w:eastAsia="Times New Roman" w:hint="default"/>
        </w:rPr>
        <w:t>2)</w:t>
      </w:r>
      <w:r>
        <w:rPr/>
        <w:t>重要的账龄超过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1"/>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3）其他应收款" w:id="237"/>
      <w:bookmarkEnd w:id="237"/>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0"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footerReference w:type="default" r:id="rId28"/>
          <w:pgSz w:w="11910" w:h="16840"/>
          <w:pgMar w:footer="978" w:header="746" w:top="1060" w:bottom="1160" w:left="1020" w:right="0"/>
          <w:pgNumType w:start="15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22,144,4</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85.36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3,528,74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4.64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15.94%</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18,615,74</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0.72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17,313,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823.88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2,163,561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15,150,261.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22,144,4</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85.36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3,528,74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4.64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15.94%</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18,615,74</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0.72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17,313,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823.88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2,163,561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15,150,261.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pStyle w:val="BodyText"/>
        <w:spacing w:line="240" w:lineRule="auto" w:before="50"/>
        <w:ind w:right="-20"/>
        <w:jc w:val="left"/>
      </w:pPr>
      <w:r>
        <w:rPr/>
        <w:t>期末单项金额重大并单项计提坏账准备的其他应收款：</w:t>
      </w:r>
    </w:p>
    <w:p>
      <w:pPr>
        <w:pStyle w:val="BodyText"/>
        <w:spacing w:line="340"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组合中，按账龄分析法计提坏账准备的其他应收款：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0"/>
          <w:cols w:num="2" w:equalWidth="0">
            <w:col w:w="4433" w:space="4396"/>
            <w:col w:w="206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10,415,865.07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520,793.25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3,814,332.22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381,433.22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5,347,254.92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1,069,450.99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1,703,206.75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851,603.38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316,725.20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158,362.60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547,101.20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547,101.20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22,144,485.36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3,528,744.64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1020" w:right="0"/>
        </w:sectPr>
      </w:pPr>
    </w:p>
    <w:p>
      <w:pPr>
        <w:pStyle w:val="BodyText"/>
        <w:spacing w:line="360" w:lineRule="auto" w:before="50"/>
        <w:ind w:right="1780"/>
        <w:jc w:val="left"/>
      </w:pPr>
      <w:r>
        <w:rPr/>
        <w:t>确定该组合依据的说明： 组合中，采用余额百分比法计提坏账准备的其他应收款：</w:t>
      </w:r>
    </w:p>
    <w:p>
      <w:pPr>
        <w:pStyle w:val="BodyText"/>
        <w:spacing w:line="338" w:lineRule="auto" w:before="27"/>
        <w:ind w:right="21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组合中，采用其他方法计提坏账准备的其他应收款：</w:t>
      </w:r>
    </w:p>
    <w:p>
      <w:pPr>
        <w:pStyle w:val="BodyText"/>
        <w:spacing w:line="240" w:lineRule="auto" w:before="43"/>
        <w:ind w:right="178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3"/>
        <w:ind w:right="1780"/>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1"/>
        <w:ind w:right="-8"/>
        <w:jc w:val="left"/>
      </w:pPr>
      <w:r>
        <w:rPr/>
        <w:t>本期计提坏账准备金额</w:t>
      </w:r>
      <w:r>
        <w:rPr>
          <w:spacing w:val="-47"/>
        </w:rPr>
        <w:t> </w:t>
      </w:r>
      <w:r>
        <w:rPr>
          <w:rFonts w:ascii="Times New Roman" w:hAnsi="Times New Roman" w:cs="Times New Roman" w:eastAsia="Times New Roman" w:hint="default"/>
        </w:rPr>
        <w:t>1,273,923.21</w:t>
      </w:r>
      <w:r>
        <w:rPr>
          <w:rFonts w:ascii="Times New Roman" w:hAnsi="Times New Roman" w:cs="Times New Roman" w:eastAsia="Times New Roman" w:hint="default"/>
          <w:spacing w:val="-3"/>
        </w:rPr>
        <w:t> </w:t>
      </w:r>
      <w:r>
        <w:rPr/>
        <w:t>元；本期收回或转回坏账准备金额</w:t>
      </w:r>
      <w:r>
        <w:rPr>
          <w:spacing w:val="-49"/>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0"/>
          <w:cols w:num="2" w:equalWidth="0">
            <w:col w:w="6413" w:space="2416"/>
            <w:col w:w="206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58"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0"/>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1"/>
        <w:ind w:left="0" w:right="1132"/>
        <w:jc w:val="right"/>
      </w:pPr>
      <w:r>
        <w:rPr/>
        <w:t>单位：</w:t>
      </w:r>
      <w:r>
        <w:rPr>
          <w:spacing w:val="-2"/>
        </w:rPr>
        <w:t> </w:t>
      </w:r>
      <w:r>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5;height:397" coordorigin="13,13" coordsize="4775,397">
              <v:shape style="position:absolute;left:13;top:13;width:4775;height:397" coordorigin="13,13" coordsize="4775,397" path="m13,13l4788,13,4788,410,13,410,13,13xe" filled="true" fillcolor="#d2d2d2" stroked="false">
                <v:path arrowok="t"/>
                <v:fill type="solid"/>
              </v:shape>
            </v:group>
            <v:group style="position:absolute;left:4793;top:13;width:4783;height:397" coordorigin="4793,13" coordsize="4783,397">
              <v:shape style="position:absolute;left:4793;top:13;width:4783;height:397" coordorigin="4793,13" coordsize="4783,397" path="m4793,13l9576,13,9576,410,4793,410,4793,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0;top:5;width:2;height:402" coordorigin="4790,5" coordsize="2,402">
              <v:shape style="position:absolute;left:4790;top:5;width:2;height:402" coordorigin="4790,5" coordsize="0,402" path="m4790,5l4790,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19;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0;top:10;width:4788;height:402" type="#_x0000_t202" filled="false" stroked="false">
                <v:textbox inset="0,0,0,0">
                  <w:txbxContent>
                    <w:p>
                      <w:pPr>
                        <w:spacing w:before="56"/>
                        <w:ind w:left="1"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50"/>
        <w:ind w:right="0"/>
        <w:jc w:val="left"/>
      </w:pPr>
      <w:r>
        <w:rPr/>
        <w:t>其中重要的其他应收款核销情况：</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40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2" w:right="0"/>
              <w:jc w:val="left"/>
              <w:rPr>
                <w:rFonts w:ascii="宋体" w:hAnsi="宋体" w:cs="宋体" w:eastAsia="宋体" w:hint="default"/>
                <w:sz w:val="18"/>
                <w:szCs w:val="18"/>
              </w:rPr>
            </w:pPr>
            <w:r>
              <w:rPr>
                <w:rFonts w:ascii="宋体" w:hAnsi="宋体" w:cs="宋体" w:eastAsia="宋体" w:hint="default"/>
                <w:sz w:val="18"/>
                <w:szCs w:val="18"/>
              </w:rPr>
              <w:t>款项是否由关联交</w:t>
            </w:r>
          </w:p>
        </w:tc>
      </w:tr>
    </w:tbl>
    <w:p>
      <w:pPr>
        <w:spacing w:after="0" w:line="240" w:lineRule="auto"/>
        <w:jc w:val="left"/>
        <w:rPr>
          <w:rFonts w:ascii="宋体" w:hAnsi="宋体" w:cs="宋体" w:eastAsia="宋体" w:hint="default"/>
          <w:sz w:val="18"/>
          <w:szCs w:val="18"/>
        </w:rPr>
        <w:sectPr>
          <w:type w:val="continuous"/>
          <w:pgSz w:w="11910" w:h="16840"/>
          <w:pgMar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21" w:right="0"/>
              <w:jc w:val="left"/>
              <w:rPr>
                <w:rFonts w:ascii="宋体" w:hAnsi="宋体" w:cs="宋体" w:eastAsia="宋体" w:hint="default"/>
                <w:sz w:val="18"/>
                <w:szCs w:val="18"/>
              </w:rPr>
            </w:pPr>
            <w:r>
              <w:rPr>
                <w:rFonts w:ascii="宋体" w:hAnsi="宋体" w:cs="宋体" w:eastAsia="宋体" w:hint="default"/>
                <w:sz w:val="18"/>
                <w:szCs w:val="18"/>
              </w:rPr>
              <w:t>易产生</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pStyle w:val="BodyText"/>
        <w:spacing w:line="240" w:lineRule="auto" w:before="50"/>
        <w:ind w:right="-18"/>
        <w:jc w:val="left"/>
      </w:pPr>
      <w:r>
        <w:rPr/>
        <w:t>其他应收款核销说明：</w:t>
      </w:r>
    </w:p>
    <w:p>
      <w:pPr>
        <w:pStyle w:val="BodyText"/>
        <w:spacing w:line="240" w:lineRule="auto" w:before="117"/>
        <w:ind w:right="-18"/>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0"/>
          <w:cols w:num="2" w:equalWidth="0">
            <w:col w:w="2785" w:space="6045"/>
            <w:col w:w="2060"/>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7,016,879.20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6,778,646.31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6,520,506.97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4,542,653.30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5,772,170.14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4,495,755.96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1,424,350.55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1,496,768.31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22,144,485.36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17,313,823.88</w:t>
            </w:r>
          </w:p>
        </w:tc>
      </w:tr>
    </w:tbl>
    <w:p>
      <w:pPr>
        <w:pStyle w:val="BodyText"/>
        <w:spacing w:line="240" w:lineRule="auto" w:before="50"/>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1"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1,606,820.58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480,503.05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招标履约保证金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745,475.28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37,273.76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4,994,295.86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821,776.81</w:t>
            </w:r>
          </w:p>
        </w:tc>
      </w:tr>
    </w:tbl>
    <w:p>
      <w:pPr>
        <w:pStyle w:val="BodyText"/>
        <w:spacing w:line="240" w:lineRule="auto" w:before="51"/>
        <w:ind w:right="0"/>
        <w:jc w:val="left"/>
      </w:pPr>
      <w:r>
        <w:rPr>
          <w:rFonts w:ascii="Times New Roman" w:hAnsi="Times New Roman" w:cs="Times New Roman" w:eastAsia="Times New Roman" w:hint="default"/>
        </w:rPr>
        <w:t>6)</w:t>
      </w:r>
      <w:r>
        <w:rPr/>
        <w:t>涉及政府补助的应收款项</w:t>
      </w:r>
    </w:p>
    <w:p>
      <w:pPr>
        <w:pStyle w:val="BodyText"/>
        <w:spacing w:line="240" w:lineRule="auto" w:before="101"/>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2" w:right="50" w:hanging="629"/>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50"/>
        <w:ind w:right="0"/>
        <w:jc w:val="left"/>
      </w:pPr>
      <w:r>
        <w:rPr>
          <w:rFonts w:ascii="Times New Roman" w:hAnsi="Times New Roman" w:cs="Times New Roman" w:eastAsia="Times New Roman" w:hint="default"/>
        </w:rPr>
        <w:t>7)</w:t>
      </w:r>
      <w:r>
        <w:rPr/>
        <w:t>因金融资产转移而终止确认的其他应收款</w:t>
      </w:r>
    </w:p>
    <w:p>
      <w:pPr>
        <w:pStyle w:val="BodyText"/>
        <w:spacing w:line="340" w:lineRule="auto" w:before="103"/>
        <w:ind w:right="6644"/>
        <w:jc w:val="left"/>
      </w:pPr>
      <w:r>
        <w:rPr>
          <w:rFonts w:ascii="Times New Roman" w:hAnsi="Times New Roman" w:cs="Times New Roman" w:eastAsia="Times New Roman" w:hint="default"/>
        </w:rPr>
        <w:t>8)</w:t>
      </w:r>
      <w:r>
        <w:rPr/>
        <w:t>转移其他应收款且继续涉入形成的资产、负债金额 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57"/>
        <w:ind w:right="0"/>
        <w:jc w:val="left"/>
        <w:rPr>
          <w:b w:val="0"/>
          <w:bCs w:val="0"/>
        </w:rPr>
      </w:pPr>
      <w:bookmarkStart w:name="7、存货" w:id="238"/>
      <w:bookmarkEnd w:id="238"/>
      <w:r>
        <w:rPr>
          <w:b w:val="0"/>
          <w:bCs w:val="0"/>
        </w:rPr>
      </w:r>
      <w:r>
        <w:rPr>
          <w:rFonts w:ascii="Times New Roman" w:hAnsi="Times New Roman" w:cs="Times New Roman" w:eastAsia="Times New Roman" w:hint="default"/>
        </w:rPr>
        <w:t>7</w:t>
      </w:r>
      <w:r>
        <w:rPr/>
        <w:t>、存货</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7514"/>
        <w:jc w:val="left"/>
      </w:pPr>
      <w:r>
        <w:rPr/>
        <w:t>公司是否需要遵守房地产行业的披露要求 否</w:t>
      </w:r>
    </w:p>
    <w:p>
      <w:pPr>
        <w:spacing w:line="240" w:lineRule="auto" w:before="12"/>
        <w:rPr>
          <w:rFonts w:ascii="宋体" w:hAnsi="宋体" w:cs="宋体" w:eastAsia="宋体" w:hint="default"/>
          <w:sz w:val="19"/>
          <w:szCs w:val="19"/>
        </w:rPr>
      </w:pPr>
    </w:p>
    <w:p>
      <w:pPr>
        <w:pStyle w:val="Heading5"/>
        <w:spacing w:line="240" w:lineRule="auto"/>
        <w:ind w:right="0"/>
        <w:jc w:val="left"/>
        <w:rPr>
          <w:b w:val="0"/>
          <w:bCs w:val="0"/>
        </w:rPr>
      </w:pPr>
      <w:bookmarkStart w:name="（1）存货分类" w:id="239"/>
      <w:bookmarkEnd w:id="239"/>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4102"/>
        <w:gridCol w:w="4101"/>
      </w:tblGrid>
      <w:tr>
        <w:trPr>
          <w:trHeight w:val="40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2,603,818.96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2,603,818.96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3,195,814.83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3,195,814.83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194,655,857.76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5" w:right="0"/>
              <w:jc w:val="left"/>
              <w:rPr>
                <w:rFonts w:ascii="Times New Roman" w:hAnsi="Times New Roman" w:cs="Times New Roman" w:eastAsia="Times New Roman" w:hint="default"/>
                <w:sz w:val="18"/>
                <w:szCs w:val="18"/>
              </w:rPr>
            </w:pPr>
            <w:r>
              <w:rPr>
                <w:rFonts w:ascii="Times New Roman"/>
                <w:sz w:val="18"/>
              </w:rPr>
              <w:t>11,238,500.12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183,417,357.64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114,082,234.89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5,112,372.78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108,969,862.11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128,621.26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128,621.26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197,388,297.98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5" w:right="0"/>
              <w:jc w:val="left"/>
              <w:rPr>
                <w:rFonts w:ascii="Times New Roman" w:hAnsi="Times New Roman" w:cs="Times New Roman" w:eastAsia="Times New Roman" w:hint="default"/>
                <w:sz w:val="18"/>
                <w:szCs w:val="18"/>
              </w:rPr>
            </w:pPr>
            <w:r>
              <w:rPr>
                <w:rFonts w:ascii="Times New Roman"/>
                <w:sz w:val="18"/>
              </w:rPr>
              <w:t>11,238,500.12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186,149,797.86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117,278,049.72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5,112,372.78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112,165,676.94</w:t>
            </w:r>
          </w:p>
        </w:tc>
      </w:tr>
    </w:tbl>
    <w:p>
      <w:pPr>
        <w:pStyle w:val="BodyText"/>
        <w:spacing w:line="340" w:lineRule="auto" w:before="51"/>
        <w:ind w:right="2475"/>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39"/>
        <w:ind w:right="1575"/>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1"/>
        <w:ind w:right="1755"/>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3"/>
        <w:ind w:right="2751"/>
        <w:jc w:val="left"/>
      </w:pPr>
      <w:r>
        <w:rPr/>
        <w:t>公司需遵守《深圳证券交易所行业信息披露指引第</w:t>
      </w:r>
      <w:r>
        <w:rPr>
          <w:spacing w:val="-47"/>
        </w:rPr>
        <w:t> </w:t>
      </w:r>
      <w:r>
        <w:rPr>
          <w:rFonts w:ascii="Times New Roman" w:hAnsi="Times New Roman" w:cs="Times New Roman" w:eastAsia="Times New Roman" w:hint="default"/>
        </w:rPr>
        <w:t>11</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bookmarkStart w:name="（2）存货跌价准备" w:id="240"/>
      <w:bookmarkEnd w:id="240"/>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5,112,372.78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6,126,127.34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11,238,500.12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5,112,372.78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6,126,127.34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11,238,500.12</w:t>
            </w:r>
          </w:p>
        </w:tc>
      </w:tr>
    </w:tbl>
    <w:p>
      <w:pPr>
        <w:spacing w:line="240" w:lineRule="auto" w:before="6"/>
        <w:rPr>
          <w:rFonts w:ascii="宋体" w:hAnsi="宋体" w:cs="宋体" w:eastAsia="宋体" w:hint="default"/>
          <w:sz w:val="5"/>
          <w:szCs w:val="5"/>
        </w:rPr>
      </w:pPr>
    </w:p>
    <w:p>
      <w:pPr>
        <w:pStyle w:val="Heading6"/>
        <w:spacing w:line="240" w:lineRule="auto" w:before="34"/>
        <w:ind w:right="0"/>
        <w:jc w:val="left"/>
      </w:pPr>
      <w:r>
        <w:rPr/>
        <w:t>存货跌价准备说明：</w:t>
      </w:r>
    </w:p>
    <w:p>
      <w:pPr>
        <w:pStyle w:val="BodyText"/>
        <w:spacing w:line="300" w:lineRule="auto" w:before="62"/>
        <w:ind w:right="0" w:firstLine="420"/>
        <w:jc w:val="left"/>
      </w:pPr>
      <w:r>
        <w:rPr>
          <w:spacing w:val="-1"/>
        </w:rPr>
        <w:t>（</w:t>
      </w:r>
      <w:r>
        <w:rPr>
          <w:rFonts w:ascii="Times New Roman" w:hAnsi="Times New Roman" w:cs="Times New Roman" w:eastAsia="Times New Roman" w:hint="default"/>
          <w:spacing w:val="-1"/>
        </w:rPr>
        <w:t>1</w:t>
      </w:r>
      <w:r>
        <w:rPr>
          <w:spacing w:val="-1"/>
        </w:rPr>
        <w:t>）本年末，公司对存货进行了减值测试，上年期末已计提减值准备的预计无法收回的停滞项目成本</w:t>
      </w:r>
      <w:r>
        <w:rPr>
          <w:rFonts w:ascii="Times New Roman" w:hAnsi="Times New Roman" w:cs="Times New Roman" w:eastAsia="Times New Roman" w:hint="default"/>
          <w:spacing w:val="-1"/>
        </w:rPr>
        <w:t>5,112,372.78</w:t>
      </w:r>
      <w:r>
        <w:rPr>
          <w:spacing w:val="-1"/>
        </w:rPr>
        <w:t>元，</w:t>
      </w:r>
      <w:r>
        <w:rPr/>
        <w:t> 以前减记存货价值的影响因素仍存在，本年不存在转回的情形；本年新增预计无法收回的停滞项目成本</w:t>
      </w:r>
      <w:r>
        <w:rPr>
          <w:rFonts w:ascii="Times New Roman" w:hAnsi="Times New Roman" w:cs="Times New Roman" w:eastAsia="Times New Roman" w:hint="default"/>
        </w:rPr>
        <w:t>6,126,127.34</w:t>
      </w:r>
      <w:r>
        <w:rPr/>
        <w:t>元，全</w:t>
      </w:r>
      <w:r>
        <w:rPr>
          <w:spacing w:val="-53"/>
        </w:rPr>
        <w:t> </w:t>
      </w:r>
      <w:r>
        <w:rPr>
          <w:spacing w:val="-53"/>
        </w:rPr>
      </w:r>
      <w:r>
        <w:rPr/>
        <w:t>额计提存货跌价准备。</w:t>
      </w:r>
    </w:p>
    <w:p>
      <w:pPr>
        <w:pStyle w:val="BodyText"/>
        <w:spacing w:line="300" w:lineRule="auto" w:before="31"/>
        <w:ind w:right="1132" w:firstLine="360"/>
        <w:jc w:val="both"/>
      </w:pPr>
      <w:r>
        <w:rPr/>
        <w:t>（</w:t>
      </w:r>
      <w:r>
        <w:rPr>
          <w:rFonts w:ascii="Times New Roman" w:hAnsi="Times New Roman" w:cs="Times New Roman" w:eastAsia="Times New Roman" w:hint="default"/>
        </w:rPr>
        <w:t>2</w:t>
      </w:r>
      <w:r>
        <w:rPr/>
        <w:t>）公司为与重庆金融后援服务有限公司共同经营项目的建设的</w:t>
      </w:r>
      <w:r>
        <w:rPr>
          <w:rFonts w:ascii="Times New Roman" w:hAnsi="Times New Roman" w:cs="Times New Roman" w:eastAsia="Times New Roman" w:hint="default"/>
        </w:rPr>
        <w:t>P2P</w:t>
      </w:r>
      <w:r>
        <w:rPr/>
        <w:t>网贷与基金代销平台，截至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日累计 已发生平台系统建设成本</w:t>
      </w:r>
      <w:r>
        <w:rPr>
          <w:rFonts w:ascii="Times New Roman" w:hAnsi="Times New Roman" w:cs="Times New Roman" w:eastAsia="Times New Roman" w:hint="default"/>
        </w:rPr>
        <w:t>1,670,370.36</w:t>
      </w:r>
      <w:r>
        <w:rPr/>
        <w:t>元，由于对方公司管理层调整，项目建设处于停滞状态，公司无法确定该平台系统是 </w:t>
      </w:r>
      <w:r>
        <w:rPr>
          <w:spacing w:val="-2"/>
        </w:rPr>
        <w:t>否可顺利投产，无法确定已投入成本是否可以收回，公司于</w:t>
      </w:r>
      <w:r>
        <w:rPr>
          <w:rFonts w:ascii="Times New Roman" w:hAnsi="Times New Roman" w:cs="Times New Roman" w:eastAsia="Times New Roman" w:hint="default"/>
          <w:spacing w:val="-2"/>
        </w:rPr>
        <w:t>2016</w:t>
      </w:r>
      <w:r>
        <w:rPr>
          <w:spacing w:val="-2"/>
        </w:rPr>
        <w:t>年全额计提减值准备，截止</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日，以前年度减记</w:t>
      </w:r>
      <w:r>
        <w:rPr>
          <w:spacing w:val="-60"/>
        </w:rPr>
        <w:t> </w:t>
      </w:r>
      <w:r>
        <w:rPr>
          <w:spacing w:val="-60"/>
        </w:rPr>
      </w:r>
      <w:r>
        <w:rPr/>
        <w:t>存货价值的影响因素仍存在，故本年不存在转回的情形。</w:t>
      </w:r>
    </w:p>
    <w:p>
      <w:pPr>
        <w:spacing w:line="240" w:lineRule="auto" w:before="5"/>
        <w:rPr>
          <w:rFonts w:ascii="宋体" w:hAnsi="宋体" w:cs="宋体" w:eastAsia="宋体" w:hint="default"/>
          <w:sz w:val="23"/>
          <w:szCs w:val="23"/>
        </w:rPr>
      </w:pPr>
    </w:p>
    <w:p>
      <w:pPr>
        <w:pStyle w:val="Heading5"/>
        <w:spacing w:line="240" w:lineRule="auto"/>
        <w:ind w:right="0"/>
        <w:jc w:val="left"/>
        <w:rPr>
          <w:b w:val="0"/>
          <w:bCs w:val="0"/>
        </w:rPr>
      </w:pPr>
      <w:bookmarkStart w:name="（3）存货期末余额含有借款费用资本化金额的说明" w:id="241"/>
      <w:bookmarkEnd w:id="241"/>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4）期末建造合同形成的已完工未结算资产情况" w:id="242"/>
      <w:bookmarkEnd w:id="242"/>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8;height:397" coordorigin="13,12" coordsize="4778,397">
              <v:shape style="position:absolute;left:13;top:12;width:4778;height:397" coordorigin="13,12" coordsize="4778,397" path="m13,12l4791,12,4791,409,13,409,13,12xe" filled="true" fillcolor="#d2d2d2" stroked="false">
                <v:path arrowok="t"/>
                <v:fill type="solid"/>
              </v:shape>
            </v:group>
            <v:group style="position:absolute;left:4796;top:12;width:4780;height:397" coordorigin="4796,12" coordsize="4780,397">
              <v:shape style="position:absolute;left:4796;top:12;width:4780;height:397" coordorigin="4796,12" coordsize="4780,397" path="m4796,12l9576,12,9576,409,4796,409,4796,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3;top:5;width:2;height:402" coordorigin="4793,5" coordsize="2,402">
              <v:shape style="position:absolute;left:4793;top:5;width:2;height:402" coordorigin="4793,5" coordsize="0,402" path="m4793,5l47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4;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51"/>
        <w:ind w:right="0"/>
        <w:jc w:val="left"/>
      </w:pPr>
      <w:r>
        <w:rPr/>
        <w:t>其他说明：</w:t>
      </w:r>
    </w:p>
    <w:p>
      <w:pPr>
        <w:spacing w:line="240" w:lineRule="auto" w:before="0"/>
        <w:rPr>
          <w:rFonts w:ascii="宋体" w:hAnsi="宋体" w:cs="宋体" w:eastAsia="宋体" w:hint="default"/>
          <w:sz w:val="15"/>
          <w:szCs w:val="15"/>
        </w:rPr>
      </w:pPr>
    </w:p>
    <w:p>
      <w:pPr>
        <w:pStyle w:val="BodyText"/>
        <w:spacing w:line="300" w:lineRule="auto"/>
        <w:ind w:right="0" w:firstLine="420"/>
        <w:jc w:val="left"/>
      </w:pPr>
      <w:r>
        <w:rPr>
          <w:spacing w:val="-3"/>
        </w:rPr>
        <w:t>截至</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日止，共同经营系统建设成本如附注九、（四）所述，主要是本公司为共同经营的项目所投入的系统</w:t>
      </w:r>
      <w:r>
        <w:rPr/>
        <w:t> 平台建设在建成本。</w:t>
      </w:r>
    </w:p>
    <w:p>
      <w:pPr>
        <w:spacing w:after="0" w:line="30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240" w:lineRule="auto" w:before="44"/>
        <w:ind w:left="532" w:right="0"/>
        <w:jc w:val="left"/>
      </w:pPr>
      <w:r>
        <w:rPr/>
        <w:t>存货年末余额较年初增加</w:t>
      </w:r>
      <w:r>
        <w:rPr>
          <w:rFonts w:ascii="Times New Roman" w:hAnsi="Times New Roman" w:cs="Times New Roman" w:eastAsia="Times New Roman" w:hint="default"/>
        </w:rPr>
        <w:t>68.31%</w:t>
      </w:r>
      <w:r>
        <w:rPr/>
        <w:t>，主要系已投入成本未完成项目较多所致。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5"/>
        <w:spacing w:line="240" w:lineRule="auto"/>
        <w:ind w:right="0"/>
        <w:jc w:val="left"/>
        <w:rPr>
          <w:b w:val="0"/>
          <w:bCs w:val="0"/>
        </w:rPr>
      </w:pPr>
      <w:bookmarkStart w:name="8、持有待售资产" w:id="243"/>
      <w:bookmarkEnd w:id="243"/>
      <w:r>
        <w:rPr>
          <w:b w:val="0"/>
          <w:bCs w:val="0"/>
        </w:rPr>
      </w:r>
      <w:r>
        <w:rPr>
          <w:rFonts w:ascii="Times New Roman" w:hAnsi="Times New Roman" w:cs="Times New Roman" w:eastAsia="Times New Roman" w:hint="default"/>
        </w:rPr>
        <w:t>8</w:t>
      </w:r>
      <w:r>
        <w:rPr/>
        <w:t>、持有待售资产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9、一年内到期的非流动资产" w:id="244"/>
      <w:bookmarkEnd w:id="244"/>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10、其他流动资产" w:id="245"/>
      <w:bookmarkEnd w:id="245"/>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65,204,604.25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待认证进项税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160,473.81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116,866.34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可抵扣法人税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13,638.14</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65,378,716.20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80,116,866.34</w:t>
            </w:r>
          </w:p>
        </w:tc>
      </w:tr>
    </w:tbl>
    <w:p>
      <w:pPr>
        <w:pStyle w:val="BodyText"/>
        <w:spacing w:line="240" w:lineRule="auto" w:before="50"/>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11、可供出售金融资产" w:id="246"/>
      <w:bookmarkEnd w:id="246"/>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可供出售金融资产情况" w:id="247"/>
      <w:bookmarkEnd w:id="247"/>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00"/>
        <w:gridCol w:w="1195"/>
        <w:gridCol w:w="1196"/>
        <w:gridCol w:w="1196"/>
        <w:gridCol w:w="1248"/>
        <w:gridCol w:w="1367"/>
        <w:gridCol w:w="1367"/>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5" w:right="0"/>
              <w:jc w:val="center"/>
              <w:rPr>
                <w:rFonts w:ascii="Times New Roman" w:hAnsi="Times New Roman" w:cs="Times New Roman" w:eastAsia="Times New Roman" w:hint="default"/>
                <w:sz w:val="18"/>
                <w:szCs w:val="18"/>
              </w:rPr>
            </w:pPr>
            <w:r>
              <w:rPr>
                <w:rFonts w:ascii="Times New Roman"/>
                <w:sz w:val="18"/>
              </w:rPr>
              <w:t>28,472,058.60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center"/>
              <w:rPr>
                <w:rFonts w:ascii="Times New Roman" w:hAnsi="Times New Roman" w:cs="Times New Roman" w:eastAsia="Times New Roman" w:hint="default"/>
                <w:sz w:val="18"/>
                <w:szCs w:val="18"/>
              </w:rPr>
            </w:pPr>
            <w:r>
              <w:rPr>
                <w:rFonts w:ascii="Times New Roman"/>
                <w:sz w:val="18"/>
              </w:rPr>
              <w:t>28,472,058.60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70" w:right="0"/>
              <w:jc w:val="left"/>
              <w:rPr>
                <w:rFonts w:ascii="Times New Roman" w:hAnsi="Times New Roman" w:cs="Times New Roman" w:eastAsia="Times New Roman" w:hint="default"/>
                <w:sz w:val="18"/>
                <w:szCs w:val="18"/>
              </w:rPr>
            </w:pPr>
            <w:r>
              <w:rPr>
                <w:rFonts w:ascii="Times New Roman"/>
                <w:sz w:val="18"/>
              </w:rPr>
              <w:t>6,430,000.00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6,430,000.00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center"/>
              <w:rPr>
                <w:rFonts w:ascii="Times New Roman" w:hAnsi="Times New Roman" w:cs="Times New Roman" w:eastAsia="Times New Roman" w:hint="default"/>
                <w:sz w:val="18"/>
                <w:szCs w:val="18"/>
              </w:rPr>
            </w:pPr>
            <w:r>
              <w:rPr>
                <w:rFonts w:ascii="Times New Roman"/>
                <w:sz w:val="18"/>
              </w:rPr>
              <w:t>28,472,058.60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center"/>
              <w:rPr>
                <w:rFonts w:ascii="Times New Roman" w:hAnsi="Times New Roman" w:cs="Times New Roman" w:eastAsia="Times New Roman" w:hint="default"/>
                <w:sz w:val="18"/>
                <w:szCs w:val="18"/>
              </w:rPr>
            </w:pPr>
            <w:r>
              <w:rPr>
                <w:rFonts w:ascii="Times New Roman"/>
                <w:sz w:val="18"/>
              </w:rPr>
              <w:t>28,472,058.60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0" w:right="0"/>
              <w:jc w:val="left"/>
              <w:rPr>
                <w:rFonts w:ascii="Times New Roman" w:hAnsi="Times New Roman" w:cs="Times New Roman" w:eastAsia="Times New Roman" w:hint="default"/>
                <w:sz w:val="18"/>
                <w:szCs w:val="18"/>
              </w:rPr>
            </w:pPr>
            <w:r>
              <w:rPr>
                <w:rFonts w:ascii="Times New Roman"/>
                <w:sz w:val="18"/>
              </w:rPr>
              <w:t>6,430,000.00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6,430,000.00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5" w:right="0"/>
              <w:jc w:val="center"/>
              <w:rPr>
                <w:rFonts w:ascii="Times New Roman" w:hAnsi="Times New Roman" w:cs="Times New Roman" w:eastAsia="Times New Roman" w:hint="default"/>
                <w:sz w:val="18"/>
                <w:szCs w:val="18"/>
              </w:rPr>
            </w:pPr>
            <w:r>
              <w:rPr>
                <w:rFonts w:ascii="Times New Roman"/>
                <w:sz w:val="18"/>
              </w:rPr>
              <w:t>28,472,058.60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center"/>
              <w:rPr>
                <w:rFonts w:ascii="Times New Roman" w:hAnsi="Times New Roman" w:cs="Times New Roman" w:eastAsia="Times New Roman" w:hint="default"/>
                <w:sz w:val="18"/>
                <w:szCs w:val="18"/>
              </w:rPr>
            </w:pPr>
            <w:r>
              <w:rPr>
                <w:rFonts w:ascii="Times New Roman"/>
                <w:sz w:val="18"/>
              </w:rPr>
              <w:t>28,472,058.60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70" w:right="0"/>
              <w:jc w:val="left"/>
              <w:rPr>
                <w:rFonts w:ascii="Times New Roman" w:hAnsi="Times New Roman" w:cs="Times New Roman" w:eastAsia="Times New Roman" w:hint="default"/>
                <w:sz w:val="18"/>
                <w:szCs w:val="18"/>
              </w:rPr>
            </w:pPr>
            <w:r>
              <w:rPr>
                <w:rFonts w:ascii="Times New Roman"/>
                <w:sz w:val="18"/>
              </w:rPr>
              <w:t>6,430,000.00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6,430,000.00</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bookmarkStart w:name="（2）期末按公允价值计量的可供出售金融资产" w:id="248"/>
      <w:bookmarkEnd w:id="248"/>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5"/>
        <w:spacing w:line="240" w:lineRule="auto" w:before="34"/>
        <w:ind w:right="0"/>
        <w:jc w:val="left"/>
        <w:rPr>
          <w:b w:val="0"/>
          <w:bCs w:val="0"/>
        </w:rPr>
      </w:pPr>
      <w:bookmarkStart w:name="（3）期末按成本计量的可供出售金融资产" w:id="249"/>
      <w:bookmarkEnd w:id="249"/>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7" w:right="65"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9" w:right="69"/>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0" w:right="67"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67"/>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7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江苏鑫合 易家信息 技术有限 责任公司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6,430,000.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曲靖市商 业银行股 份有限公 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19,805,280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19,805,280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0.25%</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韩国虚拟 货币兑换 有限公司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398,113.43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398,113.43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软件互助 协会</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753,353.11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753,353.11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0.04%</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韩国计算 机业务合 作社</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15,312.06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15,312.06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4.84%</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6,430,000.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22,042,058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28,472,058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bookmarkStart w:name="（4）报告期内可供出售金融资产减值的变动情况" w:id="250"/>
      <w:bookmarkEnd w:id="250"/>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bookmarkStart w:name="（5）可供出售权益工具期末公允价值严重下跌或非暂时性下跌但未计提减值准备的相关说" w:id="251"/>
      <w:bookmarkEnd w:id="251"/>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09" w:right="47"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1"/>
        <w:ind w:right="0"/>
        <w:jc w:val="left"/>
      </w:pPr>
      <w:r>
        <w:rPr/>
        <w:t>其他说明</w:t>
      </w:r>
    </w:p>
    <w:p>
      <w:pPr>
        <w:spacing w:after="0" w:line="240"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5"/>
        <w:spacing w:line="240" w:lineRule="auto" w:before="34"/>
        <w:ind w:right="0"/>
        <w:jc w:val="left"/>
        <w:rPr>
          <w:b w:val="0"/>
          <w:bCs w:val="0"/>
        </w:rPr>
      </w:pPr>
      <w:bookmarkStart w:name="12、持有至到期投资" w:id="252"/>
      <w:bookmarkEnd w:id="252"/>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持有至到期投资情况" w:id="253"/>
      <w:bookmarkEnd w:id="253"/>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bookmarkStart w:name="（2）期末重要的持有至到期投资" w:id="254"/>
      <w:bookmarkEnd w:id="254"/>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bookmarkStart w:name="（3）本期重分类的持有至到期投资" w:id="255"/>
      <w:bookmarkEnd w:id="255"/>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13、长期应收款" w:id="256"/>
      <w:bookmarkEnd w:id="256"/>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长期应收款情况" w:id="257"/>
      <w:bookmarkEnd w:id="257"/>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03"/>
        <w:gridCol w:w="1167"/>
        <w:gridCol w:w="1167"/>
        <w:gridCol w:w="1167"/>
        <w:gridCol w:w="1167"/>
        <w:gridCol w:w="1168"/>
        <w:gridCol w:w="1165"/>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4,000,000.00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3,800,000.00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89" w:right="0"/>
              <w:jc w:val="left"/>
              <w:rPr>
                <w:rFonts w:ascii="Times New Roman" w:hAnsi="Times New Roman" w:cs="Times New Roman" w:eastAsia="Times New Roman" w:hint="default"/>
                <w:sz w:val="18"/>
                <w:szCs w:val="18"/>
              </w:rPr>
            </w:pPr>
            <w:r>
              <w:rPr>
                <w:rFonts w:ascii="Times New Roman"/>
                <w:sz w:val="18"/>
              </w:rPr>
              <w:t>4,000,000.00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88" w:right="0"/>
              <w:jc w:val="left"/>
              <w:rPr>
                <w:rFonts w:ascii="Times New Roman" w:hAnsi="Times New Roman" w:cs="Times New Roman" w:eastAsia="Times New Roman" w:hint="default"/>
                <w:sz w:val="18"/>
                <w:szCs w:val="18"/>
              </w:rPr>
            </w:pPr>
            <w:r>
              <w:rPr>
                <w:rFonts w:ascii="Times New Roman"/>
                <w:sz w:val="18"/>
              </w:rPr>
              <w:t>3,800,000.00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bookmarkStart w:name="（2）因金融资产转移而终止确认的长期应收款" w:id="258"/>
      <w:bookmarkEnd w:id="258"/>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3）转移长期应收款且继续涉入形成的资产、负债金额" w:id="259"/>
      <w:bookmarkEnd w:id="259"/>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14、长期股权投资" w:id="260"/>
      <w:bookmarkEnd w:id="260"/>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316" w:lineRule="auto"/>
              <w:ind w:left="303"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0"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重庆巴云 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8,708,167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-2,414,68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4.22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6,293,482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6"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嘉兴科蓝</w:t>
            </w: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both"/>
              <w:rPr>
                <w:rFonts w:ascii="宋体" w:hAnsi="宋体" w:cs="宋体" w:eastAsia="宋体" w:hint="default"/>
                <w:sz w:val="18"/>
                <w:szCs w:val="18"/>
              </w:rPr>
            </w:pPr>
            <w:r>
              <w:rPr>
                <w:rFonts w:ascii="宋体" w:hAnsi="宋体" w:cs="宋体" w:eastAsia="宋体" w:hint="default"/>
                <w:sz w:val="18"/>
                <w:szCs w:val="18"/>
              </w:rPr>
              <w:t>光荣一号 投资合伙 企业（有</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-224,067.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43</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14,775,93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2.57</w:t>
            </w:r>
          </w:p>
        </w:tc>
        <w:tc>
          <w:tcPr>
            <w:tcW w:w="798" w:type="dxa"/>
            <w:vMerge/>
            <w:tcBorders>
              <w:left w:val="single" w:sz="4" w:space="0" w:color="000000"/>
              <w:right w:val="single" w:sz="4" w:space="0" w:color="000000"/>
            </w:tcBorders>
          </w:tcPr>
          <w:p>
            <w:pPr/>
          </w:p>
        </w:tc>
      </w:tr>
      <w:tr>
        <w:trPr>
          <w:trHeight w:val="358"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限合伙）</w:t>
            </w: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8,708,167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left"/>
              <w:rPr>
                <w:rFonts w:ascii="Times New Roman" w:hAnsi="Times New Roman" w:cs="Times New Roman" w:eastAsia="Times New Roman" w:hint="default"/>
                <w:sz w:val="18"/>
                <w:szCs w:val="18"/>
              </w:rPr>
            </w:pPr>
            <w:r>
              <w:rPr>
                <w:rFonts w:ascii="Times New Roman"/>
                <w:sz w:val="18"/>
              </w:rPr>
              <w:t>-2,638,75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6" w:right="0"/>
              <w:jc w:val="left"/>
              <w:rPr>
                <w:rFonts w:ascii="Times New Roman" w:hAnsi="Times New Roman" w:cs="Times New Roman" w:eastAsia="Times New Roman" w:hint="default"/>
                <w:sz w:val="18"/>
                <w:szCs w:val="18"/>
              </w:rPr>
            </w:pPr>
            <w:r>
              <w:rPr>
                <w:rFonts w:ascii="Times New Roman"/>
                <w:sz w:val="18"/>
              </w:rPr>
              <w:t>21,069,41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5.37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8,708,167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 w:right="0"/>
              <w:jc w:val="left"/>
              <w:rPr>
                <w:rFonts w:ascii="Times New Roman" w:hAnsi="Times New Roman" w:cs="Times New Roman" w:eastAsia="Times New Roman" w:hint="default"/>
                <w:sz w:val="18"/>
                <w:szCs w:val="18"/>
              </w:rPr>
            </w:pPr>
            <w:r>
              <w:rPr>
                <w:rFonts w:ascii="Times New Roman"/>
                <w:sz w:val="18"/>
              </w:rPr>
              <w:t>-2,638,75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21,069,41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5.37</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pStyle w:val="BodyText"/>
        <w:spacing w:line="300" w:lineRule="auto" w:before="117"/>
        <w:ind w:right="1128" w:firstLine="420"/>
        <w:jc w:val="both"/>
      </w:pPr>
      <w:r>
        <w:rPr/>
        <w:t>重庆巴云科技有限公司注册资金</w:t>
      </w:r>
      <w:r>
        <w:rPr>
          <w:rFonts w:ascii="Times New Roman" w:hAnsi="Times New Roman" w:cs="Times New Roman" w:eastAsia="Times New Roman" w:hint="default"/>
        </w:rPr>
        <w:t>10,000</w:t>
      </w:r>
      <w:r>
        <w:rPr/>
        <w:t>万元，其中重庆金融后援服务有限公司认缴出资</w:t>
      </w:r>
      <w:r>
        <w:rPr>
          <w:rFonts w:ascii="Times New Roman" w:hAnsi="Times New Roman" w:cs="Times New Roman" w:eastAsia="Times New Roman" w:hint="default"/>
        </w:rPr>
        <w:t>5,500</w:t>
      </w:r>
      <w:r>
        <w:rPr/>
        <w:t>万元，持股比例</w:t>
      </w:r>
      <w:r>
        <w:rPr>
          <w:rFonts w:ascii="Times New Roman" w:hAnsi="Times New Roman" w:cs="Times New Roman" w:eastAsia="Times New Roman" w:hint="default"/>
        </w:rPr>
        <w:t>55%</w:t>
      </w:r>
      <w:r>
        <w:rPr/>
        <w:t>，本 公司认缴出资</w:t>
      </w:r>
      <w:r>
        <w:rPr>
          <w:rFonts w:ascii="Times New Roman" w:hAnsi="Times New Roman" w:cs="Times New Roman" w:eastAsia="Times New Roman" w:hint="default"/>
        </w:rPr>
        <w:t>4,500</w:t>
      </w:r>
      <w:r>
        <w:rPr/>
        <w:t>万元，持股比例</w:t>
      </w:r>
      <w:r>
        <w:rPr>
          <w:rFonts w:ascii="Times New Roman" w:hAnsi="Times New Roman" w:cs="Times New Roman" w:eastAsia="Times New Roman" w:hint="default"/>
        </w:rPr>
        <w:t>45%</w:t>
      </w: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日，实缴出资共</w:t>
      </w:r>
      <w:r>
        <w:rPr>
          <w:rFonts w:ascii="Times New Roman" w:hAnsi="Times New Roman" w:cs="Times New Roman" w:eastAsia="Times New Roman" w:hint="default"/>
        </w:rPr>
        <w:t>3500</w:t>
      </w:r>
      <w:r>
        <w:rPr/>
        <w:t>万元，其中本公司实缴出资</w:t>
      </w:r>
      <w:r>
        <w:rPr>
          <w:rFonts w:ascii="Times New Roman" w:hAnsi="Times New Roman" w:cs="Times New Roman" w:eastAsia="Times New Roman" w:hint="default"/>
        </w:rPr>
        <w:t>1,575</w:t>
      </w:r>
      <w:r>
        <w:rPr/>
        <w:t>万元，出</w:t>
      </w:r>
      <w:r>
        <w:rPr>
          <w:spacing w:val="-69"/>
        </w:rPr>
        <w:t> </w:t>
      </w:r>
      <w:r>
        <w:rPr>
          <w:spacing w:val="-69"/>
        </w:rPr>
      </w:r>
      <w:r>
        <w:rPr>
          <w:spacing w:val="-1"/>
        </w:rPr>
        <w:t>资比例</w:t>
      </w:r>
      <w:r>
        <w:rPr>
          <w:rFonts w:ascii="Times New Roman" w:hAnsi="Times New Roman" w:cs="Times New Roman" w:eastAsia="Times New Roman" w:hint="default"/>
          <w:spacing w:val="-1"/>
        </w:rPr>
        <w:t>45%</w:t>
      </w:r>
      <w:r>
        <w:rPr>
          <w:spacing w:val="-1"/>
        </w:rPr>
        <w:t>，重庆金融后援服务有限公司实缴出资</w:t>
      </w:r>
      <w:r>
        <w:rPr>
          <w:rFonts w:ascii="Times New Roman" w:hAnsi="Times New Roman" w:cs="Times New Roman" w:eastAsia="Times New Roman" w:hint="default"/>
          <w:spacing w:val="-1"/>
        </w:rPr>
        <w:t>1925</w:t>
      </w:r>
      <w:r>
        <w:rPr>
          <w:spacing w:val="-1"/>
        </w:rPr>
        <w:t>万元，出资比例</w:t>
      </w:r>
      <w:r>
        <w:rPr>
          <w:rFonts w:ascii="Times New Roman" w:hAnsi="Times New Roman" w:cs="Times New Roman" w:eastAsia="Times New Roman" w:hint="default"/>
          <w:spacing w:val="-1"/>
        </w:rPr>
        <w:t>55%</w:t>
      </w:r>
      <w:r>
        <w:rPr>
          <w:spacing w:val="-1"/>
        </w:rPr>
        <w:t>。根据本公司和重庆金融后援服务有限公司协议</w:t>
      </w:r>
      <w:r>
        <w:rPr>
          <w:spacing w:val="-56"/>
        </w:rPr>
        <w:t> </w:t>
      </w:r>
      <w:r>
        <w:rPr>
          <w:spacing w:val="-56"/>
        </w:rPr>
      </w:r>
      <w:r>
        <w:rPr/>
        <w:t>约定，剩余出资的出资期限延期至</w:t>
      </w:r>
      <w:r>
        <w:rPr>
          <w:rFonts w:ascii="Times New Roman" w:hAnsi="Times New Roman" w:cs="Times New Roman" w:eastAsia="Times New Roman" w:hint="default"/>
        </w:rPr>
        <w:t>2024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28"/>
        <w:ind w:right="0"/>
        <w:jc w:val="left"/>
        <w:rPr>
          <w:b w:val="0"/>
          <w:bCs w:val="0"/>
        </w:rPr>
      </w:pPr>
      <w:bookmarkStart w:name="15、投资性房地产" w:id="261"/>
      <w:bookmarkEnd w:id="261"/>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采用成本计量模式的投资性房地产" w:id="262"/>
      <w:bookmarkEnd w:id="262"/>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bookmarkStart w:name="（2）采用公允价值计量模式的投资性房地产" w:id="263"/>
      <w:bookmarkEnd w:id="263"/>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3）未办妥产权证书的投资性房地产情况" w:id="264"/>
      <w:bookmarkEnd w:id="264"/>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16、固定资产" w:id="265"/>
      <w:bookmarkEnd w:id="265"/>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4"/>
        <w:gridCol w:w="3187"/>
        <w:gridCol w:w="318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4,948,147.98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1,953,517.12</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94"/>
        <w:gridCol w:w="3187"/>
        <w:gridCol w:w="318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4,948,147.98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1,953,517.12</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bookmarkStart w:name="（1）固定资产情况" w:id="266"/>
      <w:bookmarkEnd w:id="266"/>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875"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87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605,674.68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5,857,452.58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6,463,127.26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5,171,207.43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5,171,207.43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1,878,009.13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1,878,009.13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3,293,198.30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3,293,198.30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186,370.08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186,370.08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186,370.08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186,370.08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605,674.68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10,842,289.93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11,447,964.61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590,424.26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3,919,185.88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4,509,610.14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2,167,258.06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2,167,258.06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1,167,381.82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1,167,381.82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11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999,876.24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999,876.24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177,051.57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177,051.57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177,051.57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177,051.57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590,424.26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5,909,392.37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6,499,816.63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6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15,250.42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4,932,897.56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4,948,147.98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96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15,250.42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1,938,266.70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1,953,517.12</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bookmarkStart w:name="（2）暂时闲置的固定资产情况" w:id="267"/>
      <w:bookmarkEnd w:id="267"/>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5"/>
        <w:rPr>
          <w:rFonts w:ascii="宋体" w:hAnsi="宋体" w:cs="宋体" w:eastAsia="宋体" w:hint="default"/>
          <w:sz w:val="19"/>
          <w:szCs w:val="19"/>
        </w:rPr>
      </w:pPr>
    </w:p>
    <w:p>
      <w:pPr>
        <w:pStyle w:val="Heading5"/>
        <w:spacing w:line="240" w:lineRule="auto" w:before="34"/>
        <w:ind w:right="0"/>
        <w:jc w:val="left"/>
        <w:rPr>
          <w:b w:val="0"/>
          <w:bCs w:val="0"/>
        </w:rPr>
      </w:pPr>
      <w:bookmarkStart w:name="（3）通过融资租赁租入的固定资产情况" w:id="268"/>
      <w:bookmarkEnd w:id="268"/>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5"/>
        <w:spacing w:line="240" w:lineRule="auto" w:before="34"/>
        <w:ind w:right="0"/>
        <w:jc w:val="left"/>
        <w:rPr>
          <w:b w:val="0"/>
          <w:bCs w:val="0"/>
        </w:rPr>
      </w:pPr>
      <w:bookmarkStart w:name="（4）通过经营租赁租出的固定资产" w:id="269"/>
      <w:bookmarkEnd w:id="269"/>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5;height:397" coordorigin="13,12" coordsize="4775,397">
              <v:shape style="position:absolute;left:13;top:12;width:4775;height:397" coordorigin="13,12" coordsize="4775,397" path="m13,12l4788,12,4788,409,13,409,13,12xe" filled="true" fillcolor="#d2d2d2" stroked="false">
                <v:path arrowok="t"/>
                <v:fill type="solid"/>
              </v:shape>
            </v:group>
            <v:group style="position:absolute;left:4793;top:12;width:4783;height:397" coordorigin="4793,12" coordsize="4783,397">
              <v:shape style="position:absolute;left:4793;top:12;width:4783;height:397" coordorigin="4793,12" coordsize="4783,397" path="m4793,12l9576,12,9576,409,4793,409,4793,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0;top:5;width:2;height:402" coordorigin="4790,5" coordsize="2,402">
              <v:shape style="position:absolute;left:4790;top:5;width:2;height:402" coordorigin="4790,5" coordsize="0,402" path="m4790,5l4790,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19;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0;top:10;width:4788;height:402" type="#_x0000_t202" filled="false" stroked="false">
                <v:textbox inset="0,0,0,0">
                  <w:txbxContent>
                    <w:p>
                      <w:pPr>
                        <w:spacing w:before="55"/>
                        <w:ind w:left="1" w:right="0" w:firstLine="0"/>
                        <w:jc w:val="center"/>
                        <w:rPr>
                          <w:rFonts w:ascii="宋体" w:hAnsi="宋体" w:cs="宋体" w:eastAsia="宋体" w:hint="default"/>
                          <w:sz w:val="18"/>
                          <w:szCs w:val="18"/>
                        </w:rPr>
                      </w:pPr>
                      <w:r>
                        <w:rPr>
                          <w:rFonts w:ascii="宋体" w:hAnsi="宋体" w:cs="宋体" w:eastAsia="宋体" w:hint="default"/>
                          <w:sz w:val="18"/>
                          <w:szCs w:val="18"/>
                        </w:rPr>
                        <w:t>期末账面价值</w:t>
                      </w:r>
                    </w:p>
                  </w:txbxContent>
                </v:textbox>
                <w10:wrap type="none"/>
              </v:shape>
            </v:group>
          </v:group>
        </w:pict>
      </w:r>
      <w:r>
        <w:rPr>
          <w:rFonts w:ascii="宋体" w:hAnsi="宋体" w:cs="宋体" w:eastAsia="宋体" w:hint="default"/>
          <w:position w:val="-7"/>
          <w:sz w:val="20"/>
          <w:szCs w:val="20"/>
        </w:rPr>
      </w:r>
    </w:p>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bookmarkStart w:name="（5）未办妥产权证书的固定资产情况" w:id="270"/>
      <w:bookmarkEnd w:id="270"/>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6）固定资产清理" w:id="271"/>
      <w:bookmarkEnd w:id="271"/>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17、在建工程" w:id="272"/>
      <w:bookmarkEnd w:id="272"/>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95"/>
        <w:gridCol w:w="3814"/>
        <w:gridCol w:w="3859"/>
      </w:tblGrid>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bookmarkStart w:name="（1）在建工程情况" w:id="273"/>
      <w:bookmarkEnd w:id="273"/>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4102"/>
        <w:gridCol w:w="4101"/>
      </w:tblGrid>
      <w:tr>
        <w:trPr>
          <w:trHeight w:val="40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bookmarkStart w:name="（2）重要在建工程项目本期变动情况" w:id="274"/>
      <w:bookmarkEnd w:id="274"/>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2"/>
        <w:gridCol w:w="736"/>
        <w:gridCol w:w="736"/>
        <w:gridCol w:w="736"/>
        <w:gridCol w:w="736"/>
        <w:gridCol w:w="736"/>
        <w:gridCol w:w="736"/>
        <w:gridCol w:w="736"/>
        <w:gridCol w:w="736"/>
        <w:gridCol w:w="736"/>
        <w:gridCol w:w="736"/>
        <w:gridCol w:w="736"/>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69"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93" w:right="90"/>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2" w:right="92"/>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73" w:right="90"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2" w:right="92"/>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0"/>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73" w:right="90"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5"/>
        <w:rPr>
          <w:rFonts w:ascii="宋体" w:hAnsi="宋体" w:cs="宋体" w:eastAsia="宋体" w:hint="default"/>
          <w:sz w:val="19"/>
          <w:szCs w:val="19"/>
        </w:rPr>
      </w:pPr>
    </w:p>
    <w:p>
      <w:pPr>
        <w:pStyle w:val="Heading5"/>
        <w:spacing w:line="240" w:lineRule="auto" w:before="34"/>
        <w:ind w:right="0"/>
        <w:jc w:val="left"/>
        <w:rPr>
          <w:b w:val="0"/>
          <w:bCs w:val="0"/>
        </w:rPr>
      </w:pPr>
      <w:bookmarkStart w:name="（3）本期计提在建工程减值准备情况" w:id="275"/>
      <w:bookmarkEnd w:id="275"/>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9"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4）工程物资" w:id="276"/>
      <w:bookmarkEnd w:id="276"/>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32"/>
        <w:gridCol w:w="1329"/>
        <w:gridCol w:w="1328"/>
        <w:gridCol w:w="1196"/>
        <w:gridCol w:w="1196"/>
        <w:gridCol w:w="1196"/>
        <w:gridCol w:w="1191"/>
      </w:tblGrid>
      <w:tr>
        <w:trPr>
          <w:trHeight w:val="402" w:hRule="exact"/>
        </w:trPr>
        <w:tc>
          <w:tcPr>
            <w:tcW w:w="21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2" w:type="dxa"/>
            <w:vMerge/>
            <w:tcBorders>
              <w:left w:val="single" w:sz="4" w:space="0" w:color="000000"/>
              <w:bottom w:val="single" w:sz="4" w:space="0" w:color="000000"/>
              <w:right w:val="single" w:sz="4" w:space="0" w:color="000000"/>
            </w:tcBorders>
            <w:shd w:val="clear" w:color="auto" w:fill="D2D2D2"/>
          </w:tcPr>
          <w:p>
            <w:pP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18、生产性生物资产" w:id="277"/>
      <w:bookmarkEnd w:id="277"/>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采用成本计量模式的生产性生物资产" w:id="278"/>
      <w:bookmarkEnd w:id="278"/>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2）采用公允价值计量模式的生产性生物资产" w:id="279"/>
      <w:bookmarkEnd w:id="279"/>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bookmarkStart w:name="19、油气资产" w:id="280"/>
      <w:bookmarkEnd w:id="280"/>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20、无形资产" w:id="281"/>
      <w:bookmarkEnd w:id="281"/>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无形资产情况" w:id="282"/>
      <w:bookmarkEnd w:id="282"/>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1755"/>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after="0" w:line="338" w:lineRule="auto"/>
        <w:jc w:val="left"/>
        <w:sectPr>
          <w:footerReference w:type="default" r:id="rId29"/>
          <w:pgSz w:w="11910" w:h="16840"/>
          <w:pgMar w:footer="978" w:header="746" w:top="1060" w:bottom="1160" w:left="1020" w:right="0"/>
          <w:pgNumType w:start="160"/>
        </w:sectPr>
      </w:pPr>
    </w:p>
    <w:p>
      <w:pPr>
        <w:spacing w:line="240" w:lineRule="auto" w:before="12"/>
        <w:rPr>
          <w:rFonts w:ascii="宋体" w:hAnsi="宋体" w:cs="宋体" w:eastAsia="宋体" w:hint="default"/>
          <w:sz w:val="25"/>
          <w:szCs w:val="25"/>
        </w:rPr>
      </w:pPr>
      <w:r>
        <w:rPr/>
        <w:pict>
          <v:shape style="position:absolute;margin-left:98.639999pt;margin-top:217.200027pt;width:53.7pt;height:35.3pt;mso-position-horizontal-relative:page;mso-position-vertical-relative:page;z-index:-1501840" type="#_x0000_t202" filled="false" stroked="false">
            <v:textbox inset="0,0,0,0">
              <w:txbxContent>
                <w:p>
                  <w:pPr>
                    <w:pStyle w:val="BodyText"/>
                    <w:spacing w:line="240" w:lineRule="auto" w:before="52"/>
                    <w:ind w:left="0" w:right="0"/>
                    <w:jc w:val="left"/>
                  </w:pPr>
                  <w:r>
                    <w:rPr/>
                    <w:t>）</w:t>
                  </w:r>
                </w:p>
              </w:txbxContent>
            </v:textbox>
            <w10:wrap type="none"/>
          </v:shape>
        </w:pict>
      </w:r>
      <w:r>
        <w:rPr/>
        <w:pict>
          <v:shape style="position:absolute;margin-left:98.639999pt;margin-top:252.900024pt;width:53.7pt;height:35.3pt;mso-position-horizontal-relative:page;mso-position-vertical-relative:page;z-index:-1501816" type="#_x0000_t202" filled="false" stroked="false">
            <v:textbox inset="0,0,0,0">
              <w:txbxContent>
                <w:p>
                  <w:pPr>
                    <w:pStyle w:val="BodyText"/>
                    <w:spacing w:line="240" w:lineRule="auto" w:before="53"/>
                    <w:ind w:left="0" w:right="0"/>
                    <w:jc w:val="left"/>
                  </w:pPr>
                  <w:r>
                    <w:rPr/>
                    <w:t>）</w:t>
                  </w:r>
                </w:p>
              </w:txbxContent>
            </v:textbox>
            <w10:wrap type="none"/>
          </v:shape>
        </w:pict>
      </w:r>
      <w:r>
        <w:rPr/>
        <w:pict>
          <v:shape style="position:absolute;margin-left:98.639999pt;margin-top:288.600037pt;width:53.7pt;height:50.9pt;mso-position-horizontal-relative:page;mso-position-vertical-relative:page;z-index:-1501792" type="#_x0000_t202" filled="false" stroked="false">
            <v:textbox inset="0,0,0,0">
              <w:txbxContent>
                <w:p>
                  <w:pPr>
                    <w:pStyle w:val="BodyText"/>
                    <w:spacing w:line="240" w:lineRule="auto" w:before="52"/>
                    <w:ind w:left="0" w:right="0"/>
                    <w:jc w:val="left"/>
                  </w:pPr>
                  <w:r>
                    <w:rPr/>
                    <w:t>）</w:t>
                  </w:r>
                </w:p>
              </w:txbxContent>
            </v:textbox>
            <w10:wrap type="none"/>
          </v:shape>
        </w:pict>
      </w:r>
      <w:r>
        <w:rPr/>
        <w:pict>
          <v:shape style="position:absolute;margin-left:98.639999pt;margin-top:395.700012pt;width:53.7pt;height:35.3pt;mso-position-horizontal-relative:page;mso-position-vertical-relative:page;z-index:-1501768" type="#_x0000_t202" filled="false" stroked="false">
            <v:textbox inset="0,0,0,0">
              <w:txbxContent>
                <w:p>
                  <w:pPr>
                    <w:pStyle w:val="BodyText"/>
                    <w:spacing w:line="240" w:lineRule="auto" w:before="53"/>
                    <w:ind w:left="0" w:right="0"/>
                    <w:jc w:val="left"/>
                  </w:pPr>
                  <w:r>
                    <w:rPr/>
                    <w:t>）</w:t>
                  </w:r>
                </w:p>
              </w:txbxContent>
            </v:textbox>
            <w10:wrap type="none"/>
          </v:shape>
        </w:pict>
      </w:r>
      <w:r>
        <w:rPr/>
        <w:pict>
          <v:shape style="position:absolute;margin-left:98.639999pt;margin-top:594.300049pt;width:53.7pt;height:35.3pt;mso-position-horizontal-relative:page;mso-position-vertical-relative:page;z-index:-1501744" type="#_x0000_t202" filled="false" stroked="false">
            <v:textbox inset="0,0,0,0">
              <w:txbxContent>
                <w:p>
                  <w:pPr>
                    <w:pStyle w:val="BodyText"/>
                    <w:spacing w:line="240" w:lineRule="auto" w:before="53"/>
                    <w:ind w:left="0" w:right="0"/>
                    <w:jc w:val="left"/>
                  </w:pPr>
                  <w:r>
                    <w:rPr/>
                    <w:t>）</w:t>
                  </w:r>
                </w:p>
              </w:txbxContent>
            </v:textbox>
            <w10:wrap type="none"/>
          </v:shape>
        </w:pict>
      </w:r>
      <w:r>
        <w:rPr/>
        <w:pict>
          <v:shape style="position:absolute;margin-left:98.639999pt;margin-top:717pt;width:53.7pt;height:35.35pt;mso-position-horizontal-relative:page;mso-position-vertical-relative:page;z-index:-1501720" type="#_x0000_t202" filled="false" stroked="false">
            <v:textbox inset="0,0,0,0">
              <w:txbxContent>
                <w:p>
                  <w:pPr>
                    <w:pStyle w:val="BodyText"/>
                    <w:spacing w:line="240" w:lineRule="auto" w:before="52"/>
                    <w:ind w:left="0" w:right="0"/>
                    <w:jc w:val="left"/>
                  </w:pPr>
                  <w:r>
                    <w:rPr/>
                    <w:t>）</w:t>
                  </w:r>
                </w:p>
              </w:txbxContent>
            </v:textbox>
            <w10:wrap type="none"/>
          </v:shape>
        </w:pict>
      </w:r>
      <w:r>
        <w:rPr/>
        <w:pict>
          <v:group style="position:absolute;margin-left:104.699997pt;margin-top:217.200027pt;width:47.6pt;height:122.45pt;mso-position-horizontal-relative:page;mso-position-vertical-relative:page;z-index:-1501696" coordorigin="2094,4344" coordsize="952,2449">
            <v:group style="position:absolute;left:2094;top:4344;width:952;height:709" coordorigin="2094,4344" coordsize="952,709">
              <v:shape style="position:absolute;left:2094;top:4344;width:952;height:709" coordorigin="2094,4344" coordsize="952,709" path="m2094,4344l3046,4344,3046,5053,2094,5053,2094,4344xe" filled="true" fillcolor="#ffffff" stroked="false">
                <v:path arrowok="t"/>
                <v:fill type="solid"/>
              </v:shape>
            </v:group>
            <v:group style="position:absolute;left:2094;top:5058;width:952;height:709" coordorigin="2094,5058" coordsize="952,709">
              <v:shape style="position:absolute;left:2094;top:5058;width:952;height:709" coordorigin="2094,5058" coordsize="952,709" path="m2094,5058l3046,5058,3046,5767,2094,5767,2094,5058xe" filled="true" fillcolor="#ffffff" stroked="false">
                <v:path arrowok="t"/>
                <v:fill type="solid"/>
              </v:shape>
            </v:group>
            <v:group style="position:absolute;left:2094;top:5772;width:952;height:1021" coordorigin="2094,5772" coordsize="952,1021">
              <v:shape style="position:absolute;left:2094;top:5772;width:952;height:1021" coordorigin="2094,5772" coordsize="952,1021" path="m2094,5772l3046,5772,3046,6793,2094,6793,2094,5772xe" filled="true" fillcolor="#ffffff" stroked="false">
                <v:path arrowok="t"/>
                <v:fill type="solid"/>
              </v:shape>
            </v:group>
            <w10:wrap type="none"/>
          </v:group>
        </w:pict>
      </w: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57"/>
        <w:gridCol w:w="957"/>
        <w:gridCol w:w="957"/>
        <w:gridCol w:w="957"/>
        <w:gridCol w:w="957"/>
        <w:gridCol w:w="957"/>
        <w:gridCol w:w="957"/>
        <w:gridCol w:w="957"/>
        <w:gridCol w:w="957"/>
        <w:gridCol w:w="957"/>
      </w:tblGrid>
      <w:tr>
        <w:trPr>
          <w:trHeight w:val="402"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95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95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特许权</w:t>
            </w:r>
          </w:p>
        </w:tc>
        <w:tc>
          <w:tcPr>
            <w:tcW w:w="95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338"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95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95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157" w:right="0"/>
              <w:jc w:val="left"/>
              <w:rPr>
                <w:rFonts w:ascii="宋体" w:hAnsi="宋体" w:cs="宋体" w:eastAsia="宋体" w:hint="default"/>
                <w:sz w:val="18"/>
                <w:szCs w:val="18"/>
              </w:rPr>
            </w:pPr>
            <w:r>
              <w:rPr>
                <w:rFonts w:ascii="宋体" w:hAnsi="宋体" w:cs="宋体" w:eastAsia="宋体" w:hint="default"/>
                <w:sz w:val="18"/>
                <w:szCs w:val="18"/>
              </w:rPr>
              <w:t>客户关系</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一、账面原 值</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6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2" w:right="0"/>
              <w:jc w:val="center"/>
              <w:rPr>
                <w:rFonts w:ascii="Times New Roman" w:hAnsi="Times New Roman" w:cs="Times New Roman" w:eastAsia="Times New Roman" w:hint="default"/>
                <w:sz w:val="18"/>
                <w:szCs w:val="18"/>
              </w:rPr>
            </w:pPr>
            <w:r>
              <w:rPr>
                <w:rFonts w:ascii="Times New Roman"/>
                <w:sz w:val="18"/>
              </w:rPr>
              <w:t>395,626.11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3,823,114.9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4,218,741.0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6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1,172,360.9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283,333.07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13,151,119.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15,680,156.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3,739,816.3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34,026,786.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97</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415,756.25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8,490.57</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424,246.82</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12"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内部研发</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22" w:right="22"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企业合并增 加</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756,604.72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274,842.50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13,151,119.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15,680,156.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3,739,816.3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33,602,540.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95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68"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709" w:lineRule="exact"/>
              <w:ind w:left="-2" w:right="-53"/>
              <w:jc w:val="left"/>
              <w:rPr>
                <w:rFonts w:ascii="宋体" w:hAnsi="宋体" w:cs="宋体" w:eastAsia="宋体" w:hint="default"/>
                <w:sz w:val="20"/>
                <w:szCs w:val="20"/>
              </w:rPr>
            </w:pPr>
            <w:r>
              <w:rPr>
                <w:rFonts w:ascii="宋体" w:hAnsi="宋体" w:cs="宋体" w:eastAsia="宋体" w:hint="default"/>
                <w:position w:val="-13"/>
                <w:sz w:val="20"/>
                <w:szCs w:val="20"/>
              </w:rPr>
              <w:pict>
                <v:group style="width:47.6pt;height:35.450pt;mso-position-horizontal-relative:char;mso-position-vertical-relative:line" coordorigin="0,0" coordsize="952,709">
                  <v:group style="position:absolute;left:0;top:0;width:952;height:709" coordorigin="0,0" coordsize="952,709">
                    <v:shape style="position:absolute;left:0;top:0;width:952;height:709" coordorigin="0,0" coordsize="952,709" path="m0,0l952,0,952,709,0,709,0,0xe" filled="true" fillcolor="#ffffff" stroked="false">
                      <v:path arrowok="t"/>
                      <v:fill type="solid"/>
                    </v:shape>
                  </v:group>
                </v:group>
              </w:pict>
            </w:r>
            <w:r>
              <w:rPr>
                <w:rFonts w:ascii="宋体" w:hAnsi="宋体" w:cs="宋体" w:eastAsia="宋体" w:hint="default"/>
                <w:position w:val="-13"/>
                <w:sz w:val="20"/>
                <w:szCs w:val="20"/>
              </w:rPr>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6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1,567,987.0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4,106,448.0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13,151,119.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15,680,156.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3,739,816.3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38,245,528.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03</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z w:val="18"/>
                <w:szCs w:val="18"/>
              </w:rPr>
              <w:t>二、累计摊 销</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6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274,333.80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3,185,929.0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3,460,262.8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6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226,752.87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676,060.37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223,376.81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261,335.94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89,043.25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1,476,569.2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709" w:lineRule="exact"/>
              <w:ind w:left="-2" w:right="-53"/>
              <w:jc w:val="left"/>
              <w:rPr>
                <w:rFonts w:ascii="宋体" w:hAnsi="宋体" w:cs="宋体" w:eastAsia="宋体" w:hint="default"/>
                <w:sz w:val="20"/>
                <w:szCs w:val="20"/>
              </w:rPr>
            </w:pPr>
            <w:r>
              <w:rPr>
                <w:rFonts w:ascii="宋体" w:hAnsi="宋体" w:cs="宋体" w:eastAsia="宋体" w:hint="default"/>
                <w:position w:val="-13"/>
                <w:sz w:val="20"/>
                <w:szCs w:val="20"/>
              </w:rPr>
              <w:pict>
                <v:group style="width:47.6pt;height:35.450pt;mso-position-horizontal-relative:char;mso-position-vertical-relative:line" coordorigin="0,0" coordsize="952,709">
                  <v:group style="position:absolute;left:0;top:0;width:952;height:709" coordorigin="0,0" coordsize="952,709">
                    <v:shape style="position:absolute;left:0;top:0;width:952;height:709" coordorigin="0,0" coordsize="952,709" path="m0,0l952,0,952,709,0,709,0,0xe" filled="true" fillcolor="#ffffff" stroked="false">
                      <v:path arrowok="t"/>
                      <v:fill type="solid"/>
                    </v:shape>
                  </v:group>
                </v:group>
              </w:pict>
            </w:r>
            <w:r>
              <w:rPr>
                <w:rFonts w:ascii="宋体" w:hAnsi="宋体" w:cs="宋体" w:eastAsia="宋体" w:hint="default"/>
                <w:position w:val="-13"/>
                <w:sz w:val="20"/>
                <w:szCs w:val="20"/>
              </w:rPr>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116,407.75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642,482.94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219,185.35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261,335.94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89,043.25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1,328,455.2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95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9" w:lineRule="auto" w:before="50"/>
              <w:ind w:left="22" w:right="22" w:firstLine="9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）非同 一控制下企 业合并</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110,345.12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33,577.43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4,191.46</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148,114.01</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6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709" w:lineRule="exact"/>
              <w:ind w:left="-2" w:right="-53"/>
              <w:jc w:val="left"/>
              <w:rPr>
                <w:rFonts w:ascii="宋体" w:hAnsi="宋体" w:cs="宋体" w:eastAsia="宋体" w:hint="default"/>
                <w:sz w:val="20"/>
                <w:szCs w:val="20"/>
              </w:rPr>
            </w:pPr>
            <w:r>
              <w:rPr>
                <w:rFonts w:ascii="宋体" w:hAnsi="宋体" w:cs="宋体" w:eastAsia="宋体" w:hint="default"/>
                <w:position w:val="-13"/>
                <w:sz w:val="20"/>
                <w:szCs w:val="20"/>
              </w:rPr>
              <w:pict>
                <v:group style="width:47.6pt;height:35.450pt;mso-position-horizontal-relative:char;mso-position-vertical-relative:line" coordorigin="0,0" coordsize="952,709">
                  <v:group style="position:absolute;left:0;top:0;width:952;height:709" coordorigin="0,0" coordsize="952,709">
                    <v:shape style="position:absolute;left:0;top:0;width:952;height:709" coordorigin="0,0" coordsize="952,709" path="m0,0l952,0,952,709,0,709,0,0xe" filled="true" fillcolor="#ffffff" stroked="false">
                      <v:path arrowok="t"/>
                      <v:fill type="solid"/>
                    </v:shape>
                  </v:group>
                </v:group>
              </w:pict>
            </w:r>
            <w:r>
              <w:rPr>
                <w:rFonts w:ascii="宋体" w:hAnsi="宋体" w:cs="宋体" w:eastAsia="宋体" w:hint="default"/>
                <w:position w:val="-13"/>
                <w:sz w:val="20"/>
                <w:szCs w:val="20"/>
              </w:rPr>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5"/>
        <w:rPr>
          <w:rFonts w:ascii="宋体" w:hAnsi="宋体" w:cs="宋体" w:eastAsia="宋体" w:hint="default"/>
          <w:sz w:val="28"/>
          <w:szCs w:val="28"/>
        </w:rPr>
      </w:pPr>
      <w:r>
        <w:rPr/>
        <w:pict>
          <v:shape style="position:absolute;margin-left:98.639999pt;margin-top:235.300018pt;width:53.7pt;height:35.3pt;mso-position-horizontal-relative:page;mso-position-vertical-relative:page;z-index:-1501648" type="#_x0000_t202" filled="false" stroked="false">
            <v:textbox inset="0,0,0,0">
              <w:txbxContent>
                <w:p>
                  <w:pPr>
                    <w:pStyle w:val="BodyText"/>
                    <w:spacing w:line="240" w:lineRule="auto" w:before="52"/>
                    <w:ind w:left="0" w:right="0"/>
                    <w:jc w:val="left"/>
                  </w:pPr>
                  <w:r>
                    <w:rPr/>
                    <w:t>）</w:t>
                  </w:r>
                </w:p>
              </w:txbxContent>
            </v:textbox>
            <w10:wrap type="none"/>
          </v:shape>
        </w:pict>
      </w:r>
    </w:p>
    <w:tbl>
      <w:tblPr>
        <w:tblW w:w="0" w:type="auto"/>
        <w:jc w:val="left"/>
        <w:tblInd w:w="109" w:type="dxa"/>
        <w:tblLayout w:type="fixed"/>
        <w:tblCellMar>
          <w:top w:w="0" w:type="dxa"/>
          <w:left w:w="0" w:type="dxa"/>
          <w:bottom w:w="0" w:type="dxa"/>
          <w:right w:w="0" w:type="dxa"/>
        </w:tblCellMar>
        <w:tblLook w:val="01E0"/>
      </w:tblPr>
      <w:tblGrid>
        <w:gridCol w:w="957"/>
        <w:gridCol w:w="957"/>
        <w:gridCol w:w="957"/>
        <w:gridCol w:w="957"/>
        <w:gridCol w:w="957"/>
        <w:gridCol w:w="957"/>
        <w:gridCol w:w="957"/>
        <w:gridCol w:w="957"/>
        <w:gridCol w:w="957"/>
        <w:gridCol w:w="957"/>
      </w:tblGrid>
      <w:tr>
        <w:trPr>
          <w:trHeight w:val="402" w:hRule="exact"/>
        </w:trPr>
        <w:tc>
          <w:tcPr>
            <w:tcW w:w="95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6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501,086.67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3,861,989.4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223,376.81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261,335.94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89,043.25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4,936,832.1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z w:val="18"/>
                <w:szCs w:val="18"/>
              </w:rPr>
              <w:t>三、减值准 备</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6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6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709" w:lineRule="exact"/>
              <w:ind w:left="-2" w:right="-53"/>
              <w:jc w:val="left"/>
              <w:rPr>
                <w:rFonts w:ascii="宋体" w:hAnsi="宋体" w:cs="宋体" w:eastAsia="宋体" w:hint="default"/>
                <w:sz w:val="20"/>
                <w:szCs w:val="20"/>
              </w:rPr>
            </w:pPr>
            <w:r>
              <w:rPr>
                <w:rFonts w:ascii="宋体" w:hAnsi="宋体" w:cs="宋体" w:eastAsia="宋体" w:hint="default"/>
                <w:position w:val="-13"/>
                <w:sz w:val="20"/>
                <w:szCs w:val="20"/>
              </w:rPr>
              <w:pict>
                <v:group style="width:47.6pt;height:35.450pt;mso-position-horizontal-relative:char;mso-position-vertical-relative:line" coordorigin="0,0" coordsize="952,709">
                  <v:group style="position:absolute;left:0;top:0;width:952;height:709" coordorigin="0,0" coordsize="952,709">
                    <v:shape style="position:absolute;left:0;top:0;width:952;height:709" coordorigin="0,0" coordsize="952,709" path="m0,0l952,0,952,709,0,709,0,0xe" filled="true" fillcolor="#ffffff" stroked="false">
                      <v:path arrowok="t"/>
                      <v:fill type="solid"/>
                    </v:shape>
                  </v:group>
                </v:group>
              </w:pict>
            </w:r>
            <w:r>
              <w:rPr>
                <w:rFonts w:ascii="宋体" w:hAnsi="宋体" w:cs="宋体" w:eastAsia="宋体" w:hint="default"/>
                <w:position w:val="-13"/>
                <w:sz w:val="20"/>
                <w:szCs w:val="20"/>
              </w:rPr>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6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9" w:right="0"/>
              <w:jc w:val="left"/>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6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四、账面价 值</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6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 账面价值</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1,066,900.4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244,458.56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12,927,743.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15,418,820.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3,650,773.0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33,308,695.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91</w:t>
            </w:r>
          </w:p>
        </w:tc>
      </w:tr>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6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 账面价值</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121,292.31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637,185.86</w:t>
            </w: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4" w:right="0"/>
              <w:jc w:val="left"/>
              <w:rPr>
                <w:rFonts w:ascii="Times New Roman" w:hAnsi="Times New Roman" w:cs="Times New Roman" w:eastAsia="Times New Roman" w:hint="default"/>
                <w:sz w:val="18"/>
                <w:szCs w:val="18"/>
              </w:rPr>
            </w:pPr>
            <w:r>
              <w:rPr>
                <w:rFonts w:ascii="Times New Roman"/>
                <w:sz w:val="18"/>
              </w:rPr>
              <w:t>758,478.17</w:t>
            </w:r>
          </w:p>
        </w:tc>
      </w:tr>
    </w:tbl>
    <w:p>
      <w:pPr>
        <w:pStyle w:val="BodyText"/>
        <w:spacing w:line="240" w:lineRule="auto" w:before="50"/>
        <w:ind w:right="0"/>
        <w:jc w:val="left"/>
      </w:pPr>
      <w:r>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2）未办妥产权证书的土地使用权情况" w:id="283"/>
      <w:bookmarkEnd w:id="283"/>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1、开发支出" w:id="284"/>
      <w:bookmarkEnd w:id="284"/>
      <w:r>
        <w:rPr>
          <w:b w:val="0"/>
          <w:bCs w:val="0"/>
        </w:rPr>
      </w:r>
      <w:r>
        <w:rPr>
          <w:rFonts w:ascii="Times New Roman" w:hAnsi="Times New Roman" w:cs="Times New Roman" w:eastAsia="Times New Roman" w:hint="default"/>
        </w:rPr>
        <w:t>21</w:t>
      </w:r>
      <w:r>
        <w:rPr/>
        <w:t>、开发支出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3"/>
        <w:gridCol w:w="1063"/>
        <w:gridCol w:w="1063"/>
        <w:gridCol w:w="1063"/>
        <w:gridCol w:w="1063"/>
        <w:gridCol w:w="1063"/>
        <w:gridCol w:w="1063"/>
        <w:gridCol w:w="1063"/>
      </w:tblGrid>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7"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智慧银行</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5,885,436.13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438,338.70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5,447,097.43</w:t>
            </w:r>
          </w:p>
        </w:tc>
      </w:tr>
      <w:tr>
        <w:trPr>
          <w:trHeight w:val="400"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智能数字营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3,506,602.34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2,404,726.83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2" w:right="0"/>
              <w:jc w:val="center"/>
              <w:rPr>
                <w:rFonts w:ascii="Times New Roman" w:hAnsi="Times New Roman" w:cs="Times New Roman" w:eastAsia="Times New Roman" w:hint="default"/>
                <w:sz w:val="18"/>
                <w:szCs w:val="18"/>
              </w:rPr>
            </w:pPr>
            <w:r>
              <w:rPr>
                <w:rFonts w:ascii="Times New Roman"/>
                <w:sz w:val="18"/>
              </w:rPr>
              <w:t>1,101,875.51</w:t>
            </w:r>
          </w:p>
        </w:tc>
      </w:tr>
    </w:tbl>
    <w:p>
      <w:pPr>
        <w:spacing w:after="0" w:line="240" w:lineRule="auto"/>
        <w:jc w:val="center"/>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63"/>
        <w:gridCol w:w="1063"/>
        <w:gridCol w:w="1063"/>
        <w:gridCol w:w="1063"/>
        <w:gridCol w:w="1063"/>
        <w:gridCol w:w="1063"/>
        <w:gridCol w:w="1063"/>
        <w:gridCol w:w="1063"/>
        <w:gridCol w:w="1063"/>
      </w:tblGrid>
      <w:tr>
        <w:trPr>
          <w:trHeight w:val="362"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销系统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22" w:right="128"/>
              <w:jc w:val="left"/>
              <w:rPr>
                <w:rFonts w:ascii="宋体" w:hAnsi="宋体" w:cs="宋体" w:eastAsia="宋体" w:hint="default"/>
                <w:sz w:val="18"/>
                <w:szCs w:val="18"/>
              </w:rPr>
            </w:pPr>
            <w:r>
              <w:rPr>
                <w:rFonts w:ascii="宋体" w:hAnsi="宋体" w:cs="宋体" w:eastAsia="宋体" w:hint="default"/>
                <w:sz w:val="18"/>
                <w:szCs w:val="18"/>
              </w:rPr>
              <w:t>电子数据保 全系统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113,602.86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113,602.86</w:t>
            </w:r>
          </w:p>
        </w:tc>
      </w:tr>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9,505,641.33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2,843,065.53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6,662,575.80</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22、商誉" w:id="285"/>
      <w:bookmarkEnd w:id="285"/>
      <w:r>
        <w:rPr>
          <w:b w:val="0"/>
          <w:bCs w:val="0"/>
        </w:rPr>
      </w:r>
      <w:r>
        <w:rPr>
          <w:rFonts w:ascii="Times New Roman" w:hAnsi="Times New Roman" w:cs="Times New Roman" w:eastAsia="Times New Roman" w:hint="default"/>
        </w:rPr>
        <w:t>22</w:t>
      </w:r>
      <w:r>
        <w:rPr/>
        <w:t>、商誉</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bookmarkStart w:name="（1）商誉账面原值" w:id="286"/>
      <w:bookmarkEnd w:id="286"/>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9" w:right="4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right="46"/>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60"/>
              <w:ind w:left="138" w:right="0"/>
              <w:jc w:val="left"/>
              <w:rPr>
                <w:rFonts w:ascii="宋体" w:hAnsi="宋体" w:cs="宋体" w:eastAsia="宋体" w:hint="default"/>
                <w:sz w:val="18"/>
                <w:szCs w:val="18"/>
              </w:rPr>
            </w:pPr>
            <w:r>
              <w:rPr>
                <w:rFonts w:ascii="宋体" w:hAnsi="宋体" w:cs="宋体" w:eastAsia="宋体" w:hint="default"/>
                <w:sz w:val="18"/>
                <w:szCs w:val="18"/>
              </w:rPr>
              <w:t>外币报表折算</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right="2"/>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大陆云盾电子认 证服务有限公司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1,154,772.34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1,154,772.34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SUNJESOFT</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株</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式会社</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40,942,441.60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-413,064.75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40,529,376.85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42,097,213.94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-413,064.75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41,684,149.19</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bookmarkStart w:name="（2）商誉减值准备" w:id="287"/>
      <w:bookmarkEnd w:id="287"/>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9" w:right="4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大陆云盾电子认 证服务有限公司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SUNJESOFT</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株</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式会社</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left="532" w:right="1694" w:hanging="420"/>
        <w:jc w:val="left"/>
      </w:pPr>
      <w:r>
        <w:rPr/>
        <w:t>商誉所在资产组或资产组组合的相关信息 与商誉减值测试相关的资产组或资产组组合，是能够从企业合并的协同效应中受益的资产组或者资产组组合。</w:t>
      </w:r>
    </w:p>
    <w:p>
      <w:pPr>
        <w:pStyle w:val="BodyText"/>
        <w:spacing w:line="236" w:lineRule="exact"/>
        <w:ind w:left="532" w:right="0"/>
        <w:jc w:val="left"/>
      </w:pPr>
      <w:r>
        <w:rPr/>
        <w:t>（</w:t>
      </w:r>
      <w:r>
        <w:rPr>
          <w:rFonts w:ascii="Times New Roman" w:hAnsi="Times New Roman" w:cs="Times New Roman" w:eastAsia="Times New Roman" w:hint="default"/>
        </w:rPr>
        <w:t>1</w:t>
      </w:r>
      <w:r>
        <w:rPr/>
        <w:t>）公司对大陆云盾电子认证服务有限公司商誉所在资产组的确认：</w:t>
      </w:r>
    </w:p>
    <w:p>
      <w:pPr>
        <w:pStyle w:val="BodyText"/>
        <w:spacing w:line="316" w:lineRule="auto" w:before="63"/>
        <w:ind w:right="0" w:firstLine="420"/>
        <w:jc w:val="left"/>
      </w:pPr>
      <w:r>
        <w:rPr/>
        <w:t>公司对大陆云盾电子认证服务有限公司（以下简称大陆云盾公司）评估时确定的资产组为大陆云盾公司整体，包括软 件著作权以及账载的全部资产、负债等，与购买日评估确定的资产组一致。</w:t>
      </w:r>
    </w:p>
    <w:p>
      <w:pPr>
        <w:pStyle w:val="BodyText"/>
        <w:spacing w:line="240" w:lineRule="auto" w:before="19"/>
        <w:ind w:left="532" w:right="0"/>
        <w:jc w:val="left"/>
      </w:pPr>
      <w:r>
        <w:rPr/>
        <w:t>（</w:t>
      </w:r>
      <w:r>
        <w:rPr>
          <w:rFonts w:ascii="Times New Roman" w:hAnsi="Times New Roman" w:cs="Times New Roman" w:eastAsia="Times New Roman" w:hint="default"/>
        </w:rPr>
        <w:t>2</w:t>
      </w:r>
      <w:r>
        <w:rPr/>
        <w:t>）公司对</w:t>
      </w:r>
      <w:r>
        <w:rPr>
          <w:rFonts w:ascii="Times New Roman" w:hAnsi="Times New Roman" w:cs="Times New Roman" w:eastAsia="Times New Roman" w:hint="default"/>
        </w:rPr>
        <w:t>SUNJE</w:t>
      </w:r>
      <w:r>
        <w:rPr>
          <w:rFonts w:ascii="Times New Roman" w:hAnsi="Times New Roman" w:cs="Times New Roman" w:eastAsia="Times New Roman" w:hint="default"/>
          <w:spacing w:val="-5"/>
        </w:rPr>
        <w:t> </w:t>
      </w:r>
      <w:r>
        <w:rPr>
          <w:rFonts w:ascii="Times New Roman" w:hAnsi="Times New Roman" w:cs="Times New Roman" w:eastAsia="Times New Roman" w:hint="default"/>
        </w:rPr>
        <w:t>SOFT</w:t>
      </w:r>
      <w:r>
        <w:rPr/>
        <w:t>株式会社商誉所在资产组的确认：</w:t>
      </w:r>
    </w:p>
    <w:p>
      <w:pPr>
        <w:pStyle w:val="BodyText"/>
        <w:spacing w:line="300" w:lineRule="auto" w:before="63"/>
        <w:ind w:right="0" w:firstLine="420"/>
        <w:jc w:val="left"/>
      </w:pPr>
      <w:r>
        <w:rPr/>
        <w:t>公司对</w:t>
      </w:r>
      <w:r>
        <w:rPr>
          <w:rFonts w:ascii="Times New Roman" w:hAnsi="Times New Roman" w:cs="Times New Roman" w:eastAsia="Times New Roman" w:hint="default"/>
        </w:rPr>
        <w:t>SUNJE SOFT</w:t>
      </w:r>
      <w:r>
        <w:rPr/>
        <w:t>株式会社（以下简称</w:t>
      </w:r>
      <w:r>
        <w:rPr>
          <w:rFonts w:ascii="Times New Roman" w:hAnsi="Times New Roman" w:cs="Times New Roman" w:eastAsia="Times New Roman" w:hint="default"/>
        </w:rPr>
        <w:t>SUNJE SOFT</w:t>
      </w:r>
      <w:r>
        <w:rPr/>
        <w:t>）评估时确定的资产组为</w:t>
      </w:r>
      <w:r>
        <w:rPr>
          <w:rFonts w:ascii="Times New Roman" w:hAnsi="Times New Roman" w:cs="Times New Roman" w:eastAsia="Times New Roman" w:hint="default"/>
        </w:rPr>
        <w:t>SUNJE</w:t>
      </w:r>
      <w:r>
        <w:rPr>
          <w:rFonts w:ascii="Times New Roman" w:hAnsi="Times New Roman" w:cs="Times New Roman" w:eastAsia="Times New Roman" w:hint="default"/>
          <w:spacing w:val="14"/>
        </w:rPr>
        <w:t> </w:t>
      </w:r>
      <w:r>
        <w:rPr>
          <w:rFonts w:ascii="Times New Roman" w:hAnsi="Times New Roman" w:cs="Times New Roman" w:eastAsia="Times New Roman" w:hint="default"/>
        </w:rPr>
        <w:t>SOFT</w:t>
      </w:r>
      <w:r>
        <w:rPr/>
        <w:t>整体，包括商标、专有技 术、客户关系等可辨认无形资产以及账载的全部资产、负债等，与购买日评估确定的资产组一致。</w:t>
      </w:r>
    </w:p>
    <w:p>
      <w:pPr>
        <w:spacing w:line="240" w:lineRule="auto" w:before="0"/>
        <w:rPr>
          <w:rFonts w:ascii="宋体" w:hAnsi="宋体" w:cs="宋体" w:eastAsia="宋体" w:hint="default"/>
          <w:sz w:val="18"/>
          <w:szCs w:val="18"/>
        </w:rPr>
      </w:pPr>
    </w:p>
    <w:p>
      <w:pPr>
        <w:pStyle w:val="BodyText"/>
        <w:spacing w:line="316" w:lineRule="auto" w:before="148"/>
        <w:ind w:right="0"/>
        <w:jc w:val="left"/>
      </w:pPr>
      <w:r>
        <w:rPr>
          <w:spacing w:val="-2"/>
        </w:rPr>
        <w:t>说明商誉减值测试过程、关键参数（如预计未来现金流量现值时的预测期增长率、稳定期增长率、利润率、折现率、预测期</w:t>
      </w:r>
      <w:r>
        <w:rPr>
          <w:spacing w:val="-66"/>
        </w:rPr>
        <w:t> </w:t>
      </w:r>
      <w:r>
        <w:rPr>
          <w:spacing w:val="-66"/>
        </w:rPr>
      </w:r>
      <w:r>
        <w:rPr/>
        <w:t>等）及商誉减值损失的确认方法：</w:t>
      </w:r>
    </w:p>
    <w:p>
      <w:pPr>
        <w:spacing w:after="0" w:line="316"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240" w:lineRule="auto" w:before="44"/>
        <w:ind w:left="532" w:right="0"/>
        <w:jc w:val="left"/>
      </w:pPr>
      <w:r>
        <w:rPr/>
        <w:t>商誉的可收回金额按照预计未来现金流量折现法计算。</w:t>
      </w:r>
    </w:p>
    <w:p>
      <w:pPr>
        <w:pStyle w:val="BodyText"/>
        <w:spacing w:line="300" w:lineRule="auto" w:before="76"/>
        <w:ind w:left="532" w:right="0"/>
        <w:jc w:val="left"/>
      </w:pPr>
      <w:r>
        <w:rPr/>
        <w:t>（</w:t>
      </w:r>
      <w:r>
        <w:rPr>
          <w:rFonts w:ascii="Times New Roman" w:hAnsi="Times New Roman" w:cs="Times New Roman" w:eastAsia="Times New Roman" w:hint="default"/>
        </w:rPr>
        <w:t>1</w:t>
      </w:r>
      <w:r>
        <w:rPr/>
        <w:t>）大陆云盾资产组商誉可收回金额的计算 </w:t>
      </w:r>
      <w:r>
        <w:rPr>
          <w:spacing w:val="-1"/>
        </w:rPr>
        <w:t>资产负债表日，大陆云盾资产组的账面价值为</w:t>
      </w:r>
      <w:r>
        <w:rPr>
          <w:rFonts w:ascii="Times New Roman" w:hAnsi="Times New Roman" w:cs="Times New Roman" w:eastAsia="Times New Roman" w:hint="default"/>
          <w:spacing w:val="-1"/>
        </w:rPr>
        <w:t>2,456.58</w:t>
      </w:r>
      <w:r>
        <w:rPr>
          <w:spacing w:val="-1"/>
        </w:rPr>
        <w:t>万元，本资产组的商誉账面价值为</w:t>
      </w:r>
      <w:r>
        <w:rPr>
          <w:rFonts w:ascii="Times New Roman" w:hAnsi="Times New Roman" w:cs="Times New Roman" w:eastAsia="Times New Roman" w:hint="default"/>
          <w:spacing w:val="-1"/>
        </w:rPr>
        <w:t>226.43</w:t>
      </w:r>
      <w:r>
        <w:rPr>
          <w:spacing w:val="-1"/>
        </w:rPr>
        <w:t>万元，包含商誉的资产</w:t>
      </w:r>
    </w:p>
    <w:p>
      <w:pPr>
        <w:pStyle w:val="BodyText"/>
        <w:spacing w:line="300" w:lineRule="auto" w:before="13"/>
        <w:ind w:left="532" w:right="0" w:hanging="420"/>
        <w:jc w:val="left"/>
      </w:pPr>
      <w:r>
        <w:rPr/>
        <w:t>组账面价值为</w:t>
      </w:r>
      <w:r>
        <w:rPr>
          <w:rFonts w:ascii="Times New Roman" w:hAnsi="Times New Roman" w:cs="Times New Roman" w:eastAsia="Times New Roman" w:hint="default"/>
        </w:rPr>
        <w:t>2,683.01</w:t>
      </w:r>
      <w:r>
        <w:rPr/>
        <w:t>万元，资产负债表日认定的资产组与购买日评估确定的资产组一致。 预计现金流量根据公司批准的</w:t>
      </w:r>
      <w:r>
        <w:rPr>
          <w:rFonts w:ascii="Times New Roman" w:hAnsi="Times New Roman" w:cs="Times New Roman" w:eastAsia="Times New Roman" w:hint="default"/>
        </w:rPr>
        <w:t>5</w:t>
      </w:r>
      <w:r>
        <w:rPr/>
        <w:t>年期税前经营净现金流量预测为基础；预测期以后的现金流量根据增长率</w:t>
      </w:r>
      <w:r>
        <w:rPr>
          <w:rFonts w:ascii="Times New Roman" w:hAnsi="Times New Roman" w:cs="Times New Roman" w:eastAsia="Times New Roman" w:hint="default"/>
        </w:rPr>
        <w:t>12.5%</w:t>
      </w:r>
      <w:r>
        <w:rPr/>
        <w:t>推断得</w:t>
      </w:r>
    </w:p>
    <w:p>
      <w:pPr>
        <w:pStyle w:val="BodyText"/>
        <w:spacing w:line="240" w:lineRule="auto" w:before="13"/>
        <w:ind w:right="0"/>
        <w:jc w:val="left"/>
      </w:pPr>
      <w:r>
        <w:rPr>
          <w:spacing w:val="4"/>
        </w:rPr>
        <w:t>出，该增长率和软件技术服务行业总体长期平均增长率相当；使用同行业可比公司平均净资产收益率确定税前折现率为</w:t>
      </w:r>
    </w:p>
    <w:p>
      <w:pPr>
        <w:pStyle w:val="BodyText"/>
        <w:spacing w:line="240" w:lineRule="auto" w:before="76"/>
        <w:ind w:right="0"/>
        <w:jc w:val="left"/>
      </w:pP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2</w:t>
      </w:r>
      <w:r>
        <w:rPr>
          <w:rFonts w:ascii="Times New Roman" w:hAnsi="Times New Roman" w:cs="Times New Roman" w:eastAsia="Times New Roman" w:hint="default"/>
        </w:rPr>
        <w:t>.</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3%</w:t>
      </w:r>
      <w:r>
        <w:rPr>
          <w:spacing w:val="-89"/>
        </w:rPr>
        <w:t>，</w:t>
      </w:r>
      <w:r>
        <w:rPr/>
        <w:t>。</w:t>
      </w:r>
    </w:p>
    <w:p>
      <w:pPr>
        <w:pStyle w:val="BodyText"/>
        <w:spacing w:line="240" w:lineRule="auto" w:before="63"/>
        <w:ind w:left="532" w:right="0"/>
        <w:jc w:val="left"/>
      </w:pPr>
      <w:r>
        <w:rPr/>
        <w:t>经测算，包含商誉的资产组可收回金额为</w:t>
      </w:r>
      <w:r>
        <w:rPr>
          <w:rFonts w:ascii="Times New Roman" w:hAnsi="Times New Roman" w:cs="Times New Roman" w:eastAsia="Times New Roman" w:hint="default"/>
        </w:rPr>
        <w:t>2,693.12</w:t>
      </w:r>
      <w:r>
        <w:rPr/>
        <w:t>万元，高于其账面价值，无需计提商誉减值准备。</w:t>
      </w:r>
    </w:p>
    <w:p>
      <w:pPr>
        <w:pStyle w:val="BodyText"/>
        <w:spacing w:line="300" w:lineRule="auto" w:before="63"/>
        <w:ind w:left="532"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SUNJE SOFT</w:t>
      </w:r>
      <w:r>
        <w:rPr/>
        <w:t>资产组商誉可收回金额的计算 资产负债表日，</w:t>
      </w:r>
      <w:r>
        <w:rPr>
          <w:rFonts w:ascii="Times New Roman" w:hAnsi="Times New Roman" w:cs="Times New Roman" w:eastAsia="Times New Roman" w:hint="default"/>
        </w:rPr>
        <w:t>SUNJESOFT</w:t>
      </w:r>
      <w:r>
        <w:rPr/>
        <w:t>资产组的账面价值为</w:t>
      </w:r>
      <w:r>
        <w:rPr>
          <w:rFonts w:ascii="Times New Roman" w:hAnsi="Times New Roman" w:cs="Times New Roman" w:eastAsia="Times New Roman" w:hint="default"/>
        </w:rPr>
        <w:t>7,639,951</w:t>
      </w:r>
      <w:r>
        <w:rPr/>
        <w:t>千韩元，按期末汇率折合人民币</w:t>
      </w:r>
      <w:r>
        <w:rPr>
          <w:rFonts w:ascii="Times New Roman" w:hAnsi="Times New Roman" w:cs="Times New Roman" w:eastAsia="Times New Roman" w:hint="default"/>
        </w:rPr>
        <w:t>4,679.33</w:t>
      </w:r>
      <w:r>
        <w:rPr/>
        <w:t>万元，分摊至本资</w:t>
      </w:r>
    </w:p>
    <w:p>
      <w:pPr>
        <w:pStyle w:val="BodyText"/>
        <w:spacing w:line="300" w:lineRule="auto" w:before="13"/>
        <w:ind w:right="0"/>
        <w:jc w:val="left"/>
      </w:pPr>
      <w:r>
        <w:rPr>
          <w:spacing w:val="-2"/>
        </w:rPr>
        <w:t>产组的商誉账面价值为</w:t>
      </w:r>
      <w:r>
        <w:rPr>
          <w:rFonts w:ascii="Times New Roman" w:hAnsi="Times New Roman" w:cs="Times New Roman" w:eastAsia="Times New Roman" w:hint="default"/>
          <w:spacing w:val="-2"/>
        </w:rPr>
        <w:t>6,617,233</w:t>
      </w:r>
      <w:r>
        <w:rPr>
          <w:spacing w:val="-2"/>
        </w:rPr>
        <w:t>千韩元，按期末汇率折合人民币</w:t>
      </w:r>
      <w:r>
        <w:rPr>
          <w:rFonts w:ascii="Times New Roman" w:hAnsi="Times New Roman" w:cs="Times New Roman" w:eastAsia="Times New Roman" w:hint="default"/>
          <w:spacing w:val="-2"/>
        </w:rPr>
        <w:t>6,035.65</w:t>
      </w:r>
      <w:r>
        <w:rPr>
          <w:spacing w:val="-2"/>
        </w:rPr>
        <w:t>万元，包含商誉的资产组账面价值为</w:t>
      </w:r>
      <w:r>
        <w:rPr>
          <w:rFonts w:ascii="Times New Roman" w:hAnsi="Times New Roman" w:cs="Times New Roman" w:eastAsia="Times New Roman" w:hint="default"/>
          <w:spacing w:val="-2"/>
        </w:rPr>
        <w:t>14,257,184</w:t>
      </w:r>
      <w:r>
        <w:rPr>
          <w:spacing w:val="-2"/>
        </w:rPr>
        <w:t>千韩</w:t>
      </w:r>
      <w:r>
        <w:rPr>
          <w:spacing w:val="-48"/>
        </w:rPr>
        <w:t> </w:t>
      </w:r>
      <w:r>
        <w:rPr/>
        <w:t>元，折合人民币</w:t>
      </w:r>
      <w:r>
        <w:rPr>
          <w:rFonts w:ascii="Times New Roman" w:hAnsi="Times New Roman" w:cs="Times New Roman" w:eastAsia="Times New Roman" w:hint="default"/>
        </w:rPr>
        <w:t>10,714.98</w:t>
      </w:r>
      <w:r>
        <w:rPr/>
        <w:t>万元，资产组的认定与购买日资产组的认定一致。</w:t>
      </w:r>
    </w:p>
    <w:p>
      <w:pPr>
        <w:pStyle w:val="BodyText"/>
        <w:spacing w:line="300" w:lineRule="auto" w:before="13"/>
        <w:ind w:right="1129" w:firstLine="420"/>
        <w:jc w:val="both"/>
      </w:pPr>
      <w:r>
        <w:rPr>
          <w:spacing w:val="-1"/>
        </w:rPr>
        <w:t>预计现金流量根据公司批准的</w:t>
      </w:r>
      <w:r>
        <w:rPr>
          <w:rFonts w:ascii="Times New Roman" w:hAnsi="Times New Roman" w:cs="Times New Roman" w:eastAsia="Times New Roman" w:hint="default"/>
          <w:spacing w:val="-1"/>
        </w:rPr>
        <w:t>8</w:t>
      </w:r>
      <w:r>
        <w:rPr>
          <w:spacing w:val="-1"/>
        </w:rPr>
        <w:t>年期税前经营净现金流量预测为基础，预测期的收入增长率根据内存数据库行业的特点</w:t>
      </w:r>
      <w:r>
        <w:rPr/>
        <w:t> 设定为</w:t>
      </w:r>
      <w:r>
        <w:rPr>
          <w:rFonts w:ascii="Times New Roman" w:hAnsi="Times New Roman" w:cs="Times New Roman" w:eastAsia="Times New Roman" w:hint="default"/>
        </w:rPr>
        <w:t>3.8%~60%</w:t>
      </w:r>
      <w:r>
        <w:rPr/>
        <w:t>；稳定期增长率根据韩国宏观经济分析的预计</w:t>
      </w:r>
      <w:r>
        <w:rPr>
          <w:rFonts w:ascii="Times New Roman" w:hAnsi="Times New Roman" w:cs="Times New Roman" w:eastAsia="Times New Roman" w:hint="default"/>
        </w:rPr>
        <w:t>2019-2023</w:t>
      </w:r>
      <w:r>
        <w:rPr/>
        <w:t>年通货膨胀率年均涨幅确定为</w:t>
      </w:r>
      <w:r>
        <w:rPr>
          <w:rFonts w:ascii="Times New Roman" w:hAnsi="Times New Roman" w:cs="Times New Roman" w:eastAsia="Times New Roman" w:hint="default"/>
        </w:rPr>
        <w:t>2%</w:t>
      </w:r>
      <w:r>
        <w:rPr/>
        <w:t>；折现率采用税</w:t>
      </w:r>
      <w:r>
        <w:rPr>
          <w:spacing w:val="-32"/>
        </w:rPr>
        <w:t> </w:t>
      </w:r>
      <w:r>
        <w:rPr>
          <w:spacing w:val="-32"/>
        </w:rPr>
      </w:r>
      <w:r>
        <w:rPr/>
        <w:t>前加权平均资本成本模型确定为</w:t>
      </w:r>
      <w:r>
        <w:rPr>
          <w:rFonts w:ascii="Times New Roman" w:hAnsi="Times New Roman" w:cs="Times New Roman" w:eastAsia="Times New Roman" w:hint="default"/>
        </w:rPr>
        <w:t>19.78%</w:t>
      </w:r>
      <w:r>
        <w:rPr/>
        <w:t>，加权平均资本成本模型中付息债务资本的回报率为韩国商业银行平均最优贷款利</w:t>
      </w:r>
      <w:r>
        <w:rPr>
          <w:spacing w:val="-24"/>
        </w:rPr>
        <w:t> </w:t>
      </w:r>
      <w:r>
        <w:rPr>
          <w:spacing w:val="-24"/>
        </w:rPr>
      </w:r>
      <w:r>
        <w:rPr>
          <w:spacing w:val="-2"/>
        </w:rPr>
        <w:t>率</w:t>
      </w:r>
      <w:r>
        <w:rPr>
          <w:rFonts w:ascii="Times New Roman" w:hAnsi="Times New Roman" w:cs="Times New Roman" w:eastAsia="Times New Roman" w:hint="default"/>
          <w:spacing w:val="-2"/>
        </w:rPr>
        <w:t>3.4%</w:t>
      </w:r>
      <w:r>
        <w:rPr>
          <w:spacing w:val="-2"/>
        </w:rPr>
        <w:t>，股东权益资本的回报率根据资本资产定价模型（</w:t>
      </w:r>
      <w:r>
        <w:rPr>
          <w:rFonts w:ascii="Times New Roman" w:hAnsi="Times New Roman" w:cs="Times New Roman" w:eastAsia="Times New Roman" w:hint="default"/>
          <w:spacing w:val="-2"/>
        </w:rPr>
        <w:t>CAPM</w:t>
      </w:r>
      <w:r>
        <w:rPr>
          <w:spacing w:val="-2"/>
        </w:rPr>
        <w:t>）确定，并考虑了小规模风险溢价及特别风险影响，付息债</w:t>
      </w:r>
      <w:r>
        <w:rPr>
          <w:spacing w:val="-46"/>
        </w:rPr>
        <w:t> </w:t>
      </w:r>
      <w:r>
        <w:rPr>
          <w:spacing w:val="-46"/>
        </w:rPr>
      </w:r>
      <w:r>
        <w:rPr/>
        <w:t>务资本和股东权益资本的权重根据企业所处的行业付息债务资本和股东权益资本比率及有效税率进行计算。</w:t>
      </w:r>
    </w:p>
    <w:p>
      <w:pPr>
        <w:pStyle w:val="BodyText"/>
        <w:spacing w:line="300" w:lineRule="auto" w:before="31"/>
        <w:ind w:right="1132" w:firstLine="420"/>
        <w:jc w:val="both"/>
      </w:pPr>
      <w:r>
        <w:rPr/>
        <w:t>经测算，包含商誉的资产组可收回金额为</w:t>
      </w:r>
      <w:r>
        <w:rPr>
          <w:rFonts w:ascii="Times New Roman" w:hAnsi="Times New Roman" w:cs="Times New Roman" w:eastAsia="Times New Roman" w:hint="default"/>
        </w:rPr>
        <w:t>17,747,526.91</w:t>
      </w:r>
      <w:r>
        <w:rPr/>
        <w:t>千韩元，根据期末汇率折算人民币未</w:t>
      </w:r>
      <w:r>
        <w:rPr>
          <w:rFonts w:ascii="Times New Roman" w:hAnsi="Times New Roman" w:cs="Times New Roman" w:eastAsia="Times New Roman" w:hint="default"/>
        </w:rPr>
        <w:t>10,870.04</w:t>
      </w:r>
      <w:r>
        <w:rPr/>
        <w:t>万元，高于其账 面价值，无需计提商誉减值准备。</w:t>
      </w:r>
    </w:p>
    <w:p>
      <w:pPr>
        <w:pStyle w:val="BodyText"/>
        <w:spacing w:line="360" w:lineRule="auto" w:before="70"/>
        <w:ind w:right="8594"/>
        <w:jc w:val="left"/>
      </w:pPr>
      <w:r>
        <w:rPr/>
        <w:t>商誉减值测试的影响 其他说明</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23、长期待摊费用" w:id="288"/>
      <w:bookmarkEnd w:id="288"/>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3"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228,545.08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2,437,224.04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568,150.58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2,097,618.54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3" w:right="0"/>
              <w:jc w:val="left"/>
              <w:rPr>
                <w:rFonts w:ascii="宋体" w:hAnsi="宋体" w:cs="宋体" w:eastAsia="宋体" w:hint="default"/>
                <w:sz w:val="18"/>
                <w:szCs w:val="18"/>
              </w:rPr>
            </w:pPr>
            <w:r>
              <w:rPr>
                <w:rFonts w:ascii="宋体" w:hAnsi="宋体" w:cs="宋体" w:eastAsia="宋体" w:hint="default"/>
                <w:sz w:val="18"/>
                <w:szCs w:val="18"/>
              </w:rPr>
              <w:t>邮箱费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26,519.90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275,256.60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138,661.38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163,115.12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48,427.79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74,059.68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48,427.79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74,059.68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共同经营平台系统</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13,500,497.55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834,654.49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5,705,093.35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547,380.31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8,082,678.38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13,803,990.32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3,621,194.81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6,460,333.10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547,380.31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10,417,471.72</w:t>
            </w:r>
          </w:p>
        </w:tc>
      </w:tr>
    </w:tbl>
    <w:p>
      <w:pPr>
        <w:pStyle w:val="BodyText"/>
        <w:spacing w:line="240" w:lineRule="auto" w:before="51"/>
        <w:ind w:right="0"/>
        <w:jc w:val="left"/>
      </w:pPr>
      <w:r>
        <w:rPr/>
        <w:t>其他说明</w:t>
      </w:r>
    </w:p>
    <w:p>
      <w:pPr>
        <w:spacing w:line="240" w:lineRule="auto" w:before="2"/>
        <w:rPr>
          <w:rFonts w:ascii="宋体" w:hAnsi="宋体" w:cs="宋体" w:eastAsia="宋体" w:hint="default"/>
          <w:sz w:val="24"/>
          <w:szCs w:val="24"/>
        </w:rPr>
      </w:pPr>
    </w:p>
    <w:p>
      <w:pPr>
        <w:pStyle w:val="BodyText"/>
        <w:spacing w:line="316" w:lineRule="auto"/>
        <w:ind w:right="1128" w:firstLine="422"/>
        <w:jc w:val="left"/>
      </w:pPr>
      <w:r>
        <w:rPr>
          <w:spacing w:val="-3"/>
        </w:rPr>
        <w:t>如附注九、（四）所述，公司为各共同经营项目承建各平台系统，各平台系统建设基本完成后，建设成本转入长期待摊</w:t>
      </w:r>
      <w:r>
        <w:rPr/>
        <w:t> 费用核算，并在各合作项目首期合作期剩余合作年限内平均摊销。</w:t>
      </w:r>
    </w:p>
    <w:p>
      <w:pPr>
        <w:pStyle w:val="BodyText"/>
        <w:spacing w:line="316" w:lineRule="auto" w:before="19"/>
        <w:ind w:right="0" w:firstLine="420"/>
        <w:jc w:val="left"/>
      </w:pPr>
      <w:r>
        <w:rPr/>
        <w:t>本期末，公司对各平台的经营情况进行评估，其中与杭州市民卡有限公司共同经营的电商平台投产后运营情况无法达 到预期，将该平台摊余成本</w:t>
      </w:r>
      <w:r>
        <w:rPr>
          <w:rFonts w:ascii="Times New Roman" w:hAnsi="Times New Roman" w:cs="Times New Roman" w:eastAsia="Times New Roman" w:hint="default"/>
        </w:rPr>
        <w:t>547,380.31</w:t>
      </w:r>
      <w:r>
        <w:rPr/>
        <w:t>元一次性结转计入损益。</w:t>
      </w:r>
    </w:p>
    <w:p>
      <w:pPr>
        <w:spacing w:after="0" w:line="316"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5"/>
        <w:spacing w:line="240" w:lineRule="auto" w:before="34"/>
        <w:ind w:right="0"/>
        <w:jc w:val="left"/>
        <w:rPr>
          <w:b w:val="0"/>
          <w:bCs w:val="0"/>
        </w:rPr>
      </w:pPr>
      <w:bookmarkStart w:name="24、递延所得税资产/递延所得税负债" w:id="289"/>
      <w:bookmarkEnd w:id="289"/>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未经抵销的递延所得税资产" w:id="290"/>
      <w:bookmarkEnd w:id="290"/>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106,239,606.06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15,953,971.33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72,637,023.75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10,895,553.56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1,852,003.46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277,800.52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7,272,994.68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1,090,949.20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683,194.13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102,479.12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1,098,898.88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1,098,898.88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904,236.39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176,158.70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131,255.51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28,876.22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117,498,994.98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18,626,654.85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73,320,217.88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10,998,032.68</w:t>
            </w:r>
          </w:p>
        </w:tc>
      </w:tr>
    </w:tbl>
    <w:p>
      <w:pPr>
        <w:spacing w:line="240" w:lineRule="auto" w:before="2"/>
        <w:rPr>
          <w:rFonts w:ascii="宋体" w:hAnsi="宋体" w:cs="宋体" w:eastAsia="宋体" w:hint="default"/>
          <w:sz w:val="19"/>
          <w:szCs w:val="19"/>
        </w:rPr>
      </w:pPr>
    </w:p>
    <w:p>
      <w:pPr>
        <w:pStyle w:val="Heading5"/>
        <w:spacing w:line="240" w:lineRule="auto" w:before="34"/>
        <w:ind w:right="0"/>
        <w:jc w:val="left"/>
        <w:rPr>
          <w:b w:val="0"/>
          <w:bCs w:val="0"/>
        </w:rPr>
      </w:pPr>
      <w:bookmarkStart w:name="（2）未经抵销的递延所得税负债" w:id="291"/>
      <w:bookmarkEnd w:id="291"/>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32,101,928.65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7,065,642.83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277,828.98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61,122.38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32,379,757.63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7,126,765.21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bookmarkStart w:name="（3）以抵销后净额列示的递延所得税资产或负债" w:id="292"/>
      <w:bookmarkEnd w:id="292"/>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2"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2" w:right="50" w:hanging="272"/>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2" w:right="50" w:hanging="272"/>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18,626,654.85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6" w:right="0"/>
              <w:jc w:val="left"/>
              <w:rPr>
                <w:rFonts w:ascii="Times New Roman" w:hAnsi="Times New Roman" w:cs="Times New Roman" w:eastAsia="Times New Roman" w:hint="default"/>
                <w:sz w:val="18"/>
                <w:szCs w:val="18"/>
              </w:rPr>
            </w:pPr>
            <w:r>
              <w:rPr>
                <w:rFonts w:ascii="Times New Roman"/>
                <w:sz w:val="18"/>
              </w:rPr>
              <w:t>10,998,032.68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7,126,765.21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bookmarkStart w:name="（4）未确认递延所得税资产明细" w:id="293"/>
      <w:bookmarkEnd w:id="293"/>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8,939,778.20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1,236,360.50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84,959.34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24,640.83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9,024,737.54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1,261,001.33</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bookmarkStart w:name="（5）未确认递延所得税资产的可抵扣亏损将于以下年度到期" w:id="294"/>
      <w:bookmarkEnd w:id="294"/>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6,767,471.82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6,767,471.82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both"/>
      </w:pPr>
      <w:r>
        <w:rPr/>
        <w:t>其他说明：</w:t>
      </w:r>
    </w:p>
    <w:p>
      <w:pPr>
        <w:spacing w:line="240" w:lineRule="auto" w:before="0"/>
        <w:rPr>
          <w:rFonts w:ascii="宋体" w:hAnsi="宋体" w:cs="宋体" w:eastAsia="宋体" w:hint="default"/>
          <w:sz w:val="15"/>
          <w:szCs w:val="15"/>
        </w:rPr>
      </w:pPr>
    </w:p>
    <w:p>
      <w:pPr>
        <w:pStyle w:val="BodyText"/>
        <w:spacing w:line="309" w:lineRule="auto"/>
        <w:ind w:right="1125"/>
        <w:jc w:val="both"/>
      </w:pPr>
      <w:r>
        <w:rPr>
          <w:rFonts w:ascii="Times New Roman" w:hAnsi="Times New Roman" w:cs="Times New Roman" w:eastAsia="Times New Roman" w:hint="default"/>
          <w:spacing w:val="-1"/>
        </w:rPr>
        <w:t>1.</w:t>
      </w:r>
      <w:r>
        <w:rPr>
          <w:spacing w:val="-1"/>
        </w:rPr>
        <w:t>未经抵销的递延所得税资产</w:t>
      </w:r>
      <w:r>
        <w:rPr>
          <w:rFonts w:ascii="Times New Roman" w:hAnsi="Times New Roman" w:cs="Times New Roman" w:eastAsia="Times New Roman" w:hint="default"/>
          <w:spacing w:val="-1"/>
        </w:rPr>
        <w:t>-</w:t>
      </w:r>
      <w:r>
        <w:rPr>
          <w:spacing w:val="-1"/>
        </w:rPr>
        <w:t>研发费用：本公司之控股子公司</w:t>
      </w:r>
      <w:r>
        <w:rPr>
          <w:rFonts w:ascii="Times New Roman" w:hAnsi="Times New Roman" w:cs="Times New Roman" w:eastAsia="Times New Roman" w:hint="default"/>
          <w:spacing w:val="-1"/>
        </w:rPr>
        <w:t>SUNJE</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2"/>
        </w:rPr>
        <w:t>SOFT</w:t>
      </w:r>
      <w:r>
        <w:rPr>
          <w:spacing w:val="-2"/>
        </w:rPr>
        <w:t>株式会社（韩国）依据韩国的法人税规定，研发</w:t>
      </w:r>
      <w:r>
        <w:rPr>
          <w:spacing w:val="-80"/>
        </w:rPr>
        <w:t> </w:t>
      </w:r>
      <w:r>
        <w:rPr>
          <w:spacing w:val="-80"/>
        </w:rPr>
      </w:r>
      <w:r>
        <w:rPr>
          <w:spacing w:val="-2"/>
        </w:rPr>
        <w:t>费用可抵扣应纳法人税额，未产生应纳税额的，可结转以后年度使用，研发费用税额抵扣可递延至发生年度下一年起的第五</w:t>
      </w:r>
      <w:r>
        <w:rPr>
          <w:spacing w:val="-63"/>
        </w:rPr>
        <w:t> </w:t>
      </w:r>
      <w:r>
        <w:rPr>
          <w:spacing w:val="-63"/>
        </w:rPr>
      </w:r>
      <w:r>
        <w:rPr/>
        <w:t>年</w:t>
      </w:r>
    </w:p>
    <w:p>
      <w:pPr>
        <w:pStyle w:val="BodyText"/>
        <w:spacing w:line="300" w:lineRule="auto" w:before="144"/>
        <w:ind w:right="1123"/>
        <w:jc w:val="both"/>
      </w:pPr>
      <w:r>
        <w:rPr>
          <w:rFonts w:ascii="Times New Roman" w:hAnsi="Times New Roman" w:cs="Times New Roman" w:eastAsia="Times New Roman" w:hint="default"/>
          <w:w w:val="95"/>
        </w:rPr>
        <w:t>2.</w:t>
      </w:r>
      <w:r>
        <w:rPr>
          <w:w w:val="95"/>
        </w:rPr>
        <w:t>未经抵销的递延所得税资产</w:t>
      </w:r>
      <w:r>
        <w:rPr>
          <w:rFonts w:ascii="Times New Roman" w:hAnsi="Times New Roman" w:cs="Times New Roman" w:eastAsia="Times New Roman" w:hint="default"/>
          <w:w w:val="95"/>
        </w:rPr>
        <w:t>-</w:t>
      </w:r>
      <w:r>
        <w:rPr>
          <w:w w:val="95"/>
        </w:rPr>
        <w:t>其他：系本公司之控股子公司</w:t>
      </w:r>
      <w:r>
        <w:rPr>
          <w:rFonts w:ascii="Times New Roman" w:hAnsi="Times New Roman" w:cs="Times New Roman" w:eastAsia="Times New Roman" w:hint="default"/>
          <w:w w:val="95"/>
        </w:rPr>
        <w:t>SUNJE SOFT</w:t>
      </w:r>
      <w:r>
        <w:rPr>
          <w:w w:val="95"/>
        </w:rPr>
        <w:t>株式会社（韩国）依据韩国的法人税及地方所得税</w:t>
      </w:r>
      <w:r>
        <w:rPr>
          <w:spacing w:val="16"/>
          <w:w w:val="95"/>
        </w:rPr>
        <w:t> </w:t>
      </w:r>
      <w:r>
        <w:rPr>
          <w:spacing w:val="16"/>
          <w:w w:val="95"/>
        </w:rPr>
      </w:r>
      <w:r>
        <w:rPr/>
        <w:t>的规定产生的其他可抵扣暂时性差异确认的递延所得税资产。</w:t>
      </w:r>
    </w:p>
    <w:p>
      <w:pPr>
        <w:pStyle w:val="BodyText"/>
        <w:spacing w:line="300" w:lineRule="auto" w:before="151"/>
        <w:ind w:right="1123"/>
        <w:jc w:val="both"/>
      </w:pPr>
      <w:r>
        <w:rPr>
          <w:rFonts w:ascii="Times New Roman" w:hAnsi="Times New Roman" w:cs="Times New Roman" w:eastAsia="Times New Roman" w:hint="default"/>
          <w:w w:val="95"/>
        </w:rPr>
        <w:t>3.</w:t>
      </w:r>
      <w:r>
        <w:rPr>
          <w:w w:val="95"/>
        </w:rPr>
        <w:t>未经抵销的递延所得税负债</w:t>
      </w:r>
      <w:r>
        <w:rPr>
          <w:rFonts w:ascii="Times New Roman" w:hAnsi="Times New Roman" w:cs="Times New Roman" w:eastAsia="Times New Roman" w:hint="default"/>
          <w:w w:val="95"/>
        </w:rPr>
        <w:t>-</w:t>
      </w:r>
      <w:r>
        <w:rPr>
          <w:w w:val="95"/>
        </w:rPr>
        <w:t>其他：系本公司之控股子公司</w:t>
      </w:r>
      <w:r>
        <w:rPr>
          <w:rFonts w:ascii="Times New Roman" w:hAnsi="Times New Roman" w:cs="Times New Roman" w:eastAsia="Times New Roman" w:hint="default"/>
          <w:w w:val="95"/>
        </w:rPr>
        <w:t>SUNJE SOFT</w:t>
      </w:r>
      <w:r>
        <w:rPr>
          <w:w w:val="95"/>
        </w:rPr>
        <w:t>株式会社（韩国）依据韩国的法人税及地方所得税</w:t>
      </w:r>
      <w:r>
        <w:rPr>
          <w:spacing w:val="16"/>
          <w:w w:val="95"/>
        </w:rPr>
        <w:t> </w:t>
      </w:r>
      <w:r>
        <w:rPr>
          <w:spacing w:val="16"/>
          <w:w w:val="95"/>
        </w:rPr>
      </w:r>
      <w:r>
        <w:rPr/>
        <w:t>的规定产生的其他应纳税暂时性差异确认的递延所得税负债</w:t>
      </w:r>
    </w:p>
    <w:p>
      <w:pPr>
        <w:pStyle w:val="BodyText"/>
        <w:spacing w:line="300" w:lineRule="auto" w:before="151"/>
        <w:ind w:right="113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38"/>
        </w:rPr>
        <w:t> </w:t>
      </w:r>
      <w:r>
        <w:rPr/>
        <w:t>未确认递延所得税资产的可抵扣暂时性差异明细：资产减值准备、可抵扣亏损未确认递延所得税资产主要是子公司盈利</w:t>
      </w:r>
      <w:r>
        <w:rPr>
          <w:spacing w:val="-83"/>
        </w:rPr>
        <w:t> </w:t>
      </w:r>
      <w:r>
        <w:rPr>
          <w:spacing w:val="-83"/>
        </w:rPr>
      </w:r>
      <w:r>
        <w:rPr/>
        <w:t>能力有限，未来能否获得足够的应纳税所得额颇具不确定性。</w:t>
      </w:r>
    </w:p>
    <w:p>
      <w:pPr>
        <w:pStyle w:val="BodyText"/>
        <w:spacing w:line="300" w:lineRule="auto" w:before="151"/>
        <w:ind w:right="1130"/>
        <w:jc w:val="both"/>
      </w:pPr>
      <w:r>
        <w:rPr>
          <w:rFonts w:ascii="Times New Roman" w:hAnsi="Times New Roman" w:cs="Times New Roman" w:eastAsia="Times New Roman" w:hint="default"/>
          <w:spacing w:val="-1"/>
        </w:rPr>
        <w:t>5.</w:t>
      </w:r>
      <w:r>
        <w:rPr>
          <w:spacing w:val="-1"/>
        </w:rPr>
        <w:t>未确认递延所得税资产的可抵扣亏损将于以下年度到期：截止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日，子公司科蓝软体系统（香港）有限公司的</w:t>
      </w:r>
      <w:r>
        <w:rPr>
          <w:spacing w:val="-73"/>
        </w:rPr>
        <w:t> </w:t>
      </w:r>
      <w:r>
        <w:rPr>
          <w:spacing w:val="-73"/>
        </w:rPr>
      </w:r>
      <w:r>
        <w:rPr/>
        <w:t>经营亏损人民币</w:t>
      </w:r>
      <w:r>
        <w:rPr>
          <w:rFonts w:ascii="Times New Roman" w:hAnsi="Times New Roman" w:cs="Times New Roman" w:eastAsia="Times New Roman" w:hint="default"/>
        </w:rPr>
        <w:t>2,172,306.38</w:t>
      </w:r>
      <w:r>
        <w:rPr/>
        <w:t>元未确认递延所得税资产，按照相关规定，香港公司于某一课税年度所蒙受的亏损，可以无限</w:t>
      </w:r>
      <w:r>
        <w:rPr>
          <w:spacing w:val="-52"/>
        </w:rPr>
        <w:t> </w:t>
      </w:r>
      <w:r>
        <w:rPr>
          <w:spacing w:val="-52"/>
        </w:rPr>
      </w:r>
      <w:r>
        <w:rPr/>
        <w:t>期结转到以后年度，因此无到期日。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49"/>
        <w:ind w:right="0"/>
        <w:jc w:val="both"/>
        <w:rPr>
          <w:b w:val="0"/>
          <w:bCs w:val="0"/>
        </w:rPr>
      </w:pPr>
      <w:bookmarkStart w:name="25、其他非流动资产" w:id="295"/>
      <w:bookmarkEnd w:id="295"/>
      <w:r>
        <w:rPr>
          <w:b w:val="0"/>
          <w:bCs w:val="0"/>
        </w:rPr>
      </w:r>
      <w:r>
        <w:rPr>
          <w:rFonts w:ascii="Times New Roman" w:hAnsi="Times New Roman" w:cs="Times New Roman" w:eastAsia="Times New Roman" w:hint="default"/>
        </w:rPr>
        <w:t>25</w:t>
      </w:r>
      <w:r>
        <w:rPr/>
        <w:t>、其他非流动资产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6、短期借款" w:id="296"/>
      <w:bookmarkEnd w:id="296"/>
      <w:r>
        <w:rPr>
          <w:b w:val="0"/>
          <w:bCs w:val="0"/>
        </w:rPr>
      </w:r>
      <w:r>
        <w:rPr>
          <w:rFonts w:ascii="Times New Roman" w:hAnsi="Times New Roman" w:cs="Times New Roman" w:eastAsia="Times New Roman" w:hint="default"/>
        </w:rPr>
        <w:t>26</w:t>
      </w:r>
      <w:r>
        <w:rPr/>
        <w:t>、短期借款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短期借款分类" w:id="297"/>
      <w:bookmarkEnd w:id="297"/>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264,735,429.52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132,671,000.00</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保理借款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4" w:right="0"/>
              <w:jc w:val="left"/>
              <w:rPr>
                <w:rFonts w:ascii="Times New Roman" w:hAnsi="Times New Roman" w:cs="Times New Roman" w:eastAsia="Times New Roman" w:hint="default"/>
                <w:sz w:val="18"/>
                <w:szCs w:val="18"/>
              </w:rPr>
            </w:pPr>
            <w:r>
              <w:rPr>
                <w:rFonts w:ascii="Times New Roman"/>
                <w:sz w:val="18"/>
              </w:rPr>
              <w:t>419,735,429.52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0" w:right="0"/>
              <w:jc w:val="left"/>
              <w:rPr>
                <w:rFonts w:ascii="Times New Roman" w:hAnsi="Times New Roman" w:cs="Times New Roman" w:eastAsia="Times New Roman" w:hint="default"/>
                <w:sz w:val="18"/>
                <w:szCs w:val="18"/>
              </w:rPr>
            </w:pPr>
            <w:r>
              <w:rPr>
                <w:rFonts w:ascii="Times New Roman"/>
                <w:sz w:val="18"/>
              </w:rPr>
              <w:t>319,671,000.00</w:t>
            </w:r>
          </w:p>
        </w:tc>
      </w:tr>
    </w:tbl>
    <w:p>
      <w:pPr>
        <w:pStyle w:val="BodyText"/>
        <w:spacing w:line="240" w:lineRule="auto" w:before="51"/>
        <w:ind w:right="0"/>
        <w:jc w:val="left"/>
      </w:pPr>
      <w:r>
        <w:rPr/>
        <w:t>短期借款分类的说明：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2）已逾期未偿还的短期借款情况" w:id="298"/>
      <w:bookmarkEnd w:id="298"/>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元，其中重要的已逾期未偿还的短期借款情况如下：</w:t>
      </w:r>
    </w:p>
    <w:p>
      <w:pPr>
        <w:pStyle w:val="BodyText"/>
        <w:spacing w:line="240" w:lineRule="auto" w:before="103"/>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27、以公允价值计量且其变动计入当期损益的金融负债" w:id="299"/>
      <w:bookmarkEnd w:id="299"/>
      <w:r>
        <w:rPr>
          <w:b w:val="0"/>
          <w:bCs w:val="0"/>
        </w:rPr>
      </w: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28、衍生金融负债" w:id="300"/>
      <w:bookmarkEnd w:id="300"/>
      <w:r>
        <w:rPr>
          <w:b w:val="0"/>
          <w:bCs w:val="0"/>
        </w:rPr>
      </w:r>
      <w:r>
        <w:rPr>
          <w:rFonts w:ascii="Times New Roman" w:hAnsi="Times New Roman" w:cs="Times New Roman" w:eastAsia="Times New Roman" w:hint="default"/>
        </w:rPr>
        <w:t>28</w:t>
      </w:r>
      <w:r>
        <w:rPr/>
        <w:t>、衍生金融负债</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29、应付票据及应付账款" w:id="301"/>
      <w:bookmarkEnd w:id="301"/>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13,569,521.18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10,914,076.13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13,569,521.18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10,914,076.13</w:t>
            </w:r>
          </w:p>
        </w:tc>
      </w:tr>
    </w:tbl>
    <w:p>
      <w:pPr>
        <w:spacing w:line="240" w:lineRule="auto" w:before="5"/>
        <w:rPr>
          <w:rFonts w:ascii="宋体" w:hAnsi="宋体" w:cs="宋体" w:eastAsia="宋体" w:hint="default"/>
          <w:sz w:val="19"/>
          <w:szCs w:val="19"/>
        </w:rPr>
      </w:pPr>
    </w:p>
    <w:p>
      <w:pPr>
        <w:pStyle w:val="Heading5"/>
        <w:spacing w:line="240" w:lineRule="auto" w:before="34"/>
        <w:ind w:right="0"/>
        <w:jc w:val="left"/>
        <w:rPr>
          <w:b w:val="0"/>
          <w:bCs w:val="0"/>
        </w:rPr>
      </w:pPr>
      <w:bookmarkStart w:name="（1）应付票据分类列示" w:id="302"/>
      <w:bookmarkEnd w:id="302"/>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0"/>
        <w:jc w:val="left"/>
      </w:pPr>
      <w:r>
        <w:rPr/>
        <w:t>本期末已到期未支付的应付票据总额为元。</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2）应付账款列示" w:id="303"/>
      <w:bookmarkEnd w:id="303"/>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4,822,519.43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6,172,471.95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应付外包款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7,361,334.19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4,741,604.18</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1,153,080.36</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232,587.20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13,569,521.18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10,914,076.13</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bookmarkStart w:name="（3）账龄超过1年的重要应付账款" w:id="304"/>
      <w:bookmarkEnd w:id="304"/>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年的重要应付账款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30、预收款项" w:id="305"/>
      <w:bookmarkEnd w:id="305"/>
      <w:r>
        <w:rPr>
          <w:b w:val="0"/>
          <w:bCs w:val="0"/>
        </w:rPr>
      </w:r>
      <w:r>
        <w:rPr>
          <w:rFonts w:ascii="Times New Roman" w:hAnsi="Times New Roman" w:cs="Times New Roman" w:eastAsia="Times New Roman" w:hint="default"/>
        </w:rPr>
        <w:t>30</w:t>
      </w:r>
      <w:r>
        <w:rPr/>
        <w:t>、预收款项</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bookmarkStart w:name="（1）预收款项列示" w:id="306"/>
      <w:bookmarkEnd w:id="306"/>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预收项目进度款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22,408,884.33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15,414,704.88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22,408,884.33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15,414,704.88</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bookmarkStart w:name="（2）账龄超过1年的重要预收款项" w:id="307"/>
      <w:bookmarkEnd w:id="30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年的重要预收款项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bookmarkStart w:name="（3）期末建造合同形成的已结算未完工项目情况" w:id="308"/>
      <w:bookmarkEnd w:id="308"/>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4;height:397" coordorigin="13,12" coordsize="4774,397">
              <v:shape style="position:absolute;left:13;top:12;width:4774;height:397" coordorigin="13,12" coordsize="4774,397" path="m13,12l4787,12,4787,409,13,409,13,12xe" filled="true" fillcolor="#d2d2d2" stroked="false">
                <v:path arrowok="t"/>
                <v:fill type="solid"/>
              </v:shape>
            </v:group>
            <v:group style="position:absolute;left:4792;top:12;width:4784;height:397" coordorigin="4792,12" coordsize="4784,397">
              <v:shape style="position:absolute;left:4792;top:12;width:4784;height:397" coordorigin="4792,12" coordsize="4784,397" path="m4792,12l9576,12,9576,409,4792,409,4792,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89;top:5;width:2;height:402" coordorigin="4789,5" coordsize="2,402">
              <v:shape style="position:absolute;left:4789;top:5;width:2;height:402" coordorigin="4789,5" coordsize="0,402" path="m4789,5l4789,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19;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2;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50"/>
        <w:ind w:right="0"/>
        <w:jc w:val="left"/>
      </w:pPr>
      <w:r>
        <w:rPr/>
        <w:t>其他说明：</w:t>
      </w:r>
    </w:p>
    <w:p>
      <w:pPr>
        <w:pStyle w:val="BodyText"/>
        <w:spacing w:line="300" w:lineRule="auto" w:before="117"/>
        <w:ind w:left="532" w:right="1499"/>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日止，本公司无账龄超过一年的重要预收款项。 预收款项期末余额较期初余额增加</w:t>
      </w:r>
      <w:r>
        <w:rPr>
          <w:rFonts w:ascii="Times New Roman" w:hAnsi="Times New Roman" w:cs="Times New Roman" w:eastAsia="Times New Roman" w:hint="default"/>
        </w:rPr>
        <w:t>45.37%</w:t>
      </w:r>
      <w:r>
        <w:rPr/>
        <w:t>，主要系未完成开发项目增加而收到客户支付的合同预付款增加所致。</w:t>
      </w:r>
    </w:p>
    <w:p>
      <w:pPr>
        <w:spacing w:line="240" w:lineRule="auto" w:before="13"/>
        <w:rPr>
          <w:rFonts w:ascii="宋体" w:hAnsi="宋体" w:cs="宋体" w:eastAsia="宋体" w:hint="default"/>
          <w:sz w:val="21"/>
          <w:szCs w:val="21"/>
        </w:rPr>
      </w:pPr>
    </w:p>
    <w:p>
      <w:pPr>
        <w:pStyle w:val="Heading5"/>
        <w:spacing w:line="240" w:lineRule="auto"/>
        <w:ind w:right="0"/>
        <w:jc w:val="left"/>
        <w:rPr>
          <w:b w:val="0"/>
          <w:bCs w:val="0"/>
        </w:rPr>
      </w:pPr>
      <w:bookmarkStart w:name="31、应付职工薪酬" w:id="309"/>
      <w:bookmarkEnd w:id="309"/>
      <w:r>
        <w:rPr>
          <w:b w:val="0"/>
          <w:bCs w:val="0"/>
        </w:rPr>
      </w:r>
      <w:r>
        <w:rPr>
          <w:rFonts w:ascii="Times New Roman" w:hAnsi="Times New Roman" w:cs="Times New Roman" w:eastAsia="Times New Roman" w:hint="default"/>
        </w:rPr>
        <w:t>31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应付职工薪酬列示" w:id="310"/>
      <w:bookmarkEnd w:id="310"/>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68"/>
              <w:jc w:val="right"/>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97"/>
              <w:jc w:val="righ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36,046,390.56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682,018,852.22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673,149,487.83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44,915,754.95</w:t>
            </w:r>
          </w:p>
        </w:tc>
      </w:tr>
      <w:tr>
        <w:trPr>
          <w:trHeight w:val="71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22"/>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1,888,815.41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39,692,335.77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39,102,759.00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2,478,392.18</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37,940,205.97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721,823,187.99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712,364,246.83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47,399,147.13</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bookmarkStart w:name="（2）短期薪酬列示" w:id="311"/>
      <w:bookmarkEnd w:id="311"/>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33,493,007.77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635,845,022.44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627,524,202.70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41,813,827.51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1,167,274.47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1,167,274.47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1,136,554.67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20,739,586.99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20,423,482.34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1,452,659.32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993,377.97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18,591,740.73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18,303,010.78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1,282,107.92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29,216.44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512,060.38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503,927.43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37,349.39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113,960.26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1,635,785.88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1,616,544.13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133,202.01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1,205,880.38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20,863,183.60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20,630,743.60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1,438,320.38</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210,947.74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3,403,784.72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3,403,784.72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210,947.74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36,046,390.56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682,018,852.22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673,149,487.83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44,915,754.95</w:t>
            </w:r>
          </w:p>
        </w:tc>
      </w:tr>
    </w:tbl>
    <w:p>
      <w:pPr>
        <w:spacing w:line="240" w:lineRule="auto" w:before="5"/>
        <w:rPr>
          <w:rFonts w:ascii="宋体" w:hAnsi="宋体" w:cs="宋体" w:eastAsia="宋体" w:hint="default"/>
          <w:sz w:val="19"/>
          <w:szCs w:val="19"/>
        </w:rPr>
      </w:pPr>
    </w:p>
    <w:p>
      <w:pPr>
        <w:pStyle w:val="Heading5"/>
        <w:spacing w:line="240" w:lineRule="auto" w:before="34"/>
        <w:ind w:right="0"/>
        <w:jc w:val="left"/>
        <w:rPr>
          <w:b w:val="0"/>
          <w:bCs w:val="0"/>
        </w:rPr>
      </w:pPr>
      <w:bookmarkStart w:name="（3）设定提存计划列示" w:id="312"/>
      <w:bookmarkEnd w:id="312"/>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1,820,988.09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37,248,168.71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36,691,295.32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2,377,861.48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67,827.32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1,381,856.23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1,349,152.85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100,530.70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1,062,310.83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1,062,310.83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1,888,815.41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39,692,335.77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39,102,759.00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2,478,392.18</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5"/>
          <w:szCs w:val="15"/>
        </w:rPr>
      </w:pPr>
    </w:p>
    <w:p>
      <w:pPr>
        <w:pStyle w:val="BodyText"/>
        <w:spacing w:line="309" w:lineRule="auto"/>
        <w:ind w:right="1128" w:firstLine="420"/>
        <w:jc w:val="both"/>
      </w:pPr>
      <w:r>
        <w:rPr/>
        <w:t>本期新纳入合并范围的</w:t>
      </w:r>
      <w:r>
        <w:rPr>
          <w:rFonts w:ascii="Times New Roman" w:hAnsi="Times New Roman" w:cs="Times New Roman" w:eastAsia="Times New Roman" w:hint="default"/>
        </w:rPr>
        <w:t>SUNJE</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3"/>
        </w:rPr>
        <w:t>SOFT</w:t>
      </w:r>
      <w:r>
        <w:rPr>
          <w:spacing w:val="-3"/>
        </w:rPr>
        <w:t>株式会社（韩国）按照韩国的相关规定为职工缴纳的采用设定提存计划方式的退职</w:t>
      </w:r>
      <w:r>
        <w:rPr/>
        <w:t> </w:t>
      </w:r>
      <w:r>
        <w:rPr>
          <w:spacing w:val="-2"/>
        </w:rPr>
        <w:t>年金。公司的义务是将固定费用支付给第三方机构，员工未来可获得的退职金为公司支付给第三方机构的费用及其相关的投</w:t>
      </w:r>
      <w:r>
        <w:rPr>
          <w:spacing w:val="-64"/>
        </w:rPr>
        <w:t> </w:t>
      </w:r>
      <w:r>
        <w:rPr>
          <w:spacing w:val="-64"/>
        </w:rPr>
      </w:r>
      <w:r>
        <w:rPr/>
        <w:t>资损益。退职基金资产为在受托者的管理下独立的按照基金的形式运营的退职基金。</w:t>
      </w:r>
    </w:p>
    <w:p>
      <w:pPr>
        <w:spacing w:line="240" w:lineRule="auto" w:before="12"/>
        <w:rPr>
          <w:rFonts w:ascii="宋体" w:hAnsi="宋体" w:cs="宋体" w:eastAsia="宋体" w:hint="default"/>
          <w:sz w:val="23"/>
          <w:szCs w:val="23"/>
        </w:rPr>
      </w:pPr>
    </w:p>
    <w:p>
      <w:pPr>
        <w:pStyle w:val="Heading6"/>
        <w:spacing w:line="240" w:lineRule="auto"/>
        <w:ind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日止，本公司应付职工薪酬中没有属于拖欠性质的款项。</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5"/>
        <w:spacing w:line="240" w:lineRule="auto"/>
        <w:ind w:right="0"/>
        <w:jc w:val="left"/>
        <w:rPr>
          <w:b w:val="0"/>
          <w:bCs w:val="0"/>
        </w:rPr>
      </w:pPr>
      <w:bookmarkStart w:name="32、应交税费" w:id="313"/>
      <w:bookmarkEnd w:id="313"/>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after="0" w:line="240" w:lineRule="auto"/>
        <w:jc w:val="right"/>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13,505,310.39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10,925,421.82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4,640,432.28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4,507,747.64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4,530,517.73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3,856,623.67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1,208,826.62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757,395.61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943,688.74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600,486.08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24,828,775.76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20,647,674.82</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33、其他应付款" w:id="314"/>
      <w:bookmarkEnd w:id="314"/>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2,182,365.61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483,835.90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57,670,174.01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51,848,633.12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59,852,539.62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52,332,469.02</w:t>
            </w:r>
          </w:p>
        </w:tc>
      </w:tr>
    </w:tbl>
    <w:p>
      <w:pPr>
        <w:spacing w:line="240" w:lineRule="auto" w:before="5"/>
        <w:rPr>
          <w:rFonts w:ascii="宋体" w:hAnsi="宋体" w:cs="宋体" w:eastAsia="宋体" w:hint="default"/>
          <w:sz w:val="19"/>
          <w:szCs w:val="19"/>
        </w:rPr>
      </w:pPr>
    </w:p>
    <w:p>
      <w:pPr>
        <w:pStyle w:val="Heading5"/>
        <w:spacing w:line="240" w:lineRule="auto" w:before="34"/>
        <w:ind w:right="0"/>
        <w:jc w:val="left"/>
        <w:rPr>
          <w:b w:val="0"/>
          <w:bCs w:val="0"/>
        </w:rPr>
      </w:pPr>
      <w:bookmarkStart w:name="（1）应付利息" w:id="315"/>
      <w:bookmarkEnd w:id="315"/>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2,182,365.61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483,835.90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2,182,365.61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483,835.90</w:t>
            </w:r>
          </w:p>
        </w:tc>
      </w:tr>
    </w:tbl>
    <w:p>
      <w:pPr>
        <w:pStyle w:val="BodyText"/>
        <w:spacing w:line="240" w:lineRule="auto" w:before="51"/>
        <w:ind w:right="0"/>
        <w:jc w:val="left"/>
      </w:pPr>
      <w:r>
        <w:rPr/>
        <w:t>重要的已逾期未支付的利息情况：</w:t>
      </w:r>
    </w:p>
    <w:p>
      <w:pPr>
        <w:pStyle w:val="BodyText"/>
        <w:spacing w:line="240" w:lineRule="auto" w:before="115"/>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2）应付股利" w:id="316"/>
      <w:bookmarkEnd w:id="316"/>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0"/>
        <w:jc w:val="left"/>
      </w:pPr>
      <w:r>
        <w:rPr/>
        <w:t>其他说明，包括重要的超过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3）其他应付款" w:id="317"/>
      <w:bookmarkEnd w:id="317"/>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按款项性质列示其他应付款</w:t>
      </w:r>
    </w:p>
    <w:p>
      <w:pPr>
        <w:pStyle w:val="BodyText"/>
        <w:spacing w:line="240" w:lineRule="auto" w:before="101"/>
        <w:ind w:left="0" w:right="1132"/>
        <w:jc w:val="right"/>
      </w:pPr>
      <w:r>
        <w:rPr/>
        <w:t>单位：</w:t>
      </w:r>
      <w:r>
        <w:rPr>
          <w:spacing w:val="-2"/>
        </w:rPr>
        <w:t> </w:t>
      </w:r>
      <w:r>
        <w:rPr/>
        <w:t>元</w:t>
      </w:r>
    </w:p>
    <w:p>
      <w:pPr>
        <w:spacing w:after="0" w:line="240" w:lineRule="auto"/>
        <w:jc w:val="right"/>
        <w:sectPr>
          <w:footerReference w:type="default" r:id="rId30"/>
          <w:pgSz w:w="11910" w:h="16840"/>
          <w:pgMar w:footer="978" w:header="746" w:top="1060" w:bottom="1160" w:left="1020" w:right="0"/>
          <w:pgNumType w:start="17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2,872,275.35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4,244,232.32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待付员工报销款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6,744,503.69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8,196,003.01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社保及公积金个人部分</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2,619,655.57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1,835,183.13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44,639,624.11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34,978,753.00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残保金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2,077,595.99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向关联方借款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237,643.09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556,472.20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516,865.67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57,670,174.01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51,848,633.12</w:t>
            </w:r>
          </w:p>
        </w:tc>
      </w:tr>
    </w:tbl>
    <w:p>
      <w:pPr>
        <w:pStyle w:val="BodyText"/>
        <w:spacing w:line="240" w:lineRule="auto" w:before="51"/>
        <w:ind w:right="0"/>
        <w:jc w:val="left"/>
      </w:pPr>
      <w:r>
        <w:rPr>
          <w:rFonts w:ascii="Times New Roman" w:hAnsi="Times New Roman" w:cs="Times New Roman" w:eastAsia="Times New Roman" w:hint="default"/>
        </w:rPr>
        <w:t>2)</w:t>
      </w: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年的重要其他应付款</w:t>
      </w:r>
    </w:p>
    <w:p>
      <w:pPr>
        <w:pStyle w:val="BodyText"/>
        <w:spacing w:line="240" w:lineRule="auto" w:before="103"/>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2"/>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4、持有待售负债" w:id="318"/>
      <w:bookmarkEnd w:id="318"/>
      <w:r>
        <w:rPr>
          <w:b w:val="0"/>
          <w:bCs w:val="0"/>
        </w:rPr>
      </w:r>
      <w:r>
        <w:rPr>
          <w:rFonts w:ascii="Times New Roman" w:hAnsi="Times New Roman" w:cs="Times New Roman" w:eastAsia="Times New Roman" w:hint="default"/>
        </w:rPr>
        <w:t>34</w:t>
      </w:r>
      <w:r>
        <w:rPr/>
        <w:t>、持有待售负债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35、一年内到期的非流动负债" w:id="319"/>
      <w:bookmarkEnd w:id="319"/>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25,346,372.37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25,346,372.37</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left="532" w:right="0"/>
        <w:jc w:val="left"/>
      </w:pPr>
      <w:r>
        <w:rPr/>
        <w:t>期末一年内到期的长期应付款系按照合同约定与下一年度应支付的融资租赁款，详见附注七、注释</w:t>
      </w:r>
      <w:r>
        <w:rPr>
          <w:rFonts w:ascii="Times New Roman" w:hAnsi="Times New Roman" w:cs="Times New Roman" w:eastAsia="Times New Roman" w:hint="default"/>
        </w:rPr>
        <w:t>39</w:t>
      </w:r>
      <w:r>
        <w:rPr/>
        <w:t>所述。</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5"/>
        <w:spacing w:line="240" w:lineRule="auto"/>
        <w:ind w:right="0"/>
        <w:jc w:val="left"/>
        <w:rPr>
          <w:b w:val="0"/>
          <w:bCs w:val="0"/>
        </w:rPr>
      </w:pPr>
      <w:bookmarkStart w:name="36、其他流动负债" w:id="320"/>
      <w:bookmarkEnd w:id="320"/>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0"/>
        <w:jc w:val="left"/>
      </w:pPr>
      <w:r>
        <w:rPr/>
        <w:t>短期应付债券的增减变动：</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03" w:right="31" w:hanging="269"/>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7、长期借款" w:id="321"/>
      <w:bookmarkEnd w:id="321"/>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长期借款分类" w:id="322"/>
      <w:bookmarkEnd w:id="322"/>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49"/>
        <w:ind w:right="8594"/>
        <w:jc w:val="left"/>
      </w:pPr>
      <w:r>
        <w:rPr/>
        <w:t>长期借款分类的说明： 其他说明，包括利率区间：</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38、应付债券" w:id="323"/>
      <w:bookmarkEnd w:id="323"/>
      <w:r>
        <w:rPr>
          <w:b w:val="0"/>
          <w:bCs w:val="0"/>
        </w:rPr>
      </w:r>
      <w:r>
        <w:rPr>
          <w:rFonts w:ascii="Times New Roman" w:hAnsi="Times New Roman" w:cs="Times New Roman" w:eastAsia="Times New Roman" w:hint="default"/>
        </w:rPr>
        <w:t>38</w:t>
      </w:r>
      <w:r>
        <w:rPr/>
        <w:t>、应付债券</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bookmarkStart w:name="（1）应付债券" w:id="324"/>
      <w:bookmarkEnd w:id="324"/>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bookmarkStart w:name="（2）应付债券的增减变动（不包括划分为金融负债的优先股、永续债等其他金融工具）" w:id="325"/>
      <w:bookmarkEnd w:id="325"/>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5"/>
        <w:rPr>
          <w:rFonts w:ascii="宋体" w:hAnsi="宋体" w:cs="宋体" w:eastAsia="宋体" w:hint="default"/>
          <w:sz w:val="24"/>
          <w:szCs w:val="24"/>
        </w:rPr>
      </w:pPr>
    </w:p>
    <w:p>
      <w:pPr>
        <w:pStyle w:val="Heading5"/>
        <w:spacing w:line="240" w:lineRule="auto" w:before="34"/>
        <w:ind w:right="0"/>
        <w:jc w:val="left"/>
        <w:rPr>
          <w:b w:val="0"/>
          <w:bCs w:val="0"/>
        </w:rPr>
      </w:pPr>
      <w:bookmarkStart w:name="（3）可转换公司债券的转股条件、转股时间说明" w:id="326"/>
      <w:bookmarkEnd w:id="326"/>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bookmarkStart w:name="（4）划分为金融负债的其他金融工具说明" w:id="327"/>
      <w:bookmarkEnd w:id="327"/>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6" w:footer="978" w:top="1060" w:bottom="1160" w:left="1020" w:right="0"/>
        </w:sectPr>
      </w:pPr>
    </w:p>
    <w:p>
      <w:pPr>
        <w:pStyle w:val="BodyText"/>
        <w:spacing w:line="360" w:lineRule="auto" w:before="44"/>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0"/>
          <w:cols w:num="2" w:equalWidth="0">
            <w:col w:w="4613" w:space="4216"/>
            <w:col w:w="2061"/>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7"/>
        <w:gridCol w:w="1063"/>
        <w:gridCol w:w="1063"/>
        <w:gridCol w:w="1063"/>
        <w:gridCol w:w="1062"/>
        <w:gridCol w:w="1062"/>
        <w:gridCol w:w="1062"/>
        <w:gridCol w:w="1062"/>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66" w:right="75" w:hanging="89"/>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0"/>
        <w:ind w:right="7514"/>
        <w:jc w:val="left"/>
      </w:pPr>
      <w:r>
        <w:rPr/>
        <w:t>其他金融工具划分为金融负债的依据说明 其他说明</w:t>
      </w:r>
    </w:p>
    <w:p>
      <w:pPr>
        <w:spacing w:line="240" w:lineRule="auto" w:before="12"/>
        <w:rPr>
          <w:rFonts w:ascii="宋体" w:hAnsi="宋体" w:cs="宋体" w:eastAsia="宋体" w:hint="default"/>
          <w:sz w:val="19"/>
          <w:szCs w:val="19"/>
        </w:rPr>
      </w:pPr>
    </w:p>
    <w:p>
      <w:pPr>
        <w:pStyle w:val="Heading5"/>
        <w:spacing w:line="240" w:lineRule="auto"/>
        <w:ind w:right="0"/>
        <w:jc w:val="left"/>
        <w:rPr>
          <w:b w:val="0"/>
          <w:bCs w:val="0"/>
        </w:rPr>
      </w:pPr>
      <w:bookmarkStart w:name="39、长期应付款" w:id="328"/>
      <w:bookmarkEnd w:id="328"/>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48,473,220.20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48,473,220.20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1020" w:right="0"/>
        </w:sectPr>
      </w:pPr>
    </w:p>
    <w:p>
      <w:pPr>
        <w:spacing w:line="240" w:lineRule="auto" w:before="10"/>
        <w:rPr>
          <w:rFonts w:ascii="宋体" w:hAnsi="宋体" w:cs="宋体" w:eastAsia="宋体" w:hint="default"/>
          <w:sz w:val="24"/>
          <w:szCs w:val="24"/>
        </w:rPr>
      </w:pPr>
    </w:p>
    <w:p>
      <w:pPr>
        <w:pStyle w:val="Heading5"/>
        <w:spacing w:line="240" w:lineRule="auto" w:before="34"/>
        <w:ind w:right="0"/>
        <w:jc w:val="left"/>
        <w:rPr>
          <w:b w:val="0"/>
          <w:bCs w:val="0"/>
        </w:rPr>
      </w:pPr>
      <w:bookmarkStart w:name="（1）按款项性质列示长期应付款" w:id="329"/>
      <w:bookmarkEnd w:id="329"/>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应付融资租赁款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73,819,592.57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减：一年内到期的长期应付款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25,346,372.37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48,473,220.20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2"/>
        <w:ind w:right="0"/>
        <w:jc w:val="left"/>
      </w:pPr>
      <w:r>
        <w:rPr/>
        <w:t>其他说明：</w:t>
      </w:r>
    </w:p>
    <w:p>
      <w:pPr>
        <w:spacing w:line="240" w:lineRule="auto" w:before="1"/>
        <w:rPr>
          <w:rFonts w:ascii="宋体" w:hAnsi="宋体" w:cs="宋体" w:eastAsia="宋体" w:hint="default"/>
          <w:sz w:val="13"/>
          <w:szCs w:val="13"/>
        </w:rPr>
      </w:pPr>
    </w:p>
    <w:p>
      <w:pPr>
        <w:pStyle w:val="Heading5"/>
        <w:spacing w:line="240" w:lineRule="auto"/>
        <w:ind w:right="0"/>
        <w:jc w:val="left"/>
        <w:rPr>
          <w:b w:val="0"/>
          <w:bCs w:val="0"/>
        </w:rPr>
      </w:pPr>
      <w:r>
        <w:rPr/>
        <w:t>长期应付款的说明</w:t>
      </w:r>
      <w:r>
        <w:rPr>
          <w:b w:val="0"/>
          <w:bCs w:val="0"/>
        </w:rPr>
      </w:r>
    </w:p>
    <w:p>
      <w:pPr>
        <w:pStyle w:val="BodyText"/>
        <w:spacing w:line="300" w:lineRule="auto" w:before="62"/>
        <w:ind w:right="1132" w:firstLine="42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23</w:t>
      </w:r>
      <w:r>
        <w:rPr>
          <w:spacing w:val="-2"/>
        </w:rPr>
        <w:t>日，公司与北京市文化科技融资租赁股份有限公司签订《著作权转让合同》与《融资租赁合同》，以软件</w:t>
      </w:r>
      <w:r>
        <w:rPr/>
        <w:t> 著作权售后租回的方式获得融资资金人民币</w:t>
      </w:r>
      <w:r>
        <w:rPr>
          <w:rFonts w:ascii="Times New Roman" w:hAnsi="Times New Roman" w:cs="Times New Roman" w:eastAsia="Times New Roman" w:hint="default"/>
        </w:rPr>
        <w:t>4,000</w:t>
      </w:r>
      <w:r>
        <w:rPr/>
        <w:t>万元，租赁期为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日，共</w:t>
      </w:r>
      <w:r>
        <w:rPr>
          <w:rFonts w:ascii="Times New Roman" w:hAnsi="Times New Roman" w:cs="Times New Roman" w:eastAsia="Times New Roman" w:hint="default"/>
        </w:rPr>
        <w:t>36</w:t>
      </w:r>
      <w:r>
        <w:rPr/>
        <w:t>个月，租金以等额</w:t>
      </w:r>
      <w:r>
        <w:rPr>
          <w:spacing w:val="-57"/>
        </w:rPr>
        <w:t> </w:t>
      </w:r>
      <w:r>
        <w:rPr>
          <w:spacing w:val="-57"/>
        </w:rPr>
      </w:r>
      <w:r>
        <w:rPr/>
        <w:t>本息的方式按季度支付。本公司股东王安京为该项融资提供连带责任保证担保。</w:t>
      </w:r>
    </w:p>
    <w:p>
      <w:pPr>
        <w:pStyle w:val="BodyText"/>
        <w:spacing w:line="300" w:lineRule="auto" w:before="31"/>
        <w:ind w:right="1147"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14</w:t>
      </w:r>
      <w:r>
        <w:rPr>
          <w:spacing w:val="-2"/>
        </w:rPr>
        <w:t>日，公司与北京市文化科技融资租赁股份有限公司签订《著作权转让合同》与《融资租赁合同》，以软件</w:t>
      </w:r>
      <w:r>
        <w:rPr/>
        <w:t> 著作权售后租回的方式获得融资资金人民币</w:t>
      </w:r>
      <w:r>
        <w:rPr>
          <w:rFonts w:ascii="Times New Roman" w:hAnsi="Times New Roman" w:cs="Times New Roman" w:eastAsia="Times New Roman" w:hint="default"/>
        </w:rPr>
        <w:t>4,000</w:t>
      </w:r>
      <w:r>
        <w:rPr/>
        <w:t>万元，租赁期为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日，共</w:t>
      </w:r>
      <w:r>
        <w:rPr>
          <w:rFonts w:ascii="Times New Roman" w:hAnsi="Times New Roman" w:cs="Times New Roman" w:eastAsia="Times New Roman" w:hint="default"/>
        </w:rPr>
        <w:t>36</w:t>
      </w:r>
      <w:r>
        <w:rPr/>
        <w:t>个月，租金以等 额本息的方式按季度支付。本公司股东王安京为该项融资提供连带责任保证担保。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47"/>
        <w:ind w:right="0"/>
        <w:jc w:val="left"/>
        <w:rPr>
          <w:b w:val="0"/>
          <w:bCs w:val="0"/>
        </w:rPr>
      </w:pPr>
      <w:bookmarkStart w:name="（2）专项应付款" w:id="330"/>
      <w:bookmarkEnd w:id="330"/>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40、长期应付职工薪酬" w:id="331"/>
      <w:bookmarkEnd w:id="331"/>
      <w:r>
        <w:rPr>
          <w:b w:val="0"/>
          <w:bCs w:val="0"/>
        </w:rPr>
      </w:r>
      <w:r>
        <w:rPr>
          <w:rFonts w:ascii="Times New Roman" w:hAnsi="Times New Roman" w:cs="Times New Roman" w:eastAsia="Times New Roman" w:hint="default"/>
        </w:rPr>
        <w:t>40</w:t>
      </w:r>
      <w:r>
        <w:rPr/>
        <w:t>、长期应付职工薪酬</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bookmarkStart w:name="（1）长期应付职工薪酬表" w:id="332"/>
      <w:bookmarkEnd w:id="332"/>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bookmarkStart w:name="（2）设定受益计划变动情况" w:id="333"/>
      <w:bookmarkEnd w:id="333"/>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设定受益计划义务现值：</w:t>
      </w:r>
    </w:p>
    <w:p>
      <w:pPr>
        <w:pStyle w:val="BodyText"/>
        <w:spacing w:line="240" w:lineRule="auto" w:before="117"/>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0"/>
        <w:jc w:val="left"/>
      </w:pPr>
      <w:r>
        <w:rPr/>
        <w:t>计划资产：</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0"/>
        <w:ind w:right="0"/>
        <w:jc w:val="left"/>
      </w:pPr>
      <w:r>
        <w:rPr/>
        <w:t>设定受益计划净负债（净资产）</w:t>
      </w:r>
    </w:p>
    <w:p>
      <w:pPr>
        <w:pStyle w:val="BodyText"/>
        <w:spacing w:line="240" w:lineRule="auto" w:before="117"/>
        <w:ind w:left="0" w:right="1132"/>
        <w:jc w:val="right"/>
      </w:pPr>
      <w:r>
        <w:rPr/>
        <w:t>单位：</w:t>
      </w:r>
      <w:r>
        <w:rPr>
          <w:spacing w:val="-2"/>
        </w:rPr>
        <w:t> </w:t>
      </w:r>
      <w:r>
        <w:rPr/>
        <w:t>元</w:t>
      </w:r>
    </w:p>
    <w:p>
      <w:pPr>
        <w:spacing w:after="0" w:line="240" w:lineRule="auto"/>
        <w:jc w:val="right"/>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51"/>
        <w:ind w:right="3554"/>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5"/>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41、预计负债" w:id="334"/>
      <w:bookmarkEnd w:id="334"/>
      <w:r>
        <w:rPr>
          <w:b w:val="0"/>
          <w:bCs w:val="0"/>
        </w:rPr>
      </w:r>
      <w:r>
        <w:rPr>
          <w:rFonts w:ascii="Times New Roman" w:hAnsi="Times New Roman" w:cs="Times New Roman" w:eastAsia="Times New Roman" w:hint="default"/>
        </w:rPr>
        <w:t>41</w:t>
      </w:r>
      <w:r>
        <w:rPr/>
        <w:t>、预计负债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right="0"/>
        <w:jc w:val="left"/>
      </w:pPr>
      <w:r>
        <w:rPr/>
        <w:t>其他说明，包括重要预计负债的相关重要假设、估计说明：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2、递延收益" w:id="335"/>
      <w:bookmarkEnd w:id="335"/>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0"/>
              <w:jc w:val="righ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325,333.00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325,333.00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8"/>
              <w:jc w:val="right"/>
              <w:rPr>
                <w:rFonts w:ascii="宋体" w:hAnsi="宋体" w:cs="宋体" w:eastAsia="宋体" w:hint="default"/>
                <w:sz w:val="18"/>
                <w:szCs w:val="18"/>
              </w:rPr>
            </w:pPr>
            <w:r>
              <w:rPr>
                <w:rFonts w:ascii="宋体" w:hAnsi="宋体" w:cs="宋体" w:eastAsia="宋体" w:hint="default"/>
                <w:sz w:val="18"/>
                <w:szCs w:val="18"/>
              </w:rPr>
              <w:t>详见以下说明</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325,333.00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325,333.00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涉及政府补助的项目：</w:t>
      </w:r>
    </w:p>
    <w:p>
      <w:pPr>
        <w:pStyle w:val="BodyText"/>
        <w:spacing w:line="240" w:lineRule="auto" w:before="117"/>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5"/>
        <w:gridCol w:w="1063"/>
        <w:gridCol w:w="1063"/>
        <w:gridCol w:w="1063"/>
        <w:gridCol w:w="1063"/>
        <w:gridCol w:w="1063"/>
        <w:gridCol w:w="1063"/>
        <w:gridCol w:w="1063"/>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6"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75" w:right="50"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与收益相关</w:t>
            </w:r>
          </w:p>
        </w:tc>
      </w:tr>
      <w:tr>
        <w:trPr>
          <w:trHeight w:val="361" w:hRule="exact"/>
        </w:trPr>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年北京</w:t>
            </w:r>
          </w:p>
        </w:tc>
        <w:tc>
          <w:tcPr>
            <w:tcW w:w="1065"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128"/>
              <w:jc w:val="left"/>
              <w:rPr>
                <w:rFonts w:ascii="宋体" w:hAnsi="宋体" w:cs="宋体" w:eastAsia="宋体" w:hint="default"/>
                <w:sz w:val="18"/>
                <w:szCs w:val="18"/>
              </w:rPr>
            </w:pPr>
            <w:r>
              <w:rPr>
                <w:rFonts w:ascii="宋体" w:hAnsi="宋体" w:cs="宋体" w:eastAsia="宋体" w:hint="default"/>
                <w:sz w:val="18"/>
                <w:szCs w:val="18"/>
              </w:rPr>
              <w:t>市文化创意 产业</w:t>
            </w:r>
            <w:r>
              <w:rPr>
                <w:rFonts w:ascii="Times New Roman" w:hAnsi="Times New Roman" w:cs="Times New Roman" w:eastAsia="Times New Roman" w:hint="default"/>
                <w:sz w:val="18"/>
                <w:szCs w:val="18"/>
              </w:rPr>
              <w:t>“</w:t>
            </w:r>
            <w:r>
              <w:rPr>
                <w:rFonts w:ascii="宋体" w:hAnsi="宋体" w:cs="宋体" w:eastAsia="宋体" w:hint="default"/>
                <w:sz w:val="18"/>
                <w:szCs w:val="18"/>
              </w:rPr>
              <w:t>投贷</w:t>
            </w:r>
          </w:p>
        </w:tc>
        <w:tc>
          <w:tcPr>
            <w:tcW w:w="1065"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325,333.00</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325,333.00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3" w:hRule="exact"/>
        </w:trPr>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奖</w:t>
            </w:r>
            <w:r>
              <w:rPr>
                <w:rFonts w:ascii="Times New Roman" w:hAnsi="Times New Roman" w:cs="Times New Roman" w:eastAsia="Times New Roman" w:hint="default"/>
                <w:sz w:val="18"/>
                <w:szCs w:val="18"/>
              </w:rPr>
              <w:t>”</w:t>
            </w:r>
          </w:p>
        </w:tc>
        <w:tc>
          <w:tcPr>
            <w:tcW w:w="1065"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325,333.00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325,333.00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pStyle w:val="BodyText"/>
        <w:spacing w:line="240" w:lineRule="auto" w:before="50"/>
        <w:ind w:right="0"/>
        <w:jc w:val="left"/>
      </w:pPr>
      <w:r>
        <w:rPr/>
        <w:t>其他说明：</w:t>
      </w:r>
    </w:p>
    <w:p>
      <w:pPr>
        <w:pStyle w:val="BodyText"/>
        <w:spacing w:line="300" w:lineRule="auto" w:before="115"/>
        <w:ind w:right="1132" w:firstLine="420"/>
        <w:jc w:val="right"/>
      </w:pPr>
      <w:r>
        <w:rPr>
          <w:spacing w:val="-1"/>
        </w:rPr>
        <w:t>本期公司获取北京市国有文化资产监督管理办公室拨付的</w:t>
      </w:r>
      <w:r>
        <w:rPr>
          <w:rFonts w:ascii="Times New Roman" w:hAnsi="Times New Roman" w:cs="Times New Roman" w:eastAsia="Times New Roman" w:hint="default"/>
          <w:spacing w:val="-1"/>
        </w:rPr>
        <w:t>2018</w:t>
      </w:r>
      <w:r>
        <w:rPr>
          <w:spacing w:val="-1"/>
        </w:rPr>
        <w:t>年北京市文化创意产业</w:t>
      </w:r>
      <w:r>
        <w:rPr>
          <w:rFonts w:ascii="Times New Roman" w:hAnsi="Times New Roman" w:cs="Times New Roman" w:eastAsia="Times New Roman" w:hint="default"/>
          <w:spacing w:val="-1"/>
        </w:rPr>
        <w:t>“</w:t>
      </w:r>
      <w:r>
        <w:rPr>
          <w:spacing w:val="-1"/>
        </w:rPr>
        <w:t>投贷奖</w:t>
      </w:r>
      <w:r>
        <w:rPr>
          <w:rFonts w:ascii="Times New Roman" w:hAnsi="Times New Roman" w:cs="Times New Roman" w:eastAsia="Times New Roman" w:hint="default"/>
          <w:spacing w:val="-1"/>
        </w:rPr>
        <w:t>”650,666.00</w:t>
      </w:r>
      <w:r>
        <w:rPr>
          <w:spacing w:val="-1"/>
        </w:rPr>
        <w:t>元，依据北京</w:t>
      </w:r>
      <w:r>
        <w:rPr/>
        <w:t> </w:t>
      </w:r>
      <w:r>
        <w:rPr>
          <w:spacing w:val="-2"/>
          <w:w w:val="99"/>
        </w:rPr>
        <w:t>市文化改革和发展领导小组京文领办文</w:t>
      </w:r>
      <w:r>
        <w:rPr>
          <w:rFonts w:ascii="Times New Roman" w:hAnsi="Times New Roman" w:cs="Times New Roman" w:eastAsia="Times New Roman" w:hint="default"/>
          <w:spacing w:val="-2"/>
          <w:w w:val="99"/>
        </w:rPr>
        <w:t>[2017]3</w:t>
      </w:r>
      <w:r>
        <w:rPr>
          <w:spacing w:val="-2"/>
          <w:w w:val="99"/>
        </w:rPr>
        <w:t>号，《北京市实施文化创意产业</w:t>
      </w:r>
      <w:r>
        <w:rPr>
          <w:rFonts w:ascii="Times New Roman" w:hAnsi="Times New Roman" w:cs="Times New Roman" w:eastAsia="Times New Roman" w:hint="default"/>
          <w:spacing w:val="-2"/>
          <w:w w:val="99"/>
        </w:rPr>
        <w:t>“</w:t>
      </w:r>
      <w:r>
        <w:rPr>
          <w:spacing w:val="-2"/>
          <w:w w:val="99"/>
        </w:rPr>
        <w:t>投贷奖</w:t>
      </w:r>
      <w:r>
        <w:rPr>
          <w:rFonts w:ascii="Times New Roman" w:hAnsi="Times New Roman" w:cs="Times New Roman" w:eastAsia="Times New Roman" w:hint="default"/>
          <w:spacing w:val="-2"/>
          <w:w w:val="99"/>
        </w:rPr>
        <w:t>”</w:t>
      </w:r>
      <w:r>
        <w:rPr>
          <w:spacing w:val="-2"/>
          <w:w w:val="99"/>
        </w:rPr>
        <w:t>联动推动文化金融融合发展管理办法</w:t>
      </w:r>
    </w:p>
    <w:p>
      <w:pPr>
        <w:pStyle w:val="BodyText"/>
        <w:spacing w:line="300" w:lineRule="auto" w:before="13"/>
        <w:ind w:right="0"/>
        <w:jc w:val="left"/>
      </w:pPr>
      <w:r>
        <w:rPr>
          <w:spacing w:val="-2"/>
        </w:rPr>
        <w:t>（试行）》的规定，监管银行对资金进行监管，公司可使用</w:t>
      </w:r>
      <w:r>
        <w:rPr>
          <w:rFonts w:ascii="Times New Roman" w:hAnsi="Times New Roman" w:cs="Times New Roman" w:eastAsia="Times New Roman" w:hint="default"/>
          <w:spacing w:val="-2"/>
        </w:rPr>
        <w:t>50%</w:t>
      </w:r>
      <w:r>
        <w:rPr>
          <w:spacing w:val="-2"/>
        </w:rPr>
        <w:t>奖励资金，另外</w:t>
      </w:r>
      <w:r>
        <w:rPr>
          <w:rFonts w:ascii="Times New Roman" w:hAnsi="Times New Roman" w:cs="Times New Roman" w:eastAsia="Times New Roman" w:hint="default"/>
          <w:spacing w:val="-2"/>
        </w:rPr>
        <w:t>50%</w:t>
      </w:r>
      <w:r>
        <w:rPr>
          <w:spacing w:val="-2"/>
        </w:rPr>
        <w:t>奖励资金须经市文资办监督检查和绩效</w:t>
      </w:r>
      <w:r>
        <w:rPr>
          <w:spacing w:val="-70"/>
        </w:rPr>
        <w:t> </w:t>
      </w:r>
      <w:r>
        <w:rPr/>
        <w:t>考评后方可使用，对于考评不合格的项目，给与资金扣减，并收归国库。据此，监管银行冻结</w:t>
      </w:r>
      <w:r>
        <w:rPr>
          <w:rFonts w:ascii="Times New Roman" w:hAnsi="Times New Roman" w:cs="Times New Roman" w:eastAsia="Times New Roman" w:hint="default"/>
        </w:rPr>
        <w:t>50%</w:t>
      </w:r>
      <w:r>
        <w:rPr/>
        <w:t>奖励资金</w:t>
      </w:r>
      <w:r>
        <w:rPr>
          <w:rFonts w:ascii="Times New Roman" w:hAnsi="Times New Roman" w:cs="Times New Roman" w:eastAsia="Times New Roman" w:hint="default"/>
        </w:rPr>
        <w:t>325,333.00</w:t>
      </w:r>
      <w:r>
        <w:rPr/>
        <w:t>元</w:t>
      </w:r>
    </w:p>
    <w:p>
      <w:pPr>
        <w:spacing w:line="240" w:lineRule="auto" w:before="2"/>
        <w:rPr>
          <w:rFonts w:ascii="宋体" w:hAnsi="宋体" w:cs="宋体" w:eastAsia="宋体" w:hint="default"/>
          <w:sz w:val="22"/>
          <w:szCs w:val="22"/>
        </w:rPr>
      </w:pPr>
    </w:p>
    <w:p>
      <w:pPr>
        <w:pStyle w:val="Heading5"/>
        <w:spacing w:line="240" w:lineRule="auto"/>
        <w:ind w:right="0"/>
        <w:jc w:val="left"/>
        <w:rPr>
          <w:b w:val="0"/>
          <w:bCs w:val="0"/>
        </w:rPr>
      </w:pPr>
      <w:bookmarkStart w:name="43、其他非流动负债" w:id="336"/>
      <w:bookmarkEnd w:id="336"/>
      <w:r>
        <w:rPr>
          <w:b w:val="0"/>
          <w:bCs w:val="0"/>
        </w:rPr>
      </w:r>
      <w:r>
        <w:rPr>
          <w:rFonts w:ascii="Times New Roman" w:hAnsi="Times New Roman" w:cs="Times New Roman" w:eastAsia="Times New Roman" w:hint="default"/>
        </w:rPr>
        <w:t>43</w:t>
      </w:r>
      <w:r>
        <w:rPr/>
        <w:t>、其他非流动负债</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0"/>
        <w:jc w:val="left"/>
      </w:pPr>
      <w:r>
        <w:rPr/>
        <w:t>其他说明：</w:t>
      </w:r>
    </w:p>
    <w:p>
      <w:pPr>
        <w:spacing w:after="0" w:line="240"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5"/>
        <w:spacing w:line="240" w:lineRule="auto" w:before="34"/>
        <w:ind w:right="0"/>
        <w:jc w:val="left"/>
        <w:rPr>
          <w:b w:val="0"/>
          <w:bCs w:val="0"/>
        </w:rPr>
      </w:pPr>
      <w:bookmarkStart w:name="44、股本" w:id="337"/>
      <w:bookmarkEnd w:id="337"/>
      <w:r>
        <w:rPr>
          <w:b w:val="0"/>
          <w:bCs w:val="0"/>
        </w:rPr>
      </w:r>
      <w:r>
        <w:rPr>
          <w:rFonts w:ascii="Times New Roman" w:hAnsi="Times New Roman" w:cs="Times New Roman" w:eastAsia="Times New Roman" w:hint="default"/>
        </w:rPr>
        <w:t>44</w:t>
      </w:r>
      <w:r>
        <w:rPr/>
        <w:t>、股本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5"/>
        <w:gridCol w:w="1197"/>
        <w:gridCol w:w="1196"/>
        <w:gridCol w:w="1196"/>
        <w:gridCol w:w="1196"/>
        <w:gridCol w:w="1196"/>
        <w:gridCol w:w="1196"/>
        <w:gridCol w:w="1196"/>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133,948,619.00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7" w:right="0"/>
              <w:jc w:val="left"/>
              <w:rPr>
                <w:rFonts w:ascii="Times New Roman" w:hAnsi="Times New Roman" w:cs="Times New Roman" w:eastAsia="Times New Roman" w:hint="default"/>
                <w:sz w:val="18"/>
                <w:szCs w:val="18"/>
              </w:rPr>
            </w:pPr>
            <w:r>
              <w:rPr>
                <w:rFonts w:ascii="Times New Roman"/>
                <w:sz w:val="18"/>
              </w:rPr>
              <w:t>1,000,000.00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66,974,297.00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4" w:right="0"/>
              <w:jc w:val="left"/>
              <w:rPr>
                <w:rFonts w:ascii="Times New Roman" w:hAnsi="Times New Roman" w:cs="Times New Roman" w:eastAsia="Times New Roman" w:hint="default"/>
                <w:sz w:val="18"/>
                <w:szCs w:val="18"/>
              </w:rPr>
            </w:pPr>
            <w:r>
              <w:rPr>
                <w:rFonts w:ascii="Times New Roman"/>
                <w:sz w:val="18"/>
              </w:rPr>
              <w:t>-458,959.00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67,515,338.00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201,463,957.00</w:t>
            </w:r>
          </w:p>
        </w:tc>
      </w:tr>
    </w:tbl>
    <w:p>
      <w:pPr>
        <w:pStyle w:val="BodyText"/>
        <w:spacing w:line="240" w:lineRule="auto" w:before="51"/>
        <w:ind w:right="0"/>
        <w:jc w:val="left"/>
      </w:pPr>
      <w:r>
        <w:rPr/>
        <w:t>其他说明：</w:t>
      </w:r>
    </w:p>
    <w:p>
      <w:pPr>
        <w:spacing w:line="240" w:lineRule="auto" w:before="1"/>
        <w:rPr>
          <w:rFonts w:ascii="宋体" w:hAnsi="宋体" w:cs="宋体" w:eastAsia="宋体" w:hint="default"/>
          <w:sz w:val="13"/>
          <w:szCs w:val="13"/>
        </w:rPr>
      </w:pPr>
    </w:p>
    <w:p>
      <w:pPr>
        <w:pStyle w:val="Heading6"/>
        <w:spacing w:line="240" w:lineRule="auto"/>
        <w:ind w:right="0"/>
        <w:jc w:val="left"/>
      </w:pPr>
      <w:r>
        <w:rPr/>
        <w:t>本年股本变动情况如下：</w:t>
      </w:r>
    </w:p>
    <w:p>
      <w:pPr>
        <w:pStyle w:val="BodyText"/>
        <w:spacing w:line="300" w:lineRule="auto" w:before="62"/>
        <w:ind w:right="1032" w:firstLine="420"/>
        <w:jc w:val="left"/>
      </w:pPr>
      <w:r>
        <w:rPr>
          <w:rFonts w:ascii="Times New Roman" w:hAnsi="Times New Roman" w:cs="Times New Roman" w:eastAsia="Times New Roman" w:hint="default"/>
        </w:rPr>
        <w:t>1</w:t>
      </w:r>
      <w:r>
        <w:rPr/>
        <w:t>、根据公司</w:t>
      </w:r>
      <w:r>
        <w:rPr>
          <w:rFonts w:ascii="Times New Roman" w:hAnsi="Times New Roman" w:cs="Times New Roman" w:eastAsia="Times New Roman" w:hint="default"/>
        </w:rPr>
        <w:t>2017</w:t>
      </w:r>
      <w:r>
        <w:rPr/>
        <w:t>年第三次临时股东大会审议通过的《关于</w:t>
      </w:r>
      <w:r>
        <w:rPr>
          <w:rFonts w:ascii="Times New Roman" w:hAnsi="Times New Roman" w:cs="Times New Roman" w:eastAsia="Times New Roman" w:hint="default"/>
        </w:rPr>
        <w:t>&lt;</w:t>
      </w:r>
      <w:r>
        <w:rPr/>
        <w:t>北京科蓝软件系统股份有限公司</w:t>
      </w:r>
      <w:r>
        <w:rPr>
          <w:rFonts w:ascii="Times New Roman" w:hAnsi="Times New Roman" w:cs="Times New Roman" w:eastAsia="Times New Roman" w:hint="default"/>
        </w:rPr>
        <w:t>2017</w:t>
      </w:r>
      <w:r>
        <w:rPr/>
        <w:t>年限制性股票激励计 </w:t>
      </w:r>
      <w:r>
        <w:rPr>
          <w:spacing w:val="-5"/>
          <w:w w:val="99"/>
        </w:rPr>
        <w:t>划（草案）</w:t>
      </w:r>
      <w:r>
        <w:rPr>
          <w:rFonts w:ascii="Times New Roman" w:hAnsi="Times New Roman" w:cs="Times New Roman" w:eastAsia="Times New Roman" w:hint="default"/>
          <w:spacing w:val="-5"/>
          <w:w w:val="99"/>
        </w:rPr>
        <w:t>&gt;</w:t>
      </w:r>
      <w:r>
        <w:rPr>
          <w:spacing w:val="-5"/>
          <w:w w:val="99"/>
        </w:rPr>
        <w:t>及其摘要的议案》，以及第二届董事会第十二次会议审议通过的《关于向激励对象授予预留限制性股票的议案》，</w:t>
      </w:r>
      <w:r>
        <w:rPr>
          <w:spacing w:val="-83"/>
          <w:w w:val="99"/>
        </w:rPr>
        <w:t> </w:t>
      </w:r>
      <w:r>
        <w:rPr>
          <w:spacing w:val="-83"/>
          <w:w w:val="99"/>
        </w:rPr>
      </w:r>
      <w:r>
        <w:rPr>
          <w:spacing w:val="-3"/>
          <w:w w:val="99"/>
        </w:rPr>
        <w:t>公司向激励对象授予限制性人民币普通股（</w:t>
      </w:r>
      <w:r>
        <w:rPr>
          <w:rFonts w:ascii="Times New Roman" w:hAnsi="Times New Roman" w:cs="Times New Roman" w:eastAsia="Times New Roman" w:hint="default"/>
          <w:spacing w:val="-3"/>
          <w:w w:val="99"/>
        </w:rPr>
        <w:t>A</w:t>
      </w:r>
      <w:r>
        <w:rPr>
          <w:spacing w:val="-3"/>
          <w:w w:val="99"/>
        </w:rPr>
        <w:t>股），共实际授予</w:t>
      </w:r>
      <w:r>
        <w:rPr>
          <w:rFonts w:ascii="Times New Roman" w:hAnsi="Times New Roman" w:cs="Times New Roman" w:eastAsia="Times New Roman" w:hint="default"/>
          <w:spacing w:val="-3"/>
          <w:w w:val="99"/>
        </w:rPr>
        <w:t>1,000,000.00</w:t>
      </w:r>
      <w:r>
        <w:rPr>
          <w:spacing w:val="-3"/>
          <w:w w:val="99"/>
        </w:rPr>
        <w:t>股，每股面值</w:t>
      </w:r>
      <w:r>
        <w:rPr>
          <w:rFonts w:ascii="Times New Roman" w:hAnsi="Times New Roman" w:cs="Times New Roman" w:eastAsia="Times New Roman" w:hint="default"/>
          <w:spacing w:val="-3"/>
          <w:w w:val="99"/>
        </w:rPr>
        <w:t>1.0</w:t>
      </w:r>
      <w:r>
        <w:rPr>
          <w:spacing w:val="-3"/>
          <w:w w:val="99"/>
        </w:rPr>
        <w:t>元，增加股本</w:t>
      </w:r>
      <w:r>
        <w:rPr>
          <w:rFonts w:ascii="Times New Roman" w:hAnsi="Times New Roman" w:cs="Times New Roman" w:eastAsia="Times New Roman" w:hint="default"/>
          <w:spacing w:val="-3"/>
          <w:w w:val="99"/>
        </w:rPr>
        <w:t>1,000,000.00</w:t>
      </w:r>
      <w:r>
        <w:rPr>
          <w:spacing w:val="-3"/>
          <w:w w:val="99"/>
        </w:rPr>
        <w:t>元。此</w:t>
      </w:r>
      <w:r>
        <w:rPr>
          <w:spacing w:val="-61"/>
          <w:w w:val="99"/>
        </w:rPr>
        <w:t> </w:t>
      </w:r>
      <w:r>
        <w:rPr>
          <w:spacing w:val="-61"/>
          <w:w w:val="99"/>
        </w:rPr>
      </w:r>
      <w:r>
        <w:rPr/>
        <w:t>次增资事项业经大华会计师事务所（特殊普通合伙）于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日出具大华验字</w:t>
      </w:r>
      <w:r>
        <w:rPr>
          <w:rFonts w:ascii="Times New Roman" w:hAnsi="Times New Roman" w:cs="Times New Roman" w:eastAsia="Times New Roman" w:hint="default"/>
        </w:rPr>
        <w:t>[2018]000155</w:t>
      </w:r>
      <w:r>
        <w:rPr/>
        <w:t>号验资报告予以验证。</w:t>
      </w:r>
    </w:p>
    <w:p>
      <w:pPr>
        <w:pStyle w:val="BodyText"/>
        <w:spacing w:line="300" w:lineRule="auto" w:before="13"/>
        <w:ind w:right="1034" w:firstLine="424"/>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日，公司</w:t>
      </w:r>
      <w:r>
        <w:rPr>
          <w:rFonts w:ascii="Times New Roman" w:hAnsi="Times New Roman" w:cs="Times New Roman" w:eastAsia="Times New Roman" w:hint="default"/>
        </w:rPr>
        <w:t>2017</w:t>
      </w:r>
      <w:r>
        <w:rPr/>
        <w:t>年年度股东大会决议通过</w:t>
      </w:r>
      <w:r>
        <w:rPr>
          <w:rFonts w:ascii="Times New Roman" w:hAnsi="Times New Roman" w:cs="Times New Roman" w:eastAsia="Times New Roman" w:hint="default"/>
        </w:rPr>
        <w:t>2017</w:t>
      </w:r>
      <w:r>
        <w:rPr/>
        <w:t>年度利润分配方案，决议以</w:t>
      </w:r>
      <w:r>
        <w:rPr>
          <w:rFonts w:ascii="Times New Roman" w:hAnsi="Times New Roman" w:cs="Times New Roman" w:eastAsia="Times New Roman" w:hint="default"/>
        </w:rPr>
        <w:t>2017</w:t>
      </w:r>
      <w:r>
        <w:rPr/>
        <w:t>年末总股本</w:t>
      </w:r>
      <w:r>
        <w:rPr>
          <w:rFonts w:ascii="Times New Roman" w:hAnsi="Times New Roman" w:cs="Times New Roman" w:eastAsia="Times New Roman" w:hint="default"/>
        </w:rPr>
        <w:t>133,948,619</w:t>
      </w:r>
      <w:r>
        <w:rPr/>
        <w:t>股 </w:t>
      </w:r>
      <w:r>
        <w:rPr>
          <w:spacing w:val="-3"/>
        </w:rPr>
        <w:t>为基数，以现金股利方式向全体股东派发红利</w:t>
      </w:r>
      <w:r>
        <w:rPr>
          <w:rFonts w:ascii="Times New Roman" w:hAnsi="Times New Roman" w:cs="Times New Roman" w:eastAsia="Times New Roman" w:hint="default"/>
          <w:spacing w:val="-3"/>
        </w:rPr>
        <w:t>6,697,430.95</w:t>
      </w:r>
      <w:r>
        <w:rPr>
          <w:spacing w:val="-3"/>
        </w:rPr>
        <w:t>元，计每</w:t>
      </w:r>
      <w:r>
        <w:rPr>
          <w:rFonts w:ascii="Times New Roman" w:hAnsi="Times New Roman" w:cs="Times New Roman" w:eastAsia="Times New Roman" w:hint="default"/>
          <w:spacing w:val="-3"/>
        </w:rPr>
        <w:t>10</w:t>
      </w:r>
      <w:r>
        <w:rPr>
          <w:spacing w:val="-3"/>
        </w:rPr>
        <w:t>股分配现金红利</w:t>
      </w:r>
      <w:r>
        <w:rPr>
          <w:rFonts w:ascii="Times New Roman" w:hAnsi="Times New Roman" w:cs="Times New Roman" w:eastAsia="Times New Roman" w:hint="default"/>
          <w:spacing w:val="-3"/>
        </w:rPr>
        <w:t>0.5</w:t>
      </w:r>
      <w:r>
        <w:rPr>
          <w:spacing w:val="-3"/>
        </w:rPr>
        <w:t>元（含税），以资本公积金向全体股</w:t>
      </w:r>
      <w:r>
        <w:rPr>
          <w:spacing w:val="-80"/>
        </w:rPr>
        <w:t> </w:t>
      </w:r>
      <w:r>
        <w:rPr>
          <w:spacing w:val="-80"/>
        </w:rPr>
      </w:r>
      <w:r>
        <w:rPr>
          <w:spacing w:val="-3"/>
        </w:rPr>
        <w:t>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5</w:t>
      </w:r>
      <w:r>
        <w:rPr>
          <w:spacing w:val="-3"/>
        </w:rPr>
        <w:t>股。</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29</w:t>
      </w:r>
      <w:r>
        <w:rPr>
          <w:spacing w:val="-3"/>
        </w:rPr>
        <w:t>日，公司调整并公告权益分派方案，由于公司权益分派方案经股东大会审议通过后至实施前，</w:t>
      </w:r>
      <w:r>
        <w:rPr>
          <w:spacing w:val="-84"/>
        </w:rPr>
        <w:t> </w:t>
      </w:r>
      <w:r>
        <w:rPr>
          <w:spacing w:val="-84"/>
        </w:rPr>
      </w:r>
      <w:r>
        <w:rPr>
          <w:spacing w:val="9"/>
        </w:rPr>
        <w:t>公司完成了 </w:t>
      </w:r>
      <w:r>
        <w:rPr>
          <w:rFonts w:ascii="Times New Roman" w:hAnsi="Times New Roman" w:cs="Times New Roman" w:eastAsia="Times New Roman" w:hint="default"/>
          <w:spacing w:val="8"/>
        </w:rPr>
        <w:t>2017</w:t>
      </w:r>
      <w:r>
        <w:rPr>
          <w:spacing w:val="8"/>
        </w:rPr>
        <w:t>年限制性股票激励计划限制性股票预留部分的授予登记工作，公司股本总数由</w:t>
      </w:r>
      <w:r>
        <w:rPr>
          <w:rFonts w:ascii="Times New Roman" w:hAnsi="Times New Roman" w:cs="Times New Roman" w:eastAsia="Times New Roman" w:hint="default"/>
          <w:spacing w:val="8"/>
        </w:rPr>
        <w:t>133,948,619</w:t>
      </w:r>
      <w:r>
        <w:rPr>
          <w:spacing w:val="8"/>
        </w:rPr>
        <w:t>股增加至</w:t>
      </w:r>
      <w:r>
        <w:rPr>
          <w:spacing w:val="-30"/>
        </w:rPr>
        <w:t> </w:t>
      </w:r>
      <w:r>
        <w:rPr>
          <w:spacing w:val="-30"/>
        </w:rPr>
      </w:r>
      <w:r>
        <w:rPr>
          <w:rFonts w:ascii="Times New Roman" w:hAnsi="Times New Roman" w:cs="Times New Roman" w:eastAsia="Times New Roman" w:hint="default"/>
        </w:rPr>
        <w:t>134,948,619</w:t>
      </w:r>
      <w:r>
        <w:rPr/>
        <w:t>股，因此调整权益分配方案为：以公司现有总股本 </w:t>
      </w:r>
      <w:r>
        <w:rPr>
          <w:rFonts w:ascii="Times New Roman" w:hAnsi="Times New Roman" w:cs="Times New Roman" w:eastAsia="Times New Roman" w:hint="default"/>
        </w:rPr>
        <w:t>134,948,619 </w:t>
      </w:r>
      <w:r>
        <w:rPr/>
        <w:t>股为基数，向全体股东每 </w:t>
      </w:r>
      <w:r>
        <w:rPr>
          <w:rFonts w:ascii="Times New Roman" w:hAnsi="Times New Roman" w:cs="Times New Roman" w:eastAsia="Times New Roman" w:hint="default"/>
        </w:rPr>
        <w:t>10 </w:t>
      </w:r>
      <w:r>
        <w:rPr/>
        <w:t>股派 </w:t>
      </w:r>
      <w:r>
        <w:rPr>
          <w:rFonts w:ascii="Times New Roman" w:hAnsi="Times New Roman" w:cs="Times New Roman" w:eastAsia="Times New Roman" w:hint="default"/>
        </w:rPr>
        <w:t>0.496294</w:t>
      </w:r>
      <w:r>
        <w:rPr>
          <w:rFonts w:ascii="Times New Roman" w:hAnsi="Times New Roman" w:cs="Times New Roman" w:eastAsia="Times New Roman" w:hint="default"/>
          <w:spacing w:val="2"/>
        </w:rPr>
        <w:t> </w:t>
      </w:r>
      <w:r>
        <w:rPr/>
        <w:t>元 人民币现金，同时，以资本公积金向全体股东每 </w:t>
      </w:r>
      <w:r>
        <w:rPr>
          <w:rFonts w:ascii="Times New Roman" w:hAnsi="Times New Roman" w:cs="Times New Roman" w:eastAsia="Times New Roman" w:hint="default"/>
        </w:rPr>
        <w:t>10 </w:t>
      </w:r>
      <w:r>
        <w:rPr/>
        <w:t>股转增</w:t>
      </w:r>
      <w:r>
        <w:rPr>
          <w:rFonts w:ascii="Times New Roman" w:hAnsi="Times New Roman" w:cs="Times New Roman" w:eastAsia="Times New Roman" w:hint="default"/>
        </w:rPr>
        <w:t>4.962948 </w:t>
      </w:r>
      <w:r>
        <w:rPr/>
        <w:t>股。分红后总股本增至</w:t>
      </w:r>
      <w:r>
        <w:rPr>
          <w:spacing w:val="-37"/>
        </w:rPr>
        <w:t> </w:t>
      </w:r>
      <w:r>
        <w:rPr>
          <w:rFonts w:ascii="Times New Roman" w:hAnsi="Times New Roman" w:cs="Times New Roman" w:eastAsia="Times New Roman" w:hint="default"/>
        </w:rPr>
        <w:t>201,922,916</w:t>
      </w:r>
      <w:r>
        <w:rPr/>
        <w:t>股。</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 中国证券登记结算有限责任公司深圳分公司完成权益分派。</w:t>
      </w:r>
    </w:p>
    <w:p>
      <w:pPr>
        <w:pStyle w:val="BodyText"/>
        <w:spacing w:line="300" w:lineRule="auto" w:before="31"/>
        <w:ind w:right="1124" w:firstLine="360"/>
        <w:jc w:val="left"/>
      </w:pPr>
      <w:r>
        <w:rPr>
          <w:rFonts w:ascii="Times New Roman" w:hAnsi="Times New Roman" w:cs="Times New Roman" w:eastAsia="Times New Roman" w:hint="default"/>
        </w:rPr>
        <w:t>3</w:t>
      </w:r>
      <w:r>
        <w:rPr/>
        <w:t>、根据公司</w:t>
      </w:r>
      <w:r>
        <w:rPr>
          <w:rFonts w:ascii="Times New Roman" w:hAnsi="Times New Roman" w:cs="Times New Roman" w:eastAsia="Times New Roman" w:hint="default"/>
        </w:rPr>
        <w:t>2017</w:t>
      </w:r>
      <w:r>
        <w:rPr/>
        <w:t>年第三次临时股东大会审议通过的《关于</w:t>
      </w:r>
      <w:r>
        <w:rPr>
          <w:rFonts w:ascii="Times New Roman" w:hAnsi="Times New Roman" w:cs="Times New Roman" w:eastAsia="Times New Roman" w:hint="default"/>
        </w:rPr>
        <w:t>&lt;</w:t>
      </w:r>
      <w:r>
        <w:rPr/>
        <w:t>北京科蓝软件系统股份有限公司</w:t>
      </w:r>
      <w:r>
        <w:rPr>
          <w:rFonts w:ascii="Times New Roman" w:hAnsi="Times New Roman" w:cs="Times New Roman" w:eastAsia="Times New Roman" w:hint="default"/>
        </w:rPr>
        <w:t>2017</w:t>
      </w:r>
      <w:r>
        <w:rPr/>
        <w:t>年限制性股票激励计 </w:t>
      </w:r>
      <w:r>
        <w:rPr>
          <w:spacing w:val="-7"/>
          <w:w w:val="99"/>
        </w:rPr>
        <w:t>划（草案）</w:t>
      </w:r>
      <w:r>
        <w:rPr>
          <w:rFonts w:ascii="Times New Roman" w:hAnsi="Times New Roman" w:cs="Times New Roman" w:eastAsia="Times New Roman" w:hint="default"/>
          <w:spacing w:val="-7"/>
          <w:w w:val="99"/>
        </w:rPr>
        <w:t>&gt;</w:t>
      </w:r>
      <w:r>
        <w:rPr>
          <w:spacing w:val="-7"/>
          <w:w w:val="99"/>
        </w:rPr>
        <w:t>及其摘要的议案》、</w:t>
      </w:r>
      <w:r>
        <w:rPr>
          <w:spacing w:val="42"/>
          <w:w w:val="99"/>
        </w:rPr>
        <w:t> </w:t>
      </w:r>
      <w:r>
        <w:rPr>
          <w:rFonts w:ascii="Times New Roman" w:hAnsi="Times New Roman" w:cs="Times New Roman" w:eastAsia="Times New Roman" w:hint="default"/>
          <w:spacing w:val="-1"/>
        </w:rPr>
        <w:t>2018</w:t>
      </w:r>
      <w:r>
        <w:rPr>
          <w:spacing w:val="-1"/>
        </w:rPr>
        <w:t>年第二次临时股东大会审议通过的《关于回购注销</w:t>
      </w:r>
      <w:r>
        <w:rPr>
          <w:rFonts w:ascii="Times New Roman" w:hAnsi="Times New Roman" w:cs="Times New Roman" w:eastAsia="Times New Roman" w:hint="default"/>
          <w:spacing w:val="-1"/>
        </w:rPr>
        <w:t>2017</w:t>
      </w:r>
      <w:r>
        <w:rPr>
          <w:spacing w:val="-1"/>
        </w:rPr>
        <w:t>年股权激励计划部分首次授予</w:t>
      </w:r>
      <w:r>
        <w:rPr>
          <w:spacing w:val="-84"/>
        </w:rPr>
        <w:t> </w:t>
      </w:r>
      <w:r>
        <w:rPr>
          <w:spacing w:val="-3"/>
        </w:rPr>
        <w:t>限制性股票的议案》，以及</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21</w:t>
      </w:r>
      <w:r>
        <w:rPr>
          <w:spacing w:val="-3"/>
        </w:rPr>
        <w:t>日召开的第二届董事会第十五次会议审议通过的《关于回购注销</w:t>
      </w:r>
      <w:r>
        <w:rPr>
          <w:rFonts w:ascii="Times New Roman" w:hAnsi="Times New Roman" w:cs="Times New Roman" w:eastAsia="Times New Roman" w:hint="default"/>
          <w:spacing w:val="-3"/>
        </w:rPr>
        <w:t>2017</w:t>
      </w:r>
      <w:r>
        <w:rPr>
          <w:spacing w:val="-3"/>
        </w:rPr>
        <w:t>年股权激励计划</w:t>
      </w:r>
      <w:r>
        <w:rPr>
          <w:spacing w:val="-88"/>
        </w:rPr>
        <w:t> </w:t>
      </w:r>
      <w:r>
        <w:rPr>
          <w:spacing w:val="-3"/>
        </w:rPr>
        <w:t>部分首次授予限制性股票的议案》、</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14</w:t>
      </w:r>
      <w:r>
        <w:rPr>
          <w:spacing w:val="-3"/>
        </w:rPr>
        <w:t>日召开的第二届董事会第十六次会议审议通过的《关于调整</w:t>
      </w:r>
      <w:r>
        <w:rPr>
          <w:rFonts w:ascii="Times New Roman" w:hAnsi="Times New Roman" w:cs="Times New Roman" w:eastAsia="Times New Roman" w:hint="default"/>
          <w:spacing w:val="-3"/>
        </w:rPr>
        <w:t>2017</w:t>
      </w:r>
      <w:r>
        <w:rPr>
          <w:spacing w:val="-3"/>
        </w:rPr>
        <w:t>年股权激励</w:t>
      </w:r>
      <w:r>
        <w:rPr>
          <w:spacing w:val="-88"/>
        </w:rPr>
        <w:t> </w:t>
      </w:r>
      <w:r>
        <w:rPr>
          <w:spacing w:val="-2"/>
        </w:rPr>
        <w:t>计划限制性股票数量及回购价格的议案》以及修改后的公司章程，公司回购注销</w:t>
      </w:r>
      <w:r>
        <w:rPr>
          <w:rFonts w:ascii="Times New Roman" w:hAnsi="Times New Roman" w:cs="Times New Roman" w:eastAsia="Times New Roman" w:hint="default"/>
          <w:spacing w:val="-2"/>
        </w:rPr>
        <w:t>2017</w:t>
      </w:r>
      <w:r>
        <w:rPr>
          <w:spacing w:val="-2"/>
        </w:rPr>
        <w:t>年限制性股票激励计划对象中</w:t>
      </w:r>
      <w:r>
        <w:rPr>
          <w:rFonts w:ascii="Times New Roman" w:hAnsi="Times New Roman" w:cs="Times New Roman" w:eastAsia="Times New Roman" w:hint="default"/>
          <w:spacing w:val="-2"/>
        </w:rPr>
        <w:t>16</w:t>
      </w:r>
      <w:r>
        <w:rPr>
          <w:spacing w:val="-2"/>
        </w:rPr>
        <w:t>人因个</w:t>
      </w:r>
      <w:r>
        <w:rPr>
          <w:spacing w:val="-61"/>
        </w:rPr>
        <w:t> </w:t>
      </w:r>
      <w:r>
        <w:rPr>
          <w:spacing w:val="-1"/>
        </w:rPr>
        <w:t>人原因已离职员工持有的股限制性股票</w:t>
      </w:r>
      <w:r>
        <w:rPr>
          <w:rFonts w:ascii="Times New Roman" w:hAnsi="Times New Roman" w:cs="Times New Roman" w:eastAsia="Times New Roman" w:hint="default"/>
          <w:spacing w:val="-1"/>
        </w:rPr>
        <w:t>90,677</w:t>
      </w:r>
      <w:r>
        <w:rPr>
          <w:spacing w:val="-1"/>
        </w:rPr>
        <w:t>股，同时由于公司</w:t>
      </w:r>
      <w:r>
        <w:rPr>
          <w:rFonts w:ascii="Times New Roman" w:hAnsi="Times New Roman" w:cs="Times New Roman" w:eastAsia="Times New Roman" w:hint="default"/>
          <w:spacing w:val="-1"/>
        </w:rPr>
        <w:t>2017</w:t>
      </w:r>
      <w:r>
        <w:rPr>
          <w:spacing w:val="-1"/>
        </w:rPr>
        <w:t>年度业绩未达到限制性股票激励计划首次授予的第一期</w:t>
      </w:r>
      <w:r>
        <w:rPr>
          <w:spacing w:val="-73"/>
        </w:rPr>
        <w:t> </w:t>
      </w:r>
      <w:r>
        <w:rPr>
          <w:spacing w:val="-1"/>
        </w:rPr>
        <w:t>的解除限售条件，公司回购注销第一个解除限售期的限制性股票</w:t>
      </w:r>
      <w:r>
        <w:rPr>
          <w:rFonts w:ascii="Times New Roman" w:hAnsi="Times New Roman" w:cs="Times New Roman" w:eastAsia="Times New Roman" w:hint="default"/>
          <w:spacing w:val="-1"/>
        </w:rPr>
        <w:t>368,282</w:t>
      </w:r>
      <w:r>
        <w:rPr>
          <w:spacing w:val="-1"/>
        </w:rPr>
        <w:t>股，合计</w:t>
      </w:r>
      <w:r>
        <w:rPr>
          <w:rFonts w:ascii="Times New Roman" w:hAnsi="Times New Roman" w:cs="Times New Roman" w:eastAsia="Times New Roman" w:hint="default"/>
          <w:spacing w:val="-1"/>
        </w:rPr>
        <w:t>458,959.00</w:t>
      </w:r>
      <w:r>
        <w:rPr>
          <w:spacing w:val="-1"/>
        </w:rPr>
        <w:t>股。本次回购注销后公司注册资</w:t>
      </w:r>
      <w:r>
        <w:rPr>
          <w:spacing w:val="-73"/>
        </w:rPr>
        <w:t> </w:t>
      </w:r>
      <w:r>
        <w:rPr>
          <w:spacing w:val="-73"/>
        </w:rPr>
      </w:r>
      <w:r>
        <w:rPr/>
        <w:t>本变更为</w:t>
      </w:r>
      <w:r>
        <w:rPr>
          <w:rFonts w:ascii="Times New Roman" w:hAnsi="Times New Roman" w:cs="Times New Roman" w:eastAsia="Times New Roman" w:hint="default"/>
        </w:rPr>
        <w:t>201,463,957.00</w:t>
      </w:r>
      <w:r>
        <w:rPr/>
        <w:t>元。此次股票回购事项业经大华会计师事务所（特殊普通合伙）于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日出具大华验字 </w:t>
      </w:r>
      <w:r>
        <w:rPr>
          <w:rFonts w:ascii="Times New Roman" w:hAnsi="Times New Roman" w:cs="Times New Roman" w:eastAsia="Times New Roman" w:hint="default"/>
        </w:rPr>
        <w:t>[2018]000317</w:t>
      </w:r>
      <w:r>
        <w:rPr/>
        <w:t>号验资报告予以验证。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1"/>
        <w:ind w:right="0"/>
        <w:jc w:val="left"/>
        <w:rPr>
          <w:b w:val="0"/>
          <w:bCs w:val="0"/>
        </w:rPr>
      </w:pPr>
      <w:bookmarkStart w:name="45、其他权益工具" w:id="338"/>
      <w:bookmarkEnd w:id="338"/>
      <w:r>
        <w:rPr>
          <w:b w:val="0"/>
          <w:bCs w:val="0"/>
        </w:rPr>
      </w:r>
      <w:r>
        <w:rPr>
          <w:rFonts w:ascii="Times New Roman" w:hAnsi="Times New Roman" w:cs="Times New Roman" w:eastAsia="Times New Roman" w:hint="default"/>
        </w:rPr>
        <w:t>45</w:t>
      </w:r>
      <w:r>
        <w:rPr/>
        <w:t>、其他权益工具</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bookmarkStart w:name="（1）期末发行在外的优先股、永续债等其他金融工具基本情况" w:id="339"/>
      <w:bookmarkEnd w:id="339"/>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bookmarkStart w:name="（2）期末发行在外的优先股、永续债等金融工具变动情况表" w:id="340"/>
      <w:bookmarkEnd w:id="340"/>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7"/>
        <w:gridCol w:w="1063"/>
        <w:gridCol w:w="1063"/>
        <w:gridCol w:w="1063"/>
        <w:gridCol w:w="1062"/>
        <w:gridCol w:w="1062"/>
        <w:gridCol w:w="1062"/>
        <w:gridCol w:w="1062"/>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66" w:right="75" w:hanging="89"/>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0"/>
        <w:ind w:right="4634"/>
        <w:jc w:val="left"/>
      </w:pPr>
      <w:r>
        <w:rPr/>
        <w:t>其他权益工具本期增减变动情况、变动原因说明，以及相关会计处理的依据： 其他说明：</w:t>
      </w:r>
    </w:p>
    <w:p>
      <w:pPr>
        <w:spacing w:after="0" w:line="360"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5"/>
        <w:spacing w:line="240" w:lineRule="auto" w:before="34"/>
        <w:ind w:right="0"/>
        <w:jc w:val="left"/>
        <w:rPr>
          <w:b w:val="0"/>
          <w:bCs w:val="0"/>
        </w:rPr>
      </w:pPr>
      <w:bookmarkStart w:name="46、资本公积" w:id="341"/>
      <w:bookmarkEnd w:id="341"/>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404,941,545.04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70,754,466.89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347,087,078.15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683,194.13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6,589,800.55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7,272,994.68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405,624,739.17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19,489,800.55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70,754,466.89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354,360,072.83</w:t>
            </w:r>
          </w:p>
        </w:tc>
      </w:tr>
    </w:tbl>
    <w:p>
      <w:pPr>
        <w:pStyle w:val="BodyText"/>
        <w:spacing w:line="240" w:lineRule="auto" w:before="52"/>
        <w:ind w:right="0"/>
        <w:jc w:val="left"/>
      </w:pPr>
      <w:r>
        <w:rPr/>
        <w:t>其他说明，包括本期增减变动情况、变动原因说明：</w:t>
      </w:r>
    </w:p>
    <w:p>
      <w:pPr>
        <w:spacing w:line="240" w:lineRule="auto" w:before="1"/>
        <w:rPr>
          <w:rFonts w:ascii="宋体" w:hAnsi="宋体" w:cs="宋体" w:eastAsia="宋体" w:hint="default"/>
          <w:sz w:val="13"/>
          <w:szCs w:val="13"/>
        </w:rPr>
      </w:pPr>
    </w:p>
    <w:p>
      <w:pPr>
        <w:pStyle w:val="Heading6"/>
        <w:spacing w:line="240" w:lineRule="auto"/>
        <w:ind w:right="0"/>
        <w:jc w:val="left"/>
      </w:pPr>
      <w:r>
        <w:rPr/>
        <w:t>资本公积的说明：</w:t>
      </w:r>
    </w:p>
    <w:p>
      <w:pPr>
        <w:spacing w:line="240" w:lineRule="auto" w:before="13"/>
        <w:rPr>
          <w:rFonts w:ascii="宋体" w:hAnsi="宋体" w:cs="宋体" w:eastAsia="宋体" w:hint="default"/>
          <w:sz w:val="13"/>
          <w:szCs w:val="13"/>
        </w:rPr>
      </w:pPr>
    </w:p>
    <w:p>
      <w:pPr>
        <w:pStyle w:val="BodyText"/>
        <w:spacing w:line="240" w:lineRule="auto"/>
        <w:ind w:left="638" w:right="0"/>
        <w:jc w:val="left"/>
      </w:pPr>
      <w:r>
        <w:rPr>
          <w:rFonts w:ascii="Times New Roman" w:hAnsi="Times New Roman" w:cs="Times New Roman" w:eastAsia="Times New Roman" w:hint="default"/>
        </w:rPr>
        <w:t>1</w:t>
      </w:r>
      <w:r>
        <w:rPr/>
        <w:t>、股本溢价变动：</w:t>
      </w:r>
    </w:p>
    <w:p>
      <w:pPr>
        <w:spacing w:line="240" w:lineRule="auto" w:before="13"/>
        <w:rPr>
          <w:rFonts w:ascii="宋体" w:hAnsi="宋体" w:cs="宋体" w:eastAsia="宋体" w:hint="default"/>
          <w:sz w:val="13"/>
          <w:szCs w:val="13"/>
        </w:rPr>
      </w:pPr>
    </w:p>
    <w:p>
      <w:pPr>
        <w:pStyle w:val="BodyText"/>
        <w:spacing w:line="300" w:lineRule="auto"/>
        <w:ind w:right="1129" w:firstLine="420"/>
        <w:jc w:val="both"/>
      </w:pPr>
      <w:r>
        <w:rPr>
          <w:spacing w:val="-2"/>
        </w:rPr>
        <w:t>（</w:t>
      </w:r>
      <w:r>
        <w:rPr>
          <w:rFonts w:ascii="Times New Roman" w:hAnsi="Times New Roman" w:cs="Times New Roman" w:eastAsia="Times New Roman" w:hint="default"/>
          <w:spacing w:val="-2"/>
        </w:rPr>
        <w:t>1</w:t>
      </w:r>
      <w:r>
        <w:rPr>
          <w:spacing w:val="-2"/>
        </w:rPr>
        <w:t>）如附注七、注释</w:t>
      </w:r>
      <w:r>
        <w:rPr>
          <w:rFonts w:ascii="Times New Roman" w:hAnsi="Times New Roman" w:cs="Times New Roman" w:eastAsia="Times New Roman" w:hint="default"/>
          <w:spacing w:val="-2"/>
        </w:rPr>
        <w:t>44</w:t>
      </w:r>
      <w:r>
        <w:rPr>
          <w:spacing w:val="-2"/>
        </w:rPr>
        <w:t>、</w:t>
      </w:r>
      <w:r>
        <w:rPr>
          <w:rFonts w:ascii="Times New Roman" w:hAnsi="Times New Roman" w:cs="Times New Roman" w:eastAsia="Times New Roman" w:hint="default"/>
          <w:spacing w:val="-2"/>
        </w:rPr>
        <w:t>1</w:t>
      </w:r>
      <w:r>
        <w:rPr>
          <w:spacing w:val="-2"/>
        </w:rPr>
        <w:t>所述，根据公司</w:t>
      </w:r>
      <w:r>
        <w:rPr>
          <w:rFonts w:ascii="Times New Roman" w:hAnsi="Times New Roman" w:cs="Times New Roman" w:eastAsia="Times New Roman" w:hint="default"/>
          <w:spacing w:val="-2"/>
        </w:rPr>
        <w:t>2017</w:t>
      </w:r>
      <w:r>
        <w:rPr>
          <w:spacing w:val="-2"/>
        </w:rPr>
        <w:t>年第三次临时股东大会审议通过的《关于</w:t>
      </w:r>
      <w:r>
        <w:rPr>
          <w:rFonts w:ascii="Times New Roman" w:hAnsi="Times New Roman" w:cs="Times New Roman" w:eastAsia="Times New Roman" w:hint="default"/>
          <w:spacing w:val="-2"/>
        </w:rPr>
        <w:t>&lt;</w:t>
      </w:r>
      <w:r>
        <w:rPr>
          <w:spacing w:val="-2"/>
        </w:rPr>
        <w:t>北京科蓝软件系统股份有限</w:t>
      </w:r>
      <w:r>
        <w:rPr/>
        <w:t> </w:t>
      </w:r>
      <w:r>
        <w:rPr>
          <w:spacing w:val="-1"/>
          <w:w w:val="99"/>
        </w:rPr>
        <w:t>公司</w:t>
      </w:r>
      <w:r>
        <w:rPr>
          <w:rFonts w:ascii="Times New Roman" w:hAnsi="Times New Roman" w:cs="Times New Roman" w:eastAsia="Times New Roman" w:hint="default"/>
          <w:spacing w:val="-1"/>
          <w:w w:val="99"/>
        </w:rPr>
        <w:t>2017</w:t>
      </w:r>
      <w:r>
        <w:rPr>
          <w:spacing w:val="-1"/>
          <w:w w:val="99"/>
        </w:rPr>
        <w:t>年限制性股票激励计划（草案）</w:t>
      </w:r>
      <w:r>
        <w:rPr>
          <w:rFonts w:ascii="Times New Roman" w:hAnsi="Times New Roman" w:cs="Times New Roman" w:eastAsia="Times New Roman" w:hint="default"/>
          <w:spacing w:val="-1"/>
          <w:w w:val="99"/>
        </w:rPr>
        <w:t>&gt;</w:t>
      </w:r>
      <w:r>
        <w:rPr>
          <w:spacing w:val="-1"/>
          <w:w w:val="99"/>
        </w:rPr>
        <w:t>及其摘要的议案》，以及第二届董事会第十二次会议审议通过的《关于向激励对</w:t>
      </w:r>
      <w:r>
        <w:rPr>
          <w:spacing w:val="-54"/>
          <w:w w:val="99"/>
        </w:rPr>
        <w:t> </w:t>
      </w:r>
      <w:r>
        <w:rPr>
          <w:spacing w:val="-54"/>
          <w:w w:val="99"/>
        </w:rPr>
      </w:r>
      <w:r>
        <w:rPr>
          <w:spacing w:val="-5"/>
          <w:w w:val="99"/>
        </w:rPr>
        <w:t>象授予预留限制性股票的议案》，公司向激励对象授予预留限制性人民币普通股（</w:t>
      </w:r>
      <w:r>
        <w:rPr>
          <w:rFonts w:ascii="Times New Roman" w:hAnsi="Times New Roman" w:cs="Times New Roman" w:eastAsia="Times New Roman" w:hint="default"/>
          <w:spacing w:val="-5"/>
          <w:w w:val="99"/>
        </w:rPr>
        <w:t>A</w:t>
      </w:r>
      <w:r>
        <w:rPr>
          <w:spacing w:val="-5"/>
          <w:w w:val="99"/>
        </w:rPr>
        <w:t>股），共实际授予</w:t>
      </w:r>
      <w:r>
        <w:rPr>
          <w:rFonts w:ascii="Times New Roman" w:hAnsi="Times New Roman" w:cs="Times New Roman" w:eastAsia="Times New Roman" w:hint="default"/>
          <w:spacing w:val="-5"/>
          <w:w w:val="99"/>
        </w:rPr>
        <w:t>1,000,000.00</w:t>
      </w:r>
      <w:r>
        <w:rPr>
          <w:spacing w:val="-5"/>
          <w:w w:val="99"/>
        </w:rPr>
        <w:t>股，每股面</w:t>
      </w:r>
      <w:r>
        <w:rPr>
          <w:spacing w:val="-44"/>
          <w:w w:val="99"/>
        </w:rPr>
        <w:t> </w:t>
      </w:r>
      <w:r>
        <w:rPr>
          <w:spacing w:val="-44"/>
          <w:w w:val="99"/>
        </w:rPr>
      </w:r>
      <w:r>
        <w:rPr>
          <w:spacing w:val="-1"/>
        </w:rPr>
        <w:t>值</w:t>
      </w:r>
      <w:r>
        <w:rPr>
          <w:rFonts w:ascii="Times New Roman" w:hAnsi="Times New Roman" w:cs="Times New Roman" w:eastAsia="Times New Roman" w:hint="default"/>
          <w:spacing w:val="-1"/>
        </w:rPr>
        <w:t>1.0</w:t>
      </w:r>
      <w:r>
        <w:rPr>
          <w:spacing w:val="-1"/>
        </w:rPr>
        <w:t>元，增加股本</w:t>
      </w:r>
      <w:r>
        <w:rPr>
          <w:rFonts w:ascii="Times New Roman" w:hAnsi="Times New Roman" w:cs="Times New Roman" w:eastAsia="Times New Roman" w:hint="default"/>
          <w:spacing w:val="-1"/>
        </w:rPr>
        <w:t>1,000,000.00</w:t>
      </w:r>
      <w:r>
        <w:rPr>
          <w:spacing w:val="-1"/>
        </w:rPr>
        <w:t>元。截至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13</w:t>
      </w:r>
      <w:r>
        <w:rPr>
          <w:spacing w:val="-1"/>
        </w:rPr>
        <w:t>日止，公司共收到激励对象缴入的出资款人民币</w:t>
      </w:r>
      <w:r>
        <w:rPr>
          <w:rFonts w:ascii="Times New Roman" w:hAnsi="Times New Roman" w:cs="Times New Roman" w:eastAsia="Times New Roman" w:hint="default"/>
          <w:spacing w:val="-1"/>
        </w:rPr>
        <w:t>13,900,000.00</w:t>
      </w:r>
      <w:r>
        <w:rPr>
          <w:spacing w:val="-1"/>
        </w:rPr>
        <w:t>元，其中</w:t>
      </w:r>
      <w:r>
        <w:rPr>
          <w:spacing w:val="-71"/>
        </w:rPr>
        <w:t> </w:t>
      </w:r>
      <w:r>
        <w:rPr>
          <w:spacing w:val="-71"/>
        </w:rPr>
      </w:r>
      <w:r>
        <w:rPr/>
        <w:t>计入</w:t>
      </w:r>
      <w:r>
        <w:rPr>
          <w:rFonts w:ascii="Times New Roman" w:hAnsi="Times New Roman" w:cs="Times New Roman" w:eastAsia="Times New Roman" w:hint="default"/>
        </w:rPr>
        <w:t>“</w:t>
      </w:r>
      <w:r>
        <w:rPr/>
        <w:t>股本</w:t>
      </w:r>
      <w:r>
        <w:rPr>
          <w:rFonts w:ascii="Times New Roman" w:hAnsi="Times New Roman" w:cs="Times New Roman" w:eastAsia="Times New Roman" w:hint="default"/>
        </w:rPr>
        <w:t>”</w:t>
      </w:r>
      <w:r>
        <w:rPr/>
        <w:t>人民币</w:t>
      </w:r>
      <w:r>
        <w:rPr>
          <w:rFonts w:ascii="Times New Roman" w:hAnsi="Times New Roman" w:cs="Times New Roman" w:eastAsia="Times New Roman" w:hint="default"/>
        </w:rPr>
        <w:t>1,000,000.00</w:t>
      </w:r>
      <w:r>
        <w:rPr/>
        <w:t>元，计入</w:t>
      </w:r>
      <w:r>
        <w:rPr>
          <w:rFonts w:ascii="Times New Roman" w:hAnsi="Times New Roman" w:cs="Times New Roman" w:eastAsia="Times New Roman" w:hint="default"/>
        </w:rPr>
        <w:t>“</w:t>
      </w:r>
      <w:r>
        <w:rPr/>
        <w:t>资本公积－股本溢价</w:t>
      </w:r>
      <w:r>
        <w:rPr>
          <w:rFonts w:ascii="Times New Roman" w:hAnsi="Times New Roman" w:cs="Times New Roman" w:eastAsia="Times New Roman" w:hint="default"/>
        </w:rPr>
        <w:t>”</w:t>
      </w:r>
      <w:r>
        <w:rPr/>
        <w:t>人民币</w:t>
      </w:r>
      <w:r>
        <w:rPr>
          <w:rFonts w:ascii="Times New Roman" w:hAnsi="Times New Roman" w:cs="Times New Roman" w:eastAsia="Times New Roman" w:hint="default"/>
        </w:rPr>
        <w:t>12,900,000.00</w:t>
      </w:r>
      <w:r>
        <w:rPr/>
        <w:t>元。</w:t>
      </w:r>
    </w:p>
    <w:p>
      <w:pPr>
        <w:pStyle w:val="BodyText"/>
        <w:spacing w:line="300" w:lineRule="auto" w:before="133"/>
        <w:ind w:right="1132" w:firstLine="420"/>
        <w:jc w:val="both"/>
      </w:pPr>
      <w:r>
        <w:rPr/>
        <w:t>（</w:t>
      </w:r>
      <w:r>
        <w:rPr>
          <w:rFonts w:ascii="Times New Roman" w:hAnsi="Times New Roman" w:cs="Times New Roman" w:eastAsia="Times New Roman" w:hint="default"/>
        </w:rPr>
        <w:t>2</w:t>
      </w:r>
      <w:r>
        <w:rPr/>
        <w:t>）如附注七、注释</w:t>
      </w:r>
      <w:r>
        <w:rPr>
          <w:rFonts w:ascii="Times New Roman" w:hAnsi="Times New Roman" w:cs="Times New Roman" w:eastAsia="Times New Roman" w:hint="default"/>
        </w:rPr>
        <w:t>44</w:t>
      </w:r>
      <w:r>
        <w:rPr/>
        <w:t>、</w:t>
      </w:r>
      <w:r>
        <w:rPr>
          <w:rFonts w:ascii="Times New Roman" w:hAnsi="Times New Roman" w:cs="Times New Roman" w:eastAsia="Times New Roman" w:hint="default"/>
        </w:rPr>
        <w:t>2</w:t>
      </w:r>
      <w:r>
        <w:rPr/>
        <w:t>所述，根据公司</w:t>
      </w:r>
      <w:r>
        <w:rPr>
          <w:rFonts w:ascii="Times New Roman" w:hAnsi="Times New Roman" w:cs="Times New Roman" w:eastAsia="Times New Roman" w:hint="default"/>
        </w:rPr>
        <w:t>2017</w:t>
      </w:r>
      <w:r>
        <w:rPr/>
        <w:t>年年度股东大会决议通过的</w:t>
      </w:r>
      <w:r>
        <w:rPr>
          <w:rFonts w:ascii="Times New Roman" w:hAnsi="Times New Roman" w:cs="Times New Roman" w:eastAsia="Times New Roman" w:hint="default"/>
        </w:rPr>
        <w:t>2017</w:t>
      </w:r>
      <w:r>
        <w:rPr/>
        <w:t>年度利润分配方案及经调整后的权益 分配方案，以资本公积金人民币</w:t>
      </w:r>
      <w:r>
        <w:rPr>
          <w:rFonts w:ascii="Times New Roman" w:hAnsi="Times New Roman" w:cs="Times New Roman" w:eastAsia="Times New Roman" w:hint="default"/>
        </w:rPr>
        <w:t>66,974,297.00</w:t>
      </w:r>
      <w:r>
        <w:rPr/>
        <w:t>元转增股本。</w:t>
      </w:r>
    </w:p>
    <w:p>
      <w:pPr>
        <w:pStyle w:val="BodyText"/>
        <w:spacing w:line="300" w:lineRule="auto" w:before="133"/>
        <w:ind w:right="1130" w:firstLine="420"/>
        <w:jc w:val="both"/>
      </w:pPr>
      <w:r>
        <w:rPr/>
        <w:t>（</w:t>
      </w:r>
      <w:r>
        <w:rPr>
          <w:rFonts w:ascii="Times New Roman" w:hAnsi="Times New Roman" w:cs="Times New Roman" w:eastAsia="Times New Roman" w:hint="default"/>
        </w:rPr>
        <w:t>3</w:t>
      </w:r>
      <w:r>
        <w:rPr/>
        <w:t>）如附注七、注释</w:t>
      </w:r>
      <w:r>
        <w:rPr>
          <w:rFonts w:ascii="Times New Roman" w:hAnsi="Times New Roman" w:cs="Times New Roman" w:eastAsia="Times New Roman" w:hint="default"/>
        </w:rPr>
        <w:t>44</w:t>
      </w:r>
      <w:r>
        <w:rPr/>
        <w:t>、</w:t>
      </w:r>
      <w:r>
        <w:rPr>
          <w:rFonts w:ascii="Times New Roman" w:hAnsi="Times New Roman" w:cs="Times New Roman" w:eastAsia="Times New Roman" w:hint="default"/>
        </w:rPr>
        <w:t>3</w:t>
      </w:r>
      <w:r>
        <w:rPr/>
        <w:t>所述，根据公司</w:t>
      </w:r>
      <w:r>
        <w:rPr>
          <w:rFonts w:ascii="Times New Roman" w:hAnsi="Times New Roman" w:cs="Times New Roman" w:eastAsia="Times New Roman" w:hint="default"/>
        </w:rPr>
        <w:t>2018</w:t>
      </w:r>
      <w:r>
        <w:rPr/>
        <w:t>年第二次临时股东大会决议、第二届董事会第十五次、第十六次会议 </w:t>
      </w:r>
      <w:r>
        <w:rPr>
          <w:spacing w:val="-1"/>
        </w:rPr>
        <w:t>决议以及修改后的公司章程，公司回购注销限制性股票合计</w:t>
      </w:r>
      <w:r>
        <w:rPr>
          <w:rFonts w:ascii="Times New Roman" w:hAnsi="Times New Roman" w:cs="Times New Roman" w:eastAsia="Times New Roman" w:hint="default"/>
          <w:spacing w:val="-1"/>
        </w:rPr>
        <w:t>458,959.00</w:t>
      </w:r>
      <w:r>
        <w:rPr>
          <w:spacing w:val="-1"/>
        </w:rPr>
        <w:t>股，每股面值</w:t>
      </w:r>
      <w:r>
        <w:rPr>
          <w:rFonts w:ascii="Times New Roman" w:hAnsi="Times New Roman" w:cs="Times New Roman" w:eastAsia="Times New Roman" w:hint="default"/>
          <w:spacing w:val="-1"/>
        </w:rPr>
        <w:t>1</w:t>
      </w:r>
      <w:r>
        <w:rPr>
          <w:spacing w:val="-1"/>
        </w:rPr>
        <w:t>元，每股回购价格</w:t>
      </w:r>
      <w:r>
        <w:rPr>
          <w:rFonts w:ascii="Times New Roman" w:hAnsi="Times New Roman" w:cs="Times New Roman" w:eastAsia="Times New Roman" w:hint="default"/>
          <w:spacing w:val="-1"/>
        </w:rPr>
        <w:t>9.2364</w:t>
      </w:r>
      <w:r>
        <w:rPr>
          <w:spacing w:val="-1"/>
        </w:rPr>
        <w:t>元，共退回出</w:t>
      </w:r>
      <w:r>
        <w:rPr>
          <w:spacing w:val="-72"/>
        </w:rPr>
        <w:t> </w:t>
      </w:r>
      <w:r>
        <w:rPr>
          <w:spacing w:val="-72"/>
        </w:rPr>
      </w:r>
      <w:r>
        <w:rPr/>
        <w:t>资款人民币</w:t>
      </w:r>
      <w:r>
        <w:rPr>
          <w:rFonts w:ascii="Times New Roman" w:hAnsi="Times New Roman" w:cs="Times New Roman" w:eastAsia="Times New Roman" w:hint="default"/>
        </w:rPr>
        <w:t>4,239,128.89</w:t>
      </w:r>
      <w:r>
        <w:rPr/>
        <w:t>元，分别减少股本人民币</w:t>
      </w:r>
      <w:r>
        <w:rPr>
          <w:rFonts w:ascii="Times New Roman" w:hAnsi="Times New Roman" w:cs="Times New Roman" w:eastAsia="Times New Roman" w:hint="default"/>
        </w:rPr>
        <w:t>458,959.00</w:t>
      </w:r>
      <w:r>
        <w:rPr/>
        <w:t>元，减少资本公积人民币</w:t>
      </w:r>
      <w:r>
        <w:rPr>
          <w:rFonts w:ascii="Times New Roman" w:hAnsi="Times New Roman" w:cs="Times New Roman" w:eastAsia="Times New Roman" w:hint="default"/>
        </w:rPr>
        <w:t>3,780,169.89</w:t>
      </w:r>
      <w:r>
        <w:rPr/>
        <w:t>元。</w:t>
      </w:r>
    </w:p>
    <w:p>
      <w:pPr>
        <w:pStyle w:val="BodyText"/>
        <w:spacing w:line="415" w:lineRule="auto" w:before="133"/>
        <w:ind w:left="532" w:right="0" w:firstLine="91"/>
        <w:jc w:val="left"/>
      </w:pPr>
      <w:r>
        <w:rPr>
          <w:rFonts w:ascii="Times New Roman" w:hAnsi="Times New Roman" w:cs="Times New Roman" w:eastAsia="Times New Roman" w:hint="default"/>
        </w:rPr>
        <w:t>2</w:t>
      </w:r>
      <w:r>
        <w:rPr/>
        <w:t>、其他资本公积变动： 本年权益结算的涉及职工的股份支付，按照授予日限制性股票的公允价值和截至本期期末预计可行权的股份数量计算</w:t>
      </w:r>
    </w:p>
    <w:p>
      <w:pPr>
        <w:pStyle w:val="BodyText"/>
        <w:spacing w:line="194" w:lineRule="exact"/>
        <w:ind w:right="0"/>
        <w:jc w:val="left"/>
      </w:pPr>
      <w:r>
        <w:rPr/>
        <w:t>截至本期末累计应确认的费用，再减去前期累计已确认金额，本期应确认股份支付费用</w:t>
      </w:r>
      <w:r>
        <w:rPr>
          <w:rFonts w:ascii="Times New Roman" w:hAnsi="Times New Roman" w:cs="Times New Roman" w:eastAsia="Times New Roman" w:hint="default"/>
        </w:rPr>
        <w:t>6,589,800.55</w:t>
      </w:r>
      <w:r>
        <w:rPr/>
        <w:t>元，计入</w:t>
      </w:r>
      <w:r>
        <w:rPr>
          <w:spacing w:val="45"/>
        </w:rPr>
        <w:t> </w:t>
      </w:r>
      <w:r>
        <w:rPr>
          <w:rFonts w:ascii="Times New Roman" w:hAnsi="Times New Roman" w:cs="Times New Roman" w:eastAsia="Times New Roman" w:hint="default"/>
        </w:rPr>
        <w:t>“</w:t>
      </w:r>
      <w:r>
        <w:rPr/>
        <w:t>其他资本公</w:t>
      </w:r>
    </w:p>
    <w:p>
      <w:pPr>
        <w:pStyle w:val="BodyText"/>
        <w:spacing w:line="240" w:lineRule="auto" w:before="63"/>
        <w:ind w:right="0"/>
        <w:jc w:val="left"/>
        <w:rPr>
          <w:rFonts w:ascii="Times New Roman" w:hAnsi="Times New Roman" w:cs="Times New Roman" w:eastAsia="Times New Roman" w:hint="default"/>
        </w:rPr>
      </w:pPr>
      <w:r>
        <w:rPr/>
        <w:t>积</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0"/>
          <w:szCs w:val="20"/>
        </w:rPr>
      </w:pPr>
    </w:p>
    <w:p>
      <w:pPr>
        <w:pStyle w:val="Heading5"/>
        <w:spacing w:line="240" w:lineRule="auto"/>
        <w:ind w:right="0"/>
        <w:jc w:val="left"/>
        <w:rPr>
          <w:b w:val="0"/>
          <w:bCs w:val="0"/>
        </w:rPr>
      </w:pPr>
      <w:bookmarkStart w:name="47、库存股" w:id="342"/>
      <w:bookmarkEnd w:id="342"/>
      <w:r>
        <w:rPr>
          <w:b w:val="0"/>
          <w:bCs w:val="0"/>
        </w:rPr>
      </w:r>
      <w:r>
        <w:rPr>
          <w:rFonts w:ascii="Times New Roman" w:hAnsi="Times New Roman" w:cs="Times New Roman" w:eastAsia="Times New Roman" w:hint="default"/>
        </w:rPr>
        <w:t>47</w:t>
      </w:r>
      <w:r>
        <w:rPr/>
        <w:t>、库存股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34,978,753.00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4,239,128.89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44,639,624.11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34,978,753.00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4,239,128.89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44,639,624.11</w:t>
            </w:r>
          </w:p>
        </w:tc>
      </w:tr>
    </w:tbl>
    <w:p>
      <w:pPr>
        <w:pStyle w:val="BodyText"/>
        <w:spacing w:line="240" w:lineRule="auto" w:before="50"/>
        <w:ind w:right="0"/>
        <w:jc w:val="left"/>
      </w:pPr>
      <w:r>
        <w:rPr/>
        <w:t>其他说明，包括本期增减变动情况、变动原因说明：</w:t>
      </w:r>
    </w:p>
    <w:p>
      <w:pPr>
        <w:spacing w:line="240" w:lineRule="auto" w:before="1"/>
        <w:rPr>
          <w:rFonts w:ascii="宋体" w:hAnsi="宋体" w:cs="宋体" w:eastAsia="宋体" w:hint="default"/>
          <w:sz w:val="13"/>
          <w:szCs w:val="13"/>
        </w:rPr>
      </w:pPr>
    </w:p>
    <w:p>
      <w:pPr>
        <w:pStyle w:val="Heading6"/>
        <w:spacing w:line="240" w:lineRule="auto"/>
        <w:ind w:right="0"/>
        <w:jc w:val="left"/>
      </w:pPr>
      <w:r>
        <w:rPr/>
        <w:t>库存股情况说明：</w:t>
      </w:r>
    </w:p>
    <w:p>
      <w:pPr>
        <w:spacing w:line="240" w:lineRule="auto" w:before="13"/>
        <w:rPr>
          <w:rFonts w:ascii="宋体" w:hAnsi="宋体" w:cs="宋体" w:eastAsia="宋体" w:hint="default"/>
          <w:sz w:val="13"/>
          <w:szCs w:val="13"/>
        </w:rPr>
      </w:pPr>
    </w:p>
    <w:p>
      <w:pPr>
        <w:pStyle w:val="BodyText"/>
        <w:spacing w:line="300" w:lineRule="auto"/>
        <w:ind w:right="0" w:firstLine="420"/>
        <w:jc w:val="left"/>
      </w:pPr>
      <w:r>
        <w:rPr>
          <w:spacing w:val="-1"/>
        </w:rPr>
        <w:t>（</w:t>
      </w:r>
      <w:r>
        <w:rPr>
          <w:rFonts w:ascii="Times New Roman" w:hAnsi="Times New Roman" w:cs="Times New Roman" w:eastAsia="Times New Roman" w:hint="default"/>
          <w:spacing w:val="-1"/>
        </w:rPr>
        <w:t>1</w:t>
      </w:r>
      <w:r>
        <w:rPr>
          <w:spacing w:val="-1"/>
        </w:rPr>
        <w:t>）如附注七、注释</w:t>
      </w:r>
      <w:r>
        <w:rPr>
          <w:rFonts w:ascii="Times New Roman" w:hAnsi="Times New Roman" w:cs="Times New Roman" w:eastAsia="Times New Roman" w:hint="default"/>
          <w:spacing w:val="-1"/>
        </w:rPr>
        <w:t>44</w:t>
      </w:r>
      <w:r>
        <w:rPr>
          <w:spacing w:val="-1"/>
        </w:rPr>
        <w:t>、</w:t>
      </w:r>
      <w:r>
        <w:rPr>
          <w:rFonts w:ascii="Times New Roman" w:hAnsi="Times New Roman" w:cs="Times New Roman" w:eastAsia="Times New Roman" w:hint="default"/>
          <w:spacing w:val="-1"/>
        </w:rPr>
        <w:t>1</w:t>
      </w:r>
      <w:r>
        <w:rPr>
          <w:spacing w:val="-1"/>
        </w:rPr>
        <w:t>和附注七、注释</w:t>
      </w:r>
      <w:r>
        <w:rPr>
          <w:rFonts w:ascii="Times New Roman" w:hAnsi="Times New Roman" w:cs="Times New Roman" w:eastAsia="Times New Roman" w:hint="default"/>
          <w:spacing w:val="-1"/>
        </w:rPr>
        <w:t>46</w:t>
      </w:r>
      <w:r>
        <w:rPr>
          <w:spacing w:val="-1"/>
        </w:rPr>
        <w:t>、</w:t>
      </w:r>
      <w:r>
        <w:rPr>
          <w:rFonts w:ascii="Times New Roman" w:hAnsi="Times New Roman" w:cs="Times New Roman" w:eastAsia="Times New Roman" w:hint="default"/>
          <w:spacing w:val="-1"/>
        </w:rPr>
        <w:t>1</w:t>
      </w:r>
      <w:r>
        <w:rPr>
          <w:spacing w:val="-1"/>
        </w:rPr>
        <w:t>所述，本期新增库存股</w:t>
      </w:r>
      <w:r>
        <w:rPr>
          <w:rFonts w:ascii="Times New Roman" w:hAnsi="Times New Roman" w:cs="Times New Roman" w:eastAsia="Times New Roman" w:hint="default"/>
          <w:spacing w:val="-1"/>
        </w:rPr>
        <w:t>13,900,000.00</w:t>
      </w:r>
      <w:r>
        <w:rPr>
          <w:spacing w:val="-1"/>
        </w:rPr>
        <w:t>元，系本期因向激励对象授予预</w:t>
      </w:r>
      <w:r>
        <w:rPr/>
        <w:t> 留限制性人民币普通股，按照发行限制性股票的数量以及相应的回购价格计算确定的金额。</w:t>
      </w:r>
    </w:p>
    <w:p>
      <w:pPr>
        <w:pStyle w:val="BodyText"/>
        <w:spacing w:line="300" w:lineRule="auto" w:before="151"/>
        <w:ind w:right="0" w:firstLine="420"/>
        <w:jc w:val="left"/>
      </w:pPr>
      <w:r>
        <w:rPr/>
        <w:t>（</w:t>
      </w:r>
      <w:r>
        <w:rPr>
          <w:rFonts w:ascii="Times New Roman" w:hAnsi="Times New Roman" w:cs="Times New Roman" w:eastAsia="Times New Roman" w:hint="default"/>
        </w:rPr>
        <w:t>2</w:t>
      </w:r>
      <w:r>
        <w:rPr/>
        <w:t>）如附注七、注释</w:t>
      </w:r>
      <w:r>
        <w:rPr>
          <w:rFonts w:ascii="Times New Roman" w:hAnsi="Times New Roman" w:cs="Times New Roman" w:eastAsia="Times New Roman" w:hint="default"/>
        </w:rPr>
        <w:t>44</w:t>
      </w:r>
      <w:r>
        <w:rPr/>
        <w:t>、</w:t>
      </w:r>
      <w:r>
        <w:rPr>
          <w:rFonts w:ascii="Times New Roman" w:hAnsi="Times New Roman" w:cs="Times New Roman" w:eastAsia="Times New Roman" w:hint="default"/>
        </w:rPr>
        <w:t>3</w:t>
      </w:r>
      <w:r>
        <w:rPr/>
        <w:t>和附注七、注释</w:t>
      </w:r>
      <w:r>
        <w:rPr>
          <w:rFonts w:ascii="Times New Roman" w:hAnsi="Times New Roman" w:cs="Times New Roman" w:eastAsia="Times New Roman" w:hint="default"/>
        </w:rPr>
        <w:t>46</w:t>
      </w:r>
      <w:r>
        <w:rPr/>
        <w:t>、</w:t>
      </w:r>
      <w:r>
        <w:rPr>
          <w:rFonts w:ascii="Times New Roman" w:hAnsi="Times New Roman" w:cs="Times New Roman" w:eastAsia="Times New Roman" w:hint="default"/>
        </w:rPr>
        <w:t>1</w:t>
      </w:r>
      <w:r>
        <w:rPr/>
        <w:t>所述，本期回购注销限制性股票支付的回购款</w:t>
      </w:r>
      <w:r>
        <w:rPr>
          <w:rFonts w:ascii="Times New Roman" w:hAnsi="Times New Roman" w:cs="Times New Roman" w:eastAsia="Times New Roman" w:hint="default"/>
        </w:rPr>
        <w:t>4,239,128.89</w:t>
      </w:r>
      <w:r>
        <w:rPr/>
        <w:t>元减少的 </w:t>
      </w:r>
      <w:r>
        <w:rPr>
          <w:spacing w:val="-1"/>
        </w:rPr>
        <w:t>库存股。本期回购限制性股票占本公司已发行股份总数比例为</w:t>
      </w:r>
      <w:r>
        <w:rPr>
          <w:rFonts w:ascii="Times New Roman" w:hAnsi="Times New Roman" w:cs="Times New Roman" w:eastAsia="Times New Roman" w:hint="default"/>
          <w:spacing w:val="-1"/>
        </w:rPr>
        <w:t>0.23%</w:t>
      </w:r>
      <w:r>
        <w:rPr>
          <w:spacing w:val="-1"/>
        </w:rPr>
        <w:t>，本期限制性股票回购后，累计库存股占已发行股份的</w:t>
      </w:r>
    </w:p>
    <w:p>
      <w:pPr>
        <w:spacing w:after="0" w:line="30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2.39%</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5"/>
        <w:spacing w:line="240" w:lineRule="auto"/>
        <w:ind w:right="0"/>
        <w:jc w:val="left"/>
        <w:rPr>
          <w:b w:val="0"/>
          <w:bCs w:val="0"/>
        </w:rPr>
      </w:pPr>
      <w:bookmarkStart w:name="48、其他综合收益" w:id="343"/>
      <w:bookmarkEnd w:id="343"/>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10"/>
        <w:gridCol w:w="1069"/>
        <w:gridCol w:w="935"/>
        <w:gridCol w:w="1152"/>
        <w:gridCol w:w="935"/>
        <w:gridCol w:w="936"/>
        <w:gridCol w:w="935"/>
        <w:gridCol w:w="796"/>
      </w:tblGrid>
      <w:tr>
        <w:trPr>
          <w:trHeight w:val="402" w:hRule="exact"/>
        </w:trPr>
        <w:tc>
          <w:tcPr>
            <w:tcW w:w="28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0" w:type="dxa"/>
            <w:vMerge/>
            <w:tcBorders>
              <w:left w:val="single" w:sz="4" w:space="0" w:color="000000"/>
              <w:bottom w:val="single" w:sz="4" w:space="0" w:color="000000"/>
              <w:right w:val="single" w:sz="4" w:space="0" w:color="000000"/>
            </w:tcBorders>
            <w:shd w:val="clear" w:color="auto" w:fill="D2D2D2"/>
          </w:tcPr>
          <w:p>
            <w:pPr/>
          </w:p>
        </w:tc>
        <w:tc>
          <w:tcPr>
            <w:tcW w:w="1069"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2"/>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2" w:right="21"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 w:right="102"/>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71,346.65</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335,593.03</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335,593.03</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406,939.6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71,346.65</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335,593.03</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335,593.03</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406,939.6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71,346.65</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335,593.03</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335,593.03</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406,939.6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w:t>
            </w:r>
          </w:p>
        </w:tc>
      </w:tr>
    </w:tbl>
    <w:p>
      <w:pPr>
        <w:pStyle w:val="BodyText"/>
        <w:spacing w:line="240" w:lineRule="auto" w:before="51"/>
        <w:ind w:right="0"/>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49、专项储备" w:id="344"/>
      <w:bookmarkEnd w:id="344"/>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50、盈余公积" w:id="345"/>
      <w:bookmarkEnd w:id="345"/>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18,083,597.83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4,530,397.00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22,613,994.83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18,083,597.83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4,530,397.00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22,613,994.83</w:t>
            </w:r>
          </w:p>
        </w:tc>
      </w:tr>
    </w:tbl>
    <w:p>
      <w:pPr>
        <w:pStyle w:val="BodyText"/>
        <w:spacing w:line="240" w:lineRule="auto" w:before="50"/>
        <w:ind w:right="0"/>
        <w:jc w:val="left"/>
      </w:pPr>
      <w:r>
        <w:rPr/>
        <w:t>盈余公积说明，包括本期增减变动情况、变动原因说明：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51、未分配利润" w:id="346"/>
      <w:bookmarkEnd w:id="346"/>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155,439,284.79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119,205,566.91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155,439,284.79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119,205,566.91</w:t>
            </w:r>
          </w:p>
        </w:tc>
      </w:tr>
      <w:tr>
        <w:trPr>
          <w:trHeight w:val="400"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42,576,019.79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40,080,358.35</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4,530,397.00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3,846,640.47</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6,674,563.82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186,810,343.76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155,439,284.79</w:t>
            </w:r>
          </w:p>
        </w:tc>
      </w:tr>
    </w:tbl>
    <w:p>
      <w:pPr>
        <w:pStyle w:val="BodyText"/>
        <w:spacing w:line="240" w:lineRule="auto" w:before="51"/>
        <w:ind w:right="0"/>
        <w:jc w:val="left"/>
      </w:pPr>
      <w:r>
        <w:rPr/>
        <w:t>调整期初未分配利润明细：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2)</w:t>
      </w:r>
      <w:r>
        <w:rPr/>
        <w:t>、由于会计政策变更，影响期初未分配利润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5)</w:t>
      </w:r>
      <w:r>
        <w:rPr/>
        <w:t>、其他调整合计影响期初未分配利润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bookmarkStart w:name="52、营业收入和营业成本" w:id="347"/>
      <w:bookmarkEnd w:id="347"/>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7" w:right="0"/>
              <w:jc w:val="left"/>
              <w:rPr>
                <w:rFonts w:ascii="Times New Roman" w:hAnsi="Times New Roman" w:cs="Times New Roman" w:eastAsia="Times New Roman" w:hint="default"/>
                <w:sz w:val="18"/>
                <w:szCs w:val="18"/>
              </w:rPr>
            </w:pPr>
            <w:r>
              <w:rPr>
                <w:rFonts w:ascii="Times New Roman"/>
                <w:sz w:val="18"/>
              </w:rPr>
              <w:t>753,221,267.15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7" w:right="0"/>
              <w:jc w:val="left"/>
              <w:rPr>
                <w:rFonts w:ascii="Times New Roman" w:hAnsi="Times New Roman" w:cs="Times New Roman" w:eastAsia="Times New Roman" w:hint="default"/>
                <w:sz w:val="18"/>
                <w:szCs w:val="18"/>
              </w:rPr>
            </w:pPr>
            <w:r>
              <w:rPr>
                <w:rFonts w:ascii="Times New Roman"/>
                <w:sz w:val="18"/>
              </w:rPr>
              <w:t>443,100,042.33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5" w:right="0"/>
              <w:jc w:val="left"/>
              <w:rPr>
                <w:rFonts w:ascii="Times New Roman" w:hAnsi="Times New Roman" w:cs="Times New Roman" w:eastAsia="Times New Roman" w:hint="default"/>
                <w:sz w:val="18"/>
                <w:szCs w:val="18"/>
              </w:rPr>
            </w:pPr>
            <w:r>
              <w:rPr>
                <w:rFonts w:ascii="Times New Roman"/>
                <w:sz w:val="18"/>
              </w:rPr>
              <w:t>670,374,055.70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7" w:right="0"/>
              <w:jc w:val="left"/>
              <w:rPr>
                <w:rFonts w:ascii="Times New Roman" w:hAnsi="Times New Roman" w:cs="Times New Roman" w:eastAsia="Times New Roman" w:hint="default"/>
                <w:sz w:val="18"/>
                <w:szCs w:val="18"/>
              </w:rPr>
            </w:pPr>
            <w:r>
              <w:rPr>
                <w:rFonts w:ascii="Times New Roman"/>
                <w:sz w:val="18"/>
              </w:rPr>
              <w:t>394,477,456.00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7" w:right="0"/>
              <w:jc w:val="left"/>
              <w:rPr>
                <w:rFonts w:ascii="Times New Roman" w:hAnsi="Times New Roman" w:cs="Times New Roman" w:eastAsia="Times New Roman" w:hint="default"/>
                <w:sz w:val="18"/>
                <w:szCs w:val="18"/>
              </w:rPr>
            </w:pPr>
            <w:r>
              <w:rPr>
                <w:rFonts w:ascii="Times New Roman"/>
                <w:sz w:val="18"/>
              </w:rPr>
              <w:t>753,221,267.15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7" w:right="0"/>
              <w:jc w:val="left"/>
              <w:rPr>
                <w:rFonts w:ascii="Times New Roman" w:hAnsi="Times New Roman" w:cs="Times New Roman" w:eastAsia="Times New Roman" w:hint="default"/>
                <w:sz w:val="18"/>
                <w:szCs w:val="18"/>
              </w:rPr>
            </w:pPr>
            <w:r>
              <w:rPr>
                <w:rFonts w:ascii="Times New Roman"/>
                <w:sz w:val="18"/>
              </w:rPr>
              <w:t>443,100,042.33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670,374,055.70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7" w:right="0"/>
              <w:jc w:val="left"/>
              <w:rPr>
                <w:rFonts w:ascii="Times New Roman" w:hAnsi="Times New Roman" w:cs="Times New Roman" w:eastAsia="Times New Roman" w:hint="default"/>
                <w:sz w:val="18"/>
                <w:szCs w:val="18"/>
              </w:rPr>
            </w:pPr>
            <w:r>
              <w:rPr>
                <w:rFonts w:ascii="Times New Roman"/>
                <w:sz w:val="18"/>
              </w:rPr>
              <w:t>394,477,456.00</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bookmarkStart w:name="53、税金及附加" w:id="348"/>
      <w:bookmarkEnd w:id="348"/>
      <w:r>
        <w:rPr>
          <w:b w:val="0"/>
          <w:bCs w:val="0"/>
        </w:rPr>
      </w:r>
      <w:r>
        <w:rPr>
          <w:rFonts w:ascii="Times New Roman" w:hAnsi="Times New Roman" w:cs="Times New Roman" w:eastAsia="Times New Roman" w:hint="default"/>
        </w:rPr>
        <w:t>53</w:t>
      </w:r>
      <w:r>
        <w:rPr/>
        <w:t>、税金及附加</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1,409,209.77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430,177.92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1,006,537.54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307,269.63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296,666.15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398,000.27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2,712,413.46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1,135,447.82</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5"/>
          <w:szCs w:val="15"/>
        </w:rPr>
      </w:pPr>
    </w:p>
    <w:p>
      <w:pPr>
        <w:pStyle w:val="BodyText"/>
        <w:spacing w:line="300" w:lineRule="auto"/>
        <w:ind w:right="0" w:firstLine="420"/>
        <w:jc w:val="left"/>
      </w:pPr>
      <w:r>
        <w:rPr>
          <w:spacing w:val="-2"/>
        </w:rPr>
        <w:t>本期税金及附加发生额较上期增加</w:t>
      </w:r>
      <w:r>
        <w:rPr>
          <w:rFonts w:ascii="Times New Roman" w:hAnsi="Times New Roman" w:cs="Times New Roman" w:eastAsia="Times New Roman" w:hint="default"/>
          <w:spacing w:val="-2"/>
        </w:rPr>
        <w:t>138.88%</w:t>
      </w:r>
      <w:r>
        <w:rPr>
          <w:spacing w:val="-2"/>
        </w:rPr>
        <w:t>，主要系</w:t>
      </w:r>
      <w:r>
        <w:rPr>
          <w:rFonts w:ascii="Times New Roman" w:hAnsi="Times New Roman" w:cs="Times New Roman" w:eastAsia="Times New Roman" w:hint="default"/>
          <w:spacing w:val="-2"/>
        </w:rPr>
        <w:t>2018</w:t>
      </w:r>
      <w:r>
        <w:rPr>
          <w:spacing w:val="-2"/>
        </w:rPr>
        <w:t>年部分享受增值税免税政策的技术开发收入，应客户的要求开</w:t>
      </w:r>
      <w:r>
        <w:rPr/>
        <w:t> 具增值税专用发票需要缴纳增值税，由此相应缴纳城市维护建设税和教育费附加所致。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49"/>
        <w:ind w:right="0"/>
        <w:jc w:val="left"/>
        <w:rPr>
          <w:b w:val="0"/>
          <w:bCs w:val="0"/>
        </w:rPr>
      </w:pPr>
      <w:bookmarkStart w:name="54、销售费用" w:id="349"/>
      <w:bookmarkEnd w:id="349"/>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售后维护支出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18,530,856.90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21,051,431.07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27,543,289.47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32,502,466.95</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7,268,028.54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7,611,307.11</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6,037,602.96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5,187,802.99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63,359.46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201,685.30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中标服务费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817,290.58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588,452.86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220,972.08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297,483.63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60,481,399.99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67,440,629.91</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55、管理费用" w:id="350"/>
      <w:bookmarkEnd w:id="350"/>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25,237,477.80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21,557,179.24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4,494,066.99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683,194.13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3,486,219.43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3,256,485.44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10,565,435.41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7,273,047.53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3,815,360.95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3,377,003.11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1,643,800.70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1,574,970.75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401,923.43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733,534.70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2,179,418.41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1,181,707.34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1,293,036.64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847,776.93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386,905.52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388,068.43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残保金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3,047,472.01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2,644,899.41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2,481,504.84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1,546,911.56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59,032,622.13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45,064,778.57</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5"/>
          <w:szCs w:val="15"/>
        </w:rPr>
      </w:pPr>
    </w:p>
    <w:p>
      <w:pPr>
        <w:pStyle w:val="BodyText"/>
        <w:spacing w:line="300" w:lineRule="auto"/>
        <w:ind w:right="0" w:firstLine="420"/>
        <w:jc w:val="left"/>
      </w:pPr>
      <w:r>
        <w:rPr/>
        <w:t>本期管理费用发生额较上期增加</w:t>
      </w:r>
      <w:r>
        <w:rPr>
          <w:rFonts w:ascii="Times New Roman" w:hAnsi="Times New Roman" w:cs="Times New Roman" w:eastAsia="Times New Roman" w:hint="default"/>
        </w:rPr>
        <w:t>31.00%</w:t>
      </w:r>
      <w:r>
        <w:rPr/>
        <w:t>，主要系纳入合并范围主体增加导致职工薪酬、办公场地租赁费增加，以及本 期计提股权激励费用增加所致。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47"/>
        <w:ind w:right="0"/>
        <w:jc w:val="left"/>
        <w:rPr>
          <w:b w:val="0"/>
          <w:bCs w:val="0"/>
        </w:rPr>
      </w:pPr>
      <w:bookmarkStart w:name="56、研发费用" w:id="351"/>
      <w:bookmarkEnd w:id="351"/>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75,053,691.76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72,747,675.61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3,324,305.08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668,505.08</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委外开发费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2,220,534.86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909,479.73</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技术咨询费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471,698.11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2,095,733.56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78,628.17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2,841,852.39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2,449,565.57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7,229,252.92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7,163,898.07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573,536.83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536,302.97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237,992.37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918,292.96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94,048,597.88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85,472,348.16</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57、财务费用" w:id="352"/>
      <w:bookmarkEnd w:id="352"/>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21,412,266.08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17,228,405.90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1,528,552.03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628,076.31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2,029,880.04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531,408.10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2,300,649.67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443,010.23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24,214,243.76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17,574,747.92</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right="0"/>
        <w:jc w:val="left"/>
      </w:pPr>
      <w:r>
        <w:rPr/>
        <w:t>财务费用说明：</w:t>
      </w:r>
    </w:p>
    <w:p>
      <w:pPr>
        <w:pStyle w:val="BodyText"/>
        <w:spacing w:line="300" w:lineRule="auto" w:before="76"/>
        <w:ind w:right="4414" w:firstLine="420"/>
        <w:jc w:val="left"/>
      </w:pPr>
      <w:r>
        <w:rPr>
          <w:rFonts w:ascii="Times New Roman" w:hAnsi="Times New Roman" w:cs="Times New Roman" w:eastAsia="Times New Roman" w:hint="default"/>
        </w:rPr>
        <w:t>“</w:t>
      </w:r>
      <w:r>
        <w:rPr/>
        <w:t>手续费及其他</w:t>
      </w:r>
      <w:r>
        <w:rPr>
          <w:rFonts w:ascii="Times New Roman" w:hAnsi="Times New Roman" w:cs="Times New Roman" w:eastAsia="Times New Roman" w:hint="default"/>
        </w:rPr>
        <w:t>”</w:t>
      </w:r>
      <w:r>
        <w:rPr/>
        <w:t>系银行手续费，以及为获取借款支付的咨询费、担保费等。 本期财务费用发生额较上期增加</w:t>
      </w:r>
      <w:r>
        <w:rPr>
          <w:rFonts w:ascii="Times New Roman" w:hAnsi="Times New Roman" w:cs="Times New Roman" w:eastAsia="Times New Roman" w:hint="default"/>
        </w:rPr>
        <w:t>37.78%</w:t>
      </w:r>
      <w:r>
        <w:rPr/>
        <w:t>，主要系本期借款增加增加借款费用所致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Heading5"/>
        <w:spacing w:line="240" w:lineRule="auto"/>
        <w:ind w:right="0"/>
        <w:jc w:val="left"/>
        <w:rPr>
          <w:b w:val="0"/>
          <w:bCs w:val="0"/>
        </w:rPr>
      </w:pPr>
      <w:bookmarkStart w:name="58、资产减值损失" w:id="353"/>
      <w:bookmarkEnd w:id="353"/>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27,166,115.00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17,790,119.19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6,126,127.34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2,016,886.96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33,292,242.34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19,807,006.15</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5"/>
          <w:szCs w:val="15"/>
        </w:rPr>
      </w:pPr>
    </w:p>
    <w:p>
      <w:pPr>
        <w:pStyle w:val="BodyText"/>
        <w:spacing w:line="300" w:lineRule="auto"/>
        <w:ind w:right="1139" w:firstLine="420"/>
        <w:jc w:val="left"/>
      </w:pPr>
      <w:r>
        <w:rPr/>
        <w:t>本期资产减值损失发生额较上期增加</w:t>
      </w:r>
      <w:r>
        <w:rPr>
          <w:rFonts w:ascii="Times New Roman" w:hAnsi="Times New Roman" w:cs="Times New Roman" w:eastAsia="Times New Roman" w:hint="default"/>
        </w:rPr>
        <w:t>68.08%</w:t>
      </w:r>
      <w:r>
        <w:rPr/>
        <w:t>，主要系本期末账龄三年以上的应收账款期末余额较上期增加较多，导致 产生坏账的风险加大，计提坏账准备金额增加所致。</w:t>
      </w:r>
    </w:p>
    <w:p>
      <w:pPr>
        <w:spacing w:after="0" w:line="300" w:lineRule="auto"/>
        <w:jc w:val="left"/>
        <w:sectPr>
          <w:footerReference w:type="default" r:id="rId31"/>
          <w:pgSz w:w="11910" w:h="16840"/>
          <w:pgMar w:footer="978" w:header="746" w:top="1060" w:bottom="1160" w:left="1020" w:right="0"/>
          <w:pgNumType w:start="180"/>
        </w:sectPr>
      </w:pPr>
    </w:p>
    <w:p>
      <w:pPr>
        <w:spacing w:line="240" w:lineRule="auto" w:before="10"/>
        <w:rPr>
          <w:rFonts w:ascii="宋体" w:hAnsi="宋体" w:cs="宋体" w:eastAsia="宋体" w:hint="default"/>
          <w:sz w:val="24"/>
          <w:szCs w:val="24"/>
        </w:rPr>
      </w:pPr>
    </w:p>
    <w:p>
      <w:pPr>
        <w:pStyle w:val="Heading5"/>
        <w:spacing w:line="240" w:lineRule="auto" w:before="34"/>
        <w:ind w:right="0"/>
        <w:jc w:val="left"/>
        <w:rPr>
          <w:b w:val="0"/>
          <w:bCs w:val="0"/>
        </w:rPr>
      </w:pPr>
      <w:bookmarkStart w:name="59、其他收益" w:id="354"/>
      <w:bookmarkEnd w:id="354"/>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3,469,638.70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2,933,779.47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代扣个人所得税手续费返还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881,866.67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629,923.15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4,351,505.37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3,563,702.62</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bookmarkStart w:name="60、投资收益" w:id="355"/>
      <w:bookmarkEnd w:id="355"/>
      <w:r>
        <w:rPr>
          <w:b w:val="0"/>
          <w:bCs w:val="0"/>
        </w:rPr>
      </w:r>
      <w:r>
        <w:rPr>
          <w:rFonts w:ascii="Times New Roman" w:hAnsi="Times New Roman" w:cs="Times New Roman" w:eastAsia="Times New Roman" w:hint="default"/>
        </w:rPr>
        <w:t>60</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60"/>
        <w:gridCol w:w="3190"/>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-2,782,084.66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-1,946,887.95</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3" w:right="0"/>
              <w:jc w:val="left"/>
              <w:rPr>
                <w:rFonts w:ascii="宋体" w:hAnsi="宋体" w:cs="宋体" w:eastAsia="宋体" w:hint="default"/>
                <w:sz w:val="18"/>
                <w:szCs w:val="18"/>
              </w:rPr>
            </w:pPr>
            <w:r>
              <w:rPr>
                <w:rFonts w:ascii="宋体" w:hAnsi="宋体" w:cs="宋体" w:eastAsia="宋体" w:hint="default"/>
                <w:sz w:val="18"/>
                <w:szCs w:val="18"/>
              </w:rPr>
              <w:t>银行理财产品投资收益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2,333,692.93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554,743.15</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-448,391.73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-1,392,144.80</w:t>
            </w:r>
          </w:p>
        </w:tc>
      </w:tr>
    </w:tbl>
    <w:p>
      <w:pPr>
        <w:pStyle w:val="BodyText"/>
        <w:spacing w:line="240" w:lineRule="auto" w:before="50"/>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61、公允价值变动收益" w:id="356"/>
      <w:bookmarkEnd w:id="356"/>
      <w:r>
        <w:rPr>
          <w:b w:val="0"/>
          <w:bCs w:val="0"/>
        </w:rPr>
      </w:r>
      <w:r>
        <w:rPr>
          <w:rFonts w:ascii="Times New Roman" w:hAnsi="Times New Roman" w:cs="Times New Roman" w:eastAsia="Times New Roman" w:hint="default"/>
        </w:rPr>
        <w:t>61</w:t>
      </w:r>
      <w:r>
        <w:rPr/>
        <w:t>、公允价值变动收益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62、资产处置收益" w:id="357"/>
      <w:bookmarkEnd w:id="357"/>
      <w:r>
        <w:rPr>
          <w:b w:val="0"/>
          <w:bCs w:val="0"/>
        </w:rPr>
      </w:r>
      <w:r>
        <w:rPr>
          <w:rFonts w:ascii="Times New Roman" w:hAnsi="Times New Roman" w:cs="Times New Roman" w:eastAsia="Times New Roman" w:hint="default"/>
        </w:rPr>
        <w:t>62</w:t>
      </w:r>
      <w:r>
        <w:rPr/>
        <w:t>、资产处置收益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bookmarkStart w:name="63、营业外收入" w:id="358"/>
      <w:bookmarkEnd w:id="358"/>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3" w:right="0"/>
              <w:jc w:val="left"/>
              <w:rPr>
                <w:rFonts w:ascii="宋体" w:hAnsi="宋体" w:cs="宋体" w:eastAsia="宋体" w:hint="default"/>
                <w:sz w:val="18"/>
                <w:szCs w:val="18"/>
              </w:rPr>
            </w:pPr>
            <w:r>
              <w:rPr>
                <w:rFonts w:ascii="宋体" w:hAnsi="宋体" w:cs="宋体" w:eastAsia="宋体" w:hint="default"/>
                <w:sz w:val="18"/>
                <w:szCs w:val="18"/>
              </w:rPr>
              <w:t>违约赔偿收入</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4,000.00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63,663.50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63,663.50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67,663.50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67,663.50</w:t>
            </w:r>
          </w:p>
        </w:tc>
      </w:tr>
    </w:tbl>
    <w:p>
      <w:pPr>
        <w:pStyle w:val="BodyText"/>
        <w:spacing w:line="240" w:lineRule="auto" w:before="49"/>
        <w:ind w:right="0"/>
        <w:jc w:val="left"/>
      </w:pPr>
      <w:r>
        <w:rPr/>
        <w:t>计入当期损益的政府补助：</w:t>
      </w:r>
    </w:p>
    <w:p>
      <w:pPr>
        <w:pStyle w:val="BodyText"/>
        <w:spacing w:line="240" w:lineRule="auto" w:before="117"/>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407"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6" w:right="0"/>
              <w:jc w:val="left"/>
              <w:rPr>
                <w:rFonts w:ascii="宋体" w:hAnsi="宋体" w:cs="宋体" w:eastAsia="宋体" w:hint="default"/>
                <w:sz w:val="18"/>
                <w:szCs w:val="18"/>
              </w:rPr>
            </w:pPr>
            <w:r>
              <w:rPr>
                <w:rFonts w:ascii="宋体" w:hAnsi="宋体" w:cs="宋体" w:eastAsia="宋体" w:hint="default"/>
                <w:sz w:val="18"/>
                <w:szCs w:val="18"/>
              </w:rPr>
              <w:t>补贴是否影</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6" w:right="0"/>
              <w:jc w:val="left"/>
              <w:rPr>
                <w:rFonts w:ascii="宋体" w:hAnsi="宋体" w:cs="宋体" w:eastAsia="宋体" w:hint="default"/>
                <w:sz w:val="18"/>
                <w:szCs w:val="18"/>
              </w:rPr>
            </w:pPr>
            <w:r>
              <w:rPr>
                <w:rFonts w:ascii="宋体" w:hAnsi="宋体" w:cs="宋体" w:eastAsia="宋体" w:hint="default"/>
                <w:sz w:val="18"/>
                <w:szCs w:val="18"/>
              </w:rPr>
              <w:t>是否特殊补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7" w:right="0"/>
              <w:jc w:val="left"/>
              <w:rPr>
                <w:rFonts w:ascii="宋体" w:hAnsi="宋体" w:cs="宋体" w:eastAsia="宋体" w:hint="default"/>
                <w:sz w:val="18"/>
                <w:szCs w:val="18"/>
              </w:rPr>
            </w:pPr>
            <w:r>
              <w:rPr>
                <w:rFonts w:ascii="宋体" w:hAnsi="宋体" w:cs="宋体" w:eastAsia="宋体" w:hint="default"/>
                <w:sz w:val="18"/>
                <w:szCs w:val="18"/>
              </w:rPr>
              <w:t>本期发生金</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4" w:right="0"/>
              <w:jc w:val="left"/>
              <w:rPr>
                <w:rFonts w:ascii="宋体" w:hAnsi="宋体" w:cs="宋体" w:eastAsia="宋体" w:hint="default"/>
                <w:sz w:val="18"/>
                <w:szCs w:val="18"/>
              </w:rPr>
            </w:pPr>
            <w:r>
              <w:rPr>
                <w:rFonts w:ascii="宋体" w:hAnsi="宋体" w:cs="宋体" w:eastAsia="宋体" w:hint="default"/>
                <w:sz w:val="18"/>
                <w:szCs w:val="18"/>
              </w:rPr>
              <w:t>上期发生金</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362"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6" w:right="0"/>
              <w:jc w:val="left"/>
              <w:rPr>
                <w:rFonts w:ascii="宋体" w:hAnsi="宋体" w:cs="宋体" w:eastAsia="宋体" w:hint="default"/>
                <w:sz w:val="18"/>
                <w:szCs w:val="18"/>
              </w:rPr>
            </w:pPr>
            <w:r>
              <w:rPr>
                <w:rFonts w:ascii="宋体" w:hAnsi="宋体" w:cs="宋体" w:eastAsia="宋体" w:hint="default"/>
                <w:sz w:val="18"/>
                <w:szCs w:val="18"/>
              </w:rPr>
              <w:t>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5"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64、营业外支出" w:id="359"/>
      <w:bookmarkEnd w:id="359"/>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3"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9,318.51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9,318.51</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9,690.69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9,690.69</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19,009.20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19,009.20</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65、所得税费用" w:id="360"/>
      <w:bookmarkEnd w:id="360"/>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bookmarkStart w:name="（1）所得税费用表" w:id="361"/>
      <w:bookmarkEnd w:id="361"/>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4,817,707.60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4,508,748.86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-6,609,709.21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-3,017,835.92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-1,792,001.61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1,490,912.94</w:t>
            </w:r>
          </w:p>
        </w:tc>
      </w:tr>
    </w:tbl>
    <w:p>
      <w:pPr>
        <w:spacing w:line="240" w:lineRule="auto" w:before="2"/>
        <w:rPr>
          <w:rFonts w:ascii="宋体" w:hAnsi="宋体" w:cs="宋体" w:eastAsia="宋体" w:hint="default"/>
          <w:sz w:val="19"/>
          <w:szCs w:val="19"/>
        </w:rPr>
      </w:pPr>
    </w:p>
    <w:p>
      <w:pPr>
        <w:pStyle w:val="Heading5"/>
        <w:spacing w:line="240" w:lineRule="auto" w:before="34"/>
        <w:ind w:right="0"/>
        <w:jc w:val="left"/>
        <w:rPr>
          <w:b w:val="0"/>
          <w:bCs w:val="0"/>
        </w:rPr>
      </w:pPr>
      <w:bookmarkStart w:name="（2）会计利润与所得税费用调整过程" w:id="362"/>
      <w:bookmarkEnd w:id="362"/>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40,291,473.20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6,043,720.98</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-254,161.09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326,506.24</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1,087,178.62</w:t>
            </w:r>
          </w:p>
        </w:tc>
      </w:tr>
      <w:tr>
        <w:trPr>
          <w:trHeight w:val="71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6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458,420.46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研发支出加计扣除的影响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-9,453,666.81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-1,792,001.61</w:t>
            </w:r>
          </w:p>
        </w:tc>
      </w:tr>
    </w:tbl>
    <w:p>
      <w:pPr>
        <w:pStyle w:val="BodyText"/>
        <w:spacing w:line="240" w:lineRule="auto" w:before="51"/>
        <w:ind w:right="0"/>
        <w:jc w:val="left"/>
      </w:pPr>
      <w:r>
        <w:rPr/>
        <w:t>其他说明</w:t>
      </w:r>
    </w:p>
    <w:p>
      <w:pPr>
        <w:spacing w:after="0" w:line="240"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spacing w:line="547" w:lineRule="auto" w:before="34"/>
        <w:ind w:left="112" w:right="8857" w:firstLine="0"/>
        <w:jc w:val="left"/>
        <w:rPr>
          <w:rFonts w:ascii="宋体" w:hAnsi="宋体" w:cs="宋体" w:eastAsia="宋体" w:hint="default"/>
          <w:sz w:val="21"/>
          <w:szCs w:val="21"/>
        </w:rPr>
      </w:pPr>
      <w:bookmarkStart w:name="66、其他综合收益" w:id="363"/>
      <w:bookmarkEnd w:id="363"/>
      <w:r>
        <w:rPr/>
      </w: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详见附注七、注释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宋体" w:hAnsi="宋体" w:cs="宋体" w:eastAsia="宋体" w:hint="default"/>
          <w:sz w:val="18"/>
          <w:szCs w:val="18"/>
        </w:rPr>
        <w:t>。 </w:t>
      </w:r>
      <w:bookmarkStart w:name="67、现金流量表项目" w:id="364"/>
      <w:bookmarkEnd w:id="364"/>
      <w:r>
        <w:rPr>
          <w:rFonts w:ascii="宋体" w:hAnsi="宋体" w:cs="宋体" w:eastAsia="宋体" w:hint="default"/>
          <w:sz w:val="18"/>
          <w:szCs w:val="18"/>
        </w:rPr>
      </w: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5"/>
        <w:spacing w:line="240" w:lineRule="auto" w:before="23"/>
        <w:ind w:right="0"/>
        <w:jc w:val="left"/>
        <w:rPr>
          <w:b w:val="0"/>
          <w:bCs w:val="0"/>
        </w:rPr>
      </w:pPr>
      <w:bookmarkStart w:name="（1）收到的其他与经营活动有关的现金" w:id="365"/>
      <w:bookmarkEnd w:id="365"/>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收回押金及保证金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8,701,894.11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8,080,272.21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收到备用金还款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11,283,864.31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17,507,681.20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银行存款利息收入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1,494,164.15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628,076.31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收到政府补助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2,119,220.75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1,296,864.63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1,573,045.49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160,406.33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25,172,188.81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27,673,300.68</w:t>
            </w:r>
          </w:p>
        </w:tc>
      </w:tr>
    </w:tbl>
    <w:p>
      <w:pPr>
        <w:pStyle w:val="BodyText"/>
        <w:spacing w:line="240" w:lineRule="auto" w:before="50"/>
        <w:ind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支付的其他与经营活动有关的现金" w:id="366"/>
      <w:bookmarkEnd w:id="366"/>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支付的押金及保证金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12,028,101.36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11,432,669.80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支付备用金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13,187,573.48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14,546,031.87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78,256,302.65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67,790,506.50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2,016,734.02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2,674,403.57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105,488,711.51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96,443,611.74</w:t>
            </w:r>
          </w:p>
        </w:tc>
      </w:tr>
    </w:tbl>
    <w:p>
      <w:pPr>
        <w:pStyle w:val="BodyText"/>
        <w:spacing w:line="240" w:lineRule="auto" w:before="50"/>
        <w:ind w:right="0"/>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3）收到的其他与投资活动有关的现金" w:id="367"/>
      <w:bookmarkEnd w:id="367"/>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收到或退回的投资合作意向金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23,600,000.00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收到的其他与投资活动有关的现金说明：</w:t>
      </w:r>
    </w:p>
    <w:p>
      <w:pPr>
        <w:spacing w:after="0" w:line="240"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5"/>
        <w:spacing w:line="240" w:lineRule="auto" w:before="34"/>
        <w:ind w:right="0"/>
        <w:jc w:val="left"/>
        <w:rPr>
          <w:b w:val="0"/>
          <w:bCs w:val="0"/>
        </w:rPr>
      </w:pPr>
      <w:bookmarkStart w:name="（4）支付的其他与投资活动有关的现金" w:id="368"/>
      <w:bookmarkEnd w:id="368"/>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为取得子公司支付的中介费用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1,180,513.92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支付或返还的投资合作意向金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29,180,513.92</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2"/>
        <w:ind w:right="0"/>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5）收到的其他与筹资活动有关的现金" w:id="369"/>
      <w:bookmarkEnd w:id="369"/>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借款保证金退回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3,400,000.00</w:t>
            </w:r>
          </w:p>
        </w:tc>
      </w:tr>
    </w:tbl>
    <w:p>
      <w:pPr>
        <w:pStyle w:val="BodyText"/>
        <w:spacing w:line="240" w:lineRule="auto" w:before="50"/>
        <w:ind w:right="0"/>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6）支付的其他与筹资活动有关的现金" w:id="370"/>
      <w:bookmarkEnd w:id="370"/>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为获取贷款支付的保证金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为获取贷款支付的其他费用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4,687,943.40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152,774.68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首次公开发行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股直接费用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6,546,964.48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回购限制性股票支付的现金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4,239,128.89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23,107,072.29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11,099,739.16</w:t>
            </w:r>
          </w:p>
        </w:tc>
      </w:tr>
    </w:tbl>
    <w:p>
      <w:pPr>
        <w:pStyle w:val="BodyText"/>
        <w:spacing w:line="240" w:lineRule="auto" w:before="50"/>
        <w:ind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68、现金流量表补充资料" w:id="371"/>
      <w:bookmarkEnd w:id="371"/>
      <w:r>
        <w:rPr>
          <w:b w:val="0"/>
          <w:bCs w:val="0"/>
        </w:rPr>
      </w:r>
      <w:r>
        <w:rPr>
          <w:rFonts w:ascii="Times New Roman" w:hAnsi="Times New Roman" w:cs="Times New Roman" w:eastAsia="Times New Roman" w:hint="default"/>
        </w:rPr>
        <w:t>68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现金流量表补充资料" w:id="372"/>
      <w:bookmarkEnd w:id="372"/>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42,083,474.81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40,080,358.35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33,292,242.34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19,807,006.15</w:t>
            </w:r>
          </w:p>
        </w:tc>
      </w:tr>
      <w:tr>
        <w:trPr>
          <w:trHeight w:val="400"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2,167,258.06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1,243,499.65</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r>
        <w:rPr/>
        <w:pict>
          <v:shape style="position:absolute;margin-left:217.199997pt;margin-top:191.000031pt;width:158.6pt;height:19.7pt;mso-position-horizontal-relative:page;mso-position-vertical-relative:page;z-index:-1501552" type="#_x0000_t202" filled="false" stroked="false">
            <v:textbox inset="0,0,0,0">
              <w:txbxContent>
                <w:p>
                  <w:pPr>
                    <w:pStyle w:val="BodyText"/>
                    <w:spacing w:line="240" w:lineRule="auto" w:before="53"/>
                    <w:ind w:left="0" w:right="0"/>
                    <w:jc w:val="left"/>
                  </w:pPr>
                  <w:r>
                    <w:rPr/>
                    <w:t>）</w:t>
                  </w:r>
                </w:p>
              </w:txbxContent>
            </v:textbox>
            <w10:wrap type="none"/>
          </v:shape>
        </w:pict>
      </w:r>
      <w:r>
        <w:rPr/>
        <w:pict>
          <v:shape style="position:absolute;margin-left:217.199997pt;margin-top:211.100021pt;width:158.6pt;height:19.7pt;mso-position-horizontal-relative:page;mso-position-vertical-relative:page;z-index:-1501528" type="#_x0000_t202" filled="false" stroked="false">
            <v:textbox inset="0,0,0,0">
              <w:txbxContent>
                <w:p>
                  <w:pPr>
                    <w:pStyle w:val="BodyText"/>
                    <w:spacing w:line="240" w:lineRule="auto" w:before="52"/>
                    <w:ind w:left="0" w:right="0"/>
                    <w:jc w:val="left"/>
                  </w:pPr>
                  <w:r>
                    <w:rPr/>
                    <w:t>）</w:t>
                  </w:r>
                </w:p>
              </w:txbxContent>
            </v:textbox>
            <w10:wrap type="none"/>
          </v:shape>
        </w:pict>
      </w:r>
      <w:r>
        <w:rPr/>
        <w:pict>
          <v:group style="position:absolute;margin-left:223.199997pt;margin-top:191.000031pt;width:152.6pt;height:39.950pt;mso-position-horizontal-relative:page;mso-position-vertical-relative:page;z-index:-1501504" coordorigin="4464,3820" coordsize="3052,799">
            <v:group style="position:absolute;left:4464;top:3820;width:3052;height:397" coordorigin="4464,3820" coordsize="3052,397">
              <v:shape style="position:absolute;left:4464;top:3820;width:3052;height:397" coordorigin="4464,3820" coordsize="3052,397" path="m4464,3820l7516,3820,7516,4217,4464,4217,4464,3820xe" filled="true" fillcolor="#ffffff" stroked="false">
                <v:path arrowok="t"/>
                <v:fill type="solid"/>
              </v:shape>
            </v:group>
            <v:group style="position:absolute;left:4464;top:4222;width:3052;height:397" coordorigin="4464,4222" coordsize="3052,397">
              <v:shape style="position:absolute;left:4464;top:4222;width:3052;height:397" coordorigin="4464,4222" coordsize="3052,397" path="m4464,4222l7516,4222,7516,4619,4464,4619,4464,4222xe" filled="true" fillcolor="#ffffff" stroked="false">
                <v:path arrowok="t"/>
                <v:fill type="solid"/>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36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物资产折旧</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1,476,569.24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851,314.65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7,007,713.41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5,171,330.09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9,318.51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5,927.70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24,579,321.97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17,147,180.58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448,391.73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1,392,144.80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-6,164,201.18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-3,017,835.92</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-1,750,317.48</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-85,966,365.07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-43,018,766.16</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74"/>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-91,015,444.19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-79,453,728.12</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17,236,179.76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10,636,134.77</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6,589,800.55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683,194.13</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-50,006,057.54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-28,472,239.33</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 w:right="1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64"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64"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402,563,131.68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378,072,610.98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378,072,610.98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191,966,285.62</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24,490,520.70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186,106,325.36</w:t>
            </w:r>
          </w:p>
        </w:tc>
      </w:tr>
    </w:tbl>
    <w:p>
      <w:pPr>
        <w:spacing w:line="240" w:lineRule="auto" w:before="5"/>
        <w:rPr>
          <w:rFonts w:ascii="宋体" w:hAnsi="宋体" w:cs="宋体" w:eastAsia="宋体" w:hint="default"/>
          <w:sz w:val="19"/>
          <w:szCs w:val="19"/>
        </w:rPr>
      </w:pPr>
    </w:p>
    <w:p>
      <w:pPr>
        <w:pStyle w:val="Heading5"/>
        <w:spacing w:line="240" w:lineRule="auto" w:before="34"/>
        <w:ind w:right="0"/>
        <w:jc w:val="left"/>
        <w:rPr>
          <w:b w:val="0"/>
          <w:bCs w:val="0"/>
        </w:rPr>
      </w:pPr>
      <w:bookmarkStart w:name="（2）本期支付的取得子公司的现金净额" w:id="373"/>
      <w:bookmarkEnd w:id="373"/>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74,500,000.00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大陆云盾电子认证服务有限公司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SUNJE SOFT</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株式会社</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73,000,000.00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13,595,964.12</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大陆云盾电子认证服务有限公司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24,602.01</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SUNJE SOFT</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株式会社</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13,571,362.11</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60,904,035.88</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本期收到的处置子公司的现金净额" w:id="374"/>
      <w:bookmarkEnd w:id="374"/>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8"/>
        <w:gridCol w:w="4580"/>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现金和现金等价物的构成" w:id="375"/>
      <w:bookmarkEnd w:id="375"/>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402,563,131.68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378,072,610.98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6,773.55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786.40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401,909,236.43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378,071,824.58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647,121.70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402,563,131.68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378,072,610.98</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spacing w:line="544" w:lineRule="auto" w:before="118"/>
        <w:ind w:left="112" w:right="5374" w:firstLine="0"/>
        <w:jc w:val="left"/>
        <w:rPr>
          <w:rFonts w:ascii="宋体" w:hAnsi="宋体" w:cs="宋体" w:eastAsia="宋体" w:hint="default"/>
          <w:sz w:val="21"/>
          <w:szCs w:val="21"/>
        </w:rPr>
      </w:pPr>
      <w:bookmarkStart w:name="69、所有者权益变动表项目注释" w:id="376"/>
      <w:bookmarkEnd w:id="376"/>
      <w:r>
        <w:rPr/>
      </w: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0、所有权或使用权受到限制的资产" w:id="377"/>
      <w:bookmarkEnd w:id="377"/>
      <w:r>
        <w:rPr>
          <w:rFonts w:ascii="宋体" w:hAnsi="宋体" w:cs="宋体" w:eastAsia="宋体" w:hint="default"/>
          <w:sz w:val="18"/>
          <w:szCs w:val="18"/>
        </w:rPr>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3"/>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4,745,429.00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详见七、注释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和附注七、注释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180,145,882.12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详见七、注释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和附注七、注释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184,891,311.12</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71、外币货币性项目" w:id="378"/>
      <w:bookmarkEnd w:id="378"/>
      <w:r>
        <w:rPr>
          <w:b w:val="0"/>
          <w:bCs w:val="0"/>
        </w:rPr>
      </w:r>
      <w:r>
        <w:rPr>
          <w:rFonts w:ascii="Times New Roman" w:hAnsi="Times New Roman" w:cs="Times New Roman" w:eastAsia="Times New Roman" w:hint="default"/>
        </w:rPr>
        <w:t>71</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bookmarkStart w:name="（1）外币货币性项目" w:id="379"/>
      <w:bookmarkEnd w:id="379"/>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after="0" w:line="240" w:lineRule="auto"/>
        <w:jc w:val="right"/>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495"/>
        <w:gridCol w:w="2293"/>
        <w:gridCol w:w="2390"/>
        <w:gridCol w:w="2390"/>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66,063.16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6.8632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453,404.68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21,397,333.92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0.8762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18,748,343.98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韩元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2,240,135,849.00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0.0061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13,720,437.61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2,385,398.64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0.8762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2,090,086.28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77"/>
              <w:jc w:val="center"/>
              <w:rPr>
                <w:rFonts w:ascii="宋体" w:hAnsi="宋体" w:cs="宋体" w:eastAsia="宋体" w:hint="default"/>
                <w:sz w:val="18"/>
                <w:szCs w:val="18"/>
              </w:rPr>
            </w:pPr>
            <w:r>
              <w:rPr>
                <w:rFonts w:ascii="宋体" w:hAnsi="宋体" w:cs="宋体" w:eastAsia="宋体" w:hint="default"/>
                <w:sz w:val="18"/>
                <w:szCs w:val="18"/>
              </w:rPr>
              <w:t>韩元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302,783,645.00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0.0061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1,854,496.51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韩元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其中：韩元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19,743,121.00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0.0061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120,923.10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646,447.47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0.8762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566,417.27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77"/>
              <w:jc w:val="center"/>
              <w:rPr>
                <w:rFonts w:ascii="宋体" w:hAnsi="宋体" w:cs="宋体" w:eastAsia="宋体" w:hint="default"/>
                <w:sz w:val="18"/>
                <w:szCs w:val="18"/>
              </w:rPr>
            </w:pPr>
            <w:r>
              <w:rPr>
                <w:rFonts w:ascii="宋体" w:hAnsi="宋体" w:cs="宋体" w:eastAsia="宋体" w:hint="default"/>
                <w:sz w:val="18"/>
                <w:szCs w:val="18"/>
              </w:rPr>
              <w:t>韩元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79,743,121.00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0.0061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488,412.57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2,032,446.33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0.8762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1,780,829.47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韩元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155,041,946.00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0.0061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949,604.62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22,115.30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6.8632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151,781.73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其中：韩元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84,849,635.00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0.0061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519,689.07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left"/>
              <w:rPr>
                <w:rFonts w:ascii="Times New Roman" w:hAnsi="Times New Roman" w:cs="Times New Roman" w:eastAsia="Times New Roman" w:hint="default"/>
                <w:sz w:val="18"/>
                <w:szCs w:val="18"/>
              </w:rPr>
            </w:pPr>
            <w:r>
              <w:rPr>
                <w:rFonts w:ascii="Times New Roman"/>
                <w:sz w:val="18"/>
              </w:rPr>
              <w:t>6.8632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34,316,000.00</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5"/>
        <w:spacing w:line="256" w:lineRule="auto" w:before="118"/>
        <w:ind w:right="0"/>
        <w:jc w:val="left"/>
        <w:rPr>
          <w:b w:val="0"/>
          <w:bCs w:val="0"/>
        </w:rPr>
      </w:pPr>
      <w:bookmarkStart w:name="（2）境外经营实体说明，包括对于重要的境外经营实体，应披露其境外主要经营地、记账" w:id="380"/>
      <w:bookmarkEnd w:id="380"/>
      <w:r>
        <w:rPr>
          <w:b w:val="0"/>
          <w:bCs w:val="0"/>
        </w:rPr>
      </w:r>
      <w:r>
        <w:rPr>
          <w:spacing w:val="3"/>
          <w:w w:val="95"/>
        </w:rPr>
        <w:t>（</w:t>
      </w:r>
      <w:r>
        <w:rPr>
          <w:rFonts w:ascii="Times New Roman" w:hAnsi="Times New Roman" w:cs="Times New Roman" w:eastAsia="Times New Roman" w:hint="default"/>
          <w:spacing w:val="3"/>
          <w:w w:val="95"/>
        </w:rPr>
        <w:t>2</w:t>
      </w:r>
      <w:r>
        <w:rPr>
          <w:spacing w:val="3"/>
          <w:w w:val="95"/>
        </w:rPr>
        <w:t>）境外经营实体说明，包括对于重要的境外经营实体，应披露其境外主要经营地、记账本位币及选择</w:t>
      </w:r>
      <w:r>
        <w:rPr>
          <w:spacing w:val="93"/>
          <w:w w:val="95"/>
        </w:rPr>
        <w:t> </w:t>
      </w:r>
      <w:r>
        <w:rPr>
          <w:spacing w:val="93"/>
          <w:w w:val="95"/>
        </w:rPr>
      </w:r>
      <w:r>
        <w:rPr/>
        <w:t>依据，记账本位币发生变化的还应披露原因。</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3686"/>
        <w:gridCol w:w="2268"/>
        <w:gridCol w:w="2551"/>
      </w:tblGrid>
      <w:tr>
        <w:trPr>
          <w:trHeight w:val="354" w:hRule="exact"/>
        </w:trPr>
        <w:tc>
          <w:tcPr>
            <w:tcW w:w="3686"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1205" w:right="0"/>
              <w:jc w:val="left"/>
              <w:rPr>
                <w:rFonts w:ascii="宋体" w:hAnsi="宋体" w:cs="宋体" w:eastAsia="宋体" w:hint="default"/>
                <w:sz w:val="21"/>
                <w:szCs w:val="21"/>
              </w:rPr>
            </w:pPr>
            <w:r>
              <w:rPr>
                <w:rFonts w:ascii="宋体" w:hAnsi="宋体" w:cs="宋体" w:eastAsia="宋体" w:hint="default"/>
                <w:sz w:val="21"/>
                <w:szCs w:val="21"/>
              </w:rPr>
              <w:t>境外经营实体</w:t>
            </w:r>
          </w:p>
        </w:tc>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2551" w:type="dxa"/>
            <w:tcBorders>
              <w:top w:val="single" w:sz="6" w:space="0" w:color="000000"/>
              <w:left w:val="single" w:sz="6" w:space="0" w:color="000000"/>
              <w:bottom w:val="single" w:sz="12" w:space="0" w:color="000000"/>
              <w:right w:val="nil" w:sz="6" w:space="0" w:color="auto"/>
            </w:tcBorders>
          </w:tcPr>
          <w:p>
            <w:pPr>
              <w:pStyle w:val="TableParagraph"/>
              <w:spacing w:line="271" w:lineRule="exact"/>
              <w:ind w:right="6"/>
              <w:jc w:val="center"/>
              <w:rPr>
                <w:rFonts w:ascii="宋体" w:hAnsi="宋体" w:cs="宋体" w:eastAsia="宋体" w:hint="default"/>
                <w:sz w:val="21"/>
                <w:szCs w:val="21"/>
              </w:rPr>
            </w:pPr>
            <w:r>
              <w:rPr>
                <w:rFonts w:ascii="宋体" w:hAnsi="宋体" w:cs="宋体" w:eastAsia="宋体" w:hint="default"/>
                <w:sz w:val="21"/>
                <w:szCs w:val="21"/>
              </w:rPr>
              <w:t>记账本位币</w:t>
            </w:r>
          </w:p>
        </w:tc>
      </w:tr>
      <w:tr>
        <w:trPr>
          <w:trHeight w:val="362" w:hRule="exact"/>
        </w:trPr>
        <w:tc>
          <w:tcPr>
            <w:tcW w:w="3686"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3" w:right="0"/>
              <w:jc w:val="left"/>
              <w:rPr>
                <w:rFonts w:ascii="宋体" w:hAnsi="宋体" w:cs="宋体" w:eastAsia="宋体" w:hint="default"/>
                <w:sz w:val="21"/>
                <w:szCs w:val="21"/>
              </w:rPr>
            </w:pPr>
            <w:r>
              <w:rPr>
                <w:rFonts w:ascii="宋体" w:hAnsi="宋体" w:cs="宋体" w:eastAsia="宋体" w:hint="default"/>
                <w:sz w:val="21"/>
                <w:szCs w:val="21"/>
              </w:rPr>
              <w:t>科蓝软体系统（香港）有限公司</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香港</w:t>
            </w:r>
          </w:p>
        </w:tc>
        <w:tc>
          <w:tcPr>
            <w:tcW w:w="2551" w:type="dxa"/>
            <w:tcBorders>
              <w:top w:val="single" w:sz="12" w:space="0" w:color="000000"/>
              <w:left w:val="single" w:sz="6" w:space="0" w:color="000000"/>
              <w:bottom w:val="single" w:sz="12" w:space="0" w:color="000000"/>
              <w:right w:val="nil" w:sz="6" w:space="0" w:color="auto"/>
            </w:tcBorders>
          </w:tcPr>
          <w:p>
            <w:pPr>
              <w:pStyle w:val="TableParagraph"/>
              <w:spacing w:line="272" w:lineRule="exact"/>
              <w:ind w:right="8"/>
              <w:jc w:val="center"/>
              <w:rPr>
                <w:rFonts w:ascii="宋体" w:hAnsi="宋体" w:cs="宋体" w:eastAsia="宋体" w:hint="default"/>
                <w:sz w:val="21"/>
                <w:szCs w:val="21"/>
              </w:rPr>
            </w:pPr>
            <w:r>
              <w:rPr>
                <w:rFonts w:ascii="宋体" w:hAnsi="宋体" w:cs="宋体" w:eastAsia="宋体" w:hint="default"/>
                <w:sz w:val="21"/>
                <w:szCs w:val="21"/>
              </w:rPr>
              <w:t>港币</w:t>
            </w:r>
          </w:p>
        </w:tc>
      </w:tr>
      <w:tr>
        <w:trPr>
          <w:trHeight w:val="362" w:hRule="exact"/>
        </w:trPr>
        <w:tc>
          <w:tcPr>
            <w:tcW w:w="3686" w:type="dxa"/>
            <w:tcBorders>
              <w:top w:val="single" w:sz="12" w:space="0" w:color="000000"/>
              <w:left w:val="single" w:sz="6" w:space="0" w:color="000000"/>
              <w:bottom w:val="single" w:sz="12" w:space="0" w:color="000000"/>
              <w:right w:val="single" w:sz="6" w:space="0" w:color="000000"/>
            </w:tcBorders>
          </w:tcPr>
          <w:p>
            <w:pPr>
              <w:pStyle w:val="TableParagraph"/>
              <w:spacing w:line="288" w:lineRule="exact"/>
              <w:ind w:left="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SUNJE</w:t>
            </w:r>
            <w:r>
              <w:rPr>
                <w:rFonts w:ascii="Times New Roman" w:hAnsi="Times New Roman" w:cs="Times New Roman" w:eastAsia="Times New Roman" w:hint="default"/>
                <w:spacing w:val="-8"/>
                <w:sz w:val="21"/>
                <w:szCs w:val="21"/>
              </w:rPr>
              <w:t> </w:t>
            </w:r>
            <w:r>
              <w:rPr>
                <w:rFonts w:ascii="Times New Roman" w:hAnsi="Times New Roman" w:cs="Times New Roman" w:eastAsia="Times New Roman" w:hint="default"/>
                <w:sz w:val="21"/>
                <w:szCs w:val="21"/>
              </w:rPr>
              <w:t>SOFT</w:t>
            </w:r>
            <w:r>
              <w:rPr>
                <w:rFonts w:ascii="宋体" w:hAnsi="宋体" w:cs="宋体" w:eastAsia="宋体" w:hint="default"/>
                <w:sz w:val="21"/>
                <w:szCs w:val="21"/>
              </w:rPr>
              <w:t>株式会社</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韩国</w:t>
            </w:r>
          </w:p>
        </w:tc>
        <w:tc>
          <w:tcPr>
            <w:tcW w:w="2551" w:type="dxa"/>
            <w:tcBorders>
              <w:top w:val="single" w:sz="12" w:space="0" w:color="000000"/>
              <w:left w:val="single" w:sz="6" w:space="0" w:color="000000"/>
              <w:bottom w:val="single" w:sz="12" w:space="0" w:color="000000"/>
              <w:right w:val="nil" w:sz="6" w:space="0" w:color="auto"/>
            </w:tcBorders>
          </w:tcPr>
          <w:p>
            <w:pPr>
              <w:pStyle w:val="TableParagraph"/>
              <w:spacing w:line="272" w:lineRule="exact"/>
              <w:ind w:right="8"/>
              <w:jc w:val="center"/>
              <w:rPr>
                <w:rFonts w:ascii="宋体" w:hAnsi="宋体" w:cs="宋体" w:eastAsia="宋体" w:hint="default"/>
                <w:sz w:val="21"/>
                <w:szCs w:val="21"/>
              </w:rPr>
            </w:pPr>
            <w:r>
              <w:rPr>
                <w:rFonts w:ascii="宋体" w:hAnsi="宋体" w:cs="宋体" w:eastAsia="宋体" w:hint="default"/>
                <w:sz w:val="21"/>
                <w:szCs w:val="21"/>
              </w:rPr>
              <w:t>韩元</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5"/>
        <w:spacing w:line="240" w:lineRule="auto" w:before="34"/>
        <w:ind w:right="0"/>
        <w:jc w:val="left"/>
        <w:rPr>
          <w:b w:val="0"/>
          <w:bCs w:val="0"/>
        </w:rPr>
      </w:pPr>
      <w:bookmarkStart w:name="72、套期" w:id="381"/>
      <w:bookmarkEnd w:id="381"/>
      <w:r>
        <w:rPr>
          <w:b w:val="0"/>
          <w:bCs w:val="0"/>
        </w:rPr>
      </w:r>
      <w:r>
        <w:rPr>
          <w:rFonts w:ascii="Times New Roman" w:hAnsi="Times New Roman" w:cs="Times New Roman" w:eastAsia="Times New Roman" w:hint="default"/>
        </w:rPr>
        <w:t>72</w:t>
      </w:r>
      <w:r>
        <w:rPr/>
        <w:t>、套期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按照套期类别披露套期项目及相关套期工具、被套期风险的定性和定量信息：</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73、政府补助" w:id="382"/>
      <w:bookmarkEnd w:id="382"/>
      <w:r>
        <w:rPr>
          <w:b w:val="0"/>
          <w:bCs w:val="0"/>
        </w:rPr>
      </w:r>
      <w:r>
        <w:rPr>
          <w:rFonts w:ascii="Times New Roman" w:hAnsi="Times New Roman" w:cs="Times New Roman" w:eastAsia="Times New Roman" w:hint="default"/>
        </w:rPr>
        <w:t>73</w:t>
      </w:r>
      <w:r>
        <w:rPr/>
        <w:t>、政府补助</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政府补助基本情况" w:id="383"/>
      <w:bookmarkEnd w:id="383"/>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计入递延收益的政府补助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325,333.00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投贷奖支持资金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325,333.00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计入其他收益的政府补助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1,159,742.52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软件增值税退税</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1,159,742.52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计入其他收益的政府补助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495,463.18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稳定岗位补贴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495,463.18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计入其他收益的政府补助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上市资金补贴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计入其他收益的政府补助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中关村企业信用促进会评级 费补贴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计入其他收益的政府补助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325,333.00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投贷奖支持资金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325,333.00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计入其他收益的政府补助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深圳市高新技术企业认定奖 金补贴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计入其他收益的政府补助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98"/>
              <w:jc w:val="left"/>
              <w:rPr>
                <w:rFonts w:ascii="宋体" w:hAnsi="宋体" w:cs="宋体" w:eastAsia="宋体" w:hint="default"/>
                <w:sz w:val="18"/>
                <w:szCs w:val="18"/>
              </w:rPr>
            </w:pPr>
            <w:r>
              <w:rPr>
                <w:rFonts w:ascii="宋体" w:hAnsi="宋体" w:cs="宋体" w:eastAsia="宋体" w:hint="default"/>
                <w:sz w:val="18"/>
                <w:szCs w:val="18"/>
              </w:rPr>
              <w:t>深圳市南山区高新技术企业 倍增支持计划项目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计入其他收益的政府补助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829,100.00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财政扶持款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829,100.00</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bookmarkStart w:name="（2）政府补助退回情况" w:id="384"/>
      <w:bookmarkEnd w:id="384"/>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 其他说明：</w:t>
      </w:r>
    </w:p>
    <w:p>
      <w:pPr>
        <w:spacing w:after="0" w:line="340"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spacing w:line="487" w:lineRule="auto" w:before="34"/>
        <w:ind w:left="112" w:right="8329" w:firstLine="0"/>
        <w:jc w:val="left"/>
        <w:rPr>
          <w:rFonts w:ascii="宋体" w:hAnsi="宋体" w:cs="宋体" w:eastAsia="宋体" w:hint="default"/>
          <w:sz w:val="21"/>
          <w:szCs w:val="21"/>
        </w:rPr>
      </w:pPr>
      <w:bookmarkStart w:name="74、其他" w:id="385"/>
      <w:bookmarkEnd w:id="385"/>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86"/>
      <w:bookmarkEnd w:id="386"/>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87"/>
      <w:bookmarkEnd w:id="38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5"/>
        <w:spacing w:line="240" w:lineRule="auto" w:before="81"/>
        <w:ind w:right="0"/>
        <w:jc w:val="left"/>
        <w:rPr>
          <w:b w:val="0"/>
          <w:bCs w:val="0"/>
        </w:rPr>
      </w:pPr>
      <w:bookmarkStart w:name="（1）本期发生的非同一控制下企业合并" w:id="388"/>
      <w:bookmarkEnd w:id="388"/>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4"/>
        <w:gridCol w:w="1064"/>
        <w:gridCol w:w="1064"/>
        <w:gridCol w:w="1064"/>
        <w:gridCol w:w="1064"/>
        <w:gridCol w:w="1062"/>
        <w:gridCol w:w="1062"/>
        <w:gridCol w:w="1062"/>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5" w:right="75"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8"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7" w:right="75"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38"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57"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6" w:right="73"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5"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8"/>
              <w:jc w:val="both"/>
              <w:rPr>
                <w:rFonts w:ascii="宋体" w:hAnsi="宋体" w:cs="宋体" w:eastAsia="宋体" w:hint="default"/>
                <w:sz w:val="18"/>
                <w:szCs w:val="18"/>
              </w:rPr>
            </w:pPr>
            <w:r>
              <w:rPr>
                <w:rFonts w:ascii="宋体" w:hAnsi="宋体" w:cs="宋体" w:eastAsia="宋体" w:hint="default"/>
                <w:sz w:val="18"/>
                <w:szCs w:val="18"/>
              </w:rPr>
              <w:t>大陆云盾电 子认证服务 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现金购买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支付超过 </w:t>
            </w:r>
            <w:r>
              <w:rPr>
                <w:rFonts w:ascii="Times New Roman" w:hAnsi="Times New Roman" w:cs="Times New Roman" w:eastAsia="Times New Roman" w:hint="default"/>
                <w:sz w:val="18"/>
                <w:szCs w:val="18"/>
              </w:rPr>
              <w:t>50%</w:t>
            </w:r>
            <w:r>
              <w:rPr>
                <w:rFonts w:ascii="宋体" w:hAnsi="宋体" w:cs="宋体" w:eastAsia="宋体" w:hint="default"/>
                <w:sz w:val="18"/>
                <w:szCs w:val="18"/>
              </w:rPr>
              <w:t>的购买 </w:t>
            </w:r>
            <w:r>
              <w:rPr>
                <w:rFonts w:ascii="宋体" w:hAnsi="宋体" w:cs="宋体" w:eastAsia="宋体" w:hint="default"/>
                <w:spacing w:val="-13"/>
                <w:sz w:val="18"/>
                <w:szCs w:val="18"/>
              </w:rPr>
              <w:t>价款，并取得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控制权</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-874,824.92</w:t>
            </w: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SUNJE</w:t>
            </w:r>
          </w:p>
          <w:p>
            <w:pPr>
              <w:pStyle w:val="TableParagraph"/>
              <w:spacing w:line="300" w:lineRule="auto" w:before="63"/>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SOFT</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株式会 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现金购买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0"/>
              <w:ind w:left="23" w:right="21"/>
              <w:jc w:val="left"/>
              <w:rPr>
                <w:rFonts w:ascii="宋体" w:hAnsi="宋体" w:cs="宋体" w:eastAsia="宋体" w:hint="default"/>
                <w:sz w:val="18"/>
                <w:szCs w:val="18"/>
              </w:rPr>
            </w:pPr>
            <w:r>
              <w:rPr>
                <w:rFonts w:ascii="宋体" w:hAnsi="宋体" w:cs="宋体" w:eastAsia="宋体" w:hint="default"/>
                <w:sz w:val="18"/>
                <w:szCs w:val="18"/>
              </w:rPr>
              <w:t>支付超过 </w:t>
            </w:r>
            <w:r>
              <w:rPr>
                <w:rFonts w:ascii="Times New Roman" w:hAnsi="Times New Roman" w:cs="Times New Roman" w:eastAsia="Times New Roman" w:hint="default"/>
                <w:sz w:val="18"/>
                <w:szCs w:val="18"/>
              </w:rPr>
              <w:t>50%</w:t>
            </w:r>
            <w:r>
              <w:rPr>
                <w:rFonts w:ascii="宋体" w:hAnsi="宋体" w:cs="宋体" w:eastAsia="宋体" w:hint="default"/>
                <w:sz w:val="18"/>
                <w:szCs w:val="18"/>
              </w:rPr>
              <w:t>的购买 </w:t>
            </w:r>
            <w:r>
              <w:rPr>
                <w:rFonts w:ascii="宋体" w:hAnsi="宋体" w:cs="宋体" w:eastAsia="宋体" w:hint="default"/>
                <w:spacing w:val="-13"/>
                <w:sz w:val="18"/>
                <w:szCs w:val="18"/>
              </w:rPr>
              <w:t>价款，并取得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控制权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2,664,675.12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-1,080,605.05</w:t>
            </w:r>
          </w:p>
        </w:tc>
      </w:tr>
    </w:tbl>
    <w:p>
      <w:pPr>
        <w:pStyle w:val="BodyText"/>
        <w:spacing w:line="240" w:lineRule="auto" w:before="51"/>
        <w:ind w:right="0"/>
        <w:jc w:val="left"/>
      </w:pPr>
      <w:r>
        <w:rPr/>
        <w:t>其他说明：</w:t>
      </w:r>
    </w:p>
    <w:p>
      <w:pPr>
        <w:pStyle w:val="BodyText"/>
        <w:spacing w:line="300" w:lineRule="auto" w:before="115"/>
        <w:ind w:right="0" w:firstLine="420"/>
        <w:jc w:val="left"/>
      </w:pPr>
      <w:r>
        <w:rPr/>
        <w:t>（</w:t>
      </w:r>
      <w:r>
        <w:rPr>
          <w:rFonts w:ascii="Times New Roman" w:hAnsi="Times New Roman" w:cs="Times New Roman" w:eastAsia="Times New Roman" w:hint="default"/>
        </w:rPr>
        <w:t>1</w:t>
      </w:r>
      <w:r>
        <w:rPr/>
        <w:t>）大陆云盾电子认证服务有限公司（以下简称大陆云盾公司）原公司章程规定，注册资本人民币</w:t>
      </w:r>
      <w:r>
        <w:rPr>
          <w:rFonts w:ascii="Times New Roman" w:hAnsi="Times New Roman" w:cs="Times New Roman" w:eastAsia="Times New Roman" w:hint="default"/>
        </w:rPr>
        <w:t>5000</w:t>
      </w:r>
      <w:r>
        <w:rPr/>
        <w:t>万元，其中姜 </w:t>
      </w:r>
      <w:r>
        <w:rPr>
          <w:spacing w:val="-2"/>
        </w:rPr>
        <w:t>晓崑认缴出资人民币</w:t>
      </w:r>
      <w:r>
        <w:rPr>
          <w:rFonts w:ascii="Times New Roman" w:hAnsi="Times New Roman" w:cs="Times New Roman" w:eastAsia="Times New Roman" w:hint="default"/>
          <w:spacing w:val="-2"/>
        </w:rPr>
        <w:t>2,700</w:t>
      </w:r>
      <w:r>
        <w:rPr>
          <w:spacing w:val="-2"/>
        </w:rPr>
        <w:t>万元，占认缴出资比例的</w:t>
      </w:r>
      <w:r>
        <w:rPr>
          <w:rFonts w:ascii="Times New Roman" w:hAnsi="Times New Roman" w:cs="Times New Roman" w:eastAsia="Times New Roman" w:hint="default"/>
          <w:spacing w:val="-2"/>
        </w:rPr>
        <w:t>54%</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28</w:t>
      </w:r>
      <w:r>
        <w:rPr>
          <w:spacing w:val="-2"/>
        </w:rPr>
        <w:t>日，大陆云盾公司股东会决议修改了公司章程，修改</w:t>
      </w:r>
      <w:r>
        <w:rPr>
          <w:spacing w:val="-69"/>
        </w:rPr>
        <w:t> </w:t>
      </w:r>
      <w:r>
        <w:rPr>
          <w:spacing w:val="-69"/>
        </w:rPr>
      </w:r>
      <w:r>
        <w:rPr>
          <w:spacing w:val="-3"/>
        </w:rPr>
        <w:t>后，注册资本为人民币</w:t>
      </w:r>
      <w:r>
        <w:rPr>
          <w:rFonts w:ascii="Times New Roman" w:hAnsi="Times New Roman" w:cs="Times New Roman" w:eastAsia="Times New Roman" w:hint="default"/>
          <w:spacing w:val="-3"/>
        </w:rPr>
        <w:t>5,000</w:t>
      </w:r>
      <w:r>
        <w:rPr>
          <w:spacing w:val="-3"/>
        </w:rPr>
        <w:t>万元，其中本公司认缴出资人民币</w:t>
      </w:r>
      <w:r>
        <w:rPr>
          <w:rFonts w:ascii="Times New Roman" w:hAnsi="Times New Roman" w:cs="Times New Roman" w:eastAsia="Times New Roman" w:hint="default"/>
          <w:spacing w:val="-3"/>
        </w:rPr>
        <w:t>2,550</w:t>
      </w:r>
      <w:r>
        <w:rPr>
          <w:spacing w:val="-3"/>
        </w:rPr>
        <w:t>万元，占认缴出资比例的</w:t>
      </w:r>
      <w:r>
        <w:rPr>
          <w:rFonts w:ascii="Times New Roman" w:hAnsi="Times New Roman" w:cs="Times New Roman" w:eastAsia="Times New Roman" w:hint="default"/>
          <w:spacing w:val="-3"/>
        </w:rPr>
        <w:t>51%</w:t>
      </w:r>
      <w:r>
        <w:rPr>
          <w:spacing w:val="-3"/>
        </w:rPr>
        <w:t>，姜晓崑认缴出资</w:t>
      </w:r>
      <w:r>
        <w:rPr>
          <w:rFonts w:ascii="Times New Roman" w:hAnsi="Times New Roman" w:cs="Times New Roman" w:eastAsia="Times New Roman" w:hint="default"/>
          <w:spacing w:val="-3"/>
        </w:rPr>
        <w:t>150</w:t>
      </w:r>
      <w:r>
        <w:rPr>
          <w:spacing w:val="-3"/>
        </w:rPr>
        <w:t>万元，</w:t>
      </w:r>
      <w:r>
        <w:rPr>
          <w:spacing w:val="-48"/>
        </w:rPr>
        <w:t> </w:t>
      </w:r>
      <w:r>
        <w:rPr/>
        <w:t>占认缴出资比例的</w:t>
      </w:r>
      <w:r>
        <w:rPr>
          <w:rFonts w:ascii="Times New Roman" w:hAnsi="Times New Roman" w:cs="Times New Roman" w:eastAsia="Times New Roman" w:hint="default"/>
        </w:rPr>
        <w:t>3%</w:t>
      </w:r>
      <w:r>
        <w:rPr/>
        <w:t>。同时，章程规定，各股东</w:t>
      </w:r>
      <w:r>
        <w:rPr>
          <w:rFonts w:ascii="Times New Roman" w:hAnsi="Times New Roman" w:cs="Times New Roman" w:eastAsia="Times New Roman" w:hint="default"/>
        </w:rPr>
        <w:t>“</w:t>
      </w:r>
      <w:r>
        <w:rPr/>
        <w:t>按照其实缴的出资比例分取红利</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按照实缴出资比例行使表决权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公 司终止后，按其实缴的出资比例分得公司的剩余财产</w:t>
      </w:r>
      <w:r>
        <w:rPr>
          <w:rFonts w:ascii="Times New Roman" w:hAnsi="Times New Roman" w:cs="Times New Roman" w:eastAsia="Times New Roman" w:hint="default"/>
        </w:rPr>
        <w:t>”</w:t>
      </w:r>
      <w:r>
        <w:rPr/>
        <w:t>。</w:t>
      </w:r>
    </w:p>
    <w:p>
      <w:pPr>
        <w:pStyle w:val="BodyText"/>
        <w:spacing w:line="300" w:lineRule="auto" w:before="13"/>
        <w:ind w:right="1130" w:firstLine="420"/>
        <w:jc w:val="both"/>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27</w:t>
      </w:r>
      <w:r>
        <w:rPr>
          <w:spacing w:val="-3"/>
        </w:rPr>
        <w:t>日，本公司第二届董事会第二十次会议审议通过了《关于公司对外投资的议案》，决议以现金收购姜晓崑</w:t>
      </w:r>
      <w:r>
        <w:rPr/>
        <w:t> </w:t>
      </w:r>
      <w:r>
        <w:rPr>
          <w:spacing w:val="-1"/>
        </w:rPr>
        <w:t>持有的大陆云盾公司</w:t>
      </w:r>
      <w:r>
        <w:rPr>
          <w:rFonts w:ascii="Times New Roman" w:hAnsi="Times New Roman" w:cs="Times New Roman" w:eastAsia="Times New Roman" w:hint="default"/>
          <w:spacing w:val="-1"/>
        </w:rPr>
        <w:t>51%</w:t>
      </w:r>
      <w:r>
        <w:rPr>
          <w:spacing w:val="-1"/>
        </w:rPr>
        <w:t>的股权。本公司支付股权收购款前，大陆云盾公司实收资本为</w:t>
      </w:r>
      <w:r>
        <w:rPr>
          <w:rFonts w:ascii="Times New Roman" w:hAnsi="Times New Roman" w:cs="Times New Roman" w:eastAsia="Times New Roman" w:hint="default"/>
          <w:spacing w:val="-1"/>
        </w:rPr>
        <w:t>625.82</w:t>
      </w:r>
      <w:r>
        <w:rPr>
          <w:spacing w:val="-1"/>
        </w:rPr>
        <w:t>万元，其中，姜晓崑实际出资</w:t>
      </w:r>
      <w:r>
        <w:rPr>
          <w:spacing w:val="-42"/>
        </w:rPr>
        <w:t> </w:t>
      </w:r>
      <w:r>
        <w:rPr>
          <w:spacing w:val="-42"/>
        </w:rPr>
      </w:r>
      <w:r>
        <w:rPr>
          <w:rFonts w:ascii="Times New Roman" w:hAnsi="Times New Roman" w:cs="Times New Roman" w:eastAsia="Times New Roman" w:hint="default"/>
          <w:spacing w:val="-1"/>
        </w:rPr>
        <w:t>300</w:t>
      </w:r>
      <w:r>
        <w:rPr>
          <w:spacing w:val="-1"/>
        </w:rPr>
        <w:t>万元，占实际出资比例为</w:t>
      </w:r>
      <w:r>
        <w:rPr>
          <w:rFonts w:ascii="Times New Roman" w:hAnsi="Times New Roman" w:cs="Times New Roman" w:eastAsia="Times New Roman" w:hint="default"/>
          <w:spacing w:val="-1"/>
        </w:rPr>
        <w:t>47.94%</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12</w:t>
      </w:r>
      <w:r>
        <w:rPr>
          <w:spacing w:val="-1"/>
        </w:rPr>
        <w:t>日，本公司按章程和协议约定支付现金</w:t>
      </w:r>
      <w:r>
        <w:rPr>
          <w:rFonts w:ascii="Times New Roman" w:hAnsi="Times New Roman" w:cs="Times New Roman" w:eastAsia="Times New Roman" w:hint="default"/>
          <w:spacing w:val="-1"/>
        </w:rPr>
        <w:t>150</w:t>
      </w:r>
      <w:r>
        <w:rPr>
          <w:spacing w:val="-1"/>
        </w:rPr>
        <w:t>万元购买姜晓崑</w:t>
      </w:r>
      <w:r>
        <w:rPr>
          <w:rFonts w:ascii="Times New Roman" w:hAnsi="Times New Roman" w:cs="Times New Roman" w:eastAsia="Times New Roman" w:hint="default"/>
          <w:spacing w:val="-1"/>
        </w:rPr>
        <w:t>150</w:t>
      </w:r>
      <w:r>
        <w:rPr>
          <w:spacing w:val="-1"/>
        </w:rPr>
        <w:t>万元实际</w:t>
      </w:r>
      <w:r>
        <w:rPr>
          <w:spacing w:val="-42"/>
        </w:rPr>
        <w:t> </w:t>
      </w:r>
      <w:r>
        <w:rPr/>
        <w:t>出资股份，占实际出资比例为</w:t>
      </w:r>
      <w:r>
        <w:rPr>
          <w:rFonts w:ascii="Times New Roman" w:hAnsi="Times New Roman" w:cs="Times New Roman" w:eastAsia="Times New Roman" w:hint="default"/>
        </w:rPr>
        <w:t>23.97%</w:t>
      </w:r>
      <w:r>
        <w:rPr/>
        <w:t>，并缴足剩余认缴出资款</w:t>
      </w:r>
      <w:r>
        <w:rPr>
          <w:rFonts w:ascii="Times New Roman" w:hAnsi="Times New Roman" w:cs="Times New Roman" w:eastAsia="Times New Roman" w:hint="default"/>
        </w:rPr>
        <w:t>2400</w:t>
      </w:r>
      <w:r>
        <w:rPr/>
        <w:t>万元。本公司缴足认缴出资额后，大陆云盾公司实收资</w:t>
      </w:r>
      <w:r>
        <w:rPr>
          <w:spacing w:val="-26"/>
        </w:rPr>
        <w:t> </w:t>
      </w:r>
      <w:r>
        <w:rPr>
          <w:spacing w:val="-26"/>
        </w:rPr>
      </w:r>
      <w:r>
        <w:rPr>
          <w:spacing w:val="-1"/>
        </w:rPr>
        <w:t>本为</w:t>
      </w:r>
      <w:r>
        <w:rPr>
          <w:rFonts w:ascii="Times New Roman" w:hAnsi="Times New Roman" w:cs="Times New Roman" w:eastAsia="Times New Roman" w:hint="default"/>
          <w:spacing w:val="-1"/>
        </w:rPr>
        <w:t>3,025.82</w:t>
      </w:r>
      <w:r>
        <w:rPr>
          <w:spacing w:val="-1"/>
        </w:rPr>
        <w:t>万元，本公司占实际出资比例的</w:t>
      </w:r>
      <w:r>
        <w:rPr>
          <w:rFonts w:ascii="Times New Roman" w:hAnsi="Times New Roman" w:cs="Times New Roman" w:eastAsia="Times New Roman" w:hint="default"/>
          <w:spacing w:val="-1"/>
        </w:rPr>
        <w:t>84.27%</w:t>
      </w:r>
      <w:r>
        <w:rPr>
          <w:spacing w:val="-1"/>
        </w:rPr>
        <w:t>。两次出资为不可分割的交易，公司于缴纳出资当日能够控制其经营和</w:t>
      </w:r>
      <w:r>
        <w:rPr>
          <w:spacing w:val="-42"/>
        </w:rPr>
        <w:t> </w:t>
      </w:r>
      <w:r>
        <w:rPr>
          <w:spacing w:val="-42"/>
        </w:rPr>
      </w:r>
      <w:r>
        <w:rPr/>
        <w:t>财务决策，将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日确定为购买日，并按实际出资比例纳入合并范围。</w:t>
      </w:r>
    </w:p>
    <w:p>
      <w:pPr>
        <w:pStyle w:val="BodyText"/>
        <w:spacing w:line="300" w:lineRule="auto" w:before="13"/>
        <w:ind w:right="1122" w:firstLine="42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w:t>
      </w:r>
      <w:r>
        <w:rPr>
          <w:spacing w:val="-2"/>
        </w:rPr>
        <w:t>日，本公司第二届董事会第十七次会议审议通过了《关于公司香港全资子公司境外投资的议案》，决</w:t>
      </w:r>
      <w:r>
        <w:rPr/>
        <w:t> 议以现金方式</w:t>
      </w:r>
      <w:r>
        <w:rPr>
          <w:rFonts w:ascii="Times New Roman" w:hAnsi="Times New Roman" w:cs="Times New Roman" w:eastAsia="Times New Roman" w:hint="default"/>
        </w:rPr>
        <w:t>7300</w:t>
      </w:r>
      <w:r>
        <w:rPr/>
        <w:t>万元人民币收购</w:t>
      </w:r>
      <w:r>
        <w:rPr>
          <w:rFonts w:ascii="Times New Roman" w:hAnsi="Times New Roman" w:cs="Times New Roman" w:eastAsia="Times New Roman" w:hint="default"/>
        </w:rPr>
        <w:t>SUNJESOFT</w:t>
      </w:r>
      <w:r>
        <w:rPr/>
        <w:t>株式会社</w:t>
      </w:r>
      <w:r>
        <w:rPr>
          <w:rFonts w:ascii="Times New Roman" w:hAnsi="Times New Roman" w:cs="Times New Roman" w:eastAsia="Times New Roman" w:hint="default"/>
        </w:rPr>
        <w:t>67.15%</w:t>
      </w:r>
      <w:r>
        <w:rPr/>
        <w:t>股权。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日本公司按照协议约定分别向株式会社 </w:t>
      </w:r>
      <w:r>
        <w:rPr>
          <w:rFonts w:ascii="Times New Roman" w:hAnsi="Times New Roman" w:cs="Times New Roman" w:eastAsia="Times New Roman" w:hint="default"/>
          <w:spacing w:val="-5"/>
          <w:w w:val="99"/>
        </w:rPr>
        <w:t>EXEM</w:t>
      </w:r>
      <w:r>
        <w:rPr>
          <w:spacing w:val="-5"/>
          <w:w w:val="99"/>
        </w:rPr>
        <w:t>、株式会社</w:t>
      </w:r>
      <w:r>
        <w:rPr>
          <w:rFonts w:ascii="Times New Roman" w:hAnsi="Times New Roman" w:cs="Times New Roman" w:eastAsia="Times New Roman" w:hint="default"/>
          <w:spacing w:val="-5"/>
          <w:w w:val="99"/>
        </w:rPr>
        <w:t>ATDATA</w:t>
      </w:r>
      <w:r>
        <w:rPr>
          <w:spacing w:val="-5"/>
          <w:w w:val="99"/>
        </w:rPr>
        <w:t>和金起完等自然人股东支付股权收购款人民币</w:t>
      </w:r>
      <w:r>
        <w:rPr>
          <w:rFonts w:ascii="Times New Roman" w:hAnsi="Times New Roman" w:cs="Times New Roman" w:eastAsia="Times New Roman" w:hint="default"/>
          <w:spacing w:val="-5"/>
          <w:w w:val="99"/>
        </w:rPr>
        <w:t>2,250</w:t>
      </w:r>
      <w:r>
        <w:rPr>
          <w:spacing w:val="-5"/>
          <w:w w:val="99"/>
        </w:rPr>
        <w:t>万元、</w:t>
      </w:r>
      <w:r>
        <w:rPr>
          <w:rFonts w:ascii="Times New Roman" w:hAnsi="Times New Roman" w:cs="Times New Roman" w:eastAsia="Times New Roman" w:hint="default"/>
          <w:spacing w:val="-5"/>
          <w:w w:val="99"/>
        </w:rPr>
        <w:t>1,750</w:t>
      </w:r>
      <w:r>
        <w:rPr>
          <w:spacing w:val="-5"/>
          <w:w w:val="99"/>
        </w:rPr>
        <w:t>万元和</w:t>
      </w:r>
      <w:r>
        <w:rPr>
          <w:rFonts w:ascii="Times New Roman" w:hAnsi="Times New Roman" w:cs="Times New Roman" w:eastAsia="Times New Roman" w:hint="default"/>
          <w:spacing w:val="-5"/>
          <w:w w:val="99"/>
        </w:rPr>
        <w:t>1,979.15</w:t>
      </w:r>
      <w:r>
        <w:rPr>
          <w:spacing w:val="-5"/>
          <w:w w:val="99"/>
        </w:rPr>
        <w:t>万元，支付了</w:t>
      </w:r>
      <w:r>
        <w:rPr>
          <w:spacing w:val="40"/>
          <w:w w:val="99"/>
        </w:rPr>
        <w:t> </w:t>
      </w:r>
      <w:r>
        <w:rPr>
          <w:rFonts w:ascii="Times New Roman" w:hAnsi="Times New Roman" w:cs="Times New Roman" w:eastAsia="Times New Roman" w:hint="default"/>
        </w:rPr>
        <w:t>57.1%</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的股权收购款，能够控制其经营和财务决策，剩余的应支付金起完等自然人股东的人民币</w:t>
      </w:r>
      <w:r>
        <w:rPr>
          <w:rFonts w:ascii="Times New Roman" w:hAnsi="Times New Roman" w:cs="Times New Roman" w:eastAsia="Times New Roman" w:hint="default"/>
        </w:rPr>
        <w:t>1,320.85</w:t>
      </w:r>
      <w:r>
        <w:rPr/>
        <w:t>万元股权收购尾款于</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日支付完毕。公司将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日确定为购买日。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1"/>
        <w:ind w:right="0"/>
        <w:jc w:val="left"/>
        <w:rPr>
          <w:b w:val="0"/>
          <w:bCs w:val="0"/>
        </w:rPr>
      </w:pPr>
      <w:bookmarkStart w:name="（2）合并成本及商誉" w:id="389"/>
      <w:bookmarkEnd w:id="389"/>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29" w:right="0"/>
              <w:jc w:val="left"/>
              <w:rPr>
                <w:rFonts w:ascii="宋体" w:hAnsi="宋体" w:cs="宋体" w:eastAsia="宋体" w:hint="default"/>
                <w:sz w:val="18"/>
                <w:szCs w:val="18"/>
              </w:rPr>
            </w:pPr>
            <w:r>
              <w:rPr>
                <w:rFonts w:ascii="宋体" w:hAnsi="宋体" w:cs="宋体" w:eastAsia="宋体" w:hint="default"/>
                <w:sz w:val="18"/>
                <w:szCs w:val="18"/>
              </w:rPr>
              <w:t>大陆云盾电子认证服务有限公司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7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SUNJESOFT</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株式会社</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345,227.66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32,057,558.40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 公允价值份额的金额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1,154,772.34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40,942,441.60</w:t>
            </w:r>
          </w:p>
        </w:tc>
      </w:tr>
    </w:tbl>
    <w:p>
      <w:pPr>
        <w:pStyle w:val="BodyText"/>
        <w:spacing w:line="240" w:lineRule="auto" w:before="50"/>
        <w:ind w:right="0"/>
        <w:jc w:val="both"/>
      </w:pPr>
      <w:r>
        <w:rPr/>
        <w:t>合并成本公允价值的确定方法、或有对价及其变动的说明：</w:t>
      </w:r>
    </w:p>
    <w:p>
      <w:pPr>
        <w:spacing w:line="240" w:lineRule="auto" w:before="0"/>
        <w:rPr>
          <w:rFonts w:ascii="宋体" w:hAnsi="宋体" w:cs="宋体" w:eastAsia="宋体" w:hint="default"/>
          <w:sz w:val="15"/>
          <w:szCs w:val="15"/>
        </w:rPr>
      </w:pPr>
    </w:p>
    <w:p>
      <w:pPr>
        <w:pStyle w:val="BodyText"/>
        <w:spacing w:line="240" w:lineRule="auto"/>
        <w:ind w:right="0"/>
        <w:jc w:val="both"/>
      </w:pPr>
      <w:r>
        <w:rPr/>
        <w:t>1.</w:t>
      </w:r>
      <w:r>
        <w:rPr>
          <w:spacing w:val="89"/>
        </w:rPr>
        <w:t> </w:t>
      </w:r>
      <w:r>
        <w:rPr/>
        <w:t>合并成本公允价值的确定、或有对价及其变动的说明</w:t>
      </w:r>
    </w:p>
    <w:p>
      <w:pPr>
        <w:pStyle w:val="BodyText"/>
        <w:spacing w:line="316" w:lineRule="auto" w:before="76"/>
        <w:ind w:left="532" w:right="0"/>
        <w:jc w:val="left"/>
      </w:pPr>
      <w:r>
        <w:rPr/>
        <w:t>①收购大陆云盾电子认证服务有限公司股权 </w:t>
      </w:r>
      <w:r>
        <w:rPr>
          <w:spacing w:val="-2"/>
        </w:rPr>
        <w:t>合并对价以现金形式支付。合并对价依据开元资产评估有限公司出具的开元评报字</w:t>
      </w:r>
      <w:r>
        <w:rPr>
          <w:rFonts w:ascii="Times New Roman" w:hAnsi="Times New Roman" w:cs="Times New Roman" w:eastAsia="Times New Roman" w:hint="default"/>
          <w:spacing w:val="-2"/>
        </w:rPr>
        <w:t>[2018]652</w:t>
      </w:r>
      <w:r>
        <w:rPr>
          <w:spacing w:val="-2"/>
        </w:rPr>
        <w:t>号《资产评估报告》确定，</w:t>
      </w:r>
    </w:p>
    <w:p>
      <w:pPr>
        <w:pStyle w:val="BodyText"/>
        <w:spacing w:line="248" w:lineRule="exact"/>
        <w:ind w:right="0"/>
        <w:jc w:val="both"/>
      </w:pPr>
      <w:r>
        <w:rPr/>
        <w:t>评估基准日为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日，评估值为人民币</w:t>
      </w:r>
      <w:r>
        <w:rPr>
          <w:rFonts w:ascii="Times New Roman" w:hAnsi="Times New Roman" w:cs="Times New Roman" w:eastAsia="Times New Roman" w:hint="default"/>
        </w:rPr>
        <w:t>269.92</w:t>
      </w:r>
      <w:r>
        <w:rPr/>
        <w:t>万元。根据该估值，确定股权转让价款为人民币</w:t>
      </w:r>
      <w:r>
        <w:rPr>
          <w:rFonts w:ascii="Times New Roman" w:hAnsi="Times New Roman" w:cs="Times New Roman" w:eastAsia="Times New Roman" w:hint="default"/>
        </w:rPr>
        <w:t>150</w:t>
      </w:r>
      <w:r>
        <w:rPr/>
        <w:t>万元。</w:t>
      </w:r>
    </w:p>
    <w:p>
      <w:pPr>
        <w:pStyle w:val="BodyText"/>
        <w:spacing w:line="300" w:lineRule="auto" w:before="63"/>
        <w:ind w:left="532" w:right="0"/>
        <w:jc w:val="left"/>
      </w:pPr>
      <w:r>
        <w:rPr/>
        <w:t>②收购</w:t>
      </w:r>
      <w:r>
        <w:rPr>
          <w:rFonts w:ascii="Times New Roman" w:hAnsi="Times New Roman" w:cs="Times New Roman" w:eastAsia="Times New Roman" w:hint="default"/>
        </w:rPr>
        <w:t>SUNJE SOFT</w:t>
      </w:r>
      <w:r>
        <w:rPr/>
        <w:t>株式会社股权 </w:t>
      </w:r>
      <w:r>
        <w:rPr>
          <w:spacing w:val="6"/>
        </w:rPr>
        <w:t>合并对价以现金形式支付。合并对价参考道衡美评国际资产评估有限公司出具的道衡美评估值报字</w:t>
      </w:r>
      <w:r>
        <w:rPr>
          <w:rFonts w:ascii="Times New Roman" w:hAnsi="Times New Roman" w:cs="Times New Roman" w:eastAsia="Times New Roman" w:hint="default"/>
          <w:spacing w:val="6"/>
        </w:rPr>
        <w:t>[2018]</w:t>
      </w:r>
      <w:r>
        <w:rPr>
          <w:spacing w:val="6"/>
        </w:rPr>
        <w:t>第</w:t>
      </w:r>
      <w:r>
        <w:rPr>
          <w:rFonts w:ascii="Times New Roman" w:hAnsi="Times New Roman" w:cs="Times New Roman" w:eastAsia="Times New Roman" w:hint="default"/>
          <w:spacing w:val="6"/>
        </w:rPr>
        <w:t>026</w:t>
      </w:r>
      <w:r>
        <w:rPr>
          <w:spacing w:val="6"/>
        </w:rPr>
        <w:t>号</w:t>
      </w:r>
    </w:p>
    <w:p>
      <w:pPr>
        <w:pStyle w:val="BodyText"/>
        <w:spacing w:line="300" w:lineRule="auto" w:before="13"/>
        <w:ind w:right="1125"/>
        <w:jc w:val="both"/>
      </w:pPr>
      <w:r>
        <w:rPr/>
        <w:t>《</w:t>
      </w:r>
      <w:r>
        <w:rPr>
          <w:rFonts w:ascii="Times New Roman" w:hAnsi="Times New Roman" w:cs="Times New Roman" w:eastAsia="Times New Roman" w:hint="default"/>
        </w:rPr>
        <w:t>Sunje</w:t>
      </w:r>
      <w:r>
        <w:rPr>
          <w:rFonts w:ascii="Times New Roman" w:hAnsi="Times New Roman" w:cs="Times New Roman" w:eastAsia="Times New Roman" w:hint="default"/>
          <w:spacing w:val="-19"/>
        </w:rPr>
        <w:t> </w:t>
      </w:r>
      <w:r>
        <w:rPr>
          <w:rFonts w:ascii="Times New Roman" w:hAnsi="Times New Roman" w:cs="Times New Roman" w:eastAsia="Times New Roman" w:hint="default"/>
        </w:rPr>
        <w:t>Soft</w:t>
      </w:r>
      <w:r>
        <w:rPr>
          <w:rFonts w:ascii="Times New Roman" w:hAnsi="Times New Roman" w:cs="Times New Roman" w:eastAsia="Times New Roman" w:hint="default"/>
          <w:spacing w:val="-19"/>
        </w:rPr>
        <w:t> </w:t>
      </w:r>
      <w:r>
        <w:rPr>
          <w:rFonts w:ascii="Times New Roman" w:hAnsi="Times New Roman" w:cs="Times New Roman" w:eastAsia="Times New Roman" w:hint="default"/>
        </w:rPr>
        <w:t>Inc.</w:t>
      </w:r>
      <w:r>
        <w:rPr>
          <w:rFonts w:ascii="Times New Roman" w:hAnsi="Times New Roman" w:cs="Times New Roman" w:eastAsia="Times New Roman" w:hint="default"/>
          <w:spacing w:val="6"/>
        </w:rPr>
        <w:t> </w:t>
      </w:r>
      <w:r>
        <w:rPr/>
        <w:t>股东全部权益价值估值报告》确定，评估基准日为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日，评估值为</w:t>
      </w:r>
      <w:r>
        <w:rPr>
          <w:rFonts w:ascii="Times New Roman" w:hAnsi="Times New Roman" w:cs="Times New Roman" w:eastAsia="Times New Roman" w:hint="default"/>
        </w:rPr>
        <w:t>2,070,100</w:t>
      </w:r>
      <w:r>
        <w:rPr/>
        <w:t>万韩元，按照基准日 </w:t>
      </w:r>
      <w:r>
        <w:rPr>
          <w:spacing w:val="-3"/>
        </w:rPr>
        <w:t>中国人民银行韩元对人民币汇率中间价</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0.005902</w:t>
      </w:r>
      <w:r>
        <w:rPr>
          <w:spacing w:val="-3"/>
        </w:rPr>
        <w:t>折算为人民币</w:t>
      </w:r>
      <w:r>
        <w:rPr>
          <w:rFonts w:ascii="Times New Roman" w:hAnsi="Times New Roman" w:cs="Times New Roman" w:eastAsia="Times New Roman" w:hint="default"/>
          <w:spacing w:val="-3"/>
        </w:rPr>
        <w:t>12,200</w:t>
      </w:r>
      <w:r>
        <w:rPr>
          <w:spacing w:val="-3"/>
        </w:rPr>
        <w:t>万元。根据该估值，确定股权转让价款为人民币</w:t>
      </w:r>
      <w:r>
        <w:rPr>
          <w:rFonts w:ascii="Times New Roman" w:hAnsi="Times New Roman" w:cs="Times New Roman" w:eastAsia="Times New Roman" w:hint="default"/>
          <w:spacing w:val="-3"/>
        </w:rPr>
        <w:t>7,300</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t>万元。</w:t>
      </w:r>
    </w:p>
    <w:p>
      <w:pPr>
        <w:spacing w:line="240" w:lineRule="auto" w:before="0"/>
        <w:rPr>
          <w:rFonts w:ascii="宋体" w:hAnsi="宋体" w:cs="宋体" w:eastAsia="宋体" w:hint="default"/>
          <w:sz w:val="18"/>
          <w:szCs w:val="18"/>
        </w:rPr>
      </w:pPr>
    </w:p>
    <w:p>
      <w:pPr>
        <w:pStyle w:val="BodyText"/>
        <w:spacing w:line="360" w:lineRule="auto" w:before="148"/>
        <w:ind w:right="8594"/>
        <w:jc w:val="left"/>
      </w:pPr>
      <w:r>
        <w:rPr/>
        <w:t>大额商誉形成的主要原因： 其他说明：</w:t>
      </w:r>
    </w:p>
    <w:p>
      <w:pPr>
        <w:spacing w:line="240" w:lineRule="auto" w:before="12"/>
        <w:rPr>
          <w:rFonts w:ascii="宋体" w:hAnsi="宋体" w:cs="宋体" w:eastAsia="宋体" w:hint="default"/>
          <w:sz w:val="19"/>
          <w:szCs w:val="19"/>
        </w:rPr>
      </w:pPr>
    </w:p>
    <w:p>
      <w:pPr>
        <w:pStyle w:val="Heading5"/>
        <w:spacing w:line="240" w:lineRule="auto"/>
        <w:ind w:right="0"/>
        <w:jc w:val="both"/>
        <w:rPr>
          <w:b w:val="0"/>
          <w:bCs w:val="0"/>
        </w:rPr>
      </w:pPr>
      <w:bookmarkStart w:name="（3）被购买方于购买日可辨认资产、负债" w:id="390"/>
      <w:bookmarkEnd w:id="390"/>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47" w:right="0"/>
              <w:jc w:val="left"/>
              <w:rPr>
                <w:rFonts w:ascii="宋体" w:hAnsi="宋体" w:cs="宋体" w:eastAsia="宋体" w:hint="default"/>
                <w:sz w:val="18"/>
                <w:szCs w:val="18"/>
              </w:rPr>
            </w:pPr>
            <w:r>
              <w:rPr>
                <w:rFonts w:ascii="宋体" w:hAnsi="宋体" w:cs="宋体" w:eastAsia="宋体" w:hint="default"/>
                <w:sz w:val="18"/>
                <w:szCs w:val="18"/>
              </w:rPr>
              <w:t>大陆云盾电子认证服务有限公司</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0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SUNJESOFT</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株式会社</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24,602.01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24,602.01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13,571,362.11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13,571,362.11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2,862,580.62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2,862,580.62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2,137,390.59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2,126,643.87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155,598.91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155,598.91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885,049.75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786,366.55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32,457,982.63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7,193.97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673,800.77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673,800.77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5,783,690.38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5,783,690.38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1,805,975.30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1,805,975.30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2,322,442.58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2,322,442.58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27,357.48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7,227,949.22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88,775.72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4,058,834.33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4,058,834.33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2,185,487.00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2,185,487.00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1,440,626.61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1,358,554.17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47,740,221.01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22,428,605.85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1,095,398.95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1,032,999.28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15,682,662.61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7,367,797.02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345,227.66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325,554.89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32,057,558.40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15,060,808.83</w:t>
            </w:r>
          </w:p>
        </w:tc>
      </w:tr>
    </w:tbl>
    <w:p>
      <w:pPr>
        <w:pStyle w:val="BodyText"/>
        <w:spacing w:line="240" w:lineRule="auto" w:before="50"/>
        <w:ind w:right="0"/>
        <w:jc w:val="left"/>
      </w:pPr>
      <w:r>
        <w:rPr/>
        <w:t>可辨认资产、负债公允价值的确定方法：</w:t>
      </w:r>
    </w:p>
    <w:p>
      <w:pPr>
        <w:spacing w:line="240" w:lineRule="auto" w:before="0"/>
        <w:rPr>
          <w:rFonts w:ascii="宋体" w:hAnsi="宋体" w:cs="宋体" w:eastAsia="宋体" w:hint="default"/>
          <w:sz w:val="15"/>
          <w:szCs w:val="15"/>
        </w:rPr>
      </w:pPr>
    </w:p>
    <w:p>
      <w:pPr>
        <w:pStyle w:val="BodyText"/>
        <w:spacing w:line="240" w:lineRule="auto"/>
        <w:ind w:right="0"/>
        <w:jc w:val="left"/>
      </w:pPr>
      <w:r>
        <w:rPr/>
        <w:t>1.</w:t>
      </w:r>
      <w:r>
        <w:rPr>
          <w:spacing w:val="89"/>
        </w:rPr>
        <w:t> </w:t>
      </w:r>
      <w:r>
        <w:rPr/>
        <w:t>可辨认资产、负债公允价值的确定方法</w:t>
      </w:r>
    </w:p>
    <w:p>
      <w:pPr>
        <w:pStyle w:val="BodyText"/>
        <w:spacing w:line="240" w:lineRule="auto" w:before="76"/>
        <w:ind w:left="532" w:right="0"/>
        <w:jc w:val="left"/>
      </w:pPr>
      <w:r>
        <w:rPr/>
        <w:t>①大陆云盾电子认证服务有限公司可辨认资产、负债公允价值的确定</w:t>
      </w:r>
    </w:p>
    <w:p>
      <w:pPr>
        <w:spacing w:after="0" w:line="240" w:lineRule="auto"/>
        <w:jc w:val="left"/>
        <w:sectPr>
          <w:footerReference w:type="default" r:id="rId32"/>
          <w:pgSz w:w="11910" w:h="16840"/>
          <w:pgMar w:footer="978" w:header="746" w:top="1060" w:bottom="1160" w:left="1020" w:right="0"/>
          <w:pgNumType w:start="190"/>
        </w:sectPr>
      </w:pPr>
    </w:p>
    <w:p>
      <w:pPr>
        <w:spacing w:line="240" w:lineRule="auto" w:before="12"/>
        <w:rPr>
          <w:rFonts w:ascii="宋体" w:hAnsi="宋体" w:cs="宋体" w:eastAsia="宋体" w:hint="default"/>
          <w:sz w:val="25"/>
          <w:szCs w:val="25"/>
        </w:rPr>
      </w:pPr>
    </w:p>
    <w:p>
      <w:pPr>
        <w:pStyle w:val="BodyText"/>
        <w:spacing w:line="309" w:lineRule="auto" w:before="44"/>
        <w:ind w:right="1126" w:firstLine="420"/>
        <w:jc w:val="both"/>
      </w:pPr>
      <w:r>
        <w:rPr/>
        <w:t>本公司采用估值技术来确定大陆云盾电子认证服务有限公司的资产负债于购买日的公允价值。开元资产评估有限公司 </w:t>
      </w:r>
      <w:r>
        <w:rPr>
          <w:spacing w:val="-2"/>
        </w:rPr>
        <w:t>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26</w:t>
      </w:r>
      <w:r>
        <w:rPr>
          <w:spacing w:val="-2"/>
        </w:rPr>
        <w:t>日出具了报告号为开元评报字</w:t>
      </w:r>
      <w:r>
        <w:rPr>
          <w:rFonts w:ascii="Times New Roman" w:hAnsi="Times New Roman" w:cs="Times New Roman" w:eastAsia="Times New Roman" w:hint="default"/>
          <w:spacing w:val="-2"/>
        </w:rPr>
        <w:t>[2018]652</w:t>
      </w:r>
      <w:r>
        <w:rPr>
          <w:spacing w:val="-2"/>
        </w:rPr>
        <w:t>号《资产评估报告》，采用资产基础法进行评估，评估基准日为</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日。主要资产的评估方法及其关键假设列示如下：</w:t>
      </w:r>
    </w:p>
    <w:p>
      <w:pPr>
        <w:pStyle w:val="BodyText"/>
        <w:spacing w:line="300" w:lineRule="auto" w:before="5"/>
        <w:ind w:right="1129" w:firstLine="420"/>
        <w:jc w:val="both"/>
      </w:pPr>
      <w:r>
        <w:rPr>
          <w:spacing w:val="-1"/>
        </w:rPr>
        <w:t>设备类固定资产的评估方法为重置成本法，使用的关键假设如下：成新率</w:t>
      </w:r>
      <w:r>
        <w:rPr>
          <w:rFonts w:ascii="Times New Roman" w:hAnsi="Times New Roman" w:cs="Times New Roman" w:eastAsia="Times New Roman" w:hint="default"/>
          <w:spacing w:val="-1"/>
        </w:rPr>
        <w:t>=</w:t>
      </w:r>
      <w:r>
        <w:rPr>
          <w:spacing w:val="-1"/>
        </w:rPr>
        <w:t>（经济使用寿命年限</w:t>
      </w:r>
      <w:r>
        <w:rPr>
          <w:rFonts w:ascii="Times New Roman" w:hAnsi="Times New Roman" w:cs="Times New Roman" w:eastAsia="Times New Roman" w:hint="default"/>
          <w:spacing w:val="-1"/>
        </w:rPr>
        <w:t>-</w:t>
      </w:r>
      <w:r>
        <w:rPr>
          <w:spacing w:val="-1"/>
        </w:rPr>
        <w:t>已使用年限）</w:t>
      </w:r>
      <w:r>
        <w:rPr>
          <w:rFonts w:ascii="Times New Roman" w:hAnsi="Times New Roman" w:cs="Times New Roman" w:eastAsia="Times New Roman" w:hint="default"/>
          <w:spacing w:val="-1"/>
        </w:rPr>
        <w:t>÷</w:t>
      </w:r>
      <w:r>
        <w:rPr>
          <w:spacing w:val="-1"/>
        </w:rPr>
        <w:t>经济使</w:t>
      </w:r>
      <w:r>
        <w:rPr/>
        <w:t> 用寿命年限</w:t>
      </w:r>
      <w:r>
        <w:rPr>
          <w:rFonts w:ascii="Times New Roman" w:hAnsi="Times New Roman" w:cs="Times New Roman" w:eastAsia="Times New Roman" w:hint="default"/>
        </w:rPr>
        <w:t>×100%</w:t>
      </w:r>
      <w:r>
        <w:rPr/>
        <w:t>，成新率：</w:t>
      </w:r>
      <w:r>
        <w:rPr>
          <w:rFonts w:ascii="Times New Roman" w:hAnsi="Times New Roman" w:cs="Times New Roman" w:eastAsia="Times New Roman" w:hint="default"/>
        </w:rPr>
        <w:t>85%-98%</w:t>
      </w:r>
      <w:r>
        <w:rPr/>
        <w:t>。</w:t>
      </w:r>
    </w:p>
    <w:p>
      <w:pPr>
        <w:pStyle w:val="BodyText"/>
        <w:spacing w:line="316" w:lineRule="auto" w:before="13"/>
        <w:ind w:left="532" w:right="6554"/>
        <w:jc w:val="left"/>
      </w:pPr>
      <w:r>
        <w:rPr/>
        <w:t>外购软件按现行市价扣除升级费用确定评估值。 企业合并中承担的被购买方的或有负债：无。</w:t>
      </w:r>
    </w:p>
    <w:p>
      <w:pPr>
        <w:pStyle w:val="BodyText"/>
        <w:spacing w:line="300" w:lineRule="auto" w:before="19"/>
        <w:ind w:left="532" w:right="0"/>
        <w:jc w:val="left"/>
      </w:pPr>
      <w:r>
        <w:rPr/>
        <w:t>②</w:t>
      </w:r>
      <w:r>
        <w:rPr>
          <w:rFonts w:ascii="Times New Roman" w:hAnsi="Times New Roman" w:cs="Times New Roman" w:eastAsia="Times New Roman" w:hint="default"/>
        </w:rPr>
        <w:t>SUNJESOFT</w:t>
      </w:r>
      <w:r>
        <w:rPr/>
        <w:t>株式会社可辨认资产、负债公允价值的确定 </w:t>
      </w:r>
      <w:r>
        <w:rPr>
          <w:spacing w:val="-1"/>
        </w:rPr>
        <w:t>本公司采用估值技术来确定对</w:t>
      </w:r>
      <w:r>
        <w:rPr>
          <w:rFonts w:ascii="Times New Roman" w:hAnsi="Times New Roman" w:cs="Times New Roman" w:eastAsia="Times New Roman" w:hint="default"/>
          <w:spacing w:val="-1"/>
        </w:rPr>
        <w:t>SUNJESOFT</w:t>
      </w:r>
      <w:r>
        <w:rPr>
          <w:spacing w:val="-1"/>
        </w:rPr>
        <w:t>株式会社的无形资产于购买日的公允价值。道衡美评国际资产评估有限公司</w:t>
      </w:r>
    </w:p>
    <w:p>
      <w:pPr>
        <w:pStyle w:val="BodyText"/>
        <w:spacing w:line="300" w:lineRule="auto" w:before="13"/>
        <w:ind w:right="1129"/>
        <w:jc w:val="both"/>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日出具了报告号为道衡美评估值报字</w:t>
      </w:r>
      <w:r>
        <w:rPr>
          <w:rFonts w:ascii="Times New Roman" w:hAnsi="Times New Roman" w:cs="Times New Roman" w:eastAsia="Times New Roman" w:hint="default"/>
        </w:rPr>
        <w:t>[2019]</w:t>
      </w:r>
      <w:r>
        <w:rPr/>
        <w:t>第</w:t>
      </w:r>
      <w:r>
        <w:rPr>
          <w:rFonts w:ascii="Times New Roman" w:hAnsi="Times New Roman" w:cs="Times New Roman" w:eastAsia="Times New Roman" w:hint="default"/>
        </w:rPr>
        <w:t>1017</w:t>
      </w:r>
      <w:r>
        <w:rPr/>
        <w:t>号《北京科蓝软件系统股份有限公司内部财务管理所涉及</w:t>
      </w:r>
      <w:r>
        <w:rPr>
          <w:spacing w:val="-38"/>
        </w:rPr>
        <w:t> </w:t>
      </w:r>
      <w:r>
        <w:rPr>
          <w:spacing w:val="-38"/>
        </w:rPr>
      </w:r>
      <w:r>
        <w:rPr>
          <w:spacing w:val="-1"/>
          <w:w w:val="99"/>
        </w:rPr>
        <w:t>的</w:t>
      </w:r>
      <w:r>
        <w:rPr>
          <w:rFonts w:ascii="Times New Roman" w:hAnsi="Times New Roman" w:cs="Times New Roman" w:eastAsia="Times New Roman" w:hint="default"/>
          <w:spacing w:val="-1"/>
          <w:w w:val="99"/>
        </w:rPr>
        <w:t>Sunje</w:t>
      </w:r>
      <w:r>
        <w:rPr>
          <w:rFonts w:ascii="Times New Roman" w:hAnsi="Times New Roman" w:cs="Times New Roman" w:eastAsia="Times New Roman" w:hint="default"/>
          <w:spacing w:val="15"/>
          <w:w w:val="99"/>
        </w:rPr>
        <w:t> </w:t>
      </w:r>
      <w:r>
        <w:rPr>
          <w:rFonts w:ascii="Times New Roman" w:hAnsi="Times New Roman" w:cs="Times New Roman" w:eastAsia="Times New Roman" w:hint="default"/>
          <w:spacing w:val="-1"/>
          <w:w w:val="99"/>
        </w:rPr>
        <w:t>Soft</w:t>
      </w:r>
      <w:r>
        <w:rPr>
          <w:rFonts w:ascii="Times New Roman" w:hAnsi="Times New Roman" w:cs="Times New Roman" w:eastAsia="Times New Roman" w:hint="default"/>
          <w:spacing w:val="16"/>
          <w:w w:val="99"/>
        </w:rPr>
        <w:t> </w:t>
      </w:r>
      <w:r>
        <w:rPr>
          <w:rFonts w:ascii="Times New Roman" w:hAnsi="Times New Roman" w:cs="Times New Roman" w:eastAsia="Times New Roman" w:hint="default"/>
          <w:spacing w:val="-2"/>
          <w:w w:val="99"/>
        </w:rPr>
        <w:t>Inc.</w:t>
      </w:r>
      <w:r>
        <w:rPr>
          <w:spacing w:val="-2"/>
          <w:w w:val="99"/>
        </w:rPr>
        <w:t>若干无形资产估值报告》，采用收益法对商标、专有技术和客户关系进行了估值，估值基准日为</w:t>
      </w:r>
      <w:r>
        <w:rPr>
          <w:rFonts w:ascii="Times New Roman" w:hAnsi="Times New Roman" w:cs="Times New Roman" w:eastAsia="Times New Roman" w:hint="default"/>
          <w:spacing w:val="-2"/>
          <w:w w:val="99"/>
        </w:rPr>
        <w:t>2018</w:t>
      </w:r>
      <w:r>
        <w:rPr>
          <w:spacing w:val="-2"/>
          <w:w w:val="99"/>
        </w:rPr>
        <w:t>年</w:t>
      </w:r>
      <w:r>
        <w:rPr>
          <w:rFonts w:ascii="Times New Roman" w:hAnsi="Times New Roman" w:cs="Times New Roman" w:eastAsia="Times New Roman" w:hint="default"/>
          <w:spacing w:val="-2"/>
          <w:w w:val="99"/>
        </w:rPr>
        <w:t>10</w:t>
      </w:r>
      <w:r>
        <w:rPr>
          <w:spacing w:val="-2"/>
          <w:w w:val="99"/>
        </w:rPr>
        <w:t>月</w:t>
      </w:r>
      <w:r>
        <w:rPr>
          <w:spacing w:val="-85"/>
          <w:w w:val="99"/>
        </w:rPr>
        <w:t> </w:t>
      </w:r>
      <w:r>
        <w:rPr>
          <w:rFonts w:ascii="Times New Roman" w:hAnsi="Times New Roman" w:cs="Times New Roman" w:eastAsia="Times New Roman" w:hint="default"/>
        </w:rPr>
        <w:t>31</w:t>
      </w:r>
      <w:r>
        <w:rPr/>
        <w:t>日。主要资产的评估方法及其关键假设列示如下：</w:t>
      </w:r>
    </w:p>
    <w:p>
      <w:pPr>
        <w:pStyle w:val="BodyText"/>
        <w:spacing w:line="300" w:lineRule="auto" w:before="13"/>
        <w:ind w:right="1039" w:firstLine="420"/>
        <w:jc w:val="both"/>
      </w:pPr>
      <w:r>
        <w:rPr>
          <w:spacing w:val="-2"/>
        </w:rPr>
        <w:t>无形资产中的商标采用收益法中的特许权使用费节省法进行估值。使用的关键假设如下：使用费率：</w:t>
      </w:r>
      <w:r>
        <w:rPr>
          <w:rFonts w:ascii="Times New Roman" w:hAnsi="Times New Roman" w:cs="Times New Roman" w:eastAsia="Times New Roman" w:hint="default"/>
          <w:spacing w:val="-2"/>
        </w:rPr>
        <w:t>3%</w:t>
      </w:r>
      <w:r>
        <w:rPr>
          <w:spacing w:val="-2"/>
        </w:rPr>
        <w:t>；折现率</w:t>
      </w:r>
      <w:r>
        <w:rPr>
          <w:rFonts w:ascii="Times New Roman" w:hAnsi="Times New Roman" w:cs="Times New Roman" w:eastAsia="Times New Roman" w:hint="default"/>
          <w:spacing w:val="-2"/>
        </w:rPr>
        <w:t>20%</w:t>
      </w:r>
      <w:r>
        <w:rPr>
          <w:spacing w:val="-2"/>
        </w:rPr>
        <w:t>；</w:t>
      </w:r>
      <w:r>
        <w:rPr/>
        <w:t> 剩余使用年限预测：使用寿命不确定；</w:t>
      </w:r>
    </w:p>
    <w:p>
      <w:pPr>
        <w:pStyle w:val="BodyText"/>
        <w:spacing w:line="240" w:lineRule="auto" w:before="31"/>
        <w:ind w:left="532" w:right="0"/>
        <w:jc w:val="left"/>
      </w:pPr>
      <w:r>
        <w:rPr/>
        <w:t>无形资产中的专有技术采用收益法中的特许权使用费节省法进行估值。使用的关键假设如下：使用费率：</w:t>
      </w:r>
      <w:r>
        <w:rPr>
          <w:rFonts w:ascii="Times New Roman" w:hAnsi="Times New Roman" w:cs="Times New Roman" w:eastAsia="Times New Roman" w:hint="default"/>
        </w:rPr>
        <w:t>8%</w:t>
      </w:r>
      <w:r>
        <w:rPr/>
        <w:t>；折现率</w:t>
      </w:r>
    </w:p>
    <w:p>
      <w:pPr>
        <w:pStyle w:val="BodyText"/>
        <w:spacing w:line="300" w:lineRule="auto" w:before="63"/>
        <w:ind w:left="532" w:right="0" w:hanging="420"/>
        <w:jc w:val="left"/>
      </w:pPr>
      <w:r>
        <w:rPr>
          <w:rFonts w:ascii="Times New Roman" w:hAnsi="Times New Roman" w:cs="Times New Roman" w:eastAsia="Times New Roman" w:hint="default"/>
        </w:rPr>
        <w:t>20%</w:t>
      </w:r>
      <w:r>
        <w:rPr/>
        <w:t>；剩余使用年限预测：</w:t>
      </w:r>
      <w:r>
        <w:rPr>
          <w:rFonts w:ascii="Times New Roman" w:hAnsi="Times New Roman" w:cs="Times New Roman" w:eastAsia="Times New Roman" w:hint="default"/>
        </w:rPr>
        <w:t>10</w:t>
      </w:r>
      <w:r>
        <w:rPr/>
        <w:t>年； 无形资产中的客户关系采用收益法中的超额收益法进行估值。使用的关键假设如下：未来现有客户的维保费收入的衰</w:t>
      </w:r>
    </w:p>
    <w:p>
      <w:pPr>
        <w:pStyle w:val="BodyText"/>
        <w:spacing w:line="240" w:lineRule="auto" w:before="31"/>
        <w:ind w:right="0"/>
        <w:jc w:val="left"/>
      </w:pPr>
      <w:r>
        <w:rPr>
          <w:spacing w:val="-3"/>
        </w:rPr>
        <w:t>减率为</w:t>
      </w:r>
      <w:r>
        <w:rPr>
          <w:rFonts w:ascii="Times New Roman" w:hAnsi="Times New Roman" w:cs="Times New Roman" w:eastAsia="Times New Roman" w:hint="default"/>
          <w:spacing w:val="-3"/>
        </w:rPr>
        <w:t>10%</w:t>
      </w:r>
      <w:r>
        <w:rPr>
          <w:spacing w:val="-3"/>
        </w:rPr>
        <w:t>；相关贡献资产包括净营运资本、固定资产、人力资本、商标以及专有技术，贡献资产回报率分别为</w:t>
      </w:r>
      <w:r>
        <w:rPr>
          <w:rFonts w:ascii="Times New Roman" w:hAnsi="Times New Roman" w:cs="Times New Roman" w:eastAsia="Times New Roman" w:hint="default"/>
          <w:spacing w:val="-3"/>
        </w:rPr>
        <w:t>4.4%</w:t>
      </w:r>
      <w:r>
        <w:rPr>
          <w:spacing w:val="-3"/>
        </w:rPr>
        <w:t>、</w:t>
      </w:r>
      <w:r>
        <w:rPr>
          <w:rFonts w:ascii="Times New Roman" w:hAnsi="Times New Roman" w:cs="Times New Roman" w:eastAsia="Times New Roman" w:hint="default"/>
          <w:spacing w:val="-3"/>
        </w:rPr>
        <w:t>6.1%</w:t>
      </w:r>
      <w:r>
        <w:rPr>
          <w:spacing w:val="-3"/>
        </w:rPr>
        <w:t>、</w:t>
      </w:r>
    </w:p>
    <w:p>
      <w:pPr>
        <w:pStyle w:val="BodyText"/>
        <w:spacing w:line="300" w:lineRule="auto" w:before="63"/>
        <w:ind w:left="532" w:right="0" w:hanging="420"/>
        <w:jc w:val="left"/>
      </w:pPr>
      <w:r>
        <w:rPr>
          <w:rFonts w:ascii="Times New Roman" w:hAnsi="Times New Roman" w:cs="Times New Roman" w:eastAsia="Times New Roman" w:hint="default"/>
        </w:rPr>
        <w:t>23%</w:t>
      </w:r>
      <w:r>
        <w:rPr/>
        <w:t>、</w:t>
      </w:r>
      <w:r>
        <w:rPr>
          <w:rFonts w:ascii="Times New Roman" w:hAnsi="Times New Roman" w:cs="Times New Roman" w:eastAsia="Times New Roman" w:hint="default"/>
        </w:rPr>
        <w:t>20%</w:t>
      </w:r>
      <w:r>
        <w:rPr/>
        <w:t>和</w:t>
      </w:r>
      <w:r>
        <w:rPr>
          <w:rFonts w:ascii="Times New Roman" w:hAnsi="Times New Roman" w:cs="Times New Roman" w:eastAsia="Times New Roman" w:hint="default"/>
        </w:rPr>
        <w:t>20%</w:t>
      </w:r>
      <w:r>
        <w:rPr/>
        <w:t>；折现率</w:t>
      </w:r>
      <w:r>
        <w:rPr>
          <w:rFonts w:ascii="Times New Roman" w:hAnsi="Times New Roman" w:cs="Times New Roman" w:eastAsia="Times New Roman" w:hint="default"/>
        </w:rPr>
        <w:t>20%</w:t>
      </w:r>
      <w:r>
        <w:rPr/>
        <w:t>；剩余使用年限预测：</w:t>
      </w:r>
      <w:r>
        <w:rPr>
          <w:rFonts w:ascii="Times New Roman" w:hAnsi="Times New Roman" w:cs="Times New Roman" w:eastAsia="Times New Roman" w:hint="default"/>
        </w:rPr>
        <w:t>7</w:t>
      </w:r>
      <w:r>
        <w:rPr/>
        <w:t>年。 公司管理层评估了该公司行业特点、业务模式、资产负债构成等，该公司所属行业信息技术服务业，除上述无形资产</w:t>
      </w:r>
    </w:p>
    <w:p>
      <w:pPr>
        <w:pStyle w:val="BodyText"/>
        <w:spacing w:line="316" w:lineRule="auto" w:before="31"/>
        <w:ind w:right="0"/>
        <w:jc w:val="left"/>
      </w:pPr>
      <w:r>
        <w:rPr>
          <w:spacing w:val="-2"/>
        </w:rPr>
        <w:t>以外的其他各项资产、负债主要为流动资产、流动负债，认为公允价值与账面价值接近，公司管理层确认除无形资产以外的</w:t>
      </w:r>
      <w:r>
        <w:rPr>
          <w:spacing w:val="-64"/>
        </w:rPr>
        <w:t> </w:t>
      </w:r>
      <w:r>
        <w:rPr>
          <w:spacing w:val="-64"/>
        </w:rPr>
      </w:r>
      <w:r>
        <w:rPr/>
        <w:t>其他各项资产、负债的公允价值与账面价值一致。</w:t>
      </w:r>
    </w:p>
    <w:p>
      <w:pPr>
        <w:pStyle w:val="BodyText"/>
        <w:spacing w:line="360" w:lineRule="auto" w:before="57"/>
        <w:ind w:right="7154"/>
        <w:jc w:val="left"/>
      </w:pPr>
      <w:r>
        <w:rPr/>
        <w:t>企业合并中承担的被购买方的或有负债： 企业合并中承担的被购买方的或有负债：无。 其他说明：</w:t>
      </w:r>
    </w:p>
    <w:p>
      <w:pPr>
        <w:spacing w:line="240" w:lineRule="auto" w:before="12"/>
        <w:rPr>
          <w:rFonts w:ascii="宋体" w:hAnsi="宋体" w:cs="宋体" w:eastAsia="宋体" w:hint="default"/>
          <w:sz w:val="19"/>
          <w:szCs w:val="19"/>
        </w:rPr>
      </w:pPr>
    </w:p>
    <w:p>
      <w:pPr>
        <w:pStyle w:val="Heading5"/>
        <w:spacing w:line="240" w:lineRule="auto"/>
        <w:ind w:right="0"/>
        <w:jc w:val="left"/>
        <w:rPr>
          <w:b w:val="0"/>
          <w:bCs w:val="0"/>
        </w:rPr>
      </w:pPr>
      <w:bookmarkStart w:name="（4）购买日之前持有的股权按照公允价值重新计量产生的利得或损失" w:id="391"/>
      <w:bookmarkEnd w:id="391"/>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5）购买日或合并当期期末无法合理确定合并对价或被购买方可辨认资产、负债公允价值" w:id="392"/>
      <w:bookmarkEnd w:id="392"/>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6）其他说明" w:id="393"/>
      <w:bookmarkEnd w:id="393"/>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bookmarkStart w:name="2、同一控制下企业合并" w:id="394"/>
      <w:bookmarkEnd w:id="394"/>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本期发生的同一控制下企业合并" w:id="395"/>
      <w:bookmarkEnd w:id="395"/>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3"/>
        <w:gridCol w:w="1064"/>
        <w:gridCol w:w="1064"/>
        <w:gridCol w:w="1064"/>
        <w:gridCol w:w="1064"/>
        <w:gridCol w:w="1064"/>
        <w:gridCol w:w="1064"/>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35" w:right="73"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5" w:right="74"/>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5" w:right="76"/>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57"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57"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7"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6"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6" w:right="76"/>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after="0" w:line="316" w:lineRule="auto"/>
        <w:jc w:val="center"/>
        <w:rPr>
          <w:rFonts w:ascii="宋体" w:hAnsi="宋体" w:cs="宋体" w:eastAsia="宋体" w:hint="default"/>
          <w:sz w:val="18"/>
          <w:szCs w:val="18"/>
        </w:rPr>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合并成本" w:id="396"/>
      <w:bookmarkEnd w:id="396"/>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9;height:397" coordorigin="13,13" coordsize="4779,397">
              <v:shape style="position:absolute;left:13;top:13;width:4779;height:397" coordorigin="13,13" coordsize="4779,397" path="m13,13l4792,13,4792,410,13,410,13,13xe" filled="true" fillcolor="#d2d2d2" stroked="false">
                <v:path arrowok="t"/>
                <v:fill type="solid"/>
              </v:shape>
            </v:group>
            <v:group style="position:absolute;left:4797;top:13;width:4779;height:397" coordorigin="4797,13" coordsize="4779,397">
              <v:shape style="position:absolute;left:4797;top:13;width:4779;height:397" coordorigin="4797,13" coordsize="4779,397" path="m4797,13l9576,13,9576,410,4797,410,4797,13xe" filled="true" fillcolor="#e0ffff"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784;height:402" type="#_x0000_t202" filled="false" stroked="false">
                <v:textbox inset="0,0,0,0">
                  <w:txbxContent>
                    <w:p>
                      <w:pPr>
                        <w:spacing w:before="57"/>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51"/>
        <w:ind w:right="8594"/>
        <w:jc w:val="left"/>
      </w:pPr>
      <w:r>
        <w:rPr/>
        <w:t>或有对价及其变动的说明： 其他说明：</w:t>
      </w:r>
    </w:p>
    <w:p>
      <w:pPr>
        <w:spacing w:line="240" w:lineRule="auto" w:before="12"/>
        <w:rPr>
          <w:rFonts w:ascii="宋体" w:hAnsi="宋体" w:cs="宋体" w:eastAsia="宋体" w:hint="default"/>
          <w:sz w:val="19"/>
          <w:szCs w:val="19"/>
        </w:rPr>
      </w:pPr>
    </w:p>
    <w:p>
      <w:pPr>
        <w:pStyle w:val="Heading5"/>
        <w:spacing w:line="240" w:lineRule="auto"/>
        <w:ind w:right="0"/>
        <w:jc w:val="left"/>
        <w:rPr>
          <w:b w:val="0"/>
          <w:bCs w:val="0"/>
        </w:rPr>
      </w:pPr>
      <w:bookmarkStart w:name="（3）合并日被合并方资产、负债的账面价值" w:id="397"/>
      <w:bookmarkEnd w:id="397"/>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1"/>
        <w:rPr>
          <w:rFonts w:ascii="宋体" w:hAnsi="宋体" w:cs="宋体" w:eastAsia="宋体" w:hint="default"/>
          <w:sz w:val="7"/>
          <w:szCs w:val="7"/>
        </w:rPr>
      </w:pPr>
    </w:p>
    <w:p>
      <w:pPr>
        <w:spacing w:line="823" w:lineRule="exact"/>
        <w:ind w:left="104"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5pt;height:41.2pt;mso-position-horizontal-relative:char;mso-position-vertical-relative:line" coordorigin="0,0" coordsize="9590,824">
            <v:group style="position:absolute;left:13;top:12;width:3185;height:397" coordorigin="13,12" coordsize="3185,397">
              <v:shape style="position:absolute;left:13;top:12;width:3185;height:397" coordorigin="13,12" coordsize="3185,397" path="m13,12l3198,12,3198,409,13,409,13,12xe" filled="true" fillcolor="#d2d2d2" stroked="false">
                <v:path arrowok="t"/>
                <v:fill type="solid"/>
              </v:shape>
            </v:group>
            <v:group style="position:absolute;left:3203;top:12;width:6375;height:397" coordorigin="3203,12" coordsize="6375,397">
              <v:shape style="position:absolute;left:3203;top:12;width:6375;height:397" coordorigin="3203,12" coordsize="6375,397" path="m3203,12l9578,12,9578,409,3203,409,3203,12xe" filled="true" fillcolor="#e0ffff" stroked="false">
                <v:path arrowok="t"/>
                <v:fill type="solid"/>
              </v:shape>
            </v:group>
            <v:group style="position:absolute;left:13;top:414;width:3185;height:397" coordorigin="13,414" coordsize="3185,397">
              <v:shape style="position:absolute;left:13;top:414;width:3185;height:397" coordorigin="13,414" coordsize="3185,397" path="m13,414l3198,414,3198,811,13,811,13,414xe" filled="true" fillcolor="#d2d2d2" stroked="false">
                <v:path arrowok="t"/>
                <v:fill type="solid"/>
              </v:shape>
            </v:group>
            <v:group style="position:absolute;left:3203;top:414;width:3185;height:397" coordorigin="3203,414" coordsize="3185,397">
              <v:shape style="position:absolute;left:3203;top:414;width:3185;height:397" coordorigin="3203,414" coordsize="3185,397" path="m3203,414l6388,414,6388,811,3203,811,3203,414xe" filled="true" fillcolor="#d2d2d2" stroked="false">
                <v:path arrowok="t"/>
                <v:fill type="solid"/>
              </v:shape>
            </v:group>
            <v:group style="position:absolute;left:6393;top:414;width:3185;height:397" coordorigin="6393,414" coordsize="3185,397">
              <v:shape style="position:absolute;left:6393;top:414;width:3185;height:397" coordorigin="6393,414" coordsize="3185,397" path="m6393,414l9578,414,9578,811,6393,811,6393,414xe" filled="true" fillcolor="#d2d2d2" stroked="false">
                <v:path arrowok="t"/>
                <v:fill type="solid"/>
              </v:shape>
            </v:group>
            <v:group style="position:absolute;left:5;top:10;width:9580;height:2" coordorigin="5,10" coordsize="9580,2">
              <v:shape style="position:absolute;left:5;top:10;width:9580;height:2" coordorigin="5,10" coordsize="9580,0" path="m5,10l9584,10e" filled="false" stroked="true" strokeweight=".48pt" strokecolor="#000000">
                <v:path arrowok="t"/>
              </v:shape>
            </v:group>
            <v:group style="position:absolute;left:5;top:412;width:9580;height:2" coordorigin="5,412" coordsize="9580,2">
              <v:shape style="position:absolute;left:5;top:412;width:9580;height:2" coordorigin="5,412" coordsize="9580,0" path="m5,412l9584,412e" filled="false" stroked="true" strokeweight=".48pt" strokecolor="#000000">
                <v:path arrowok="t"/>
              </v:shape>
            </v:group>
            <v:group style="position:absolute;left:5;top:814;width:9580;height:2" coordorigin="5,814" coordsize="9580,2">
              <v:shape style="position:absolute;left:5;top:814;width:9580;height:2" coordorigin="5,814" coordsize="9580,0" path="m5,814l9584,814e" filled="false" stroked="true" strokeweight=".48pt" strokecolor="#000000">
                <v:path arrowok="t"/>
              </v:shape>
            </v:group>
            <v:group style="position:absolute;left:10;top:5;width:2;height:814" coordorigin="10,5" coordsize="2,814">
              <v:shape style="position:absolute;left:10;top:5;width:2;height:814" coordorigin="10,5" coordsize="0,814" path="m10,5l10,818e" filled="false" stroked="true" strokeweight=".48pt" strokecolor="#000000">
                <v:path arrowok="t"/>
              </v:shape>
            </v:group>
            <v:group style="position:absolute;left:3200;top:5;width:2;height:804" coordorigin="3200,5" coordsize="2,804">
              <v:shape style="position:absolute;left:3200;top:5;width:2;height:804" coordorigin="3200,5" coordsize="0,804" path="m3200,5l3200,809e" filled="false" stroked="true" strokeweight=".48pt" strokecolor="#000000">
                <v:path arrowok="t"/>
              </v:shape>
            </v:group>
            <v:group style="position:absolute;left:6390;top:407;width:2;height:402" coordorigin="6390,407" coordsize="2,402">
              <v:shape style="position:absolute;left:6390;top:407;width:2;height:402" coordorigin="6390,407" coordsize="0,402" path="m6390,407l6390,809e" filled="false" stroked="true" strokeweight=".48pt" strokecolor="#000000">
                <v:path arrowok="t"/>
              </v:shape>
            </v:group>
            <v:group style="position:absolute;left:9580;top:14;width:2;height:804" coordorigin="9580,14" coordsize="2,804">
              <v:shape style="position:absolute;left:9580;top:14;width:2;height:804" coordorigin="9580,14" coordsize="0,804" path="m9580,14l9580,818e" filled="false" stroked="true" strokeweight=".48pt" strokecolor="#000000">
                <v:path arrowok="t"/>
              </v:shape>
              <v:shape style="position:absolute;left:3200;top:412;width:3190;height:402" type="#_x0000_t202" filled="false" stroked="false">
                <v:textbox inset="0,0,0,0">
                  <w:txbxContent>
                    <w:p>
                      <w:pPr>
                        <w:spacing w:before="54"/>
                        <w:ind w:left="1"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90;top:412;width:3190;height:402" type="#_x0000_t202" filled="false" stroked="false">
                <v:textbox inset="0,0,0,0">
                  <w:txbxContent>
                    <w:p>
                      <w:pPr>
                        <w:spacing w:before="54"/>
                        <w:ind w:left="0" w:right="1"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57" w:lineRule="auto" w:before="46"/>
        <w:ind w:right="7514"/>
        <w:jc w:val="left"/>
      </w:pPr>
      <w:r>
        <w:rPr/>
        <w:t>企业合并中承担的被合并方的或有负债： 其他说明：</w:t>
      </w:r>
    </w:p>
    <w:p>
      <w:pPr>
        <w:spacing w:line="240" w:lineRule="auto" w:before="3"/>
        <w:rPr>
          <w:rFonts w:ascii="宋体" w:hAnsi="宋体" w:cs="宋体" w:eastAsia="宋体" w:hint="default"/>
          <w:sz w:val="20"/>
          <w:szCs w:val="20"/>
        </w:rPr>
      </w:pPr>
    </w:p>
    <w:p>
      <w:pPr>
        <w:pStyle w:val="Heading5"/>
        <w:spacing w:line="240" w:lineRule="auto"/>
        <w:ind w:right="0"/>
        <w:jc w:val="both"/>
        <w:rPr>
          <w:b w:val="0"/>
          <w:bCs w:val="0"/>
        </w:rPr>
      </w:pPr>
      <w:bookmarkStart w:name="3、反向购买" w:id="398"/>
      <w:bookmarkEnd w:id="398"/>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交易基本信息、交易构成反向购买的依据、上市公司保留的资产、负债是否构成业务及其依据、合并成本的确定、按照权益</w:t>
      </w:r>
      <w:r>
        <w:rPr>
          <w:spacing w:val="-65"/>
        </w:rPr>
        <w:t> </w:t>
      </w:r>
      <w:r>
        <w:rPr>
          <w:spacing w:val="-65"/>
        </w:rPr>
      </w:r>
      <w:r>
        <w:rPr/>
        <w:t>性交易处理时调整权益的金额及其计算：</w:t>
      </w:r>
    </w:p>
    <w:p>
      <w:pPr>
        <w:spacing w:line="240" w:lineRule="auto" w:before="6"/>
        <w:rPr>
          <w:rFonts w:ascii="宋体" w:hAnsi="宋体" w:cs="宋体" w:eastAsia="宋体" w:hint="default"/>
          <w:sz w:val="22"/>
          <w:szCs w:val="22"/>
        </w:rPr>
      </w:pPr>
    </w:p>
    <w:p>
      <w:pPr>
        <w:pStyle w:val="Heading5"/>
        <w:spacing w:line="240" w:lineRule="auto"/>
        <w:ind w:right="0"/>
        <w:jc w:val="both"/>
        <w:rPr>
          <w:b w:val="0"/>
          <w:bCs w:val="0"/>
        </w:rPr>
      </w:pPr>
      <w:bookmarkStart w:name="4、处置子公司" w:id="399"/>
      <w:bookmarkEnd w:id="399"/>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是否存在单次处置对子公司投资即丧失控制权的情形</w:t>
      </w:r>
    </w:p>
    <w:p>
      <w:pPr>
        <w:pStyle w:val="BodyText"/>
        <w:spacing w:line="340" w:lineRule="auto" w:before="115"/>
        <w:ind w:right="4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否 是否存在通过多次交易分步处置对子公司投资且在本期丧失控制权的情形</w:t>
      </w:r>
    </w:p>
    <w:p>
      <w:pPr>
        <w:pStyle w:val="BodyText"/>
        <w:spacing w:line="240" w:lineRule="auto" w:before="41"/>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p>
    <w:p>
      <w:pPr>
        <w:spacing w:line="240" w:lineRule="auto" w:before="10"/>
        <w:rPr>
          <w:rFonts w:ascii="宋体" w:hAnsi="宋体" w:cs="宋体" w:eastAsia="宋体" w:hint="default"/>
          <w:sz w:val="25"/>
          <w:szCs w:val="25"/>
        </w:rPr>
      </w:pPr>
    </w:p>
    <w:p>
      <w:pPr>
        <w:pStyle w:val="Heading5"/>
        <w:spacing w:line="240" w:lineRule="auto"/>
        <w:ind w:right="0"/>
        <w:jc w:val="both"/>
        <w:rPr>
          <w:b w:val="0"/>
          <w:bCs w:val="0"/>
        </w:rPr>
      </w:pPr>
      <w:bookmarkStart w:name="5、其他原因的合并范围变动" w:id="400"/>
      <w:bookmarkEnd w:id="400"/>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532" w:right="3914" w:hanging="420"/>
        <w:jc w:val="left"/>
      </w:pPr>
      <w:r>
        <w:rPr/>
        <w:t>说明其他原因导致的合并范围变动（如，新设子公司、清算子公司等）及其相关情况： 新设子公司：</w:t>
      </w:r>
    </w:p>
    <w:p>
      <w:pPr>
        <w:pStyle w:val="BodyText"/>
        <w:spacing w:line="236" w:lineRule="exact"/>
        <w:ind w:right="0"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日，公司总经理王安京召开总经理办公会，决议公司以自有资金</w:t>
      </w:r>
      <w:r>
        <w:rPr>
          <w:rFonts w:ascii="Times New Roman" w:hAnsi="Times New Roman" w:cs="Times New Roman" w:eastAsia="Times New Roman" w:hint="default"/>
        </w:rPr>
        <w:t>210</w:t>
      </w:r>
      <w:r>
        <w:rPr/>
        <w:t>万元设立全资子公司北京数蚂科蓝科</w:t>
      </w:r>
    </w:p>
    <w:p>
      <w:pPr>
        <w:pStyle w:val="BodyText"/>
        <w:spacing w:line="300" w:lineRule="auto" w:before="63"/>
        <w:ind w:right="1132"/>
        <w:jc w:val="both"/>
      </w:pPr>
      <w:r>
        <w:rPr>
          <w:spacing w:val="-4"/>
        </w:rPr>
        <w:t>技有限公司（以下简称数蚂科蓝公司）。</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28</w:t>
      </w:r>
      <w:r>
        <w:rPr>
          <w:spacing w:val="-4"/>
        </w:rPr>
        <w:t>日，数蚂科蓝公司获得了由北京市工商行政管理局朝阳分局颁发的《营</w:t>
      </w:r>
      <w:r>
        <w:rPr>
          <w:spacing w:val="-37"/>
        </w:rPr>
        <w:t> </w:t>
      </w:r>
      <w:r>
        <w:rPr>
          <w:spacing w:val="-37"/>
        </w:rPr>
      </w:r>
      <w:r>
        <w:rPr>
          <w:spacing w:val="-2"/>
          <w:w w:val="99"/>
        </w:rPr>
        <w:t>业执照》，统一社会信用代码</w:t>
      </w:r>
      <w:r>
        <w:rPr>
          <w:rFonts w:ascii="Times New Roman" w:hAnsi="Times New Roman" w:cs="Times New Roman" w:eastAsia="Times New Roman" w:hint="default"/>
          <w:spacing w:val="-2"/>
          <w:w w:val="99"/>
        </w:rPr>
        <w:t>91110105MA01D65314</w:t>
      </w:r>
      <w:r>
        <w:rPr>
          <w:spacing w:val="-2"/>
          <w:w w:val="99"/>
        </w:rPr>
        <w:t>，注册资本</w:t>
      </w:r>
      <w:r>
        <w:rPr>
          <w:rFonts w:ascii="Times New Roman" w:hAnsi="Times New Roman" w:cs="Times New Roman" w:eastAsia="Times New Roman" w:hint="default"/>
          <w:spacing w:val="-2"/>
          <w:w w:val="99"/>
        </w:rPr>
        <w:t>210</w:t>
      </w:r>
      <w:r>
        <w:rPr>
          <w:spacing w:val="-2"/>
          <w:w w:val="99"/>
        </w:rPr>
        <w:t>万元，法定代表人：王安京。截止</w:t>
      </w:r>
      <w:r>
        <w:rPr>
          <w:rFonts w:ascii="Times New Roman" w:hAnsi="Times New Roman" w:cs="Times New Roman" w:eastAsia="Times New Roman" w:hint="default"/>
          <w:spacing w:val="-2"/>
          <w:w w:val="99"/>
        </w:rPr>
        <w:t>2018</w:t>
      </w:r>
      <w:r>
        <w:rPr>
          <w:spacing w:val="-2"/>
          <w:w w:val="99"/>
        </w:rPr>
        <w:t>年</w:t>
      </w:r>
      <w:r>
        <w:rPr>
          <w:rFonts w:ascii="Times New Roman" w:hAnsi="Times New Roman" w:cs="Times New Roman" w:eastAsia="Times New Roman" w:hint="default"/>
          <w:spacing w:val="-2"/>
          <w:w w:val="99"/>
        </w:rPr>
        <w:t>2</w:t>
      </w:r>
      <w:r>
        <w:rPr>
          <w:spacing w:val="-2"/>
          <w:w w:val="99"/>
        </w:rPr>
        <w:t>月</w:t>
      </w:r>
      <w:r>
        <w:rPr>
          <w:rFonts w:ascii="Times New Roman" w:hAnsi="Times New Roman" w:cs="Times New Roman" w:eastAsia="Times New Roman" w:hint="default"/>
          <w:spacing w:val="-2"/>
          <w:w w:val="99"/>
        </w:rPr>
        <w:t>31</w:t>
      </w:r>
      <w:r>
        <w:rPr>
          <w:spacing w:val="-2"/>
          <w:w w:val="99"/>
        </w:rPr>
        <w:t>日，数蚂</w:t>
      </w:r>
      <w:r>
        <w:rPr>
          <w:spacing w:val="-72"/>
          <w:w w:val="99"/>
        </w:rPr>
        <w:t> </w:t>
      </w:r>
      <w:r>
        <w:rPr/>
        <w:t>科蓝公司尚未开始营业，母公司尚未缴纳认缴出资款。</w:t>
      </w:r>
    </w:p>
    <w:p>
      <w:pPr>
        <w:pStyle w:val="BodyText"/>
        <w:spacing w:line="300" w:lineRule="auto" w:before="31"/>
        <w:ind w:right="1141"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日，公司总经理王安京召开总经理办公会，决议公司以自有资金</w:t>
      </w:r>
      <w:r>
        <w:rPr>
          <w:rFonts w:ascii="Times New Roman" w:hAnsi="Times New Roman" w:cs="Times New Roman" w:eastAsia="Times New Roman" w:hint="default"/>
        </w:rPr>
        <w:t>500</w:t>
      </w:r>
      <w:r>
        <w:rPr/>
        <w:t>万元设立全资子公司北京尼客矩阵科 </w:t>
      </w:r>
      <w:r>
        <w:rPr>
          <w:spacing w:val="-2"/>
        </w:rPr>
        <w:t>技有限公司（以下简称尼客矩阵公司）。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7</w:t>
      </w:r>
      <w:r>
        <w:rPr>
          <w:spacing w:val="-2"/>
        </w:rPr>
        <w:t>日，尼客矩阵公司获得了由北京市工商行政管理局朝阳分局颁发的《营</w:t>
      </w:r>
      <w:r>
        <w:rPr>
          <w:spacing w:val="-68"/>
        </w:rPr>
        <w:t> </w:t>
      </w:r>
      <w:r>
        <w:rPr>
          <w:spacing w:val="-3"/>
          <w:w w:val="99"/>
        </w:rPr>
        <w:t>业执照》，统一社会信用代码</w:t>
      </w:r>
      <w:r>
        <w:rPr>
          <w:rFonts w:ascii="Times New Roman" w:hAnsi="Times New Roman" w:cs="Times New Roman" w:eastAsia="Times New Roman" w:hint="default"/>
          <w:spacing w:val="-3"/>
          <w:w w:val="99"/>
        </w:rPr>
        <w:t>91110105MA01EHGW4W</w:t>
      </w:r>
      <w:r>
        <w:rPr>
          <w:spacing w:val="-3"/>
          <w:w w:val="99"/>
        </w:rPr>
        <w:t>，注册资本</w:t>
      </w:r>
      <w:r>
        <w:rPr>
          <w:rFonts w:ascii="Times New Roman" w:hAnsi="Times New Roman" w:cs="Times New Roman" w:eastAsia="Times New Roman" w:hint="default"/>
          <w:spacing w:val="-3"/>
          <w:w w:val="99"/>
        </w:rPr>
        <w:t>500</w:t>
      </w:r>
      <w:r>
        <w:rPr>
          <w:spacing w:val="-3"/>
          <w:w w:val="99"/>
        </w:rPr>
        <w:t>万元，法定代表人：周海朗。</w:t>
      </w:r>
    </w:p>
    <w:p>
      <w:pPr>
        <w:spacing w:after="0" w:line="300" w:lineRule="auto"/>
        <w:jc w:val="both"/>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spacing w:line="487" w:lineRule="auto" w:before="34"/>
        <w:ind w:left="112" w:right="8103" w:firstLine="0"/>
        <w:jc w:val="left"/>
        <w:rPr>
          <w:rFonts w:ascii="宋体" w:hAnsi="宋体" w:cs="宋体" w:eastAsia="宋体" w:hint="default"/>
          <w:sz w:val="21"/>
          <w:szCs w:val="21"/>
        </w:rPr>
      </w:pPr>
      <w:bookmarkStart w:name="6、其他" w:id="401"/>
      <w:bookmarkEnd w:id="401"/>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九、在其他主体中的权益" w:id="402"/>
      <w:bookmarkEnd w:id="402"/>
      <w:r>
        <w:rPr>
          <w:rFonts w:ascii="宋体" w:hAnsi="宋体" w:cs="宋体" w:eastAsia="宋体" w:hint="default"/>
          <w:b/>
          <w:bCs/>
          <w:w w:val="99"/>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403"/>
      <w:bookmarkEnd w:id="40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5"/>
        <w:spacing w:line="240" w:lineRule="auto" w:before="81"/>
        <w:ind w:right="0"/>
        <w:jc w:val="left"/>
        <w:rPr>
          <w:b w:val="0"/>
          <w:bCs w:val="0"/>
        </w:rPr>
      </w:pPr>
      <w:bookmarkStart w:name="（1）企业集团的构成" w:id="404"/>
      <w:bookmarkEnd w:id="404"/>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6"/>
              <w:jc w:val="left"/>
              <w:rPr>
                <w:rFonts w:ascii="宋体" w:hAnsi="宋体" w:cs="宋体" w:eastAsia="宋体" w:hint="default"/>
                <w:sz w:val="18"/>
                <w:szCs w:val="18"/>
              </w:rPr>
            </w:pPr>
            <w:r>
              <w:rPr>
                <w:rFonts w:ascii="宋体" w:hAnsi="宋体" w:cs="宋体" w:eastAsia="宋体" w:hint="default"/>
                <w:sz w:val="18"/>
                <w:szCs w:val="18"/>
              </w:rPr>
              <w:t>深圳科蓝金信科 技发展有限公司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大陆云盾电子认 证服务有限公司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84.27%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6"/>
              <w:jc w:val="left"/>
              <w:rPr>
                <w:rFonts w:ascii="宋体" w:hAnsi="宋体" w:cs="宋体" w:eastAsia="宋体" w:hint="default"/>
                <w:sz w:val="18"/>
                <w:szCs w:val="18"/>
              </w:rPr>
            </w:pPr>
            <w:r>
              <w:rPr>
                <w:rFonts w:ascii="宋体" w:hAnsi="宋体" w:cs="宋体" w:eastAsia="宋体" w:hint="default"/>
                <w:sz w:val="18"/>
                <w:szCs w:val="18"/>
              </w:rPr>
              <w:t>北京尼客矩阵科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科蓝软体系统</w:t>
            </w:r>
          </w:p>
          <w:p>
            <w:pPr>
              <w:pStyle w:val="TableParagraph"/>
              <w:spacing w:line="316" w:lineRule="auto" w:before="76"/>
              <w:ind w:left="22" w:right="76"/>
              <w:jc w:val="left"/>
              <w:rPr>
                <w:rFonts w:ascii="宋体" w:hAnsi="宋体" w:cs="宋体" w:eastAsia="宋体" w:hint="default"/>
                <w:sz w:val="18"/>
                <w:szCs w:val="18"/>
              </w:rPr>
            </w:pPr>
            <w:r>
              <w:rPr>
                <w:rFonts w:ascii="宋体" w:hAnsi="宋体" w:cs="宋体" w:eastAsia="宋体" w:hint="default"/>
                <w:sz w:val="18"/>
                <w:szCs w:val="18"/>
              </w:rPr>
              <w:t>（香港）有限公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SUNJE SOFT</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株</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式会社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韩国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67.15%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北京数蚂科蓝科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357" w:lineRule="auto" w:before="52"/>
        <w:ind w:right="2834"/>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9"/>
        <w:ind w:right="7694"/>
        <w:jc w:val="left"/>
      </w:pPr>
      <w:r>
        <w:rPr/>
        <w:t>确定公司是代理人还是委托人的依据： 其他说明：</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bookmarkStart w:name="（2）重要的非全资子公司" w:id="405"/>
      <w:bookmarkEnd w:id="405"/>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2"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0"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60" w:lineRule="auto" w:before="49"/>
        <w:ind w:right="6434"/>
        <w:jc w:val="left"/>
      </w:pPr>
      <w:r>
        <w:rPr/>
        <w:t>子公司少数股东的持股比例不同于表决权比例的说明： 其他说明：</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3）重要非全资子公司的主要财务信息" w:id="406"/>
      <w:bookmarkEnd w:id="406"/>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after="0" w:line="240" w:lineRule="auto"/>
        <w:jc w:val="right"/>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6"/>
        <w:gridCol w:w="736"/>
        <w:gridCol w:w="735"/>
        <w:gridCol w:w="735"/>
        <w:gridCol w:w="735"/>
        <w:gridCol w:w="735"/>
        <w:gridCol w:w="735"/>
        <w:gridCol w:w="737"/>
        <w:gridCol w:w="736"/>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83" w:right="92" w:hanging="92"/>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0"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2"/>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1" w:right="92"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1"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1"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1"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before="50"/>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5"/>
        <w:gridCol w:w="1065"/>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6"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7" w:right="76"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5"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8" w:right="76"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4）使用企业集团资产和清偿企业集团债务的重大限制" w:id="407"/>
      <w:bookmarkEnd w:id="407"/>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bookmarkStart w:name="（5）向纳入合并财务报表范围的结构化主体提供的财务支持或其他支持" w:id="408"/>
      <w:bookmarkEnd w:id="408"/>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在子公司的所有者权益份额发生变化且仍控制子公司的交易" w:id="409"/>
      <w:bookmarkEnd w:id="409"/>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在子公司所有者权益份额发生变化的情况说明" w:id="410"/>
      <w:bookmarkEnd w:id="410"/>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2）交易对于少数股东权益及归属于母公司所有者权益的影响" w:id="411"/>
      <w:bookmarkEnd w:id="411"/>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9;height:397" coordorigin="13,13" coordsize="4779,397">
              <v:shape style="position:absolute;left:13;top:13;width:4779;height:397" coordorigin="13,13" coordsize="4779,397" path="m13,13l4792,13,4792,410,13,410,13,13xe" filled="true" fillcolor="#d2d2d2" stroked="false">
                <v:path arrowok="t"/>
                <v:fill type="solid"/>
              </v:shape>
            </v:group>
            <v:group style="position:absolute;left:4797;top:13;width:4779;height:397" coordorigin="4797,13" coordsize="4779,397">
              <v:shape style="position:absolute;left:4797;top:13;width:4779;height:397" coordorigin="4797,13" coordsize="4779,397" path="m4797,13l9576,13,9576,410,4797,410,4797,13xe" filled="true" fillcolor="#e0ffff"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3、在合营安排或联营企业中的权益" w:id="412"/>
      <w:bookmarkEnd w:id="412"/>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bookmarkStart w:name="（1）重要的合营企业或联营企业" w:id="413"/>
      <w:bookmarkEnd w:id="413"/>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0"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重庆巴云科技有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软件开发与设计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781" w:right="0"/>
              <w:jc w:val="left"/>
              <w:rPr>
                <w:rFonts w:ascii="Times New Roman" w:hAnsi="Times New Roman" w:cs="Times New Roman" w:eastAsia="Times New Roman" w:hint="default"/>
                <w:sz w:val="18"/>
                <w:szCs w:val="18"/>
              </w:rPr>
            </w:pPr>
            <w:r>
              <w:rPr>
                <w:rFonts w:ascii="Times New Roman"/>
                <w:sz w:val="18"/>
              </w:rPr>
              <w:t>45.00%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2"/>
        <w:ind w:right="0"/>
        <w:jc w:val="left"/>
      </w:pPr>
      <w:r>
        <w:rPr/>
        <w:t>在合营企业或联营企业的持股比例不同于表决权比例的说明：</w:t>
      </w:r>
    </w:p>
    <w:p>
      <w:pPr>
        <w:pStyle w:val="BodyText"/>
        <w:spacing w:line="240" w:lineRule="auto" w:before="115"/>
        <w:ind w:right="0"/>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bookmarkStart w:name="（2）重要合营企业的主要财务信息" w:id="414"/>
      <w:bookmarkEnd w:id="414"/>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3）重要联营企业的主要财务信息" w:id="415"/>
      <w:bookmarkEnd w:id="415"/>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3,362,077.80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6,606,937.58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15,649,654.77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15,448,439.42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19,011,732.57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22,055,377.00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4,925,640.89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2,284,802.57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4,925,640.89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2,284,802.57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14,086,091.68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19,770,574.43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6,338,741.26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8,896,758.49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-143,333.01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-188,591.48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6,293,482.80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8,708,167.02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5,051,010.18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5,483,582.54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-4,481,244.32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-3,351,417.67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-4,481,244.32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-3,351,417.67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不重要的合营企业和联营企业的汇总财务信息" w:id="416"/>
      <w:bookmarkEnd w:id="416"/>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5）合营企业或联营企业向本公司转移资金的能力存在重大限制的说明" w:id="417"/>
      <w:bookmarkEnd w:id="417"/>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bookmarkStart w:name="（6）合营企业或联营企业发生的超额亏损" w:id="418"/>
      <w:bookmarkEnd w:id="418"/>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2"/>
        <w:gridCol w:w="2392"/>
        <w:gridCol w:w="2394"/>
      </w:tblGrid>
      <w:tr>
        <w:trPr>
          <w:trHeight w:val="408"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11" w:right="0"/>
              <w:jc w:val="left"/>
              <w:rPr>
                <w:rFonts w:ascii="宋体" w:hAnsi="宋体" w:cs="宋体" w:eastAsia="宋体" w:hint="default"/>
                <w:sz w:val="18"/>
                <w:szCs w:val="18"/>
              </w:rPr>
            </w:pPr>
            <w:r>
              <w:rPr>
                <w:rFonts w:ascii="宋体" w:hAnsi="宋体" w:cs="宋体" w:eastAsia="宋体" w:hint="default"/>
                <w:sz w:val="18"/>
                <w:szCs w:val="18"/>
              </w:rPr>
              <w:t>累积未确认前期累计认的损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本期未确认的损失（或本期分</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390"/>
        <w:gridCol w:w="2392"/>
        <w:gridCol w:w="2392"/>
        <w:gridCol w:w="2394"/>
      </w:tblGrid>
      <w:tr>
        <w:trPr>
          <w:trHeight w:val="36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50" w:right="0"/>
              <w:jc w:val="left"/>
              <w:rPr>
                <w:rFonts w:ascii="宋体" w:hAnsi="宋体" w:cs="宋体" w:eastAsia="宋体" w:hint="default"/>
                <w:sz w:val="18"/>
                <w:szCs w:val="18"/>
              </w:rPr>
            </w:pPr>
            <w:r>
              <w:rPr>
                <w:rFonts w:ascii="宋体" w:hAnsi="宋体" w:cs="宋体" w:eastAsia="宋体" w:hint="default"/>
                <w:sz w:val="18"/>
                <w:szCs w:val="18"/>
              </w:rPr>
              <w:t>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7）与合营企业投资相关的未确认承诺" w:id="419"/>
      <w:bookmarkEnd w:id="419"/>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bookmarkStart w:name="（8）与合营企业或联营企业投资相关的或有负债" w:id="420"/>
      <w:bookmarkEnd w:id="420"/>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4、重要的共同经营" w:id="421"/>
      <w:bookmarkEnd w:id="421"/>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7"/>
        <w:gridCol w:w="1594"/>
        <w:gridCol w:w="1594"/>
        <w:gridCol w:w="1594"/>
        <w:gridCol w:w="1594"/>
        <w:gridCol w:w="1593"/>
      </w:tblGrid>
      <w:tr>
        <w:trPr>
          <w:trHeight w:val="402" w:hRule="exact"/>
        </w:trPr>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间接</w:t>
            </w:r>
          </w:p>
        </w:tc>
      </w:tr>
      <w:tr>
        <w:trPr>
          <w:trHeight w:val="356" w:hRule="exact"/>
        </w:trPr>
        <w:tc>
          <w:tcPr>
            <w:tcW w:w="15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与南京银行股份有</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3" w:type="dxa"/>
            <w:vMerge w:val="restart"/>
            <w:tcBorders>
              <w:top w:val="single" w:sz="4" w:space="0" w:color="000000"/>
              <w:left w:val="single" w:sz="4" w:space="0" w:color="000000"/>
              <w:right w:val="single" w:sz="4" w:space="0" w:color="000000"/>
            </w:tcBorders>
          </w:tcPr>
          <w:p>
            <w:pPr/>
          </w:p>
        </w:tc>
      </w:tr>
      <w:tr>
        <w:trPr>
          <w:trHeight w:val="624" w:hRule="exact"/>
        </w:trPr>
        <w:tc>
          <w:tcPr>
            <w:tcW w:w="159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22"/>
              <w:jc w:val="left"/>
              <w:rPr>
                <w:rFonts w:ascii="宋体" w:hAnsi="宋体" w:cs="宋体" w:eastAsia="宋体" w:hint="default"/>
                <w:sz w:val="18"/>
                <w:szCs w:val="18"/>
              </w:rPr>
            </w:pPr>
            <w:r>
              <w:rPr>
                <w:rFonts w:ascii="宋体" w:hAnsi="宋体" w:cs="宋体" w:eastAsia="宋体" w:hint="default"/>
                <w:sz w:val="18"/>
                <w:szCs w:val="18"/>
              </w:rPr>
              <w:t>限公司共同经营的 基于直销银行的战</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互联网金融平台</w:t>
            </w:r>
          </w:p>
        </w:tc>
        <w:tc>
          <w:tcPr>
            <w:tcW w:w="1594" w:type="dxa"/>
            <w:vMerge/>
            <w:tcBorders>
              <w:left w:val="single" w:sz="4" w:space="0" w:color="000000"/>
              <w:right w:val="single" w:sz="4" w:space="0" w:color="000000"/>
            </w:tcBorders>
          </w:tcPr>
          <w:p>
            <w:pPr/>
          </w:p>
        </w:tc>
        <w:tc>
          <w:tcPr>
            <w:tcW w:w="1593" w:type="dxa"/>
            <w:vMerge/>
            <w:tcBorders>
              <w:left w:val="single" w:sz="4" w:space="0" w:color="000000"/>
              <w:right w:val="single" w:sz="4" w:space="0" w:color="000000"/>
            </w:tcBorders>
          </w:tcPr>
          <w:p>
            <w:pPr/>
          </w:p>
        </w:tc>
      </w:tr>
      <w:tr>
        <w:trPr>
          <w:trHeight w:val="358" w:hRule="exact"/>
        </w:trPr>
        <w:tc>
          <w:tcPr>
            <w:tcW w:w="15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略合作项目</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3" w:type="dxa"/>
            <w:vMerge/>
            <w:tcBorders>
              <w:left w:val="single" w:sz="4" w:space="0" w:color="000000"/>
              <w:bottom w:val="single" w:sz="4" w:space="0" w:color="000000"/>
              <w:right w:val="single" w:sz="4" w:space="0" w:color="000000"/>
            </w:tcBorders>
          </w:tcPr>
          <w:p>
            <w:pPr/>
          </w:p>
        </w:tc>
      </w:tr>
      <w:tr>
        <w:trPr>
          <w:trHeight w:val="357" w:hRule="exact"/>
        </w:trPr>
        <w:tc>
          <w:tcPr>
            <w:tcW w:w="15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与杭州市民卡有限</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3" w:type="dxa"/>
            <w:vMerge w:val="restart"/>
            <w:tcBorders>
              <w:top w:val="single" w:sz="4" w:space="0" w:color="000000"/>
              <w:left w:val="single" w:sz="4" w:space="0" w:color="000000"/>
              <w:right w:val="single" w:sz="4" w:space="0" w:color="000000"/>
            </w:tcBorders>
          </w:tcPr>
          <w:p>
            <w:pPr/>
          </w:p>
        </w:tc>
      </w:tr>
      <w:tr>
        <w:trPr>
          <w:trHeight w:val="624" w:hRule="exact"/>
        </w:trPr>
        <w:tc>
          <w:tcPr>
            <w:tcW w:w="159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22"/>
              <w:jc w:val="left"/>
              <w:rPr>
                <w:rFonts w:ascii="宋体" w:hAnsi="宋体" w:cs="宋体" w:eastAsia="宋体" w:hint="default"/>
                <w:sz w:val="18"/>
                <w:szCs w:val="18"/>
              </w:rPr>
            </w:pPr>
            <w:r>
              <w:rPr>
                <w:rFonts w:ascii="宋体" w:hAnsi="宋体" w:cs="宋体" w:eastAsia="宋体" w:hint="default"/>
                <w:sz w:val="18"/>
                <w:szCs w:val="18"/>
              </w:rPr>
              <w:t>公司共同经营项目 的互联网综合服务</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19"/>
              <w:jc w:val="left"/>
              <w:rPr>
                <w:rFonts w:ascii="宋体" w:hAnsi="宋体" w:cs="宋体" w:eastAsia="宋体" w:hint="default"/>
                <w:sz w:val="18"/>
                <w:szCs w:val="18"/>
              </w:rPr>
            </w:pPr>
            <w:r>
              <w:rPr>
                <w:rFonts w:ascii="宋体" w:hAnsi="宋体" w:cs="宋体" w:eastAsia="宋体" w:hint="default"/>
                <w:sz w:val="18"/>
                <w:szCs w:val="18"/>
              </w:rPr>
              <w:t>互联网综合服务平 台</w:t>
            </w:r>
          </w:p>
        </w:tc>
        <w:tc>
          <w:tcPr>
            <w:tcW w:w="1594" w:type="dxa"/>
            <w:vMerge/>
            <w:tcBorders>
              <w:left w:val="single" w:sz="4" w:space="0" w:color="000000"/>
              <w:right w:val="single" w:sz="4" w:space="0" w:color="000000"/>
            </w:tcBorders>
          </w:tcPr>
          <w:p>
            <w:pPr/>
          </w:p>
        </w:tc>
        <w:tc>
          <w:tcPr>
            <w:tcW w:w="1593" w:type="dxa"/>
            <w:vMerge/>
            <w:tcBorders>
              <w:left w:val="single" w:sz="4" w:space="0" w:color="000000"/>
              <w:right w:val="single" w:sz="4" w:space="0" w:color="000000"/>
            </w:tcBorders>
          </w:tcPr>
          <w:p>
            <w:pPr/>
          </w:p>
        </w:tc>
      </w:tr>
      <w:tr>
        <w:trPr>
          <w:trHeight w:val="357" w:hRule="exact"/>
        </w:trPr>
        <w:tc>
          <w:tcPr>
            <w:tcW w:w="15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平台战略合作项目</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3" w:type="dxa"/>
            <w:vMerge/>
            <w:tcBorders>
              <w:left w:val="single" w:sz="4" w:space="0" w:color="000000"/>
              <w:bottom w:val="single" w:sz="4" w:space="0" w:color="000000"/>
              <w:right w:val="single" w:sz="4" w:space="0" w:color="000000"/>
            </w:tcBorders>
          </w:tcPr>
          <w:p>
            <w:pPr/>
          </w:p>
        </w:tc>
      </w:tr>
      <w:tr>
        <w:trPr>
          <w:trHeight w:val="356" w:hRule="exact"/>
        </w:trPr>
        <w:tc>
          <w:tcPr>
            <w:tcW w:w="15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与重庆金融后援服</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3" w:type="dxa"/>
            <w:vMerge w:val="restart"/>
            <w:tcBorders>
              <w:top w:val="single" w:sz="4" w:space="0" w:color="000000"/>
              <w:left w:val="single" w:sz="4" w:space="0" w:color="000000"/>
              <w:right w:val="single" w:sz="4" w:space="0" w:color="000000"/>
            </w:tcBorders>
          </w:tcPr>
          <w:p>
            <w:pPr/>
          </w:p>
        </w:tc>
      </w:tr>
      <w:tr>
        <w:trPr>
          <w:trHeight w:val="312" w:hRule="exact"/>
        </w:trPr>
        <w:tc>
          <w:tcPr>
            <w:tcW w:w="15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务有限公司共同经</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3" w:type="dxa"/>
            <w:vMerge/>
            <w:tcBorders>
              <w:left w:val="single" w:sz="4" w:space="0" w:color="000000"/>
              <w:right w:val="single" w:sz="4" w:space="0" w:color="000000"/>
            </w:tcBorders>
          </w:tcPr>
          <w:p>
            <w:pPr/>
          </w:p>
        </w:tc>
      </w:tr>
      <w:tr>
        <w:trPr>
          <w:trHeight w:val="317" w:hRule="exact"/>
        </w:trPr>
        <w:tc>
          <w:tcPr>
            <w:tcW w:w="15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P2P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网贷与基</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互联网金融平台</w:t>
            </w:r>
          </w:p>
        </w:tc>
        <w:tc>
          <w:tcPr>
            <w:tcW w:w="1594" w:type="dxa"/>
            <w:vMerge/>
            <w:tcBorders>
              <w:left w:val="single" w:sz="4" w:space="0" w:color="000000"/>
              <w:right w:val="single" w:sz="4" w:space="0" w:color="000000"/>
            </w:tcBorders>
          </w:tcPr>
          <w:p>
            <w:pPr/>
          </w:p>
        </w:tc>
        <w:tc>
          <w:tcPr>
            <w:tcW w:w="1593" w:type="dxa"/>
            <w:vMerge/>
            <w:tcBorders>
              <w:left w:val="single" w:sz="4" w:space="0" w:color="000000"/>
              <w:right w:val="single" w:sz="4" w:space="0" w:color="000000"/>
            </w:tcBorders>
          </w:tcPr>
          <w:p>
            <w:pPr/>
          </w:p>
        </w:tc>
      </w:tr>
      <w:tr>
        <w:trPr>
          <w:trHeight w:val="307" w:hRule="exact"/>
        </w:trPr>
        <w:tc>
          <w:tcPr>
            <w:tcW w:w="15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金代销战略合作项</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3" w:type="dxa"/>
            <w:vMerge/>
            <w:tcBorders>
              <w:left w:val="single" w:sz="4" w:space="0" w:color="000000"/>
              <w:right w:val="single" w:sz="4" w:space="0" w:color="000000"/>
            </w:tcBorders>
          </w:tcPr>
          <w:p>
            <w:pPr/>
          </w:p>
        </w:tc>
      </w:tr>
      <w:tr>
        <w:trPr>
          <w:trHeight w:val="358" w:hRule="exact"/>
        </w:trPr>
        <w:tc>
          <w:tcPr>
            <w:tcW w:w="15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3" w:type="dxa"/>
            <w:vMerge/>
            <w:tcBorders>
              <w:left w:val="single" w:sz="4" w:space="0" w:color="000000"/>
              <w:bottom w:val="single" w:sz="4" w:space="0" w:color="000000"/>
              <w:right w:val="single" w:sz="4" w:space="0" w:color="000000"/>
            </w:tcBorders>
          </w:tcPr>
          <w:p>
            <w:pPr/>
          </w:p>
        </w:tc>
      </w:tr>
      <w:tr>
        <w:trPr>
          <w:trHeight w:val="357" w:hRule="exact"/>
        </w:trPr>
        <w:tc>
          <w:tcPr>
            <w:tcW w:w="15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与贵州银行股份有</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3" w:type="dxa"/>
            <w:vMerge w:val="restart"/>
            <w:tcBorders>
              <w:top w:val="single" w:sz="4" w:space="0" w:color="000000"/>
              <w:left w:val="single" w:sz="4" w:space="0" w:color="000000"/>
              <w:right w:val="single" w:sz="4" w:space="0" w:color="000000"/>
            </w:tcBorders>
          </w:tcPr>
          <w:p>
            <w:pPr/>
          </w:p>
        </w:tc>
      </w:tr>
      <w:tr>
        <w:trPr>
          <w:trHeight w:val="624" w:hRule="exact"/>
        </w:trPr>
        <w:tc>
          <w:tcPr>
            <w:tcW w:w="159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22"/>
              <w:jc w:val="left"/>
              <w:rPr>
                <w:rFonts w:ascii="宋体" w:hAnsi="宋体" w:cs="宋体" w:eastAsia="宋体" w:hint="default"/>
                <w:sz w:val="18"/>
                <w:szCs w:val="18"/>
              </w:rPr>
            </w:pPr>
            <w:r>
              <w:rPr>
                <w:rFonts w:ascii="宋体" w:hAnsi="宋体" w:cs="宋体" w:eastAsia="宋体" w:hint="default"/>
                <w:sz w:val="18"/>
                <w:szCs w:val="18"/>
              </w:rPr>
              <w:t>限公司联合运营的 投融资平台联合运</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互联网金融平台</w:t>
            </w:r>
          </w:p>
        </w:tc>
        <w:tc>
          <w:tcPr>
            <w:tcW w:w="1594" w:type="dxa"/>
            <w:vMerge/>
            <w:tcBorders>
              <w:left w:val="single" w:sz="4" w:space="0" w:color="000000"/>
              <w:right w:val="single" w:sz="4" w:space="0" w:color="000000"/>
            </w:tcBorders>
          </w:tcPr>
          <w:p>
            <w:pPr/>
          </w:p>
        </w:tc>
        <w:tc>
          <w:tcPr>
            <w:tcW w:w="1593" w:type="dxa"/>
            <w:vMerge/>
            <w:tcBorders>
              <w:left w:val="single" w:sz="4" w:space="0" w:color="000000"/>
              <w:right w:val="single" w:sz="4" w:space="0" w:color="000000"/>
            </w:tcBorders>
          </w:tcPr>
          <w:p>
            <w:pPr/>
          </w:p>
        </w:tc>
      </w:tr>
      <w:tr>
        <w:trPr>
          <w:trHeight w:val="357" w:hRule="exact"/>
        </w:trPr>
        <w:tc>
          <w:tcPr>
            <w:tcW w:w="15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营项目</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3" w:type="dxa"/>
            <w:vMerge/>
            <w:tcBorders>
              <w:left w:val="single" w:sz="4" w:space="0" w:color="000000"/>
              <w:bottom w:val="single" w:sz="4" w:space="0" w:color="000000"/>
              <w:right w:val="single" w:sz="4" w:space="0" w:color="000000"/>
            </w:tcBorders>
          </w:tcPr>
          <w:p>
            <w:pPr/>
          </w:p>
        </w:tc>
      </w:tr>
      <w:tr>
        <w:trPr>
          <w:trHeight w:val="356" w:hRule="exact"/>
        </w:trPr>
        <w:tc>
          <w:tcPr>
            <w:tcW w:w="15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与晋商银行股份有</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3" w:type="dxa"/>
            <w:vMerge w:val="restart"/>
            <w:tcBorders>
              <w:top w:val="single" w:sz="4" w:space="0" w:color="000000"/>
              <w:left w:val="single" w:sz="4" w:space="0" w:color="000000"/>
              <w:right w:val="single" w:sz="4" w:space="0" w:color="000000"/>
            </w:tcBorders>
          </w:tcPr>
          <w:p>
            <w:pPr/>
          </w:p>
        </w:tc>
      </w:tr>
      <w:tr>
        <w:trPr>
          <w:trHeight w:val="312" w:hRule="exact"/>
        </w:trPr>
        <w:tc>
          <w:tcPr>
            <w:tcW w:w="15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限公司共同经营的</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3" w:type="dxa"/>
            <w:vMerge/>
            <w:tcBorders>
              <w:left w:val="single" w:sz="4" w:space="0" w:color="000000"/>
              <w:right w:val="single" w:sz="4" w:space="0" w:color="000000"/>
            </w:tcBorders>
          </w:tcPr>
          <w:p>
            <w:pPr/>
          </w:p>
        </w:tc>
      </w:tr>
      <w:tr>
        <w:trPr>
          <w:trHeight w:val="312" w:hRule="exact"/>
        </w:trPr>
        <w:tc>
          <w:tcPr>
            <w:tcW w:w="15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基于金融互联网开</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互联网金融平台</w:t>
            </w:r>
          </w:p>
        </w:tc>
        <w:tc>
          <w:tcPr>
            <w:tcW w:w="1594" w:type="dxa"/>
            <w:vMerge/>
            <w:tcBorders>
              <w:left w:val="single" w:sz="4" w:space="0" w:color="000000"/>
              <w:right w:val="single" w:sz="4" w:space="0" w:color="000000"/>
            </w:tcBorders>
          </w:tcPr>
          <w:p>
            <w:pPr/>
          </w:p>
        </w:tc>
        <w:tc>
          <w:tcPr>
            <w:tcW w:w="1593" w:type="dxa"/>
            <w:vMerge/>
            <w:tcBorders>
              <w:left w:val="single" w:sz="4" w:space="0" w:color="000000"/>
              <w:right w:val="single" w:sz="4" w:space="0" w:color="000000"/>
            </w:tcBorders>
          </w:tcPr>
          <w:p>
            <w:pPr/>
          </w:p>
        </w:tc>
      </w:tr>
      <w:tr>
        <w:trPr>
          <w:trHeight w:val="312" w:hRule="exact"/>
        </w:trPr>
        <w:tc>
          <w:tcPr>
            <w:tcW w:w="15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放平台战略合作项</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3" w:type="dxa"/>
            <w:vMerge/>
            <w:tcBorders>
              <w:left w:val="single" w:sz="4" w:space="0" w:color="000000"/>
              <w:right w:val="single" w:sz="4" w:space="0" w:color="000000"/>
            </w:tcBorders>
          </w:tcPr>
          <w:p>
            <w:pPr/>
          </w:p>
        </w:tc>
      </w:tr>
      <w:tr>
        <w:trPr>
          <w:trHeight w:val="358" w:hRule="exact"/>
        </w:trPr>
        <w:tc>
          <w:tcPr>
            <w:tcW w:w="15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3" w:type="dxa"/>
            <w:vMerge/>
            <w:tcBorders>
              <w:left w:val="single" w:sz="4" w:space="0" w:color="000000"/>
              <w:bottom w:val="single" w:sz="4" w:space="0" w:color="000000"/>
              <w:right w:val="single" w:sz="4" w:space="0" w:color="000000"/>
            </w:tcBorders>
          </w:tcPr>
          <w:p>
            <w:pPr/>
          </w:p>
        </w:tc>
      </w:tr>
    </w:tbl>
    <w:p>
      <w:pPr>
        <w:pStyle w:val="BodyText"/>
        <w:spacing w:line="360" w:lineRule="auto" w:before="50"/>
        <w:ind w:right="5534"/>
        <w:jc w:val="left"/>
      </w:pPr>
      <w:r>
        <w:rPr/>
        <w:t>在共同经营中的持股比例或享有的份额不同于表决权比例的说明： 共同经营为单独主体的，分类为共同经营的依据：</w:t>
      </w:r>
    </w:p>
    <w:p>
      <w:pPr>
        <w:pStyle w:val="BodyText"/>
        <w:spacing w:line="240" w:lineRule="auto" w:before="25"/>
        <w:ind w:right="0"/>
        <w:jc w:val="left"/>
      </w:pPr>
      <w:r>
        <w:rPr/>
        <w:t>其他说明</w:t>
      </w:r>
    </w:p>
    <w:p>
      <w:pPr>
        <w:spacing w:line="240" w:lineRule="auto" w:before="0"/>
        <w:rPr>
          <w:rFonts w:ascii="宋体" w:hAnsi="宋体" w:cs="宋体" w:eastAsia="宋体" w:hint="default"/>
          <w:sz w:val="15"/>
          <w:szCs w:val="15"/>
        </w:rPr>
      </w:pPr>
    </w:p>
    <w:p>
      <w:pPr>
        <w:pStyle w:val="BodyText"/>
        <w:spacing w:line="300" w:lineRule="auto"/>
        <w:ind w:right="1133" w:firstLine="30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日，公司对各平台的经营情况进行评估，其中与杭州市民卡有限公司共同经营的互联网综合服务平台 中的电商平台投产后运营情况无法达到预期，该平台摊余成本</w:t>
      </w:r>
      <w:r>
        <w:rPr>
          <w:rFonts w:ascii="Times New Roman" w:hAnsi="Times New Roman" w:cs="Times New Roman" w:eastAsia="Times New Roman" w:hint="default"/>
        </w:rPr>
        <w:t>547,380.31</w:t>
      </w:r>
      <w:r>
        <w:rPr/>
        <w:t>元一次性结转计入损益。</w:t>
      </w:r>
    </w:p>
    <w:p>
      <w:pPr>
        <w:pStyle w:val="BodyText"/>
        <w:spacing w:line="309" w:lineRule="auto" w:before="13"/>
        <w:ind w:right="1130" w:firstLine="300"/>
        <w:jc w:val="both"/>
      </w:pPr>
      <w:r>
        <w:rPr>
          <w:rFonts w:ascii="Times New Roman" w:hAnsi="Times New Roman" w:cs="Times New Roman" w:eastAsia="Times New Roman" w:hint="default"/>
          <w:spacing w:val="-2"/>
        </w:rPr>
        <w:t>2</w:t>
      </w:r>
      <w:r>
        <w:rPr>
          <w:spacing w:val="-2"/>
        </w:rPr>
        <w:t>、公司与重庆金融后援公司合作项目共发生平台系统建设成本累计</w:t>
      </w:r>
      <w:r>
        <w:rPr>
          <w:rFonts w:ascii="Times New Roman" w:hAnsi="Times New Roman" w:cs="Times New Roman" w:eastAsia="Times New Roman" w:hint="default"/>
          <w:spacing w:val="-2"/>
        </w:rPr>
        <w:t>167.04</w:t>
      </w:r>
      <w:r>
        <w:rPr>
          <w:spacing w:val="-2"/>
        </w:rPr>
        <w:t>万元，由于</w:t>
      </w:r>
      <w:r>
        <w:rPr>
          <w:rFonts w:ascii="Times New Roman" w:hAnsi="Times New Roman" w:cs="Times New Roman" w:eastAsia="Times New Roman" w:hint="default"/>
          <w:spacing w:val="-2"/>
        </w:rPr>
        <w:t>2016</w:t>
      </w:r>
      <w:r>
        <w:rPr>
          <w:spacing w:val="-2"/>
        </w:rPr>
        <w:t>年重庆金融后援公司管理层调</w:t>
      </w:r>
      <w:r>
        <w:rPr/>
        <w:t> </w:t>
      </w:r>
      <w:r>
        <w:rPr>
          <w:spacing w:val="-2"/>
        </w:rPr>
        <w:t>整，建设处于停滞状态，公司无法确定该平台系统是否可顺利投产，无法确定已投入成本是否可以收回，故全额计提存货跌</w:t>
      </w:r>
      <w:r>
        <w:rPr>
          <w:spacing w:val="-64"/>
        </w:rPr>
        <w:t> </w:t>
      </w:r>
      <w:r>
        <w:rPr>
          <w:spacing w:val="-64"/>
        </w:rPr>
      </w:r>
      <w:r>
        <w:rPr/>
        <w:t>价准备，截止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日，以前减记存货价值的影响因素仍存在，已计提的减值准备本年未转回。</w:t>
      </w:r>
    </w:p>
    <w:p>
      <w:pPr>
        <w:spacing w:after="0" w:line="309" w:lineRule="auto"/>
        <w:jc w:val="both"/>
        <w:sectPr>
          <w:pgSz w:w="11910" w:h="16840"/>
          <w:pgMar w:header="746" w:footer="978" w:top="1060" w:bottom="116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5"/>
        <w:spacing w:line="240" w:lineRule="auto" w:before="34"/>
        <w:ind w:right="0"/>
        <w:jc w:val="left"/>
        <w:rPr>
          <w:b w:val="0"/>
          <w:bCs w:val="0"/>
        </w:rPr>
      </w:pPr>
      <w:bookmarkStart w:name="5、在未纳入合并财务报表范围的结构化主体中的权益" w:id="422"/>
      <w:bookmarkEnd w:id="422"/>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未纳入合并财务报表范围的结构化主体的相关说明：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6、其他" w:id="423"/>
      <w:bookmarkEnd w:id="423"/>
      <w:r>
        <w:rPr>
          <w:b w:val="0"/>
          <w:bCs w:val="0"/>
        </w:rPr>
      </w: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4"/>
        <w:spacing w:line="240" w:lineRule="auto"/>
        <w:ind w:right="0"/>
        <w:jc w:val="left"/>
        <w:rPr>
          <w:b w:val="0"/>
          <w:bCs w:val="0"/>
        </w:rPr>
      </w:pPr>
      <w:bookmarkStart w:name="十、与金融工具相关的风险" w:id="424"/>
      <w:bookmarkEnd w:id="424"/>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2" w:firstLine="420"/>
        <w:jc w:val="both"/>
      </w:pPr>
      <w:r>
        <w:rPr>
          <w:spacing w:val="-3"/>
        </w:rPr>
        <w:t>本公司的经营活动会面临各种金融风险：信用风险、流动风险和市场风险（主要为汇率风险和利率风险）。本公司整体</w:t>
      </w:r>
      <w:r>
        <w:rPr/>
        <w:t> 的风险管理计划针对金融市场的不可预见性，力求减少对本公司财务业绩的潜在不利影响。</w:t>
      </w:r>
    </w:p>
    <w:p>
      <w:pPr>
        <w:pStyle w:val="Heading5"/>
        <w:spacing w:line="284" w:lineRule="exact"/>
        <w:ind w:left="568"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信用风险</w:t>
      </w:r>
      <w:r>
        <w:rPr>
          <w:b w:val="0"/>
          <w:bCs w:val="0"/>
        </w:rPr>
      </w:r>
    </w:p>
    <w:p>
      <w:pPr>
        <w:pStyle w:val="BodyText"/>
        <w:spacing w:line="316" w:lineRule="auto" w:before="46"/>
        <w:ind w:right="1132" w:firstLine="420"/>
        <w:jc w:val="both"/>
      </w:pPr>
      <w:r>
        <w:rPr/>
        <w:t>本公司的信用风险主要来自货币资金、应收账款、其他应收款等。管理层已制定适当的信用政策，并且不断监察这些 信用风险的敞口。</w:t>
      </w:r>
    </w:p>
    <w:p>
      <w:pPr>
        <w:pStyle w:val="BodyText"/>
        <w:spacing w:line="316" w:lineRule="auto" w:before="19"/>
        <w:ind w:right="1132" w:firstLine="420"/>
        <w:jc w:val="both"/>
      </w:pPr>
      <w:r>
        <w:rPr/>
        <w:t>本公司持有的货币资金，主要存放于国有控股银行和其他大中型商业银行等金融机构，管理层认为这些商业银行具备 较高信誉和资产状况，不存在重大的信用风险，不会产生因对方单位违约而导致的任何重大损失。</w:t>
      </w:r>
    </w:p>
    <w:p>
      <w:pPr>
        <w:pStyle w:val="BodyText"/>
        <w:spacing w:line="316" w:lineRule="auto" w:before="19"/>
        <w:ind w:right="1130" w:firstLine="420"/>
        <w:jc w:val="both"/>
      </w:pPr>
      <w:r>
        <w:rPr/>
        <w:t>对于应收账款和其他应收款，本公司设定相关政策以控制信用风险敞口。本公司基于对客户的财务状况、从第三方获 </w:t>
      </w:r>
      <w:r>
        <w:rPr>
          <w:spacing w:val="-2"/>
        </w:rPr>
        <w:t>取担保的可能性、信用记录及其它因素诸如目前市场状况等评估客户的信用资质并设置相应信用期。本公司会定期对客户信</w:t>
      </w:r>
      <w:r>
        <w:rPr>
          <w:spacing w:val="-64"/>
        </w:rPr>
        <w:t> </w:t>
      </w:r>
      <w:r>
        <w:rPr>
          <w:spacing w:val="-64"/>
        </w:rPr>
      </w:r>
      <w:r>
        <w:rPr>
          <w:spacing w:val="-2"/>
        </w:rPr>
        <w:t>用记录进行监控，对于信用记录不良的客户，本公司会采用书面催款、缩短信用期或取消信用期等方式，以确保本公司的整</w:t>
      </w:r>
      <w:r>
        <w:rPr>
          <w:spacing w:val="-64"/>
        </w:rPr>
        <w:t> </w:t>
      </w:r>
      <w:r>
        <w:rPr>
          <w:spacing w:val="-64"/>
        </w:rPr>
      </w:r>
      <w:r>
        <w:rPr/>
        <w:t>体信用风险在可控的范围内。</w:t>
      </w:r>
    </w:p>
    <w:p>
      <w:pPr>
        <w:pStyle w:val="BodyText"/>
        <w:spacing w:line="300" w:lineRule="auto" w:before="19"/>
        <w:ind w:left="532" w:right="0"/>
        <w:jc w:val="left"/>
      </w:pP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日，本公司的前五大的应收款占本公司应收款项总额</w:t>
      </w:r>
      <w:r>
        <w:rPr>
          <w:rFonts w:ascii="Times New Roman" w:hAnsi="Times New Roman" w:cs="Times New Roman" w:eastAsia="Times New Roman" w:hint="default"/>
        </w:rPr>
        <w:t>21.50%</w:t>
      </w:r>
      <w:r>
        <w:rPr>
          <w:rFonts w:ascii="Times New Roman" w:hAnsi="Times New Roman" w:cs="Times New Roman" w:eastAsia="Times New Roman" w:hint="default"/>
          <w:spacing w:val="44"/>
        </w:rPr>
        <w:t> </w:t>
      </w:r>
      <w:r>
        <w:rPr/>
        <w:t>。 本公司投资的银行理财产品，交易对方的信用评级须高于或与本公司相同。鉴于交易对方的信用评级良好，本公司管</w:t>
      </w:r>
    </w:p>
    <w:p>
      <w:pPr>
        <w:pStyle w:val="BodyText"/>
        <w:spacing w:line="316" w:lineRule="auto" w:before="31"/>
        <w:ind w:left="532" w:right="0" w:hanging="420"/>
        <w:jc w:val="left"/>
      </w:pPr>
      <w:r>
        <w:rPr/>
        <w:t>理层并不预期交易对方会无法履行义务。 本公司所承受的最大信用风险敞口为资产负债表中每项金融资产的账面金额。本公司没有提供任何其他可能令本公司</w:t>
      </w:r>
    </w:p>
    <w:p>
      <w:pPr>
        <w:pStyle w:val="BodyText"/>
        <w:spacing w:line="240" w:lineRule="auto" w:before="19"/>
        <w:ind w:left="532" w:right="0" w:hanging="420"/>
        <w:jc w:val="left"/>
      </w:pPr>
      <w:r>
        <w:rPr/>
        <w:t>承受信用风险的担保。</w:t>
      </w:r>
    </w:p>
    <w:p>
      <w:pPr>
        <w:spacing w:line="240" w:lineRule="auto" w:before="1"/>
        <w:rPr>
          <w:rFonts w:ascii="宋体" w:hAnsi="宋体" w:cs="宋体" w:eastAsia="宋体" w:hint="default"/>
          <w:sz w:val="13"/>
          <w:szCs w:val="13"/>
        </w:rPr>
      </w:pPr>
    </w:p>
    <w:p>
      <w:pPr>
        <w:pStyle w:val="BodyText"/>
        <w:spacing w:line="290" w:lineRule="auto"/>
        <w:ind w:left="532" w:right="1128"/>
        <w:jc w:val="left"/>
      </w:pPr>
      <w:r>
        <w:rPr>
          <w:rFonts w:ascii="Times New Roman" w:hAnsi="Times New Roman" w:cs="Times New Roman" w:eastAsia="Times New Roman" w:hint="default"/>
          <w:b/>
          <w:bCs/>
          <w:sz w:val="21"/>
          <w:szCs w:val="21"/>
        </w:rPr>
        <w:t>2. </w:t>
      </w:r>
      <w:r>
        <w:rPr>
          <w:rFonts w:ascii="宋体" w:hAnsi="宋体" w:cs="宋体" w:eastAsia="宋体" w:hint="default"/>
          <w:b/>
          <w:bCs/>
          <w:sz w:val="21"/>
          <w:szCs w:val="21"/>
        </w:rPr>
        <w:t>流动性风险</w:t>
      </w:r>
      <w:r>
        <w:rPr>
          <w:rFonts w:ascii="宋体" w:hAnsi="宋体" w:cs="宋体" w:eastAsia="宋体" w:hint="default"/>
          <w:b/>
          <w:bCs/>
          <w:w w:val="99"/>
          <w:sz w:val="21"/>
          <w:szCs w:val="21"/>
        </w:rPr>
        <w:t> </w:t>
      </w:r>
      <w:r>
        <w:rPr/>
        <w:t>流动性风险是指本公司无法及时获得充足资金</w:t>
      </w:r>
      <w:r>
        <w:rPr>
          <w:rFonts w:ascii="Times New Roman" w:hAnsi="Times New Roman" w:cs="Times New Roman" w:eastAsia="Times New Roman" w:hint="default"/>
        </w:rPr>
        <w:t>,</w:t>
      </w:r>
      <w:r>
        <w:rPr/>
        <w:t>满足业务发展需要或偿付到期债务以及其他支付义务的风险。 本公司财务部门持续监控公司短期和长期的资金需求，以确保维持充裕的现金储备；同时持续监控是否符合借款协议</w:t>
      </w:r>
    </w:p>
    <w:p>
      <w:pPr>
        <w:pStyle w:val="BodyText"/>
        <w:spacing w:line="316" w:lineRule="auto" w:before="38"/>
        <w:ind w:left="532" w:right="2414" w:hanging="420"/>
        <w:jc w:val="left"/>
      </w:pPr>
      <w:r>
        <w:rPr/>
        <w:t>的规定，从主要金融机构获得提供足够备用资金的承诺，以满足短期和长期的资金需求。 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日，本公司各项金融资产及金融负债以未折现的合同现金流量按到期日列示如下：</w:t>
      </w:r>
    </w:p>
    <w:tbl>
      <w:tblPr>
        <w:tblW w:w="0" w:type="auto"/>
        <w:jc w:val="left"/>
        <w:tblInd w:w="106" w:type="dxa"/>
        <w:tblLayout w:type="fixed"/>
        <w:tblCellMar>
          <w:top w:w="0" w:type="dxa"/>
          <w:left w:w="0" w:type="dxa"/>
          <w:bottom w:w="0" w:type="dxa"/>
          <w:right w:w="0" w:type="dxa"/>
        </w:tblCellMar>
        <w:tblLook w:val="01E0"/>
      </w:tblPr>
      <w:tblGrid>
        <w:gridCol w:w="1500"/>
        <w:gridCol w:w="1416"/>
        <w:gridCol w:w="1500"/>
        <w:gridCol w:w="1419"/>
        <w:gridCol w:w="1253"/>
        <w:gridCol w:w="1253"/>
        <w:gridCol w:w="1015"/>
      </w:tblGrid>
      <w:tr>
        <w:trPr>
          <w:trHeight w:val="354" w:hRule="exact"/>
        </w:trPr>
        <w:tc>
          <w:tcPr>
            <w:tcW w:w="1500"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856" w:type="dxa"/>
            <w:gridSpan w:val="6"/>
            <w:tcBorders>
              <w:top w:val="single" w:sz="6" w:space="0" w:color="000000"/>
              <w:left w:val="single" w:sz="6" w:space="0" w:color="000000"/>
              <w:bottom w:val="single" w:sz="12" w:space="0" w:color="000000"/>
              <w:right w:val="nil" w:sz="6" w:space="0" w:color="auto"/>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2" w:hRule="exact"/>
        </w:trPr>
        <w:tc>
          <w:tcPr>
            <w:tcW w:w="1500" w:type="dxa"/>
            <w:vMerge/>
            <w:tcBorders>
              <w:left w:val="single" w:sz="6" w:space="0" w:color="000000"/>
              <w:bottom w:val="single" w:sz="12" w:space="0" w:color="000000"/>
              <w:right w:val="single" w:sz="6" w:space="0" w:color="000000"/>
            </w:tcBorders>
          </w:tcPr>
          <w:p>
            <w:pP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
              <w:ind w:left="339"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
              <w:ind w:left="38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
              <w:ind w:left="3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
              <w:ind w:left="4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
              <w:ind w:left="4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年</w:t>
            </w:r>
          </w:p>
        </w:tc>
        <w:tc>
          <w:tcPr>
            <w:tcW w:w="10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9"/>
              <w:ind w:left="1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r>
      <w:tr>
        <w:trPr>
          <w:trHeight w:val="362" w:hRule="exact"/>
        </w:trPr>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407,308,560.68</w:t>
            </w:r>
          </w:p>
        </w:tc>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407,308,560.68</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407,308,560.68</w:t>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637,157,012.89</w:t>
            </w:r>
          </w:p>
        </w:tc>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637,157,012.89</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637,157,012.89</w:t>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26,144,485.36</w:t>
            </w:r>
          </w:p>
        </w:tc>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26,144,485.36</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22,144,485.36</w:t>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4,000,000.00</w:t>
            </w:r>
          </w:p>
        </w:tc>
        <w:tc>
          <w:tcPr>
            <w:tcW w:w="10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
              <w:ind w:left="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120,923.10</w:t>
            </w:r>
          </w:p>
        </w:tc>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120,923.10</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120,923.10</w:t>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
              <w:ind w:left="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65,378,716.20</w:t>
            </w:r>
          </w:p>
        </w:tc>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65,378,716.20</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pacing w:val="-1"/>
                <w:sz w:val="18"/>
              </w:rPr>
              <w:t>65,378,716.20</w:t>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
              <w:ind w:left="20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1,136,109,698.23</w:t>
            </w:r>
          </w:p>
        </w:tc>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1,136,109,698.23</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1,132,109,698.23</w:t>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4,000,000.00</w:t>
            </w:r>
          </w:p>
        </w:tc>
        <w:tc>
          <w:tcPr>
            <w:tcW w:w="10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419,735,429.52</w:t>
            </w:r>
          </w:p>
        </w:tc>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419,735,429.52</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419,735,429.52</w:t>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13,569,521.18</w:t>
            </w:r>
          </w:p>
        </w:tc>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13,569,521.18</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13,569,521.18</w:t>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1500"/>
        <w:gridCol w:w="1416"/>
        <w:gridCol w:w="1500"/>
        <w:gridCol w:w="1419"/>
        <w:gridCol w:w="1253"/>
        <w:gridCol w:w="1253"/>
        <w:gridCol w:w="1015"/>
      </w:tblGrid>
      <w:tr>
        <w:trPr>
          <w:trHeight w:val="369" w:hRule="exact"/>
        </w:trPr>
        <w:tc>
          <w:tcPr>
            <w:tcW w:w="15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left="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0"/>
              <w:jc w:val="right"/>
              <w:rPr>
                <w:rFonts w:ascii="Times New Roman" w:hAnsi="Times New Roman" w:cs="Times New Roman" w:eastAsia="Times New Roman" w:hint="default"/>
                <w:sz w:val="18"/>
                <w:szCs w:val="18"/>
              </w:rPr>
            </w:pPr>
            <w:r>
              <w:rPr>
                <w:rFonts w:ascii="Times New Roman"/>
                <w:spacing w:val="-1"/>
                <w:sz w:val="18"/>
              </w:rPr>
              <w:t>2,182,365.61</w:t>
            </w:r>
          </w:p>
        </w:tc>
        <w:tc>
          <w:tcPr>
            <w:tcW w:w="15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0"/>
              <w:jc w:val="right"/>
              <w:rPr>
                <w:rFonts w:ascii="Times New Roman" w:hAnsi="Times New Roman" w:cs="Times New Roman" w:eastAsia="Times New Roman" w:hint="default"/>
                <w:sz w:val="18"/>
                <w:szCs w:val="18"/>
              </w:rPr>
            </w:pPr>
            <w:r>
              <w:rPr>
                <w:rFonts w:ascii="Times New Roman"/>
                <w:spacing w:val="-1"/>
                <w:sz w:val="18"/>
              </w:rPr>
              <w:t>2,182,365.61</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0"/>
              <w:jc w:val="right"/>
              <w:rPr>
                <w:rFonts w:ascii="Times New Roman" w:hAnsi="Times New Roman" w:cs="Times New Roman" w:eastAsia="Times New Roman" w:hint="default"/>
                <w:sz w:val="18"/>
                <w:szCs w:val="18"/>
              </w:rPr>
            </w:pPr>
            <w:r>
              <w:rPr>
                <w:rFonts w:ascii="Times New Roman"/>
                <w:spacing w:val="-1"/>
                <w:sz w:val="18"/>
              </w:rPr>
              <w:t>2,182,365.61</w:t>
            </w:r>
          </w:p>
        </w:tc>
        <w:tc>
          <w:tcPr>
            <w:tcW w:w="12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7"/>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57,670,174.01</w:t>
            </w:r>
          </w:p>
        </w:tc>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57,670,174.01</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57,670,174.01</w:t>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73,819,592.57</w:t>
            </w:r>
          </w:p>
        </w:tc>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73,819,592.57</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25,346,372.37</w:t>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27,032,064.42</w:t>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21,441,155.78</w:t>
            </w:r>
          </w:p>
        </w:tc>
        <w:tc>
          <w:tcPr>
            <w:tcW w:w="1015"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202" w:right="0"/>
              <w:jc w:val="left"/>
              <w:rPr>
                <w:rFonts w:ascii="宋体" w:hAnsi="宋体" w:cs="宋体" w:eastAsia="宋体" w:hint="default"/>
                <w:sz w:val="18"/>
                <w:szCs w:val="18"/>
              </w:rPr>
            </w:pPr>
            <w:r>
              <w:rPr>
                <w:rFonts w:ascii="宋体" w:hAnsi="宋体" w:cs="宋体" w:eastAsia="宋体" w:hint="default"/>
                <w:sz w:val="18"/>
                <w:szCs w:val="18"/>
              </w:rPr>
              <w:t>金融负债小计</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566,977,082.89</w:t>
            </w:r>
          </w:p>
        </w:tc>
        <w:tc>
          <w:tcPr>
            <w:tcW w:w="15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566,977,082.89</w:t>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518,503,862.69</w:t>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27,032,064.42</w:t>
            </w:r>
          </w:p>
        </w:tc>
        <w:tc>
          <w:tcPr>
            <w:tcW w:w="12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21,441,155.78</w:t>
            </w:r>
          </w:p>
        </w:tc>
        <w:tc>
          <w:tcPr>
            <w:tcW w:w="10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8"/>
        <w:rPr>
          <w:rFonts w:ascii="宋体" w:hAnsi="宋体" w:cs="宋体" w:eastAsia="宋体" w:hint="default"/>
          <w:sz w:val="5"/>
          <w:szCs w:val="5"/>
        </w:rPr>
      </w:pPr>
    </w:p>
    <w:p>
      <w:pPr>
        <w:pStyle w:val="Heading6"/>
        <w:spacing w:line="240" w:lineRule="auto" w:before="34"/>
        <w:ind w:right="0"/>
        <w:jc w:val="left"/>
      </w:pPr>
      <w:r>
        <w:rPr/>
        <w:t>续：</w:t>
      </w:r>
    </w:p>
    <w:p>
      <w:pPr>
        <w:spacing w:line="240" w:lineRule="auto" w:before="11"/>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435"/>
        <w:gridCol w:w="1486"/>
        <w:gridCol w:w="1473"/>
        <w:gridCol w:w="1404"/>
        <w:gridCol w:w="1290"/>
        <w:gridCol w:w="1276"/>
        <w:gridCol w:w="992"/>
      </w:tblGrid>
      <w:tr>
        <w:trPr>
          <w:trHeight w:val="354" w:hRule="exact"/>
        </w:trPr>
        <w:tc>
          <w:tcPr>
            <w:tcW w:w="1435"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921" w:type="dxa"/>
            <w:gridSpan w:val="6"/>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2" w:hRule="exact"/>
        </w:trPr>
        <w:tc>
          <w:tcPr>
            <w:tcW w:w="1435" w:type="dxa"/>
            <w:vMerge/>
            <w:tcBorders>
              <w:left w:val="single" w:sz="6" w:space="0" w:color="000000"/>
              <w:bottom w:val="single" w:sz="12" w:space="0" w:color="000000"/>
              <w:right w:val="single" w:sz="6" w:space="0" w:color="000000"/>
            </w:tcBorders>
          </w:tcPr>
          <w:p>
            <w:pPr/>
          </w:p>
        </w:tc>
        <w:tc>
          <w:tcPr>
            <w:tcW w:w="14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75"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4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68"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4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2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4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年</w:t>
            </w:r>
          </w:p>
        </w:tc>
        <w:tc>
          <w:tcPr>
            <w:tcW w:w="9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left="1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r>
      <w:tr>
        <w:trPr>
          <w:trHeight w:val="362" w:hRule="exact"/>
        </w:trPr>
        <w:tc>
          <w:tcPr>
            <w:tcW w:w="14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3" w:right="0"/>
              <w:jc w:val="left"/>
              <w:rPr>
                <w:rFonts w:ascii="宋体" w:hAnsi="宋体" w:cs="宋体" w:eastAsia="宋体" w:hint="default"/>
                <w:sz w:val="18"/>
                <w:szCs w:val="18"/>
              </w:rPr>
            </w:pPr>
            <w:r>
              <w:rPr>
                <w:rFonts w:ascii="宋体" w:hAnsi="宋体" w:cs="宋体" w:eastAsia="宋体" w:hint="default"/>
                <w:sz w:val="18"/>
                <w:szCs w:val="18"/>
              </w:rPr>
              <w:t>贷币资金</w:t>
            </w:r>
          </w:p>
        </w:tc>
        <w:tc>
          <w:tcPr>
            <w:tcW w:w="14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390,020,032.68</w:t>
            </w:r>
          </w:p>
        </w:tc>
        <w:tc>
          <w:tcPr>
            <w:tcW w:w="14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390,020,032.68</w:t>
            </w:r>
          </w:p>
        </w:tc>
        <w:tc>
          <w:tcPr>
            <w:tcW w:w="14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390,020,032.68</w:t>
            </w:r>
          </w:p>
        </w:tc>
        <w:tc>
          <w:tcPr>
            <w:tcW w:w="12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14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487,769,199.26</w:t>
            </w:r>
          </w:p>
        </w:tc>
        <w:tc>
          <w:tcPr>
            <w:tcW w:w="14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553,154,929.17</w:t>
            </w:r>
          </w:p>
        </w:tc>
        <w:tc>
          <w:tcPr>
            <w:tcW w:w="14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553,154,929.17</w:t>
            </w:r>
          </w:p>
        </w:tc>
        <w:tc>
          <w:tcPr>
            <w:tcW w:w="12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14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15,150,261.99</w:t>
            </w:r>
          </w:p>
        </w:tc>
        <w:tc>
          <w:tcPr>
            <w:tcW w:w="14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17,313,823.88</w:t>
            </w:r>
          </w:p>
        </w:tc>
        <w:tc>
          <w:tcPr>
            <w:tcW w:w="14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17,313,823.88</w:t>
            </w:r>
          </w:p>
        </w:tc>
        <w:tc>
          <w:tcPr>
            <w:tcW w:w="12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14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80,000,000.00</w:t>
            </w:r>
          </w:p>
        </w:tc>
        <w:tc>
          <w:tcPr>
            <w:tcW w:w="14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80,000,000.00</w:t>
            </w:r>
          </w:p>
        </w:tc>
        <w:tc>
          <w:tcPr>
            <w:tcW w:w="14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80,000,000.00</w:t>
            </w:r>
          </w:p>
        </w:tc>
        <w:tc>
          <w:tcPr>
            <w:tcW w:w="12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14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69"/>
              <w:jc w:val="right"/>
              <w:rPr>
                <w:rFonts w:ascii="宋体" w:hAnsi="宋体" w:cs="宋体" w:eastAsia="宋体" w:hint="default"/>
                <w:sz w:val="18"/>
                <w:szCs w:val="18"/>
              </w:rPr>
            </w:pPr>
            <w:r>
              <w:rPr>
                <w:rFonts w:ascii="宋体" w:hAnsi="宋体" w:cs="宋体" w:eastAsia="宋体" w:hint="default"/>
                <w:sz w:val="18"/>
                <w:szCs w:val="18"/>
              </w:rPr>
              <w:t>金融资产小计</w:t>
            </w:r>
          </w:p>
        </w:tc>
        <w:tc>
          <w:tcPr>
            <w:tcW w:w="14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972,939,493.93</w:t>
            </w:r>
          </w:p>
        </w:tc>
        <w:tc>
          <w:tcPr>
            <w:tcW w:w="14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1,040,488,785.73</w:t>
            </w:r>
          </w:p>
        </w:tc>
        <w:tc>
          <w:tcPr>
            <w:tcW w:w="14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1,040,488,785.73</w:t>
            </w:r>
          </w:p>
        </w:tc>
        <w:tc>
          <w:tcPr>
            <w:tcW w:w="12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14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319,671,000.00</w:t>
            </w:r>
          </w:p>
        </w:tc>
        <w:tc>
          <w:tcPr>
            <w:tcW w:w="14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319,671,000.00</w:t>
            </w:r>
          </w:p>
        </w:tc>
        <w:tc>
          <w:tcPr>
            <w:tcW w:w="14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319,671,000.00</w:t>
            </w:r>
          </w:p>
        </w:tc>
        <w:tc>
          <w:tcPr>
            <w:tcW w:w="12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46" w:hRule="exact"/>
        </w:trPr>
        <w:tc>
          <w:tcPr>
            <w:tcW w:w="14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10,914,076.13</w:t>
            </w:r>
          </w:p>
        </w:tc>
        <w:tc>
          <w:tcPr>
            <w:tcW w:w="14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10,914,076.13</w:t>
            </w:r>
          </w:p>
        </w:tc>
        <w:tc>
          <w:tcPr>
            <w:tcW w:w="14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10,914,076.13</w:t>
            </w:r>
          </w:p>
        </w:tc>
        <w:tc>
          <w:tcPr>
            <w:tcW w:w="12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14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483,835.90</w:t>
            </w:r>
          </w:p>
        </w:tc>
        <w:tc>
          <w:tcPr>
            <w:tcW w:w="14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483,835.90</w:t>
            </w:r>
          </w:p>
        </w:tc>
        <w:tc>
          <w:tcPr>
            <w:tcW w:w="14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483,835.90</w:t>
            </w:r>
          </w:p>
        </w:tc>
        <w:tc>
          <w:tcPr>
            <w:tcW w:w="12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14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51,848,633.12</w:t>
            </w:r>
          </w:p>
        </w:tc>
        <w:tc>
          <w:tcPr>
            <w:tcW w:w="14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51,848,633.12</w:t>
            </w:r>
          </w:p>
        </w:tc>
        <w:tc>
          <w:tcPr>
            <w:tcW w:w="14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51,848,633.12</w:t>
            </w:r>
          </w:p>
        </w:tc>
        <w:tc>
          <w:tcPr>
            <w:tcW w:w="12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14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169"/>
              <w:jc w:val="right"/>
              <w:rPr>
                <w:rFonts w:ascii="宋体" w:hAnsi="宋体" w:cs="宋体" w:eastAsia="宋体" w:hint="default"/>
                <w:sz w:val="18"/>
                <w:szCs w:val="18"/>
              </w:rPr>
            </w:pPr>
            <w:r>
              <w:rPr>
                <w:rFonts w:ascii="宋体" w:hAnsi="宋体" w:cs="宋体" w:eastAsia="宋体" w:hint="default"/>
                <w:sz w:val="18"/>
                <w:szCs w:val="18"/>
              </w:rPr>
              <w:t>金融负债小计</w:t>
            </w:r>
          </w:p>
        </w:tc>
        <w:tc>
          <w:tcPr>
            <w:tcW w:w="14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382,917,545.15</w:t>
            </w:r>
          </w:p>
        </w:tc>
        <w:tc>
          <w:tcPr>
            <w:tcW w:w="14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382,917,545.15</w:t>
            </w:r>
          </w:p>
        </w:tc>
        <w:tc>
          <w:tcPr>
            <w:tcW w:w="14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382,917,545.15</w:t>
            </w:r>
          </w:p>
        </w:tc>
        <w:tc>
          <w:tcPr>
            <w:tcW w:w="12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7"/>
        <w:rPr>
          <w:rFonts w:ascii="宋体" w:hAnsi="宋体" w:cs="宋体" w:eastAsia="宋体" w:hint="default"/>
          <w:sz w:val="5"/>
          <w:szCs w:val="5"/>
        </w:rPr>
      </w:pPr>
    </w:p>
    <w:p>
      <w:pPr>
        <w:pStyle w:val="Heading5"/>
        <w:spacing w:line="240" w:lineRule="auto" w:before="34"/>
        <w:ind w:left="532" w:right="0"/>
        <w:jc w:val="left"/>
        <w:rPr>
          <w:b w:val="0"/>
          <w:bCs w:val="0"/>
        </w:rPr>
      </w:pPr>
      <w:r>
        <w:rPr>
          <w:rFonts w:ascii="Times New Roman" w:hAnsi="Times New Roman" w:cs="Times New Roman" w:eastAsia="Times New Roman" w:hint="default"/>
        </w:rPr>
        <w:t>3.</w:t>
      </w:r>
      <w:r>
        <w:rPr/>
        <w:t>市场风险</w:t>
      </w:r>
      <w:r>
        <w:rPr>
          <w:b w:val="0"/>
          <w:bCs w:val="0"/>
        </w:rPr>
      </w:r>
    </w:p>
    <w:p>
      <w:pPr>
        <w:pStyle w:val="Heading5"/>
        <w:spacing w:line="240" w:lineRule="auto" w:before="21"/>
        <w:ind w:left="744" w:right="0"/>
        <w:jc w:val="left"/>
        <w:rPr>
          <w:b w:val="0"/>
          <w:bCs w:val="0"/>
        </w:rPr>
      </w:pPr>
      <w:r>
        <w:rPr>
          <w:rFonts w:ascii="Times New Roman" w:hAnsi="Times New Roman" w:cs="Times New Roman" w:eastAsia="Times New Roman" w:hint="default"/>
        </w:rPr>
        <w:t>1</w:t>
      </w:r>
      <w:r>
        <w:rPr/>
        <w:t>）</w:t>
      </w:r>
      <w:r>
        <w:rPr>
          <w:spacing w:val="-4"/>
        </w:rPr>
        <w:t> </w:t>
      </w:r>
      <w:r>
        <w:rPr/>
        <w:t>汇率风险</w:t>
      </w:r>
      <w:r>
        <w:rPr>
          <w:b w:val="0"/>
          <w:bCs w:val="0"/>
        </w:rPr>
      </w:r>
    </w:p>
    <w:p>
      <w:pPr>
        <w:pStyle w:val="BodyText"/>
        <w:spacing w:line="316" w:lineRule="auto" w:before="46"/>
        <w:ind w:right="1130" w:firstLine="616"/>
        <w:jc w:val="both"/>
      </w:pPr>
      <w:r>
        <w:rPr>
          <w:spacing w:val="-4"/>
        </w:rPr>
        <w:t>本公司的主要经营位于中国境内，主要业务以人民币结算。但本公司已确认的外币资产和负债及未来的外币交易（外</w:t>
      </w:r>
      <w:r>
        <w:rPr/>
        <w:t> </w:t>
      </w:r>
      <w:r>
        <w:rPr>
          <w:spacing w:val="-2"/>
        </w:rPr>
        <w:t>币资产和负债及外币交易的计价货币主要为美元、港币、韩元）依然存在外汇风险。本公司财务部门负责监控公司外币交易</w:t>
      </w:r>
      <w:r>
        <w:rPr>
          <w:spacing w:val="-64"/>
        </w:rPr>
        <w:t> </w:t>
      </w:r>
      <w:r>
        <w:rPr>
          <w:spacing w:val="-64"/>
        </w:rPr>
      </w:r>
      <w:r>
        <w:rPr>
          <w:spacing w:val="-2"/>
        </w:rPr>
        <w:t>和外币资产及负债的规模，以最大程度降低面临的外汇风险；为此，本公司可能会以签署远期外汇合约或货币互换合约来达</w:t>
      </w:r>
      <w:r>
        <w:rPr>
          <w:spacing w:val="-63"/>
        </w:rPr>
        <w:t> </w:t>
      </w:r>
      <w:r>
        <w:rPr>
          <w:spacing w:val="-63"/>
        </w:rPr>
      </w:r>
      <w:r>
        <w:rPr/>
        <w:t>到规避外汇风险的目的。</w:t>
      </w:r>
    </w:p>
    <w:p>
      <w:pPr>
        <w:pStyle w:val="BodyText"/>
        <w:spacing w:line="240" w:lineRule="auto" w:before="19"/>
        <w:ind w:left="624" w:right="0"/>
        <w:jc w:val="left"/>
      </w:pPr>
      <w:r>
        <w:rPr/>
        <w:t>（</w:t>
      </w:r>
      <w:r>
        <w:rPr>
          <w:rFonts w:ascii="Times New Roman" w:hAnsi="Times New Roman" w:cs="Times New Roman" w:eastAsia="Times New Roman" w:hint="default"/>
        </w:rPr>
        <w:t>1</w:t>
      </w:r>
      <w:r>
        <w:rPr/>
        <w:t>）本年度公司未签署任何远期外汇合约或货币互换合约。</w:t>
      </w:r>
    </w:p>
    <w:p>
      <w:pPr>
        <w:pStyle w:val="BodyText"/>
        <w:spacing w:line="240" w:lineRule="auto" w:before="63"/>
        <w:ind w:left="624" w:right="0"/>
        <w:jc w:val="left"/>
      </w:pPr>
      <w:r>
        <w:rPr/>
        <w:t>（</w:t>
      </w:r>
      <w:r>
        <w:rPr>
          <w:rFonts w:ascii="Times New Roman" w:hAnsi="Times New Roman" w:cs="Times New Roman" w:eastAsia="Times New Roman" w:hint="default"/>
        </w:rPr>
        <w:t>2</w:t>
      </w: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日，本公司持有的外币金融资产和外币金融负债折算成人民币的金额列示如下：</w:t>
      </w:r>
    </w:p>
    <w:p>
      <w:pPr>
        <w:spacing w:line="240" w:lineRule="auto" w:before="12"/>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127"/>
        <w:gridCol w:w="1701"/>
        <w:gridCol w:w="1701"/>
        <w:gridCol w:w="1559"/>
        <w:gridCol w:w="1701"/>
      </w:tblGrid>
      <w:tr>
        <w:trPr>
          <w:trHeight w:val="354" w:hRule="exact"/>
        </w:trPr>
        <w:tc>
          <w:tcPr>
            <w:tcW w:w="2127" w:type="dxa"/>
            <w:vMerge w:val="restart"/>
            <w:tcBorders>
              <w:top w:val="single" w:sz="6" w:space="0" w:color="000000"/>
              <w:left w:val="single" w:sz="6" w:space="0" w:color="000000"/>
              <w:right w:val="single" w:sz="6" w:space="0" w:color="000000"/>
            </w:tcBorders>
          </w:tcPr>
          <w:p>
            <w:pPr>
              <w:pStyle w:val="TableParagraph"/>
              <w:spacing w:line="240" w:lineRule="auto" w:before="21"/>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6662" w:type="dxa"/>
            <w:gridSpan w:val="4"/>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2" w:hRule="exact"/>
        </w:trPr>
        <w:tc>
          <w:tcPr>
            <w:tcW w:w="2127" w:type="dxa"/>
            <w:vMerge/>
            <w:tcBorders>
              <w:left w:val="single" w:sz="6" w:space="0" w:color="000000"/>
              <w:bottom w:val="single" w:sz="12" w:space="0" w:color="000000"/>
              <w:right w:val="single" w:sz="6" w:space="0" w:color="000000"/>
            </w:tcBorders>
          </w:tcPr>
          <w:p>
            <w:pP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482" w:right="0"/>
              <w:jc w:val="left"/>
              <w:rPr>
                <w:rFonts w:ascii="宋体" w:hAnsi="宋体" w:cs="宋体" w:eastAsia="宋体" w:hint="default"/>
                <w:sz w:val="18"/>
                <w:szCs w:val="18"/>
              </w:rPr>
            </w:pPr>
            <w:r>
              <w:rPr>
                <w:rFonts w:ascii="宋体" w:hAnsi="宋体" w:cs="宋体" w:eastAsia="宋体" w:hint="default"/>
                <w:sz w:val="18"/>
                <w:szCs w:val="18"/>
              </w:rPr>
              <w:t>美元项目</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483" w:right="0"/>
              <w:jc w:val="left"/>
              <w:rPr>
                <w:rFonts w:ascii="宋体" w:hAnsi="宋体" w:cs="宋体" w:eastAsia="宋体" w:hint="default"/>
                <w:sz w:val="18"/>
                <w:szCs w:val="18"/>
              </w:rPr>
            </w:pPr>
            <w:r>
              <w:rPr>
                <w:rFonts w:ascii="宋体" w:hAnsi="宋体" w:cs="宋体" w:eastAsia="宋体" w:hint="default"/>
                <w:sz w:val="18"/>
                <w:szCs w:val="18"/>
              </w:rPr>
              <w:t>港币项目</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412" w:right="0"/>
              <w:jc w:val="left"/>
              <w:rPr>
                <w:rFonts w:ascii="宋体" w:hAnsi="宋体" w:cs="宋体" w:eastAsia="宋体" w:hint="default"/>
                <w:sz w:val="18"/>
                <w:szCs w:val="18"/>
              </w:rPr>
            </w:pPr>
            <w:r>
              <w:rPr>
                <w:rFonts w:ascii="宋体" w:hAnsi="宋体" w:cs="宋体" w:eastAsia="宋体" w:hint="default"/>
                <w:sz w:val="18"/>
                <w:szCs w:val="18"/>
              </w:rPr>
              <w:t>韩元项目</w:t>
            </w:r>
          </w:p>
        </w:tc>
        <w:tc>
          <w:tcPr>
            <w:tcW w:w="1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6"/>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外币金融资产：</w:t>
            </w:r>
          </w:p>
        </w:tc>
        <w:tc>
          <w:tcPr>
            <w:tcW w:w="1701" w:type="dxa"/>
            <w:tcBorders>
              <w:top w:val="single" w:sz="12" w:space="0" w:color="000000"/>
              <w:left w:val="single" w:sz="6" w:space="0" w:color="000000"/>
              <w:bottom w:val="single" w:sz="12" w:space="0" w:color="000000"/>
              <w:right w:val="single" w:sz="6" w:space="0" w:color="000000"/>
            </w:tcBorders>
          </w:tcPr>
          <w:p>
            <w:pPr/>
          </w:p>
        </w:tc>
        <w:tc>
          <w:tcPr>
            <w:tcW w:w="1701" w:type="dxa"/>
            <w:tcBorders>
              <w:top w:val="single" w:sz="12" w:space="0" w:color="000000"/>
              <w:left w:val="single" w:sz="6" w:space="0" w:color="000000"/>
              <w:bottom w:val="single" w:sz="12" w:space="0" w:color="000000"/>
              <w:right w:val="single" w:sz="6" w:space="0" w:color="000000"/>
            </w:tcBorders>
          </w:tcPr>
          <w:p>
            <w:pPr/>
          </w:p>
        </w:tc>
        <w:tc>
          <w:tcPr>
            <w:tcW w:w="1559" w:type="dxa"/>
            <w:tcBorders>
              <w:top w:val="single" w:sz="12" w:space="0" w:color="000000"/>
              <w:left w:val="single" w:sz="6" w:space="0" w:color="000000"/>
              <w:bottom w:val="single" w:sz="12" w:space="0" w:color="000000"/>
              <w:right w:val="single" w:sz="6" w:space="0" w:color="000000"/>
            </w:tcBorders>
          </w:tcPr>
          <w:p>
            <w:pPr/>
          </w:p>
        </w:tc>
        <w:tc>
          <w:tcPr>
            <w:tcW w:w="1701"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453,404.68</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18,748,343.98</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13,720,437.61</w:t>
            </w:r>
          </w:p>
        </w:tc>
        <w:tc>
          <w:tcPr>
            <w:tcW w:w="1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32,922,186.27</w:t>
            </w:r>
          </w:p>
        </w:tc>
      </w:tr>
      <w:tr>
        <w:trPr>
          <w:trHeight w:val="362" w:hRule="exact"/>
        </w:trPr>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2,090,086.28</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1,854,496.51</w:t>
            </w:r>
          </w:p>
        </w:tc>
        <w:tc>
          <w:tcPr>
            <w:tcW w:w="1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spacing w:val="-1"/>
                <w:sz w:val="18"/>
              </w:rPr>
              <w:t>3,944,582.79</w:t>
            </w:r>
          </w:p>
        </w:tc>
      </w:tr>
      <w:tr>
        <w:trPr>
          <w:trHeight w:val="362" w:hRule="exact"/>
        </w:trPr>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120,923.10</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spacing w:val="-1"/>
                <w:sz w:val="18"/>
              </w:rPr>
              <w:t>120,923.10</w:t>
            </w:r>
          </w:p>
        </w:tc>
      </w:tr>
      <w:tr>
        <w:trPr>
          <w:trHeight w:val="360" w:hRule="exact"/>
        </w:trPr>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01" w:type="dxa"/>
            <w:tcBorders>
              <w:top w:val="single" w:sz="12" w:space="0" w:color="000000"/>
              <w:left w:val="single" w:sz="6" w:space="0" w:color="000000"/>
              <w:bottom w:val="single" w:sz="12" w:space="0" w:color="000000"/>
              <w:right w:val="single" w:sz="6" w:space="0" w:color="000000"/>
            </w:tcBorders>
          </w:tcPr>
          <w:p>
            <w:pP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566,417.27</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488,412.57</w:t>
            </w:r>
          </w:p>
        </w:tc>
        <w:tc>
          <w:tcPr>
            <w:tcW w:w="1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spacing w:val="-1"/>
                <w:sz w:val="18"/>
              </w:rPr>
              <w:t>1,054,829.84</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2127"/>
        <w:gridCol w:w="1701"/>
        <w:gridCol w:w="1701"/>
        <w:gridCol w:w="1559"/>
        <w:gridCol w:w="1701"/>
      </w:tblGrid>
      <w:tr>
        <w:trPr>
          <w:trHeight w:val="369" w:hRule="exact"/>
        </w:trPr>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5"/>
              <w:ind w:right="875"/>
              <w:jc w:val="right"/>
              <w:rPr>
                <w:rFonts w:ascii="宋体" w:hAnsi="宋体" w:cs="宋体" w:eastAsia="宋体" w:hint="default"/>
                <w:sz w:val="18"/>
                <w:szCs w:val="18"/>
              </w:rPr>
            </w:pPr>
            <w:r>
              <w:rPr>
                <w:rFonts w:ascii="宋体" w:hAnsi="宋体" w:cs="宋体" w:eastAsia="宋体" w:hint="default"/>
                <w:sz w:val="18"/>
                <w:szCs w:val="18"/>
              </w:rPr>
              <w:t>小计</w:t>
            </w:r>
          </w:p>
        </w:tc>
        <w:tc>
          <w:tcPr>
            <w:tcW w:w="17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0"/>
              <w:jc w:val="right"/>
              <w:rPr>
                <w:rFonts w:ascii="Times New Roman" w:hAnsi="Times New Roman" w:cs="Times New Roman" w:eastAsia="Times New Roman" w:hint="default"/>
                <w:sz w:val="18"/>
                <w:szCs w:val="18"/>
              </w:rPr>
            </w:pPr>
            <w:r>
              <w:rPr>
                <w:rFonts w:ascii="Times New Roman"/>
                <w:spacing w:val="-1"/>
                <w:sz w:val="18"/>
              </w:rPr>
              <w:t>574,327.78</w:t>
            </w:r>
          </w:p>
        </w:tc>
        <w:tc>
          <w:tcPr>
            <w:tcW w:w="17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1"/>
              <w:jc w:val="right"/>
              <w:rPr>
                <w:rFonts w:ascii="Times New Roman" w:hAnsi="Times New Roman" w:cs="Times New Roman" w:eastAsia="Times New Roman" w:hint="default"/>
                <w:sz w:val="18"/>
                <w:szCs w:val="18"/>
              </w:rPr>
            </w:pPr>
            <w:r>
              <w:rPr>
                <w:rFonts w:ascii="Times New Roman"/>
                <w:spacing w:val="-1"/>
                <w:sz w:val="18"/>
              </w:rPr>
              <w:t>21,404,847.53</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1"/>
              <w:jc w:val="right"/>
              <w:rPr>
                <w:rFonts w:ascii="Times New Roman" w:hAnsi="Times New Roman" w:cs="Times New Roman" w:eastAsia="Times New Roman" w:hint="default"/>
                <w:sz w:val="18"/>
                <w:szCs w:val="18"/>
              </w:rPr>
            </w:pPr>
            <w:r>
              <w:rPr>
                <w:rFonts w:ascii="Times New Roman"/>
                <w:spacing w:val="-1"/>
                <w:sz w:val="18"/>
              </w:rPr>
              <w:t>16,063,346.69</w:t>
            </w:r>
          </w:p>
        </w:tc>
        <w:tc>
          <w:tcPr>
            <w:tcW w:w="170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7"/>
              <w:ind w:right="7"/>
              <w:jc w:val="right"/>
              <w:rPr>
                <w:rFonts w:ascii="Times New Roman" w:hAnsi="Times New Roman" w:cs="Times New Roman" w:eastAsia="Times New Roman" w:hint="default"/>
                <w:sz w:val="18"/>
                <w:szCs w:val="18"/>
              </w:rPr>
            </w:pPr>
            <w:r>
              <w:rPr>
                <w:rFonts w:ascii="Times New Roman"/>
                <w:spacing w:val="-1"/>
                <w:sz w:val="18"/>
              </w:rPr>
              <w:t>38,042,522.00</w:t>
            </w:r>
          </w:p>
        </w:tc>
      </w:tr>
      <w:tr>
        <w:trPr>
          <w:trHeight w:val="362" w:hRule="exact"/>
        </w:trPr>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外币金融负债：</w:t>
            </w:r>
          </w:p>
        </w:tc>
        <w:tc>
          <w:tcPr>
            <w:tcW w:w="1701" w:type="dxa"/>
            <w:tcBorders>
              <w:top w:val="single" w:sz="12" w:space="0" w:color="000000"/>
              <w:left w:val="single" w:sz="6" w:space="0" w:color="000000"/>
              <w:bottom w:val="single" w:sz="12" w:space="0" w:color="000000"/>
              <w:right w:val="single" w:sz="6" w:space="0" w:color="000000"/>
            </w:tcBorders>
          </w:tcPr>
          <w:p>
            <w:pPr/>
          </w:p>
        </w:tc>
        <w:tc>
          <w:tcPr>
            <w:tcW w:w="1701" w:type="dxa"/>
            <w:tcBorders>
              <w:top w:val="single" w:sz="12" w:space="0" w:color="000000"/>
              <w:left w:val="single" w:sz="6" w:space="0" w:color="000000"/>
              <w:bottom w:val="single" w:sz="12" w:space="0" w:color="000000"/>
              <w:right w:val="single" w:sz="6" w:space="0" w:color="000000"/>
            </w:tcBorders>
          </w:tcPr>
          <w:p>
            <w:pPr/>
          </w:p>
        </w:tc>
        <w:tc>
          <w:tcPr>
            <w:tcW w:w="1559" w:type="dxa"/>
            <w:tcBorders>
              <w:top w:val="single" w:sz="12" w:space="0" w:color="000000"/>
              <w:left w:val="single" w:sz="6" w:space="0" w:color="000000"/>
              <w:bottom w:val="single" w:sz="12" w:space="0" w:color="000000"/>
              <w:right w:val="single" w:sz="6" w:space="0" w:color="000000"/>
            </w:tcBorders>
          </w:tcPr>
          <w:p>
            <w:pPr/>
          </w:p>
        </w:tc>
        <w:tc>
          <w:tcPr>
            <w:tcW w:w="1701"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34,316,000.00</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7"/>
              <w:jc w:val="right"/>
              <w:rPr>
                <w:rFonts w:ascii="Times New Roman" w:hAnsi="Times New Roman" w:cs="Times New Roman" w:eastAsia="Times New Roman" w:hint="default"/>
                <w:sz w:val="18"/>
                <w:szCs w:val="18"/>
              </w:rPr>
            </w:pPr>
            <w:r>
              <w:rPr>
                <w:rFonts w:ascii="Times New Roman"/>
                <w:spacing w:val="-1"/>
                <w:sz w:val="18"/>
              </w:rPr>
              <w:t>34,316,000.00</w:t>
            </w:r>
          </w:p>
        </w:tc>
      </w:tr>
      <w:tr>
        <w:trPr>
          <w:trHeight w:val="362" w:hRule="exact"/>
        </w:trPr>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1,780,829.47</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949,604.62</w:t>
            </w:r>
          </w:p>
        </w:tc>
        <w:tc>
          <w:tcPr>
            <w:tcW w:w="1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2,730,434.09</w:t>
            </w:r>
          </w:p>
        </w:tc>
      </w:tr>
      <w:tr>
        <w:trPr>
          <w:trHeight w:val="362" w:hRule="exact"/>
        </w:trPr>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151,781.73</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151,781.73</w:t>
            </w:r>
          </w:p>
        </w:tc>
      </w:tr>
      <w:tr>
        <w:trPr>
          <w:trHeight w:val="362" w:hRule="exact"/>
        </w:trPr>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519,689.07</w:t>
            </w:r>
          </w:p>
        </w:tc>
        <w:tc>
          <w:tcPr>
            <w:tcW w:w="1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spacing w:val="-1"/>
                <w:sz w:val="18"/>
              </w:rPr>
              <w:t>519,689.07</w:t>
            </w:r>
          </w:p>
        </w:tc>
      </w:tr>
      <w:tr>
        <w:trPr>
          <w:trHeight w:val="362" w:hRule="exact"/>
        </w:trPr>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875"/>
              <w:jc w:val="right"/>
              <w:rPr>
                <w:rFonts w:ascii="宋体" w:hAnsi="宋体" w:cs="宋体" w:eastAsia="宋体" w:hint="default"/>
                <w:sz w:val="18"/>
                <w:szCs w:val="18"/>
              </w:rPr>
            </w:pPr>
            <w:r>
              <w:rPr>
                <w:rFonts w:ascii="宋体" w:hAnsi="宋体" w:cs="宋体" w:eastAsia="宋体" w:hint="default"/>
                <w:sz w:val="18"/>
                <w:szCs w:val="18"/>
              </w:rPr>
              <w:t>小计</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34,467,781.73</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1,780,829.47</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1,469,293.69</w:t>
            </w:r>
          </w:p>
        </w:tc>
        <w:tc>
          <w:tcPr>
            <w:tcW w:w="1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spacing w:val="-1"/>
                <w:sz w:val="18"/>
              </w:rPr>
              <w:t>37,717,904.89</w:t>
            </w:r>
          </w:p>
        </w:tc>
      </w:tr>
    </w:tbl>
    <w:p>
      <w:pPr>
        <w:spacing w:line="240" w:lineRule="auto" w:before="7"/>
        <w:rPr>
          <w:rFonts w:ascii="宋体" w:hAnsi="宋体" w:cs="宋体" w:eastAsia="宋体" w:hint="default"/>
          <w:sz w:val="5"/>
          <w:szCs w:val="5"/>
        </w:rPr>
      </w:pPr>
    </w:p>
    <w:p>
      <w:pPr>
        <w:pStyle w:val="Heading6"/>
        <w:spacing w:line="240" w:lineRule="auto" w:before="34"/>
        <w:ind w:right="0"/>
        <w:jc w:val="left"/>
      </w:pPr>
      <w:r>
        <w:rPr/>
        <w:t>续：</w:t>
      </w:r>
    </w:p>
    <w:p>
      <w:pPr>
        <w:spacing w:line="240" w:lineRule="auto" w:before="13"/>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127"/>
        <w:gridCol w:w="1734"/>
        <w:gridCol w:w="1701"/>
        <w:gridCol w:w="1526"/>
        <w:gridCol w:w="1701"/>
      </w:tblGrid>
      <w:tr>
        <w:trPr>
          <w:trHeight w:val="354" w:hRule="exact"/>
        </w:trPr>
        <w:tc>
          <w:tcPr>
            <w:tcW w:w="2127" w:type="dxa"/>
            <w:vMerge w:val="restart"/>
            <w:tcBorders>
              <w:top w:val="single" w:sz="6" w:space="0" w:color="000000"/>
              <w:left w:val="single" w:sz="6"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4961"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701" w:type="dxa"/>
            <w:tcBorders>
              <w:top w:val="single" w:sz="6" w:space="0" w:color="000000"/>
              <w:left w:val="single" w:sz="6" w:space="0" w:color="000000"/>
              <w:bottom w:val="single" w:sz="12" w:space="0" w:color="000000"/>
              <w:right w:val="nil" w:sz="6" w:space="0" w:color="auto"/>
            </w:tcBorders>
          </w:tcPr>
          <w:p>
            <w:pPr/>
          </w:p>
        </w:tc>
      </w:tr>
      <w:tr>
        <w:trPr>
          <w:trHeight w:val="362" w:hRule="exact"/>
        </w:trPr>
        <w:tc>
          <w:tcPr>
            <w:tcW w:w="2127" w:type="dxa"/>
            <w:vMerge/>
            <w:tcBorders>
              <w:left w:val="single" w:sz="6" w:space="0" w:color="000000"/>
              <w:bottom w:val="single" w:sz="12" w:space="0" w:color="000000"/>
              <w:right w:val="single" w:sz="6" w:space="0" w:color="000000"/>
            </w:tcBorders>
          </w:tcPr>
          <w:p>
            <w:pPr/>
          </w:p>
        </w:tc>
        <w:tc>
          <w:tcPr>
            <w:tcW w:w="17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499" w:right="0"/>
              <w:jc w:val="left"/>
              <w:rPr>
                <w:rFonts w:ascii="宋体" w:hAnsi="宋体" w:cs="宋体" w:eastAsia="宋体" w:hint="default"/>
                <w:sz w:val="18"/>
                <w:szCs w:val="18"/>
              </w:rPr>
            </w:pPr>
            <w:r>
              <w:rPr>
                <w:rFonts w:ascii="宋体" w:hAnsi="宋体" w:cs="宋体" w:eastAsia="宋体" w:hint="default"/>
                <w:sz w:val="18"/>
                <w:szCs w:val="18"/>
              </w:rPr>
              <w:t>美元项目</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481" w:right="0"/>
              <w:jc w:val="left"/>
              <w:rPr>
                <w:rFonts w:ascii="宋体" w:hAnsi="宋体" w:cs="宋体" w:eastAsia="宋体" w:hint="default"/>
                <w:sz w:val="18"/>
                <w:szCs w:val="18"/>
              </w:rPr>
            </w:pPr>
            <w:r>
              <w:rPr>
                <w:rFonts w:ascii="宋体" w:hAnsi="宋体" w:cs="宋体" w:eastAsia="宋体" w:hint="default"/>
                <w:sz w:val="18"/>
                <w:szCs w:val="18"/>
              </w:rPr>
              <w:t>港币项目</w:t>
            </w:r>
          </w:p>
        </w:tc>
        <w:tc>
          <w:tcPr>
            <w:tcW w:w="15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95" w:right="0"/>
              <w:jc w:val="left"/>
              <w:rPr>
                <w:rFonts w:ascii="宋体" w:hAnsi="宋体" w:cs="宋体" w:eastAsia="宋体" w:hint="default"/>
                <w:sz w:val="18"/>
                <w:szCs w:val="18"/>
              </w:rPr>
            </w:pPr>
            <w:r>
              <w:rPr>
                <w:rFonts w:ascii="宋体" w:hAnsi="宋体" w:cs="宋体" w:eastAsia="宋体" w:hint="default"/>
                <w:sz w:val="18"/>
                <w:szCs w:val="18"/>
              </w:rPr>
              <w:t>韩元项目</w:t>
            </w:r>
          </w:p>
        </w:tc>
        <w:tc>
          <w:tcPr>
            <w:tcW w:w="1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外币金融资产：</w:t>
            </w:r>
          </w:p>
        </w:tc>
        <w:tc>
          <w:tcPr>
            <w:tcW w:w="1734" w:type="dxa"/>
            <w:tcBorders>
              <w:top w:val="single" w:sz="12" w:space="0" w:color="000000"/>
              <w:left w:val="single" w:sz="6" w:space="0" w:color="000000"/>
              <w:bottom w:val="single" w:sz="12" w:space="0" w:color="000000"/>
              <w:right w:val="single" w:sz="6" w:space="0" w:color="000000"/>
            </w:tcBorders>
          </w:tcPr>
          <w:p>
            <w:pPr/>
          </w:p>
        </w:tc>
        <w:tc>
          <w:tcPr>
            <w:tcW w:w="1701" w:type="dxa"/>
            <w:tcBorders>
              <w:top w:val="single" w:sz="12" w:space="0" w:color="000000"/>
              <w:left w:val="single" w:sz="6" w:space="0" w:color="000000"/>
              <w:bottom w:val="single" w:sz="12" w:space="0" w:color="000000"/>
              <w:right w:val="single" w:sz="6" w:space="0" w:color="000000"/>
            </w:tcBorders>
          </w:tcPr>
          <w:p>
            <w:pPr/>
          </w:p>
        </w:tc>
        <w:tc>
          <w:tcPr>
            <w:tcW w:w="1526" w:type="dxa"/>
            <w:tcBorders>
              <w:top w:val="single" w:sz="12" w:space="0" w:color="000000"/>
              <w:left w:val="single" w:sz="6" w:space="0" w:color="000000"/>
              <w:bottom w:val="single" w:sz="12" w:space="0" w:color="000000"/>
              <w:right w:val="single" w:sz="6" w:space="0" w:color="000000"/>
            </w:tcBorders>
          </w:tcPr>
          <w:p>
            <w:pPr/>
          </w:p>
        </w:tc>
        <w:tc>
          <w:tcPr>
            <w:tcW w:w="1701"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1,351,144.03</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10,203,445.47</w:t>
            </w:r>
          </w:p>
        </w:tc>
        <w:tc>
          <w:tcPr>
            <w:tcW w:w="15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11,554,589.50</w:t>
            </w:r>
          </w:p>
        </w:tc>
      </w:tr>
      <w:tr>
        <w:trPr>
          <w:trHeight w:val="362" w:hRule="exact"/>
        </w:trPr>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10,355,340.65</w:t>
            </w:r>
          </w:p>
        </w:tc>
        <w:tc>
          <w:tcPr>
            <w:tcW w:w="15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10,355,340.65</w:t>
            </w:r>
          </w:p>
        </w:tc>
      </w:tr>
      <w:tr>
        <w:trPr>
          <w:trHeight w:val="362" w:hRule="exact"/>
        </w:trPr>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287,190.97</w:t>
            </w:r>
          </w:p>
        </w:tc>
        <w:tc>
          <w:tcPr>
            <w:tcW w:w="15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287,190.97</w:t>
            </w:r>
          </w:p>
        </w:tc>
      </w:tr>
      <w:tr>
        <w:trPr>
          <w:trHeight w:val="362" w:hRule="exact"/>
        </w:trPr>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1,351,144.03</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20,845,977.09</w:t>
            </w:r>
          </w:p>
        </w:tc>
        <w:tc>
          <w:tcPr>
            <w:tcW w:w="15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spacing w:val="-1"/>
                <w:sz w:val="18"/>
              </w:rPr>
              <w:t>22,197,121.12</w:t>
            </w:r>
          </w:p>
        </w:tc>
      </w:tr>
      <w:tr>
        <w:trPr>
          <w:trHeight w:val="362" w:hRule="exact"/>
        </w:trPr>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外币金融负债：</w:t>
            </w:r>
          </w:p>
        </w:tc>
        <w:tc>
          <w:tcPr>
            <w:tcW w:w="1734" w:type="dxa"/>
            <w:tcBorders>
              <w:top w:val="single" w:sz="12" w:space="0" w:color="000000"/>
              <w:left w:val="single" w:sz="6" w:space="0" w:color="000000"/>
              <w:bottom w:val="single" w:sz="12" w:space="0" w:color="000000"/>
              <w:right w:val="single" w:sz="6" w:space="0" w:color="000000"/>
            </w:tcBorders>
          </w:tcPr>
          <w:p>
            <w:pPr/>
          </w:p>
        </w:tc>
        <w:tc>
          <w:tcPr>
            <w:tcW w:w="1701" w:type="dxa"/>
            <w:tcBorders>
              <w:top w:val="single" w:sz="12" w:space="0" w:color="000000"/>
              <w:left w:val="single" w:sz="6" w:space="0" w:color="000000"/>
              <w:bottom w:val="single" w:sz="12" w:space="0" w:color="000000"/>
              <w:right w:val="single" w:sz="6" w:space="0" w:color="000000"/>
            </w:tcBorders>
          </w:tcPr>
          <w:p>
            <w:pPr/>
          </w:p>
        </w:tc>
        <w:tc>
          <w:tcPr>
            <w:tcW w:w="1526" w:type="dxa"/>
            <w:tcBorders>
              <w:top w:val="single" w:sz="12" w:space="0" w:color="000000"/>
              <w:left w:val="single" w:sz="6" w:space="0" w:color="000000"/>
              <w:bottom w:val="single" w:sz="12" w:space="0" w:color="000000"/>
              <w:right w:val="single" w:sz="6" w:space="0" w:color="000000"/>
            </w:tcBorders>
          </w:tcPr>
          <w:p>
            <w:pPr/>
          </w:p>
        </w:tc>
        <w:tc>
          <w:tcPr>
            <w:tcW w:w="1701" w:type="dxa"/>
            <w:tcBorders>
              <w:top w:val="single" w:sz="12" w:space="0" w:color="000000"/>
              <w:left w:val="single" w:sz="6" w:space="0" w:color="000000"/>
              <w:bottom w:val="single" w:sz="12" w:space="0" w:color="000000"/>
              <w:right w:val="nil" w:sz="6" w:space="0" w:color="auto"/>
            </w:tcBorders>
          </w:tcPr>
          <w:p>
            <w:pPr/>
          </w:p>
        </w:tc>
      </w:tr>
      <w:tr>
        <w:trPr>
          <w:trHeight w:val="362" w:hRule="exact"/>
        </w:trPr>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32,671,000.00</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7"/>
              <w:jc w:val="right"/>
              <w:rPr>
                <w:rFonts w:ascii="Times New Roman" w:hAnsi="Times New Roman" w:cs="Times New Roman" w:eastAsia="Times New Roman" w:hint="default"/>
                <w:sz w:val="18"/>
                <w:szCs w:val="18"/>
              </w:rPr>
            </w:pPr>
            <w:r>
              <w:rPr>
                <w:rFonts w:ascii="Times New Roman"/>
                <w:spacing w:val="-1"/>
                <w:sz w:val="18"/>
              </w:rPr>
              <w:t>32,671,000.00</w:t>
            </w:r>
          </w:p>
        </w:tc>
      </w:tr>
      <w:tr>
        <w:trPr>
          <w:trHeight w:val="362" w:hRule="exact"/>
        </w:trPr>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11,538,691.49</w:t>
            </w:r>
          </w:p>
        </w:tc>
        <w:tc>
          <w:tcPr>
            <w:tcW w:w="15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11,538,691.49</w:t>
            </w:r>
          </w:p>
        </w:tc>
      </w:tr>
      <w:tr>
        <w:trPr>
          <w:trHeight w:val="362" w:hRule="exact"/>
        </w:trPr>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7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92,144.37</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92,144.37</w:t>
            </w:r>
          </w:p>
        </w:tc>
      </w:tr>
      <w:tr>
        <w:trPr>
          <w:trHeight w:val="362" w:hRule="exact"/>
        </w:trPr>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180.82</w:t>
            </w:r>
          </w:p>
        </w:tc>
        <w:tc>
          <w:tcPr>
            <w:tcW w:w="15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spacing w:val="-1"/>
                <w:sz w:val="18"/>
              </w:rPr>
              <w:t>180.82</w:t>
            </w:r>
          </w:p>
        </w:tc>
      </w:tr>
      <w:tr>
        <w:trPr>
          <w:trHeight w:val="362" w:hRule="exact"/>
        </w:trPr>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7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32,763,144.37</w:t>
            </w:r>
          </w:p>
        </w:tc>
        <w:tc>
          <w:tcPr>
            <w:tcW w:w="1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11,625,110.01</w:t>
            </w:r>
          </w:p>
        </w:tc>
        <w:tc>
          <w:tcPr>
            <w:tcW w:w="15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7"/>
              <w:jc w:val="right"/>
              <w:rPr>
                <w:rFonts w:ascii="Times New Roman" w:hAnsi="Times New Roman" w:cs="Times New Roman" w:eastAsia="Times New Roman" w:hint="default"/>
                <w:sz w:val="18"/>
                <w:szCs w:val="18"/>
              </w:rPr>
            </w:pPr>
            <w:r>
              <w:rPr>
                <w:rFonts w:ascii="Times New Roman"/>
                <w:spacing w:val="-1"/>
                <w:sz w:val="18"/>
              </w:rPr>
              <w:t>44,388,254.38</w:t>
            </w:r>
          </w:p>
        </w:tc>
      </w:tr>
    </w:tbl>
    <w:p>
      <w:pPr>
        <w:spacing w:line="240" w:lineRule="auto" w:before="7"/>
        <w:rPr>
          <w:rFonts w:ascii="宋体" w:hAnsi="宋体" w:cs="宋体" w:eastAsia="宋体" w:hint="default"/>
          <w:sz w:val="5"/>
          <w:szCs w:val="5"/>
        </w:rPr>
      </w:pPr>
    </w:p>
    <w:p>
      <w:pPr>
        <w:pStyle w:val="Heading6"/>
        <w:spacing w:line="240" w:lineRule="auto" w:before="34"/>
        <w:ind w:left="638" w:right="0"/>
        <w:jc w:val="left"/>
      </w:pPr>
      <w:r>
        <w:rPr/>
        <w:t>（</w:t>
      </w:r>
      <w:r>
        <w:rPr>
          <w:rFonts w:ascii="Times New Roman" w:hAnsi="Times New Roman" w:cs="Times New Roman" w:eastAsia="Times New Roman" w:hint="default"/>
        </w:rPr>
        <w:t>3</w:t>
      </w:r>
      <w:r>
        <w:rPr/>
        <w:t>）敏感性分析：</w:t>
      </w:r>
    </w:p>
    <w:p>
      <w:pPr>
        <w:pStyle w:val="BodyText"/>
        <w:spacing w:line="300" w:lineRule="auto" w:before="46"/>
        <w:ind w:right="1030" w:firstLine="420"/>
        <w:jc w:val="left"/>
      </w:pPr>
      <w:r>
        <w:rPr>
          <w:spacing w:val="-1"/>
        </w:rPr>
        <w:t>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日，对于本公司各类美元、港币及韩元金融资产和美元、港币及韩元金融负债，如果人民币对美元、</w:t>
      </w:r>
      <w:r>
        <w:rPr/>
        <w:t> 港币及韩元升值或贬值</w:t>
      </w:r>
      <w:r>
        <w:rPr>
          <w:rFonts w:ascii="Times New Roman" w:hAnsi="Times New Roman" w:cs="Times New Roman" w:eastAsia="Times New Roman" w:hint="default"/>
        </w:rPr>
        <w:t>10%</w:t>
      </w:r>
      <w:r>
        <w:rPr/>
        <w:t>，其他因素保持不变，则本公司将减少或增加净利润约</w:t>
      </w:r>
      <w:r>
        <w:rPr>
          <w:rFonts w:ascii="Times New Roman" w:hAnsi="Times New Roman" w:cs="Times New Roman" w:eastAsia="Times New Roman" w:hint="default"/>
        </w:rPr>
        <w:t>27,592.45</w:t>
      </w:r>
      <w:r>
        <w:rPr/>
        <w:t>元。</w:t>
      </w:r>
    </w:p>
    <w:p>
      <w:pPr>
        <w:pStyle w:val="Heading5"/>
        <w:spacing w:line="240" w:lineRule="auto" w:before="107"/>
        <w:ind w:left="744" w:right="0"/>
        <w:jc w:val="left"/>
        <w:rPr>
          <w:b w:val="0"/>
          <w:bCs w:val="0"/>
        </w:rPr>
      </w:pPr>
      <w:r>
        <w:rPr>
          <w:rFonts w:ascii="Times New Roman" w:hAnsi="Times New Roman" w:cs="Times New Roman" w:eastAsia="Times New Roman" w:hint="default"/>
        </w:rPr>
        <w:t>2</w:t>
      </w:r>
      <w:r>
        <w:rPr/>
        <w:t>）</w:t>
      </w:r>
      <w:r>
        <w:rPr>
          <w:spacing w:val="-4"/>
        </w:rPr>
        <w:t> </w:t>
      </w:r>
      <w:r>
        <w:rPr/>
        <w:t>利率风险</w:t>
      </w:r>
      <w:r>
        <w:rPr>
          <w:b w:val="0"/>
          <w:bCs w:val="0"/>
        </w:rPr>
      </w:r>
    </w:p>
    <w:p>
      <w:pPr>
        <w:pStyle w:val="BodyText"/>
        <w:spacing w:line="316" w:lineRule="auto" w:before="46"/>
        <w:ind w:right="1132" w:firstLine="631"/>
        <w:jc w:val="both"/>
      </w:pPr>
      <w:r>
        <w:rPr/>
        <w:t>本公司的利率风险主要产生于银行借款等。浮动利率的金融负债使本公司面临现金流量利率风险，固定利率的金融 负债使本公司面临公允价值利率风险。本公司根据当时的市场环境来决定固定利率及浮动利率合同的相对比例。</w:t>
      </w:r>
    </w:p>
    <w:p>
      <w:pPr>
        <w:pStyle w:val="BodyText"/>
        <w:spacing w:line="316" w:lineRule="auto" w:before="19"/>
        <w:ind w:right="1130" w:firstLine="600"/>
        <w:jc w:val="both"/>
      </w:pPr>
      <w:r>
        <w:rPr/>
        <w:t>本公司财务部门持续监控公司利率水平。利率上升会增加新增带息债务的成本以及本公司尚未付清的以浮动利率计 </w:t>
      </w:r>
      <w:r>
        <w:rPr>
          <w:spacing w:val="-2"/>
        </w:rPr>
        <w:t>息的带息债务的利息支出，并对本公司的财务业绩产生重大的不利影响，管理层会依据最新的市场状况及时做出调整，这些</w:t>
      </w:r>
      <w:r>
        <w:rPr>
          <w:spacing w:val="-63"/>
        </w:rPr>
        <w:t> </w:t>
      </w:r>
      <w:r>
        <w:rPr>
          <w:spacing w:val="-63"/>
        </w:rPr>
      </w:r>
      <w:r>
        <w:rPr/>
        <w:t>调整可能是进行利率互换的安排来降低利率风险。</w:t>
      </w:r>
    </w:p>
    <w:p>
      <w:pPr>
        <w:pStyle w:val="BodyText"/>
        <w:spacing w:line="240" w:lineRule="auto" w:before="19"/>
        <w:ind w:left="624" w:right="0"/>
        <w:jc w:val="left"/>
      </w:pPr>
      <w:r>
        <w:rPr/>
        <w:t>（</w:t>
      </w:r>
      <w:r>
        <w:rPr>
          <w:rFonts w:ascii="Times New Roman" w:hAnsi="Times New Roman" w:cs="Times New Roman" w:eastAsia="Times New Roman" w:hint="default"/>
        </w:rPr>
        <w:t>1</w:t>
      </w:r>
      <w:r>
        <w:rPr/>
        <w:t>）本年度公司无利率互换安排。</w:t>
      </w:r>
    </w:p>
    <w:p>
      <w:pPr>
        <w:pStyle w:val="BodyText"/>
        <w:spacing w:line="240" w:lineRule="auto" w:before="63"/>
        <w:ind w:left="624" w:right="0"/>
        <w:jc w:val="left"/>
      </w:pPr>
      <w:r>
        <w:rPr/>
        <w:t>（</w:t>
      </w:r>
      <w:r>
        <w:rPr>
          <w:rFonts w:ascii="Times New Roman" w:hAnsi="Times New Roman" w:cs="Times New Roman" w:eastAsia="Times New Roman" w:hint="default"/>
        </w:rPr>
        <w:t>2</w:t>
      </w: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日，本公司无以浮动利率计息的长期带息债务。</w:t>
      </w:r>
    </w:p>
    <w:p>
      <w:pPr>
        <w:pStyle w:val="BodyText"/>
        <w:spacing w:line="300" w:lineRule="auto" w:before="63"/>
        <w:ind w:left="712" w:right="0" w:hanging="89"/>
        <w:jc w:val="left"/>
      </w:pPr>
      <w:r>
        <w:rPr/>
        <w:t>（</w:t>
      </w:r>
      <w:r>
        <w:rPr>
          <w:rFonts w:ascii="Times New Roman" w:hAnsi="Times New Roman" w:cs="Times New Roman" w:eastAsia="Times New Roman" w:hint="default"/>
        </w:rPr>
        <w:t>3</w:t>
      </w:r>
      <w:r>
        <w:rPr/>
        <w:t>）敏感性分析： 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日，如果以浮动利率计算的借款利率上升或下降</w:t>
      </w:r>
      <w:r>
        <w:rPr>
          <w:rFonts w:ascii="Times New Roman" w:hAnsi="Times New Roman" w:cs="Times New Roman" w:eastAsia="Times New Roman" w:hint="default"/>
        </w:rPr>
        <w:t>50</w:t>
      </w:r>
      <w:r>
        <w:rPr/>
        <w:t>个基点，而其他因素保持不变，本公司的净利</w:t>
      </w:r>
    </w:p>
    <w:p>
      <w:pPr>
        <w:pStyle w:val="BodyText"/>
        <w:spacing w:line="300" w:lineRule="auto" w:before="13"/>
        <w:ind w:left="712" w:right="1874" w:hanging="600"/>
        <w:jc w:val="left"/>
      </w:pPr>
      <w:r>
        <w:rPr/>
        <w:t>润会减少或增加约</w:t>
      </w:r>
      <w:r>
        <w:rPr>
          <w:rFonts w:ascii="Times New Roman" w:hAnsi="Times New Roman" w:cs="Times New Roman" w:eastAsia="Times New Roman" w:hint="default"/>
        </w:rPr>
        <w:t>1,833,093.00</w:t>
      </w:r>
      <w:r>
        <w:rPr/>
        <w:t>元。 上述敏感性分析假定在资产负债表日已发生利率变动，并且已应用于本公司所有按浮动利率获得的借款。</w:t>
      </w:r>
    </w:p>
    <w:p>
      <w:pPr>
        <w:pStyle w:val="Heading5"/>
        <w:spacing w:line="240" w:lineRule="auto" w:before="126"/>
        <w:ind w:left="744" w:right="0"/>
        <w:jc w:val="left"/>
        <w:rPr>
          <w:b w:val="0"/>
          <w:bCs w:val="0"/>
        </w:rPr>
      </w:pPr>
      <w:r>
        <w:rPr>
          <w:rFonts w:ascii="Times New Roman" w:hAnsi="Times New Roman" w:cs="Times New Roman" w:eastAsia="Times New Roman" w:hint="default"/>
        </w:rPr>
        <w:t>3</w:t>
      </w:r>
      <w:r>
        <w:rPr/>
        <w:t>）</w:t>
      </w:r>
      <w:r>
        <w:rPr>
          <w:spacing w:val="-4"/>
        </w:rPr>
        <w:t> </w:t>
      </w:r>
      <w:r>
        <w:rPr/>
        <w:t>价格风险</w:t>
      </w:r>
      <w:r>
        <w:rPr>
          <w:b w:val="0"/>
          <w:bCs w:val="0"/>
        </w:rPr>
      </w:r>
    </w:p>
    <w:p>
      <w:pPr>
        <w:pStyle w:val="BodyText"/>
        <w:spacing w:line="316" w:lineRule="auto" w:before="46"/>
        <w:ind w:right="1153" w:firstLine="619"/>
        <w:jc w:val="both"/>
      </w:pPr>
      <w:r>
        <w:rPr/>
        <w:t>价格风险指汇率风险和利率风险以外的市场价格变动而发生波动的风险，主要源于商品价格、股票市场指数、权益 工具价格以及其他风险变量的变化。</w:t>
      </w:r>
    </w:p>
    <w:p>
      <w:pPr>
        <w:spacing w:after="0" w:line="316" w:lineRule="auto"/>
        <w:jc w:val="both"/>
        <w:sectPr>
          <w:pgSz w:w="11910" w:h="16840"/>
          <w:pgMar w:header="746" w:footer="978" w:top="1060" w:bottom="1160" w:left="1020" w:right="0"/>
        </w:sectPr>
      </w:pPr>
    </w:p>
    <w:p>
      <w:pPr>
        <w:spacing w:line="240" w:lineRule="auto" w:before="8"/>
        <w:rPr>
          <w:rFonts w:ascii="宋体" w:hAnsi="宋体" w:cs="宋体" w:eastAsia="宋体" w:hint="default"/>
          <w:sz w:val="23"/>
          <w:szCs w:val="23"/>
        </w:rPr>
      </w:pPr>
    </w:p>
    <w:p>
      <w:pPr>
        <w:pStyle w:val="Heading4"/>
        <w:spacing w:line="240" w:lineRule="auto" w:before="26"/>
        <w:ind w:right="0"/>
        <w:jc w:val="left"/>
        <w:rPr>
          <w:b w:val="0"/>
          <w:bCs w:val="0"/>
        </w:rPr>
      </w:pPr>
      <w:bookmarkStart w:name="十一、公允价值的披露" w:id="425"/>
      <w:bookmarkEnd w:id="425"/>
      <w:r>
        <w:rPr>
          <w:b w:val="0"/>
          <w:bCs w:val="0"/>
        </w:rPr>
      </w: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以公允价值计量的资产和负债的期末公允价值" w:id="426"/>
      <w:bookmarkEnd w:id="426"/>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2" w:right="103"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bookmarkStart w:name="2、持续和非持续第一层次公允价值计量项目市价的确定依据" w:id="427"/>
      <w:bookmarkEnd w:id="427"/>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bookmarkStart w:name="3、持续和非持续第二层次公允价值计量项目，采用的估值技术和重要参数的定性及定量信" w:id="428"/>
      <w:bookmarkEnd w:id="428"/>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4、持续和非持续第三层次公允价值计量项目，采用的估值技术和重要参数的定性及定量信" w:id="429"/>
      <w:bookmarkEnd w:id="429"/>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5、持续的第三层次公允价值计量项目，期初与期末账面价值间的调节信息及不可观察参数" w:id="430"/>
      <w:bookmarkEnd w:id="430"/>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bookmarkStart w:name="6、持续的公允价值计量项目，本期内发生各层级之间转换的，转换的原因及确定转换时点" w:id="431"/>
      <w:bookmarkEnd w:id="431"/>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7、本期内发生的估值技术变更及变更原因" w:id="432"/>
      <w:bookmarkEnd w:id="432"/>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bookmarkStart w:name="8、不以公允价值计量的金融资产和金融负债的公允价值情况" w:id="433"/>
      <w:bookmarkEnd w:id="433"/>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420"/>
        <w:jc w:val="left"/>
      </w:pPr>
      <w:r>
        <w:rPr/>
        <w:t>报告期内不以公允价值计量的金融资产和负债主要包括：应收款项、可供出售金融资产、短期借款、应付款项、应付 利息、长期应付款，上述不以公允价值计量的金融资产和负债的账面价值与公允价值相差很小。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487" w:lineRule="auto" w:before="136"/>
        <w:ind w:left="112" w:right="8103" w:firstLine="0"/>
        <w:jc w:val="left"/>
        <w:rPr>
          <w:rFonts w:ascii="宋体" w:hAnsi="宋体" w:cs="宋体" w:eastAsia="宋体" w:hint="default"/>
          <w:sz w:val="21"/>
          <w:szCs w:val="21"/>
        </w:rPr>
      </w:pPr>
      <w:bookmarkStart w:name="9、其他" w:id="434"/>
      <w:bookmarkEnd w:id="434"/>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二、关联方及关联交易" w:id="435"/>
      <w:bookmarkEnd w:id="435"/>
      <w:r>
        <w:rPr>
          <w:rFonts w:ascii="宋体" w:hAnsi="宋体" w:cs="宋体" w:eastAsia="宋体" w:hint="default"/>
          <w:b/>
          <w:bCs/>
          <w:w w:val="99"/>
          <w:sz w:val="21"/>
          <w:szCs w:val="21"/>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436"/>
      <w:bookmarkEnd w:id="43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09" w:type="dxa"/>
        <w:tblLayout w:type="fixed"/>
        <w:tblCellMar>
          <w:top w:w="0" w:type="dxa"/>
          <w:left w:w="0" w:type="dxa"/>
          <w:bottom w:w="0" w:type="dxa"/>
          <w:right w:w="0" w:type="dxa"/>
        </w:tblCellMar>
        <w:tblLook w:val="01E0"/>
      </w:tblPr>
      <w:tblGrid>
        <w:gridCol w:w="1595"/>
        <w:gridCol w:w="1594"/>
        <w:gridCol w:w="1594"/>
        <w:gridCol w:w="1594"/>
        <w:gridCol w:w="1594"/>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69"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0" w:hanging="269"/>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57" w:lineRule="auto" w:before="50"/>
        <w:ind w:right="8414"/>
        <w:jc w:val="left"/>
      </w:pPr>
      <w:r>
        <w:rPr/>
        <w:t>本企业的母公司情况的说明 本企业最终控制方是王安京。 其他说明：</w:t>
      </w:r>
    </w:p>
    <w:p>
      <w:pPr>
        <w:pStyle w:val="BodyText"/>
        <w:spacing w:line="240" w:lineRule="auto" w:before="108"/>
        <w:ind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日止，王安京在宁波科蓝盛合投资管理合伙企业（有限合伙）中的出资比例为</w:t>
      </w:r>
      <w:r>
        <w:rPr>
          <w:rFonts w:ascii="Times New Roman" w:hAnsi="Times New Roman" w:cs="Times New Roman" w:eastAsia="Times New Roman" w:hint="default"/>
        </w:rPr>
        <w:t>98.81%</w:t>
      </w:r>
      <w:r>
        <w:rPr/>
        <w:t>，其中宁波科蓝盛</w:t>
      </w:r>
    </w:p>
    <w:p>
      <w:pPr>
        <w:spacing w:after="0" w:line="240" w:lineRule="auto"/>
        <w:jc w:val="left"/>
        <w:sectPr>
          <w:footerReference w:type="default" r:id="rId33"/>
          <w:pgSz w:w="11910" w:h="16840"/>
          <w:pgMar w:footer="978" w:header="746" w:top="1060" w:bottom="1160" w:left="1020" w:right="0"/>
          <w:pgNumType w:start="20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合投资管理合伙企业（有限合伙）持有本公司股份比例为</w:t>
      </w:r>
      <w:r>
        <w:rPr>
          <w:rFonts w:ascii="Times New Roman" w:hAnsi="Times New Roman" w:cs="Times New Roman" w:eastAsia="Times New Roman" w:hint="default"/>
        </w:rPr>
        <w:t>6.5015%</w:t>
      </w:r>
      <w:r>
        <w:rPr/>
        <w:t>，王安京对本公司的间接持股比例为</w:t>
      </w:r>
      <w:r>
        <w:rPr>
          <w:rFonts w:ascii="Times New Roman" w:hAnsi="Times New Roman" w:cs="Times New Roman" w:eastAsia="Times New Roman" w:hint="default"/>
        </w:rPr>
        <w:t>6.4241%</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5"/>
        <w:spacing w:line="240" w:lineRule="auto"/>
        <w:ind w:right="0"/>
        <w:jc w:val="left"/>
        <w:rPr>
          <w:b w:val="0"/>
          <w:bCs w:val="0"/>
        </w:rPr>
      </w:pPr>
      <w:bookmarkStart w:name="2、本企业的子公司情况" w:id="437"/>
      <w:bookmarkEnd w:id="437"/>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本企业子公司的情况详见附注九、在其他主体中的权益。</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3、本企业合营和联营企业情况" w:id="438"/>
      <w:bookmarkEnd w:id="438"/>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2294"/>
        <w:jc w:val="left"/>
      </w:pPr>
      <w:r>
        <w:rPr/>
        <w:t>本企业重要的合营或联营企业详见附注九、在其他主体中的权益。 本期与本公司发生关联方交易，或前期与本公司发生关联方交易形成余额的其他合营或联营企业情况如下：</w:t>
      </w: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重庆巴云科技有限公司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公司持股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45%</w:t>
            </w:r>
            <w:r>
              <w:rPr>
                <w:rFonts w:ascii="宋体" w:hAnsi="宋体" w:cs="宋体" w:eastAsia="宋体" w:hint="default"/>
                <w:sz w:val="18"/>
                <w:szCs w:val="18"/>
              </w:rPr>
              <w:t>的联营企业</w:t>
            </w:r>
          </w:p>
        </w:tc>
      </w:tr>
    </w:tbl>
    <w:p>
      <w:pPr>
        <w:pStyle w:val="BodyText"/>
        <w:spacing w:line="240" w:lineRule="auto" w:before="68"/>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其他关联方情况" w:id="439"/>
      <w:bookmarkEnd w:id="439"/>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江苏鑫合易家信息技术有限责任公司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公司出资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的联营企业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李玫</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与王安京为夫妻关系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王方圆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与王安京为亲属关系，董事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王鹏</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与王安京为亲属关系，公司销售部员工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郑仁寰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杨栋锐</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王缉志</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郑晓武</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马朝松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宋建彪</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敖晓振</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周海朗</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周荣</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李国庆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董事、关键管理人员</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周旭红</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林建军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金起完</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子公司代表董事</w:t>
            </w:r>
          </w:p>
        </w:tc>
      </w:tr>
    </w:tbl>
    <w:p>
      <w:pPr>
        <w:pStyle w:val="BodyText"/>
        <w:spacing w:line="240" w:lineRule="auto" w:before="50"/>
        <w:ind w:right="0"/>
        <w:jc w:val="left"/>
      </w:pPr>
      <w:r>
        <w:rPr/>
        <w:t>其他说明</w:t>
      </w:r>
    </w:p>
    <w:p>
      <w:pPr>
        <w:spacing w:after="0" w:line="240" w:lineRule="auto"/>
        <w:jc w:val="left"/>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5"/>
        <w:spacing w:line="240" w:lineRule="auto" w:before="34"/>
        <w:ind w:right="0"/>
        <w:jc w:val="left"/>
        <w:rPr>
          <w:b w:val="0"/>
          <w:bCs w:val="0"/>
        </w:rPr>
      </w:pPr>
      <w:bookmarkStart w:name="5、关联交易情况" w:id="440"/>
      <w:bookmarkEnd w:id="440"/>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购销商品、提供和接受劳务的关联交易" w:id="441"/>
      <w:bookmarkEnd w:id="441"/>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40"/>
        <w:gridCol w:w="1454"/>
        <w:gridCol w:w="1454"/>
        <w:gridCol w:w="1707"/>
        <w:gridCol w:w="1707"/>
        <w:gridCol w:w="1707"/>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7"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65"/>
              <w:jc w:val="left"/>
              <w:rPr>
                <w:rFonts w:ascii="宋体" w:hAnsi="宋体" w:cs="宋体" w:eastAsia="宋体" w:hint="default"/>
                <w:sz w:val="18"/>
                <w:szCs w:val="18"/>
              </w:rPr>
            </w:pPr>
            <w:r>
              <w:rPr>
                <w:rFonts w:ascii="宋体" w:hAnsi="宋体" w:cs="宋体" w:eastAsia="宋体" w:hint="default"/>
                <w:sz w:val="18"/>
                <w:szCs w:val="18"/>
              </w:rPr>
              <w:t>重庆巴云科技有限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1" w:right="0"/>
              <w:jc w:val="left"/>
              <w:rPr>
                <w:rFonts w:ascii="Times New Roman" w:hAnsi="Times New Roman" w:cs="Times New Roman" w:eastAsia="Times New Roman" w:hint="default"/>
                <w:sz w:val="18"/>
                <w:szCs w:val="18"/>
              </w:rPr>
            </w:pPr>
            <w:r>
              <w:rPr>
                <w:rFonts w:ascii="Times New Roman"/>
                <w:sz w:val="18"/>
              </w:rPr>
              <w:t>472,641.50</w:t>
            </w: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3" w:right="0"/>
              <w:jc w:val="left"/>
              <w:rPr>
                <w:rFonts w:ascii="Times New Roman" w:hAnsi="Times New Roman" w:cs="Times New Roman" w:eastAsia="Times New Roman" w:hint="default"/>
                <w:sz w:val="18"/>
                <w:szCs w:val="18"/>
              </w:rPr>
            </w:pPr>
            <w:r>
              <w:rPr>
                <w:rFonts w:ascii="Times New Roman"/>
                <w:sz w:val="18"/>
              </w:rPr>
              <w:t>424,528.29</w:t>
            </w: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7"/>
        <w:gridCol w:w="2259"/>
        <w:gridCol w:w="2259"/>
        <w:gridCol w:w="2653"/>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重庆巴云科技有限公司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z w:val="18"/>
                <w:szCs w:val="18"/>
              </w:rPr>
              <w:t>江苏鑫合易家信息技术有限责 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r>
    </w:tbl>
    <w:p>
      <w:pPr>
        <w:pStyle w:val="BodyText"/>
        <w:spacing w:line="240" w:lineRule="auto" w:before="49"/>
        <w:ind w:right="0"/>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2）关联受托管理/承包及委托管理/出包情况" w:id="442"/>
      <w:bookmarkEnd w:id="442"/>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1"/>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7"/>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589" w:right="23" w:hanging="564"/>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589" w:right="22" w:hanging="567"/>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590" w:right="22"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227" w:right="21"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3"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6" w:footer="978" w:top="1060" w:bottom="1160" w:left="1020" w:right="0"/>
        </w:sectPr>
      </w:pPr>
    </w:p>
    <w:p>
      <w:pPr>
        <w:pStyle w:val="BodyText"/>
        <w:spacing w:line="340" w:lineRule="auto" w:before="49"/>
        <w:ind w:right="-19"/>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0"/>
          <w:cols w:num="2" w:equalWidth="0">
            <w:col w:w="2504" w:space="6326"/>
            <w:col w:w="2060"/>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7"/>
        <w:gridCol w:w="1368"/>
        <w:gridCol w:w="1367"/>
        <w:gridCol w:w="1367"/>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3" w:hanging="564"/>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2" w:hanging="567"/>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2"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21"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3"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0"/>
        <w:ind w:right="0"/>
        <w:jc w:val="left"/>
      </w:pPr>
      <w:r>
        <w:rPr/>
        <w:t>关联管理</w:t>
      </w:r>
      <w:r>
        <w:rPr>
          <w:rFonts w:ascii="Times New Roman" w:hAnsi="Times New Roman" w:cs="Times New Roman" w:eastAsia="Times New Roman" w:hint="default"/>
        </w:rPr>
        <w:t>/</w:t>
      </w:r>
      <w:r>
        <w:rPr/>
        <w:t>出包情况说明</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3）关联租赁情况" w:id="443"/>
      <w:bookmarkEnd w:id="443"/>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本公司作为出租方：</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0"/>
        <w:ind w:right="0"/>
        <w:jc w:val="left"/>
      </w:pPr>
      <w:r>
        <w:rPr/>
        <w:t>本公司作为承租方：</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1"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1"/>
        <w:ind w:right="0"/>
        <w:jc w:val="left"/>
      </w:pPr>
      <w:r>
        <w:rPr/>
        <w:t>关联租赁情况说明</w:t>
      </w:r>
    </w:p>
    <w:p>
      <w:pPr>
        <w:spacing w:after="0" w:line="240" w:lineRule="auto"/>
        <w:jc w:val="left"/>
        <w:sectPr>
          <w:type w:val="continuous"/>
          <w:pgSz w:w="11910" w:h="16840"/>
          <w:pgMar w:top="1060" w:bottom="1160" w:left="1020" w:right="0"/>
        </w:sectPr>
      </w:pPr>
    </w:p>
    <w:p>
      <w:pPr>
        <w:spacing w:line="240" w:lineRule="auto" w:before="10"/>
        <w:rPr>
          <w:rFonts w:ascii="宋体" w:hAnsi="宋体" w:cs="宋体" w:eastAsia="宋体" w:hint="default"/>
          <w:sz w:val="24"/>
          <w:szCs w:val="24"/>
        </w:rPr>
      </w:pPr>
    </w:p>
    <w:p>
      <w:pPr>
        <w:pStyle w:val="Heading5"/>
        <w:spacing w:line="240" w:lineRule="auto" w:before="34"/>
        <w:ind w:right="0"/>
        <w:jc w:val="left"/>
        <w:rPr>
          <w:b w:val="0"/>
          <w:bCs w:val="0"/>
        </w:rPr>
      </w:pPr>
      <w:bookmarkStart w:name="（4）关联担保情况" w:id="444"/>
      <w:bookmarkEnd w:id="444"/>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7"/>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right="0"/>
        <w:jc w:val="left"/>
      </w:pPr>
      <w:r>
        <w:rPr/>
        <w:t>本公司作为被担保方</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王安京、李玫</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王安京、李玫</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王安京、李玫</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王安京、李玫</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32,671,000.00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王安京、李玫</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王安京、李玫</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王安京、李玫</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34,316,000.00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王安京、李玫</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13,800,000.00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王安京</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0"/>
        <w:ind w:right="0"/>
        <w:jc w:val="left"/>
      </w:pPr>
      <w:r>
        <w:rPr/>
        <w:t>关联担保情况说明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5）关联方资金拆借" w:id="445"/>
      <w:bookmarkEnd w:id="445"/>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5"/>
        <w:rPr>
          <w:rFonts w:ascii="宋体" w:hAnsi="宋体" w:cs="宋体" w:eastAsia="宋体" w:hint="default"/>
          <w:sz w:val="19"/>
          <w:szCs w:val="19"/>
        </w:rPr>
      </w:pPr>
    </w:p>
    <w:p>
      <w:pPr>
        <w:pStyle w:val="Heading5"/>
        <w:spacing w:line="240" w:lineRule="auto" w:before="34"/>
        <w:ind w:right="0"/>
        <w:jc w:val="left"/>
        <w:rPr>
          <w:b w:val="0"/>
          <w:bCs w:val="0"/>
        </w:rPr>
      </w:pPr>
      <w:bookmarkStart w:name="（6）关联方资产转让、债务重组情况" w:id="446"/>
      <w:bookmarkEnd w:id="446"/>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bookmarkStart w:name="（7）关键管理人员报酬" w:id="447"/>
      <w:bookmarkEnd w:id="447"/>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3,511,453.20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2,991,617.79</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5"/>
        <w:spacing w:line="240" w:lineRule="auto" w:before="34"/>
        <w:ind w:right="0"/>
        <w:jc w:val="left"/>
        <w:rPr>
          <w:b w:val="0"/>
          <w:bCs w:val="0"/>
        </w:rPr>
      </w:pPr>
      <w:bookmarkStart w:name="（8）其他关联交易" w:id="448"/>
      <w:bookmarkEnd w:id="448"/>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6、关联方应收应付款项" w:id="449"/>
      <w:bookmarkEnd w:id="449"/>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bookmarkStart w:name="（1）应收项目" w:id="450"/>
      <w:bookmarkEnd w:id="450"/>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4"/>
        <w:gridCol w:w="1594"/>
        <w:gridCol w:w="1594"/>
        <w:gridCol w:w="1594"/>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重庆巴云科技有限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1,229,350.00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366,755.00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1,229,350.00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161,730.00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119"/>
              <w:jc w:val="left"/>
              <w:rPr>
                <w:rFonts w:ascii="宋体" w:hAnsi="宋体" w:cs="宋体" w:eastAsia="宋体" w:hint="default"/>
                <w:sz w:val="18"/>
                <w:szCs w:val="18"/>
              </w:rPr>
            </w:pPr>
            <w:r>
              <w:rPr>
                <w:rFonts w:ascii="宋体" w:hAnsi="宋体" w:cs="宋体" w:eastAsia="宋体" w:hint="default"/>
                <w:sz w:val="18"/>
                <w:szCs w:val="18"/>
              </w:rPr>
              <w:t>江苏鑫合易家信息 技术有限责任公司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王方圆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52,318.80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2,615.94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郑仁寰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2"/>
                <w:sz w:val="18"/>
              </w:rPr>
              <w:t>411,194.55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20,559.73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293,123.28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22,625.05</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杨栋锐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bookmarkStart w:name="（2）应付项目" w:id="451"/>
      <w:bookmarkEnd w:id="451"/>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重庆巴云科技有限公司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450,000.00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王方圆</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49,629.76</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王鹏</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78,279.14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47,268.40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王缉志</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356.00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周荣</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4,307.00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李国庆</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687.80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31,444.30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周旭红</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4,401.00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7,856.00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林建军</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4,938.60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金起完</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237,643.09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pStyle w:val="Heading5"/>
        <w:spacing w:line="240" w:lineRule="auto" w:before="34"/>
        <w:ind w:right="0"/>
        <w:jc w:val="left"/>
        <w:rPr>
          <w:b w:val="0"/>
          <w:bCs w:val="0"/>
        </w:rPr>
      </w:pPr>
      <w:bookmarkStart w:name="7、关联方承诺" w:id="452"/>
      <w:bookmarkEnd w:id="452"/>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4" w:lineRule="auto" w:before="0"/>
        <w:ind w:left="112" w:right="8751" w:firstLine="0"/>
        <w:jc w:val="left"/>
        <w:rPr>
          <w:rFonts w:ascii="宋体" w:hAnsi="宋体" w:cs="宋体" w:eastAsia="宋体" w:hint="default"/>
          <w:sz w:val="21"/>
          <w:szCs w:val="21"/>
        </w:rPr>
      </w:pPr>
      <w:bookmarkStart w:name="8、其他" w:id="453"/>
      <w:bookmarkEnd w:id="453"/>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三、股份支付" w:id="454"/>
      <w:bookmarkEnd w:id="454"/>
      <w:r>
        <w:rPr>
          <w:rFonts w:ascii="宋体" w:hAnsi="宋体" w:cs="宋体" w:eastAsia="宋体" w:hint="default"/>
          <w:b/>
          <w:bCs/>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55"/>
      <w:bookmarkEnd w:id="45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1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454"/>
        <w:gridCol w:w="4114"/>
      </w:tblGrid>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2、以权益结算的股份支付情况" w:id="456"/>
      <w:bookmarkEnd w:id="456"/>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1338"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2"/>
              <w:jc w:val="both"/>
              <w:rPr>
                <w:rFonts w:ascii="宋体" w:hAnsi="宋体" w:cs="宋体" w:eastAsia="宋体" w:hint="default"/>
                <w:sz w:val="18"/>
                <w:szCs w:val="18"/>
              </w:rPr>
            </w:pPr>
            <w:r>
              <w:rPr>
                <w:rFonts w:ascii="宋体" w:hAnsi="宋体" w:cs="宋体" w:eastAsia="宋体" w:hint="default"/>
                <w:sz w:val="18"/>
                <w:szCs w:val="18"/>
              </w:rPr>
              <w:t>授予非董事、监事、高级管理人员的限制性股票，公允价 值采用授予日的收盘价；授予董事、监事、高级管理人员 </w:t>
            </w:r>
            <w:r>
              <w:rPr>
                <w:rFonts w:ascii="宋体" w:hAnsi="宋体" w:cs="宋体" w:eastAsia="宋体" w:hint="default"/>
                <w:spacing w:val="-2"/>
                <w:sz w:val="18"/>
                <w:szCs w:val="18"/>
              </w:rPr>
              <w:t>的限制性股票，公允价值采用布莱克</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斯科尔期权定价模型</w:t>
            </w:r>
          </w:p>
          <w:p>
            <w:pPr>
              <w:pStyle w:val="TableParagraph"/>
              <w:spacing w:line="248" w:lineRule="exact"/>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B-S </w:t>
            </w:r>
            <w:r>
              <w:rPr>
                <w:rFonts w:ascii="宋体" w:hAnsi="宋体" w:cs="宋体" w:eastAsia="宋体" w:hint="default"/>
                <w:sz w:val="18"/>
                <w:szCs w:val="18"/>
              </w:rPr>
              <w:t>模型）确定</w:t>
            </w:r>
          </w:p>
        </w:tc>
      </w:tr>
      <w:tr>
        <w:trPr>
          <w:trHeight w:val="714"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本公司采用获授限制性股票额度基数与解锁安排中相应每 期解锁比例确定</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7,341,527.86</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6,589,800.55</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3、以现金结算的股份支付情况" w:id="457"/>
      <w:bookmarkEnd w:id="457"/>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spacing w:line="506" w:lineRule="auto" w:before="0"/>
        <w:ind w:left="112" w:right="7604" w:firstLine="0"/>
        <w:jc w:val="left"/>
        <w:rPr>
          <w:rFonts w:ascii="宋体" w:hAnsi="宋体" w:cs="宋体" w:eastAsia="宋体" w:hint="default"/>
          <w:sz w:val="21"/>
          <w:szCs w:val="21"/>
        </w:rPr>
      </w:pPr>
      <w:bookmarkStart w:name="4、股份支付的修改、终止情况" w:id="458"/>
      <w:bookmarkEnd w:id="45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21"/>
          <w:szCs w:val="21"/>
        </w:rPr>
        <w:t>本期无股份支付的修改、终止情况</w:t>
      </w:r>
    </w:p>
    <w:p>
      <w:pPr>
        <w:spacing w:after="0" w:line="506" w:lineRule="auto"/>
        <w:jc w:val="left"/>
        <w:rPr>
          <w:rFonts w:ascii="宋体" w:hAnsi="宋体" w:cs="宋体" w:eastAsia="宋体" w:hint="default"/>
          <w:sz w:val="21"/>
          <w:szCs w:val="21"/>
        </w:rPr>
        <w:sectPr>
          <w:pgSz w:w="11910" w:h="16840"/>
          <w:pgMar w:header="746" w:footer="978" w:top="1060" w:bottom="1160" w:left="1020" w:right="0"/>
        </w:sectPr>
      </w:pPr>
    </w:p>
    <w:p>
      <w:pPr>
        <w:spacing w:line="240" w:lineRule="auto" w:before="10"/>
        <w:rPr>
          <w:rFonts w:ascii="宋体" w:hAnsi="宋体" w:cs="宋体" w:eastAsia="宋体" w:hint="default"/>
          <w:sz w:val="24"/>
          <w:szCs w:val="24"/>
        </w:rPr>
      </w:pPr>
    </w:p>
    <w:p>
      <w:pPr>
        <w:spacing w:line="487" w:lineRule="auto" w:before="34"/>
        <w:ind w:left="112" w:right="8344" w:firstLine="0"/>
        <w:jc w:val="left"/>
        <w:rPr>
          <w:rFonts w:ascii="宋体" w:hAnsi="宋体" w:cs="宋体" w:eastAsia="宋体" w:hint="default"/>
          <w:sz w:val="21"/>
          <w:szCs w:val="21"/>
        </w:rPr>
      </w:pPr>
      <w:bookmarkStart w:name="5、其他" w:id="459"/>
      <w:bookmarkEnd w:id="45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四、承诺及或有事项" w:id="460"/>
      <w:bookmarkEnd w:id="460"/>
      <w:r>
        <w:rPr>
          <w:rFonts w:ascii="宋体" w:hAnsi="宋体" w:cs="宋体" w:eastAsia="宋体" w:hint="default"/>
          <w:b/>
          <w:bCs/>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61"/>
      <w:bookmarkEnd w:id="46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7"/>
        <w:ind w:right="0"/>
        <w:jc w:val="left"/>
      </w:pPr>
      <w:r>
        <w:rPr/>
        <w:t>资产负债表日存在的重要承诺</w:t>
      </w:r>
    </w:p>
    <w:p>
      <w:pPr>
        <w:spacing w:line="240" w:lineRule="auto" w:before="1"/>
        <w:rPr>
          <w:rFonts w:ascii="宋体" w:hAnsi="宋体" w:cs="宋体" w:eastAsia="宋体" w:hint="default"/>
          <w:sz w:val="13"/>
          <w:szCs w:val="13"/>
        </w:rPr>
      </w:pPr>
    </w:p>
    <w:p>
      <w:pPr>
        <w:pStyle w:val="Heading5"/>
        <w:spacing w:line="240" w:lineRule="auto"/>
        <w:ind w:left="638"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41"/>
        </w:rPr>
        <w:t> </w:t>
      </w:r>
      <w:r>
        <w:rPr/>
        <w:t>签订的尚未履行或尚未完全履行的对外投资合同及有关财务支出</w:t>
      </w:r>
      <w:r>
        <w:rPr>
          <w:b w:val="0"/>
          <w:bCs w:val="0"/>
        </w:rPr>
      </w:r>
    </w:p>
    <w:p>
      <w:pPr>
        <w:pStyle w:val="BodyText"/>
        <w:spacing w:line="300" w:lineRule="auto" w:before="166"/>
        <w:ind w:right="1129" w:firstLine="420"/>
        <w:jc w:val="both"/>
      </w:pPr>
      <w:r>
        <w:rPr>
          <w:spacing w:val="-1"/>
        </w:rPr>
        <w:t>（</w:t>
      </w:r>
      <w:r>
        <w:rPr>
          <w:rFonts w:ascii="Times New Roman" w:hAnsi="Times New Roman" w:cs="Times New Roman" w:eastAsia="Times New Roman" w:hint="default"/>
          <w:spacing w:val="-1"/>
        </w:rPr>
        <w:t>1</w:t>
      </w:r>
      <w:r>
        <w:rPr>
          <w:spacing w:val="-1"/>
        </w:rPr>
        <w:t>）本公司联营公司重庆巴云科技有限公司注册资金</w:t>
      </w:r>
      <w:r>
        <w:rPr>
          <w:rFonts w:ascii="Times New Roman" w:hAnsi="Times New Roman" w:cs="Times New Roman" w:eastAsia="Times New Roman" w:hint="default"/>
          <w:spacing w:val="-1"/>
        </w:rPr>
        <w:t>10,000</w:t>
      </w:r>
      <w:r>
        <w:rPr>
          <w:spacing w:val="-1"/>
        </w:rPr>
        <w:t>万元，其中重庆金融后援服务公司认缴出资</w:t>
      </w:r>
      <w:r>
        <w:rPr>
          <w:rFonts w:ascii="Times New Roman" w:hAnsi="Times New Roman" w:cs="Times New Roman" w:eastAsia="Times New Roman" w:hint="default"/>
          <w:spacing w:val="-1"/>
        </w:rPr>
        <w:t>5,500</w:t>
      </w:r>
      <w:r>
        <w:rPr>
          <w:spacing w:val="-1"/>
        </w:rPr>
        <w:t>万元，持</w:t>
      </w:r>
      <w:r>
        <w:rPr/>
        <w:t> </w:t>
      </w:r>
      <w:r>
        <w:rPr>
          <w:spacing w:val="-5"/>
        </w:rPr>
        <w:t>股比例</w:t>
      </w:r>
      <w:r>
        <w:rPr>
          <w:rFonts w:ascii="Times New Roman" w:hAnsi="Times New Roman" w:cs="Times New Roman" w:eastAsia="Times New Roman" w:hint="default"/>
          <w:spacing w:val="-5"/>
        </w:rPr>
        <w:t>55%</w:t>
      </w:r>
      <w:r>
        <w:rPr>
          <w:spacing w:val="-5"/>
        </w:rPr>
        <w:t>，本公司认缴出资</w:t>
      </w:r>
      <w:r>
        <w:rPr>
          <w:rFonts w:ascii="Times New Roman" w:hAnsi="Times New Roman" w:cs="Times New Roman" w:eastAsia="Times New Roman" w:hint="default"/>
          <w:spacing w:val="-5"/>
        </w:rPr>
        <w:t>4,500</w:t>
      </w:r>
      <w:r>
        <w:rPr>
          <w:spacing w:val="-5"/>
        </w:rPr>
        <w:t>万元，持股比例</w:t>
      </w:r>
      <w:r>
        <w:rPr>
          <w:rFonts w:ascii="Times New Roman" w:hAnsi="Times New Roman" w:cs="Times New Roman" w:eastAsia="Times New Roman" w:hint="default"/>
          <w:spacing w:val="-5"/>
        </w:rPr>
        <w:t>45%</w:t>
      </w:r>
      <w:r>
        <w:rPr>
          <w:spacing w:val="-5"/>
        </w:rPr>
        <w:t>。截止</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日，本公司对重庆巴云科技有限公司实缴出资</w:t>
      </w:r>
      <w:r>
        <w:rPr>
          <w:rFonts w:ascii="Times New Roman" w:hAnsi="Times New Roman" w:cs="Times New Roman" w:eastAsia="Times New Roman" w:hint="default"/>
          <w:spacing w:val="-5"/>
        </w:rPr>
        <w:t>1,575</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万元，根据本公司和重庆金融后援服务有限公司协议约定，剩余出资出资期限延期至</w:t>
      </w:r>
      <w:r>
        <w:rPr>
          <w:rFonts w:ascii="Times New Roman" w:hAnsi="Times New Roman" w:cs="Times New Roman" w:eastAsia="Times New Roman" w:hint="default"/>
        </w:rPr>
        <w:t>2024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w:t>
      </w:r>
    </w:p>
    <w:p>
      <w:pPr>
        <w:pStyle w:val="BodyText"/>
        <w:spacing w:line="300" w:lineRule="auto" w:before="13"/>
        <w:ind w:right="1130" w:firstLine="42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日，本公司参股</w:t>
      </w:r>
      <w:r>
        <w:rPr>
          <w:rFonts w:ascii="Times New Roman" w:hAnsi="Times New Roman" w:cs="Times New Roman" w:eastAsia="Times New Roman" w:hint="default"/>
        </w:rPr>
        <w:t>10%</w:t>
      </w:r>
      <w:r>
        <w:rPr/>
        <w:t>的广州市民卡信息系统有限公司设立，注册资本</w:t>
      </w:r>
      <w:r>
        <w:rPr>
          <w:rFonts w:ascii="Times New Roman" w:hAnsi="Times New Roman" w:cs="Times New Roman" w:eastAsia="Times New Roman" w:hint="default"/>
        </w:rPr>
        <w:t>5000</w:t>
      </w:r>
      <w:r>
        <w:rPr/>
        <w:t>万元。广州市民卡信息系 </w:t>
      </w:r>
      <w:r>
        <w:rPr>
          <w:spacing w:val="-2"/>
        </w:rPr>
        <w:t>统有限公司章程明确规定：本公司应出资数额为</w:t>
      </w:r>
      <w:r>
        <w:rPr>
          <w:rFonts w:ascii="Times New Roman" w:hAnsi="Times New Roman" w:cs="Times New Roman" w:eastAsia="Times New Roman" w:hint="default"/>
          <w:spacing w:val="-2"/>
        </w:rPr>
        <w:t>500</w:t>
      </w:r>
      <w:r>
        <w:rPr>
          <w:spacing w:val="-2"/>
        </w:rPr>
        <w:t>万元，出资期限为</w:t>
      </w:r>
      <w:r>
        <w:rPr>
          <w:rFonts w:ascii="Times New Roman" w:hAnsi="Times New Roman" w:cs="Times New Roman" w:eastAsia="Times New Roman" w:hint="default"/>
          <w:spacing w:val="-2"/>
        </w:rPr>
        <w:t>2045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23</w:t>
      </w:r>
      <w:r>
        <w:rPr>
          <w:spacing w:val="-2"/>
        </w:rPr>
        <w:t>日。截止</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日，本公司尚未缴</w:t>
      </w:r>
      <w:r>
        <w:rPr>
          <w:spacing w:val="-54"/>
        </w:rPr>
        <w:t> </w:t>
      </w:r>
      <w:r>
        <w:rPr>
          <w:spacing w:val="-54"/>
        </w:rPr>
      </w:r>
      <w:r>
        <w:rPr/>
        <w:t>付出资款。</w:t>
      </w:r>
    </w:p>
    <w:p>
      <w:pPr>
        <w:pStyle w:val="Heading5"/>
        <w:spacing w:line="240" w:lineRule="auto" w:before="126"/>
        <w:ind w:left="638"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3"/>
        </w:rPr>
        <w:t> </w:t>
      </w:r>
      <w:r>
        <w:rPr/>
        <w:t>已签订的正在或准备履行的租赁合同及财务影响</w:t>
      </w:r>
      <w:r>
        <w:rPr>
          <w:b w:val="0"/>
          <w:bCs w:val="0"/>
        </w:rPr>
      </w:r>
    </w:p>
    <w:p>
      <w:pPr>
        <w:spacing w:line="240" w:lineRule="auto" w:before="11"/>
        <w:rPr>
          <w:rFonts w:ascii="宋体" w:hAnsi="宋体" w:cs="宋体" w:eastAsia="宋体" w:hint="default"/>
          <w:b/>
          <w:bCs/>
          <w:sz w:val="2"/>
          <w:szCs w:val="2"/>
        </w:rPr>
      </w:pPr>
    </w:p>
    <w:tbl>
      <w:tblPr>
        <w:tblW w:w="0" w:type="auto"/>
        <w:jc w:val="left"/>
        <w:tblInd w:w="106" w:type="dxa"/>
        <w:tblLayout w:type="fixed"/>
        <w:tblCellMar>
          <w:top w:w="0" w:type="dxa"/>
          <w:left w:w="0" w:type="dxa"/>
          <w:bottom w:w="0" w:type="dxa"/>
          <w:right w:w="0" w:type="dxa"/>
        </w:tblCellMar>
        <w:tblLook w:val="01E0"/>
      </w:tblPr>
      <w:tblGrid>
        <w:gridCol w:w="4815"/>
        <w:gridCol w:w="2835"/>
      </w:tblGrid>
      <w:tr>
        <w:trPr>
          <w:trHeight w:val="361" w:hRule="exact"/>
        </w:trPr>
        <w:tc>
          <w:tcPr>
            <w:tcW w:w="4815" w:type="dxa"/>
            <w:tcBorders>
              <w:top w:val="single" w:sz="6" w:space="0" w:color="000000"/>
              <w:left w:val="single" w:sz="6" w:space="0" w:color="000000"/>
              <w:bottom w:val="single" w:sz="17" w:space="0" w:color="000000"/>
              <w:right w:val="single" w:sz="6" w:space="0" w:color="000000"/>
            </w:tcBorders>
          </w:tcPr>
          <w:p>
            <w:pPr>
              <w:pStyle w:val="TableParagraph"/>
              <w:tabs>
                <w:tab w:pos="539" w:val="left" w:leader="none"/>
              </w:tabs>
              <w:spacing w:line="240" w:lineRule="auto" w:before="19"/>
              <w:ind w:right="2039"/>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835" w:type="dxa"/>
            <w:tcBorders>
              <w:top w:val="single" w:sz="6" w:space="0" w:color="000000"/>
              <w:left w:val="single" w:sz="6" w:space="0" w:color="000000"/>
              <w:bottom w:val="single" w:sz="17" w:space="0" w:color="000000"/>
              <w:right w:val="nil" w:sz="6" w:space="0" w:color="auto"/>
            </w:tcBorders>
          </w:tcPr>
          <w:p>
            <w:pPr>
              <w:pStyle w:val="TableParagraph"/>
              <w:spacing w:line="240" w:lineRule="auto" w:before="19"/>
              <w:ind w:right="8"/>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77" w:hRule="exact"/>
        </w:trPr>
        <w:tc>
          <w:tcPr>
            <w:tcW w:w="4815"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不可撤销的经营租赁的租赁付款额</w:t>
            </w:r>
          </w:p>
        </w:tc>
        <w:tc>
          <w:tcPr>
            <w:tcW w:w="2835" w:type="dxa"/>
            <w:tcBorders>
              <w:top w:val="single" w:sz="17" w:space="0" w:color="000000"/>
              <w:left w:val="single" w:sz="6" w:space="0" w:color="000000"/>
              <w:bottom w:val="single" w:sz="17" w:space="0" w:color="000000"/>
              <w:right w:val="nil" w:sz="6" w:space="0" w:color="auto"/>
            </w:tcBorders>
          </w:tcPr>
          <w:p>
            <w:pPr/>
          </w:p>
        </w:tc>
      </w:tr>
      <w:tr>
        <w:trPr>
          <w:trHeight w:val="377" w:hRule="exact"/>
        </w:trPr>
        <w:tc>
          <w:tcPr>
            <w:tcW w:w="4815"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其中：资产负债表日后第</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835" w:type="dxa"/>
            <w:tcBorders>
              <w:top w:val="single" w:sz="17" w:space="0" w:color="000000"/>
              <w:left w:val="single" w:sz="6" w:space="0" w:color="000000"/>
              <w:bottom w:val="single" w:sz="17"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21,376,678.87</w:t>
            </w:r>
          </w:p>
        </w:tc>
      </w:tr>
      <w:tr>
        <w:trPr>
          <w:trHeight w:val="377" w:hRule="exact"/>
        </w:trPr>
        <w:tc>
          <w:tcPr>
            <w:tcW w:w="4815"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22"/>
              <w:ind w:left="543"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835" w:type="dxa"/>
            <w:tcBorders>
              <w:top w:val="single" w:sz="17" w:space="0" w:color="000000"/>
              <w:left w:val="single" w:sz="6" w:space="0" w:color="000000"/>
              <w:bottom w:val="single" w:sz="17"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7,269,637.28</w:t>
            </w:r>
          </w:p>
        </w:tc>
      </w:tr>
      <w:tr>
        <w:trPr>
          <w:trHeight w:val="377" w:hRule="exact"/>
        </w:trPr>
        <w:tc>
          <w:tcPr>
            <w:tcW w:w="4815"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22"/>
              <w:ind w:left="543"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835" w:type="dxa"/>
            <w:tcBorders>
              <w:top w:val="single" w:sz="17" w:space="0" w:color="000000"/>
              <w:left w:val="single" w:sz="6" w:space="0" w:color="000000"/>
              <w:bottom w:val="single" w:sz="17"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3,477,022.72</w:t>
            </w:r>
          </w:p>
        </w:tc>
      </w:tr>
      <w:tr>
        <w:trPr>
          <w:trHeight w:val="377" w:hRule="exact"/>
        </w:trPr>
        <w:tc>
          <w:tcPr>
            <w:tcW w:w="4815"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22"/>
              <w:ind w:left="543" w:right="0"/>
              <w:jc w:val="left"/>
              <w:rPr>
                <w:rFonts w:ascii="宋体" w:hAnsi="宋体" w:cs="宋体" w:eastAsia="宋体" w:hint="default"/>
                <w:sz w:val="18"/>
                <w:szCs w:val="18"/>
              </w:rPr>
            </w:pPr>
            <w:r>
              <w:rPr>
                <w:rFonts w:ascii="宋体" w:hAnsi="宋体" w:cs="宋体" w:eastAsia="宋体" w:hint="default"/>
                <w:sz w:val="18"/>
                <w:szCs w:val="18"/>
              </w:rPr>
              <w:t>以后年度</w:t>
            </w:r>
          </w:p>
        </w:tc>
        <w:tc>
          <w:tcPr>
            <w:tcW w:w="2835" w:type="dxa"/>
            <w:tcBorders>
              <w:top w:val="single" w:sz="17" w:space="0" w:color="000000"/>
              <w:left w:val="single" w:sz="6" w:space="0" w:color="000000"/>
              <w:bottom w:val="single" w:sz="17" w:space="0" w:color="000000"/>
              <w:right w:val="nil" w:sz="6" w:space="0" w:color="auto"/>
            </w:tcBorders>
          </w:tcPr>
          <w:p>
            <w:pPr>
              <w:pStyle w:val="TableParagraph"/>
              <w:spacing w:line="240" w:lineRule="auto" w:before="62"/>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7" w:hRule="exact"/>
        </w:trPr>
        <w:tc>
          <w:tcPr>
            <w:tcW w:w="4815"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22"/>
              <w:ind w:right="2128"/>
              <w:jc w:val="right"/>
              <w:rPr>
                <w:rFonts w:ascii="宋体" w:hAnsi="宋体" w:cs="宋体" w:eastAsia="宋体" w:hint="default"/>
                <w:sz w:val="18"/>
                <w:szCs w:val="18"/>
              </w:rPr>
            </w:pPr>
            <w:r>
              <w:rPr>
                <w:rFonts w:ascii="宋体" w:hAnsi="宋体" w:cs="宋体" w:eastAsia="宋体" w:hint="default"/>
                <w:sz w:val="18"/>
                <w:szCs w:val="18"/>
              </w:rPr>
              <w:t>合  计</w:t>
            </w:r>
          </w:p>
        </w:tc>
        <w:tc>
          <w:tcPr>
            <w:tcW w:w="2835" w:type="dxa"/>
            <w:tcBorders>
              <w:top w:val="single" w:sz="17" w:space="0" w:color="000000"/>
              <w:left w:val="single" w:sz="6" w:space="0" w:color="000000"/>
              <w:bottom w:val="single" w:sz="17"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pacing w:val="-1"/>
                <w:sz w:val="18"/>
              </w:rPr>
              <w:t>32,123,338.87</w:t>
            </w:r>
          </w:p>
        </w:tc>
      </w:tr>
    </w:tbl>
    <w:p>
      <w:pPr>
        <w:spacing w:line="240" w:lineRule="auto" w:before="9"/>
        <w:rPr>
          <w:rFonts w:ascii="宋体" w:hAnsi="宋体" w:cs="宋体" w:eastAsia="宋体" w:hint="default"/>
          <w:b/>
          <w:bCs/>
          <w:sz w:val="6"/>
          <w:szCs w:val="6"/>
        </w:rPr>
      </w:pPr>
    </w:p>
    <w:p>
      <w:pPr>
        <w:pStyle w:val="BodyText"/>
        <w:spacing w:line="240" w:lineRule="auto" w:before="44"/>
        <w:ind w:left="532" w:right="0"/>
        <w:jc w:val="left"/>
      </w:pPr>
      <w:r>
        <w:rPr/>
        <w:t>除存在上述承诺事项外，截止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日，本公司无其他应披露未披露的重大承诺事项。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5"/>
        <w:spacing w:line="240" w:lineRule="auto"/>
        <w:ind w:right="0"/>
        <w:jc w:val="left"/>
        <w:rPr>
          <w:b w:val="0"/>
          <w:bCs w:val="0"/>
        </w:rPr>
      </w:pPr>
      <w:bookmarkStart w:name="2、或有事项" w:id="462"/>
      <w:bookmarkEnd w:id="462"/>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spacing w:line="506" w:lineRule="auto" w:before="0"/>
        <w:ind w:left="112" w:right="6474" w:firstLine="0"/>
        <w:jc w:val="left"/>
        <w:rPr>
          <w:rFonts w:ascii="宋体" w:hAnsi="宋体" w:cs="宋体" w:eastAsia="宋体" w:hint="default"/>
          <w:sz w:val="21"/>
          <w:szCs w:val="21"/>
        </w:rPr>
      </w:pPr>
      <w:bookmarkStart w:name="（1）资产负债表日存在的重要或有事项" w:id="463"/>
      <w:bookmarkEnd w:id="46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w w:val="95"/>
          <w:sz w:val="21"/>
          <w:szCs w:val="21"/>
        </w:rPr>
        <w:t>本公司不存在需要披露的重要或有事项。</w:t>
      </w:r>
      <w:r>
        <w:rPr>
          <w:rFonts w:ascii="宋体" w:hAnsi="宋体" w:cs="宋体" w:eastAsia="宋体" w:hint="default"/>
          <w:sz w:val="21"/>
          <w:szCs w:val="21"/>
        </w:rPr>
      </w:r>
    </w:p>
    <w:p>
      <w:pPr>
        <w:pStyle w:val="Heading5"/>
        <w:spacing w:line="240" w:lineRule="auto" w:before="106"/>
        <w:ind w:right="0"/>
        <w:jc w:val="left"/>
        <w:rPr>
          <w:b w:val="0"/>
          <w:bCs w:val="0"/>
        </w:rPr>
      </w:pPr>
      <w:bookmarkStart w:name="（2）公司没有需要披露的重要或有事项，也应予以说明" w:id="464"/>
      <w:bookmarkEnd w:id="464"/>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624" w:lineRule="exact" w:before="55"/>
        <w:ind w:left="112" w:right="7694" w:firstLine="0"/>
        <w:jc w:val="left"/>
        <w:rPr>
          <w:rFonts w:ascii="宋体" w:hAnsi="宋体" w:cs="宋体" w:eastAsia="宋体" w:hint="default"/>
          <w:sz w:val="24"/>
          <w:szCs w:val="24"/>
        </w:rPr>
      </w:pPr>
      <w:r>
        <w:rPr>
          <w:rFonts w:ascii="宋体" w:hAnsi="宋体" w:cs="宋体" w:eastAsia="宋体" w:hint="default"/>
          <w:sz w:val="18"/>
          <w:szCs w:val="18"/>
        </w:rPr>
        <w:t>公司不存在需要披露的重要或有事项。 </w:t>
      </w:r>
      <w:bookmarkStart w:name="3、其他" w:id="465"/>
      <w:bookmarkEnd w:id="465"/>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五、资产负债表日后事项" w:id="466"/>
      <w:bookmarkEnd w:id="466"/>
      <w:r>
        <w:rPr>
          <w:rFonts w:ascii="宋体" w:hAnsi="宋体" w:cs="宋体" w:eastAsia="宋体" w:hint="default"/>
          <w:b/>
          <w:bCs/>
          <w:w w:val="99"/>
          <w:sz w:val="21"/>
          <w:szCs w:val="21"/>
        </w:rPr>
      </w:r>
      <w:r>
        <w:rPr>
          <w:rFonts w:ascii="宋体" w:hAnsi="宋体" w:cs="宋体" w:eastAsia="宋体" w:hint="default"/>
          <w:b/>
          <w:bCs/>
          <w:sz w:val="24"/>
          <w:szCs w:val="24"/>
        </w:rPr>
        <w:t>十五、资产负债表日后事项</w:t>
      </w:r>
      <w:r>
        <w:rPr>
          <w:rFonts w:ascii="宋体" w:hAnsi="宋体" w:cs="宋体" w:eastAsia="宋体" w:hint="default"/>
          <w:sz w:val="24"/>
          <w:szCs w:val="24"/>
        </w:rPr>
      </w:r>
    </w:p>
    <w:p>
      <w:pPr>
        <w:spacing w:line="240" w:lineRule="auto" w:before="10"/>
        <w:rPr>
          <w:rFonts w:ascii="宋体" w:hAnsi="宋体" w:cs="宋体" w:eastAsia="宋体" w:hint="default"/>
          <w:b/>
          <w:bCs/>
          <w:sz w:val="17"/>
          <w:szCs w:val="17"/>
        </w:rPr>
      </w:pPr>
    </w:p>
    <w:p>
      <w:pPr>
        <w:pStyle w:val="Heading5"/>
        <w:spacing w:line="240" w:lineRule="auto"/>
        <w:ind w:right="0"/>
        <w:jc w:val="left"/>
        <w:rPr>
          <w:b w:val="0"/>
          <w:bCs w:val="0"/>
        </w:rPr>
      </w:pPr>
      <w:bookmarkStart w:name="1、重要的非调整事项" w:id="467"/>
      <w:bookmarkEnd w:id="467"/>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after="0" w:line="240" w:lineRule="auto"/>
        <w:jc w:val="right"/>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r>
        <w:rPr/>
        <w:pict>
          <v:shape style="position:absolute;margin-left:290.158997pt;margin-top:346.600037pt;width:125.35pt;height:407.85pt;mso-position-horizontal-relative:page;mso-position-vertical-relative:page;z-index:-15013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4"/>
                      <w:szCs w:val="24"/>
                    </w:rPr>
                  </w:pPr>
                </w:p>
                <w:p>
                  <w:pPr>
                    <w:pStyle w:val="BodyText"/>
                    <w:spacing w:line="240" w:lineRule="auto"/>
                    <w:ind w:left="0" w:right="0"/>
                    <w:jc w:val="left"/>
                  </w:pPr>
                  <w:r>
                    <w:rPr/>
                    <w:t>，</w:t>
                  </w:r>
                </w:p>
              </w:txbxContent>
            </v:textbox>
            <w10:wrap type="none"/>
          </v:shape>
        </w:pict>
      </w: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内容</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09" w:right="109"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362" w:hRule="exact"/>
        </w:trPr>
        <w:tc>
          <w:tcPr>
            <w:tcW w:w="2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w:t>
            </w:r>
          </w:p>
        </w:tc>
        <w:tc>
          <w:tcPr>
            <w:tcW w:w="2390" w:type="dxa"/>
            <w:vMerge w:val="restart"/>
            <w:tcBorders>
              <w:top w:val="single" w:sz="4" w:space="0" w:color="000000"/>
              <w:left w:val="single" w:sz="4" w:space="0" w:color="000000"/>
              <w:right w:val="single" w:sz="4" w:space="0" w:color="000000"/>
            </w:tcBorders>
          </w:tcPr>
          <w:p>
            <w:pPr/>
          </w:p>
        </w:tc>
        <w:tc>
          <w:tcPr>
            <w:tcW w:w="2390" w:type="dxa"/>
            <w:vMerge w:val="restart"/>
            <w:tcBorders>
              <w:top w:val="single" w:sz="4" w:space="0" w:color="000000"/>
              <w:left w:val="single" w:sz="4" w:space="0" w:color="000000"/>
              <w:right w:val="single" w:sz="4" w:space="0" w:color="000000"/>
            </w:tcBorders>
          </w:tcPr>
          <w:p>
            <w:pPr/>
          </w:p>
        </w:tc>
      </w:tr>
      <w:tr>
        <w:trPr>
          <w:trHeight w:val="307"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的第二届董事会第二十四会</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议通过《关于公司非公开发</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7"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w:t>
            </w:r>
            <w:r>
              <w:rPr>
                <w:rFonts w:ascii="宋体" w:hAnsi="宋体" w:cs="宋体" w:eastAsia="宋体" w:hint="default"/>
                <w:spacing w:val="-45"/>
                <w:sz w:val="18"/>
                <w:szCs w:val="18"/>
              </w:rPr>
              <w:t> </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股股票方案的议案</w:t>
            </w:r>
            <w:r>
              <w:rPr>
                <w:rFonts w:ascii="宋体" w:hAnsi="宋体" w:cs="宋体" w:eastAsia="宋体" w:hint="default"/>
                <w:spacing w:val="-89"/>
                <w:sz w:val="18"/>
                <w:szCs w:val="18"/>
              </w:rPr>
              <w:t>》</w:t>
            </w:r>
            <w:r>
              <w:rPr>
                <w:rFonts w:ascii="宋体" w:hAnsi="宋体" w:cs="宋体" w:eastAsia="宋体" w:hint="default"/>
                <w:sz w:val="18"/>
                <w:szCs w:val="18"/>
              </w:rPr>
              <w:t>、</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《关于公司非公开发行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07"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股票预案的议案</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拟通过向</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7"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名特定对象非公开</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07"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发行的方式非公开发行不超</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7"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过</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万股境内上市人民币</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普通</w:t>
            </w:r>
            <w:r>
              <w:rPr>
                <w:rFonts w:ascii="宋体" w:hAnsi="宋体" w:cs="宋体" w:eastAsia="宋体" w:hint="default"/>
                <w:spacing w:val="-3"/>
                <w:sz w:val="18"/>
                <w:szCs w:val="18"/>
              </w:rPr>
              <w:t>股</w:t>
            </w:r>
            <w:r>
              <w:rPr>
                <w:rFonts w:ascii="宋体" w:hAnsi="宋体" w:cs="宋体" w:eastAsia="宋体" w:hint="default"/>
                <w:sz w:val="18"/>
                <w:szCs w:val="18"/>
              </w:rPr>
              <w:t>（</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宋体" w:hAnsi="宋体" w:cs="宋体" w:eastAsia="宋体" w:hint="default"/>
                <w:spacing w:val="-89"/>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每股面值为</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元，拟募集资金</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总额不超过人民币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50,669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07"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元。非公开发行股票的议案</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7" w:hRule="exact"/>
        </w:trPr>
        <w:tc>
          <w:tcPr>
            <w:tcW w:w="2493" w:type="dxa"/>
            <w:tcBorders>
              <w:top w:val="nil" w:sz="6" w:space="0" w:color="auto"/>
              <w:left w:val="single" w:sz="4" w:space="0" w:color="000000"/>
              <w:bottom w:val="nil" w:sz="6" w:space="0" w:color="auto"/>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尚需提请公司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52" w:hRule="exact"/>
        </w:trPr>
        <w:tc>
          <w:tcPr>
            <w:tcW w:w="2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股东大会大会审议。</w:t>
            </w:r>
          </w:p>
        </w:tc>
        <w:tc>
          <w:tcPr>
            <w:tcW w:w="2390" w:type="dxa"/>
            <w:vMerge/>
            <w:tcBorders>
              <w:left w:val="single" w:sz="4" w:space="0" w:color="000000"/>
              <w:bottom w:val="single" w:sz="4" w:space="0" w:color="000000"/>
              <w:right w:val="single" w:sz="4" w:space="0" w:color="000000"/>
            </w:tcBorders>
          </w:tcPr>
          <w:p>
            <w:pPr/>
          </w:p>
        </w:tc>
        <w:tc>
          <w:tcPr>
            <w:tcW w:w="2390" w:type="dxa"/>
            <w:vMerge/>
            <w:tcBorders>
              <w:left w:val="single" w:sz="4" w:space="0" w:color="000000"/>
              <w:bottom w:val="single" w:sz="4" w:space="0" w:color="000000"/>
              <w:right w:val="single" w:sz="4" w:space="0" w:color="000000"/>
            </w:tcBorders>
          </w:tcPr>
          <w:p>
            <w:pPr/>
          </w:p>
        </w:tc>
      </w:tr>
      <w:tr>
        <w:trPr>
          <w:trHeight w:val="361" w:hRule="exact"/>
        </w:trPr>
        <w:tc>
          <w:tcPr>
            <w:tcW w:w="2493" w:type="dxa"/>
            <w:tcBorders>
              <w:top w:val="single" w:sz="4" w:space="0" w:color="000000"/>
              <w:left w:val="single" w:sz="4" w:space="0" w:color="000000"/>
              <w:bottom w:val="nil" w:sz="6" w:space="0" w:color="auto"/>
              <w:right w:val="single" w:sz="4" w:space="0" w:color="000000"/>
            </w:tcBorders>
          </w:tcPr>
          <w:p>
            <w:pPr/>
          </w:p>
        </w:tc>
        <w:tc>
          <w:tcPr>
            <w:tcW w:w="22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w:t>
            </w:r>
          </w:p>
        </w:tc>
        <w:tc>
          <w:tcPr>
            <w:tcW w:w="2390" w:type="dxa"/>
            <w:vMerge w:val="restart"/>
            <w:tcBorders>
              <w:top w:val="single" w:sz="4" w:space="0" w:color="000000"/>
              <w:left w:val="single" w:sz="4" w:space="0" w:color="000000"/>
              <w:right w:val="single" w:sz="4" w:space="0" w:color="000000"/>
            </w:tcBorders>
          </w:tcPr>
          <w:p>
            <w:pPr>
              <w:pStyle w:val="TableParagraph"/>
              <w:spacing w:line="8157"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62"/>
                <w:sz w:val="20"/>
                <w:szCs w:val="20"/>
              </w:rPr>
              <w:pict>
                <v:group style="width:119.25pt;height:407.85pt;mso-position-horizontal-relative:char;mso-position-vertical-relative:line" coordorigin="0,0" coordsize="2385,8157">
                  <v:group style="position:absolute;left:0;top:0;width:2385;height:8157" coordorigin="0,0" coordsize="2385,8157">
                    <v:shape style="position:absolute;left:0;top:0;width:2385;height:8157" coordorigin="0,0" coordsize="2385,8157" path="m0,0l2385,0,2385,8157,0,8157,0,0xe" filled="true" fillcolor="#ffffff" stroked="false">
                      <v:path arrowok="t"/>
                      <v:fill type="solid"/>
                    </v:shape>
                  </v:group>
                </v:group>
              </w:pict>
            </w:r>
            <w:r>
              <w:rPr>
                <w:rFonts w:ascii="Times New Roman" w:hAnsi="Times New Roman" w:cs="Times New Roman" w:eastAsia="Times New Roman" w:hint="default"/>
                <w:position w:val="-162"/>
                <w:sz w:val="20"/>
                <w:szCs w:val="20"/>
              </w:rPr>
            </w:r>
          </w:p>
        </w:tc>
        <w:tc>
          <w:tcPr>
            <w:tcW w:w="2390" w:type="dxa"/>
            <w:vMerge w:val="restart"/>
            <w:tcBorders>
              <w:top w:val="single" w:sz="4" w:space="0" w:color="000000"/>
              <w:left w:val="single" w:sz="4" w:space="0" w:color="000000"/>
              <w:right w:val="single" w:sz="4" w:space="0" w:color="000000"/>
            </w:tcBorders>
          </w:tcPr>
          <w:p>
            <w:pPr/>
          </w:p>
        </w:tc>
      </w:tr>
      <w:tr>
        <w:trPr>
          <w:trHeight w:val="307" w:hRule="exact"/>
        </w:trPr>
        <w:tc>
          <w:tcPr>
            <w:tcW w:w="2493" w:type="dxa"/>
            <w:tcBorders>
              <w:top w:val="nil" w:sz="6" w:space="0" w:color="auto"/>
              <w:left w:val="single" w:sz="4" w:space="0" w:color="000000"/>
              <w:bottom w:val="nil" w:sz="6" w:space="0" w:color="auto"/>
              <w:right w:val="single" w:sz="4" w:space="0" w:color="000000"/>
            </w:tcBorders>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的第二届董事会第二十四会</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7" w:hRule="exact"/>
        </w:trPr>
        <w:tc>
          <w:tcPr>
            <w:tcW w:w="2493" w:type="dxa"/>
            <w:tcBorders>
              <w:top w:val="nil" w:sz="6" w:space="0" w:color="auto"/>
              <w:left w:val="single" w:sz="4" w:space="0" w:color="000000"/>
              <w:bottom w:val="nil" w:sz="6" w:space="0" w:color="auto"/>
              <w:right w:val="single" w:sz="4" w:space="0" w:color="000000"/>
            </w:tcBorders>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议通过《关于回购注销</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07" w:hRule="exact"/>
        </w:trPr>
        <w:tc>
          <w:tcPr>
            <w:tcW w:w="2493" w:type="dxa"/>
            <w:tcBorders>
              <w:top w:val="nil" w:sz="6" w:space="0" w:color="auto"/>
              <w:left w:val="single" w:sz="4" w:space="0" w:color="000000"/>
              <w:bottom w:val="nil" w:sz="6" w:space="0" w:color="auto"/>
              <w:right w:val="single" w:sz="4" w:space="0" w:color="000000"/>
            </w:tcBorders>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年股权激励计划部分限制性</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股票及调整回购数量、回购</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7" w:hRule="exact"/>
        </w:trPr>
        <w:tc>
          <w:tcPr>
            <w:tcW w:w="2493" w:type="dxa"/>
            <w:tcBorders>
              <w:top w:val="nil" w:sz="6" w:space="0" w:color="auto"/>
              <w:left w:val="single" w:sz="4" w:space="0" w:color="000000"/>
              <w:bottom w:val="nil" w:sz="6" w:space="0" w:color="auto"/>
              <w:right w:val="single" w:sz="4" w:space="0" w:color="000000"/>
            </w:tcBorders>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价格的议案</w:t>
            </w:r>
            <w:r>
              <w:rPr>
                <w:rFonts w:ascii="宋体" w:hAnsi="宋体" w:cs="宋体" w:eastAsia="宋体" w:hint="default"/>
                <w:spacing w:val="-92"/>
                <w:sz w:val="18"/>
                <w:szCs w:val="18"/>
              </w:rPr>
              <w:t>》</w:t>
            </w:r>
            <w:r>
              <w:rPr>
                <w:rFonts w:ascii="宋体" w:hAnsi="宋体" w:cs="宋体" w:eastAsia="宋体" w:hint="default"/>
                <w:spacing w:val="-56"/>
                <w:sz w:val="18"/>
                <w:szCs w:val="18"/>
              </w:rPr>
              <w:t>，</w:t>
            </w:r>
            <w:r>
              <w:rPr>
                <w:rFonts w:ascii="宋体" w:hAnsi="宋体" w:cs="宋体" w:eastAsia="宋体" w:hint="default"/>
                <w:sz w:val="18"/>
                <w:szCs w:val="18"/>
              </w:rPr>
              <w:t>鉴于公司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7</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07" w:hRule="exact"/>
        </w:trPr>
        <w:tc>
          <w:tcPr>
            <w:tcW w:w="2493" w:type="dxa"/>
            <w:tcBorders>
              <w:top w:val="nil" w:sz="6" w:space="0" w:color="auto"/>
              <w:left w:val="single" w:sz="4" w:space="0" w:color="000000"/>
              <w:bottom w:val="nil" w:sz="6" w:space="0" w:color="auto"/>
              <w:right w:val="single" w:sz="4" w:space="0" w:color="000000"/>
            </w:tcBorders>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年限制性股票激励计划激励</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7" w:hRule="exact"/>
        </w:trPr>
        <w:tc>
          <w:tcPr>
            <w:tcW w:w="2493" w:type="dxa"/>
            <w:tcBorders>
              <w:top w:val="nil" w:sz="6" w:space="0" w:color="auto"/>
              <w:left w:val="single" w:sz="4" w:space="0" w:color="000000"/>
              <w:bottom w:val="nil" w:sz="6" w:space="0" w:color="auto"/>
              <w:right w:val="single" w:sz="4" w:space="0" w:color="000000"/>
            </w:tcBorders>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对象中</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人因个人原因已离</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07" w:hRule="exact"/>
        </w:trPr>
        <w:tc>
          <w:tcPr>
            <w:tcW w:w="2493" w:type="dxa"/>
            <w:tcBorders>
              <w:top w:val="nil" w:sz="6" w:space="0" w:color="auto"/>
              <w:left w:val="single" w:sz="4" w:space="0" w:color="000000"/>
              <w:bottom w:val="nil" w:sz="6" w:space="0" w:color="auto"/>
              <w:right w:val="single" w:sz="4" w:space="0" w:color="000000"/>
            </w:tcBorders>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职，</w:t>
            </w:r>
            <w:r>
              <w:rPr>
                <w:rFonts w:ascii="宋体" w:hAnsi="宋体" w:cs="宋体" w:eastAsia="宋体" w:hint="default"/>
                <w:spacing w:val="-11"/>
                <w:sz w:val="18"/>
                <w:szCs w:val="18"/>
              </w:rPr>
              <w:t> </w:t>
            </w:r>
            <w:r>
              <w:rPr>
                <w:rFonts w:ascii="宋体" w:hAnsi="宋体" w:cs="宋体" w:eastAsia="宋体" w:hint="default"/>
                <w:sz w:val="18"/>
                <w:szCs w:val="18"/>
              </w:rPr>
              <w:t>公司拟回购注销其持有</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的已获授但尚未解除限售的</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7" w:hRule="exact"/>
        </w:trPr>
        <w:tc>
          <w:tcPr>
            <w:tcW w:w="2493" w:type="dxa"/>
            <w:tcBorders>
              <w:top w:val="nil" w:sz="6" w:space="0" w:color="auto"/>
              <w:left w:val="single" w:sz="4" w:space="0" w:color="000000"/>
              <w:bottom w:val="nil" w:sz="6" w:space="0" w:color="auto"/>
              <w:right w:val="single" w:sz="4" w:space="0" w:color="000000"/>
            </w:tcBorders>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33"/>
              <w:jc w:val="left"/>
              <w:rPr>
                <w:rFonts w:ascii="宋体" w:hAnsi="宋体" w:cs="宋体" w:eastAsia="宋体" w:hint="default"/>
                <w:sz w:val="18"/>
                <w:szCs w:val="18"/>
              </w:rPr>
            </w:pPr>
            <w:r>
              <w:rPr>
                <w:rFonts w:ascii="宋体" w:hAnsi="宋体" w:cs="宋体" w:eastAsia="宋体" w:hint="default"/>
                <w:sz w:val="18"/>
                <w:szCs w:val="18"/>
              </w:rPr>
              <w:t>共计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185,988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股限制性股票，</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其中首次授予部分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184,492</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624" w:hRule="exact"/>
        </w:trPr>
        <w:tc>
          <w:tcPr>
            <w:tcW w:w="2493"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回购注销股票</w:t>
            </w: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92"/>
                <w:sz w:val="18"/>
                <w:szCs w:val="18"/>
              </w:rPr>
              <w:t>，</w:t>
            </w:r>
            <w:r>
              <w:rPr>
                <w:rFonts w:ascii="宋体" w:hAnsi="宋体" w:cs="宋体" w:eastAsia="宋体" w:hint="default"/>
                <w:sz w:val="18"/>
                <w:szCs w:val="18"/>
              </w:rPr>
              <w:t>回购价格为</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r>
              <w:rPr>
                <w:rFonts w:ascii="Times New Roman" w:hAnsi="Times New Roman" w:cs="Times New Roman" w:eastAsia="Times New Roman" w:hint="default"/>
                <w:w w:val="99"/>
                <w:sz w:val="18"/>
                <w:szCs w:val="18"/>
              </w:rPr>
              <w:t>/</w:t>
            </w:r>
            <w:r>
              <w:rPr>
                <w:rFonts w:ascii="宋体" w:hAnsi="宋体" w:cs="宋体" w:eastAsia="宋体" w:hint="default"/>
                <w:sz w:val="18"/>
                <w:szCs w:val="18"/>
              </w:rPr>
              <w:t>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预留授予部分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1,496</w:t>
            </w:r>
            <w:r>
              <w:rPr>
                <w:rFonts w:ascii="Times New Roman" w:hAnsi="Times New Roman" w:cs="Times New Roman" w:eastAsia="Times New Roman" w:hint="default"/>
                <w:spacing w:val="-2"/>
                <w:sz w:val="18"/>
                <w:szCs w:val="18"/>
              </w:rPr>
              <w:t> </w:t>
            </w:r>
            <w:r>
              <w:rPr>
                <w:rFonts w:ascii="宋体" w:hAnsi="宋体" w:cs="宋体" w:eastAsia="宋体" w:hint="default"/>
                <w:spacing w:val="-14"/>
                <w:sz w:val="18"/>
                <w:szCs w:val="18"/>
              </w:rPr>
              <w:t>股，回购</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价格为 </w:t>
            </w:r>
            <w:r>
              <w:rPr>
                <w:rFonts w:ascii="Times New Roman" w:hAnsi="Times New Roman" w:cs="Times New Roman" w:eastAsia="Times New Roman" w:hint="default"/>
                <w:sz w:val="18"/>
                <w:szCs w:val="18"/>
              </w:rPr>
              <w:t>9.2564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宋体" w:hAnsi="宋体" w:cs="宋体" w:eastAsia="宋体" w:hint="default"/>
                <w:spacing w:val="-49"/>
                <w:sz w:val="18"/>
                <w:szCs w:val="18"/>
              </w:rPr>
              <w:t> </w:t>
            </w:r>
            <w:r>
              <w:rPr>
                <w:rFonts w:ascii="宋体" w:hAnsi="宋体" w:cs="宋体" w:eastAsia="宋体" w:hint="default"/>
                <w:sz w:val="18"/>
                <w:szCs w:val="18"/>
              </w:rPr>
              <w:t>同时</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由于公司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年度业绩未达</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07" w:hRule="exact"/>
        </w:trPr>
        <w:tc>
          <w:tcPr>
            <w:tcW w:w="2493" w:type="dxa"/>
            <w:tcBorders>
              <w:top w:val="nil" w:sz="6" w:space="0" w:color="auto"/>
              <w:left w:val="single" w:sz="4" w:space="0" w:color="000000"/>
              <w:bottom w:val="nil" w:sz="6" w:space="0" w:color="auto"/>
              <w:right w:val="single" w:sz="4" w:space="0" w:color="000000"/>
            </w:tcBorders>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到限制性股票激励计划首次</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授予第二个解除限售期与预</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留授予第一个解除限售期的</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解除限售的条件，公司拟以</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7" w:hRule="exact"/>
        </w:trPr>
        <w:tc>
          <w:tcPr>
            <w:tcW w:w="2493" w:type="dxa"/>
            <w:tcBorders>
              <w:top w:val="nil" w:sz="6" w:space="0" w:color="auto"/>
              <w:left w:val="single" w:sz="4" w:space="0" w:color="000000"/>
              <w:bottom w:val="nil" w:sz="6" w:space="0" w:color="auto"/>
              <w:right w:val="single" w:sz="4" w:space="0" w:color="000000"/>
            </w:tcBorders>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9.2364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股的价格回购注销</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07" w:hRule="exact"/>
        </w:trPr>
        <w:tc>
          <w:tcPr>
            <w:tcW w:w="2493" w:type="dxa"/>
            <w:tcBorders>
              <w:top w:val="nil" w:sz="6" w:space="0" w:color="auto"/>
              <w:left w:val="single" w:sz="4" w:space="0" w:color="000000"/>
              <w:bottom w:val="nil" w:sz="6" w:space="0" w:color="auto"/>
              <w:right w:val="single" w:sz="4" w:space="0" w:color="000000"/>
            </w:tcBorders>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首次授予第二个解除限售期</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7" w:hRule="exact"/>
        </w:trPr>
        <w:tc>
          <w:tcPr>
            <w:tcW w:w="2493" w:type="dxa"/>
            <w:tcBorders>
              <w:top w:val="nil" w:sz="6" w:space="0" w:color="auto"/>
              <w:left w:val="single" w:sz="4" w:space="0" w:color="000000"/>
              <w:bottom w:val="nil" w:sz="6" w:space="0" w:color="auto"/>
              <w:right w:val="single" w:sz="4" w:space="0" w:color="000000"/>
            </w:tcBorders>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的限制性股票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695,570</w:t>
            </w:r>
            <w:r>
              <w:rPr>
                <w:rFonts w:ascii="Times New Roman" w:hAnsi="Times New Roman" w:cs="Times New Roman" w:eastAsia="Times New Roman" w:hint="default"/>
                <w:spacing w:val="-2"/>
                <w:sz w:val="18"/>
                <w:szCs w:val="18"/>
              </w:rPr>
              <w:t> </w:t>
            </w:r>
            <w:r>
              <w:rPr>
                <w:rFonts w:ascii="宋体" w:hAnsi="宋体" w:cs="宋体" w:eastAsia="宋体" w:hint="default"/>
                <w:spacing w:val="-19"/>
                <w:sz w:val="18"/>
                <w:szCs w:val="18"/>
              </w:rPr>
              <w:t>股，以</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3" w:type="dxa"/>
            <w:tcBorders>
              <w:top w:val="nil" w:sz="6" w:space="0" w:color="auto"/>
              <w:left w:val="single" w:sz="4" w:space="0" w:color="000000"/>
              <w:bottom w:val="nil" w:sz="6" w:space="0" w:color="auto"/>
              <w:right w:val="single" w:sz="4" w:space="0" w:color="000000"/>
            </w:tcBorders>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9.2564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股的价格回购注销</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07" w:hRule="exact"/>
        </w:trPr>
        <w:tc>
          <w:tcPr>
            <w:tcW w:w="2493" w:type="dxa"/>
            <w:tcBorders>
              <w:top w:val="nil" w:sz="6" w:space="0" w:color="auto"/>
              <w:left w:val="single" w:sz="4" w:space="0" w:color="000000"/>
              <w:bottom w:val="nil" w:sz="6" w:space="0" w:color="auto"/>
              <w:right w:val="single" w:sz="4" w:space="0" w:color="000000"/>
            </w:tcBorders>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预留授予第一个解除限售期</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26" w:hRule="exact"/>
        </w:trPr>
        <w:tc>
          <w:tcPr>
            <w:tcW w:w="2493" w:type="dxa"/>
            <w:tcBorders>
              <w:top w:val="nil" w:sz="6" w:space="0" w:color="auto"/>
              <w:left w:val="single" w:sz="4" w:space="0" w:color="000000"/>
              <w:bottom w:val="single" w:sz="4" w:space="0" w:color="000000"/>
              <w:right w:val="single" w:sz="4" w:space="0" w:color="000000"/>
            </w:tcBorders>
          </w:tcPr>
          <w:p>
            <w:pPr/>
          </w:p>
        </w:tc>
        <w:tc>
          <w:tcPr>
            <w:tcW w:w="22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的限制性股票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298,961</w:t>
            </w:r>
            <w:r>
              <w:rPr>
                <w:rFonts w:ascii="Times New Roman" w:hAnsi="Times New Roman" w:cs="Times New Roman" w:eastAsia="Times New Roman" w:hint="default"/>
                <w:spacing w:val="-2"/>
                <w:sz w:val="18"/>
                <w:szCs w:val="18"/>
              </w:rPr>
              <w:t> </w:t>
            </w:r>
            <w:r>
              <w:rPr>
                <w:rFonts w:ascii="宋体" w:hAnsi="宋体" w:cs="宋体" w:eastAsia="宋体" w:hint="default"/>
                <w:spacing w:val="-19"/>
                <w:sz w:val="18"/>
                <w:szCs w:val="18"/>
              </w:rPr>
              <w:t>股，回</w:t>
            </w:r>
          </w:p>
        </w:tc>
        <w:tc>
          <w:tcPr>
            <w:tcW w:w="2390" w:type="dxa"/>
            <w:vMerge/>
            <w:tcBorders>
              <w:left w:val="single" w:sz="4" w:space="0" w:color="000000"/>
              <w:bottom w:val="single" w:sz="4" w:space="0" w:color="000000"/>
              <w:right w:val="single" w:sz="4" w:space="0" w:color="000000"/>
            </w:tcBorders>
          </w:tcPr>
          <w:p>
            <w:pPr/>
          </w:p>
        </w:tc>
        <w:tc>
          <w:tcPr>
            <w:tcW w:w="2390" w:type="dxa"/>
            <w:vMerge/>
            <w:tcBorders>
              <w:left w:val="single" w:sz="4" w:space="0" w:color="000000"/>
              <w:bottom w:val="single" w:sz="4" w:space="0" w:color="000000"/>
              <w:right w:val="single" w:sz="4" w:space="0" w:color="000000"/>
            </w:tcBorders>
          </w:tcPr>
          <w:p>
            <w:pPr/>
          </w:p>
        </w:tc>
      </w:tr>
    </w:tbl>
    <w:p>
      <w:pPr>
        <w:spacing w:after="0"/>
        <w:sectPr>
          <w:pgSz w:w="11910" w:h="16840"/>
          <w:pgMar w:header="746" w:footer="978" w:top="1060" w:bottom="116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1922" w:hRule="exact"/>
        </w:trPr>
        <w:tc>
          <w:tcPr>
            <w:tcW w:w="2493"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1"/>
              <w:ind w:left="23" w:right="20"/>
              <w:jc w:val="left"/>
              <w:rPr>
                <w:rFonts w:ascii="宋体" w:hAnsi="宋体" w:cs="宋体" w:eastAsia="宋体" w:hint="default"/>
                <w:sz w:val="18"/>
                <w:szCs w:val="18"/>
              </w:rPr>
            </w:pPr>
            <w:r>
              <w:rPr>
                <w:rFonts w:ascii="宋体" w:hAnsi="宋体" w:cs="宋体" w:eastAsia="宋体" w:hint="default"/>
                <w:sz w:val="18"/>
                <w:szCs w:val="18"/>
              </w:rPr>
              <w:t>购数量共计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994,531</w:t>
            </w:r>
            <w:r>
              <w:rPr>
                <w:rFonts w:ascii="Times New Roman" w:hAnsi="Times New Roman" w:cs="Times New Roman" w:eastAsia="Times New Roman" w:hint="default"/>
                <w:spacing w:val="-3"/>
                <w:sz w:val="18"/>
                <w:szCs w:val="18"/>
              </w:rPr>
              <w:t> </w:t>
            </w:r>
            <w:r>
              <w:rPr>
                <w:rFonts w:ascii="宋体" w:hAnsi="宋体" w:cs="宋体" w:eastAsia="宋体" w:hint="default"/>
                <w:spacing w:val="-14"/>
                <w:sz w:val="18"/>
                <w:szCs w:val="18"/>
              </w:rPr>
              <w:t>股，且支</w:t>
            </w:r>
            <w:r>
              <w:rPr>
                <w:rFonts w:ascii="宋体" w:hAnsi="宋体" w:cs="宋体" w:eastAsia="宋体" w:hint="default"/>
                <w:sz w:val="18"/>
                <w:szCs w:val="18"/>
              </w:rPr>
              <w:t> 付银行同期存款利息。此次 共计回购注销限制性股票 </w:t>
            </w:r>
            <w:r>
              <w:rPr>
                <w:rFonts w:ascii="Times New Roman" w:hAnsi="Times New Roman" w:cs="Times New Roman" w:eastAsia="Times New Roman" w:hint="default"/>
                <w:sz w:val="18"/>
                <w:szCs w:val="18"/>
              </w:rPr>
              <w:t>1,180,519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股。本议案尚需提</w:t>
            </w:r>
          </w:p>
          <w:p>
            <w:pPr>
              <w:pStyle w:val="TableParagraph"/>
              <w:spacing w:line="300" w:lineRule="auto" w:before="3"/>
              <w:ind w:left="23" w:right="20"/>
              <w:jc w:val="left"/>
              <w:rPr>
                <w:rFonts w:ascii="宋体" w:hAnsi="宋体" w:cs="宋体" w:eastAsia="宋体" w:hint="default"/>
                <w:sz w:val="18"/>
                <w:szCs w:val="18"/>
              </w:rPr>
            </w:pPr>
            <w:r>
              <w:rPr>
                <w:rFonts w:ascii="宋体" w:hAnsi="宋体" w:cs="宋体" w:eastAsia="宋体" w:hint="default"/>
                <w:sz w:val="18"/>
                <w:szCs w:val="18"/>
              </w:rPr>
              <w:t>请公司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年年度股东大会 大会审议</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Times New Roman" w:hAnsi="Times New Roman" w:cs="Times New Roman" w:eastAsia="Times New Roman" w:hint="default"/>
          <w:sz w:val="21"/>
          <w:szCs w:val="21"/>
        </w:rPr>
      </w:pPr>
    </w:p>
    <w:p>
      <w:pPr>
        <w:pStyle w:val="Heading5"/>
        <w:spacing w:line="240" w:lineRule="auto" w:before="34"/>
        <w:ind w:right="0"/>
        <w:jc w:val="left"/>
        <w:rPr>
          <w:b w:val="0"/>
          <w:bCs w:val="0"/>
        </w:rPr>
      </w:pPr>
      <w:bookmarkStart w:name="2、利润分配情况" w:id="468"/>
      <w:bookmarkEnd w:id="468"/>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7,051,238.50</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7,051,238.50</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bookmarkStart w:name="3、销售退回" w:id="469"/>
      <w:bookmarkEnd w:id="469"/>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spacing w:line="487" w:lineRule="auto" w:before="0"/>
        <w:ind w:left="112" w:right="7697" w:firstLine="0"/>
        <w:jc w:val="left"/>
        <w:rPr>
          <w:rFonts w:ascii="宋体" w:hAnsi="宋体" w:cs="宋体" w:eastAsia="宋体" w:hint="default"/>
          <w:sz w:val="21"/>
          <w:szCs w:val="21"/>
        </w:rPr>
      </w:pPr>
      <w:bookmarkStart w:name="4、其他资产负债表日后事项说明" w:id="470"/>
      <w:bookmarkEnd w:id="47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bookmarkStart w:name="十六、其他重要事项" w:id="471"/>
      <w:bookmarkEnd w:id="471"/>
      <w:r>
        <w:rPr>
          <w:rFonts w:ascii="宋体" w:hAnsi="宋体" w:cs="宋体" w:eastAsia="宋体" w:hint="default"/>
          <w:b/>
          <w:bCs/>
          <w:w w:val="99"/>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72"/>
      <w:bookmarkEnd w:id="47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5"/>
        <w:spacing w:line="240" w:lineRule="auto" w:before="84"/>
        <w:ind w:right="0"/>
        <w:jc w:val="left"/>
        <w:rPr>
          <w:b w:val="0"/>
          <w:bCs w:val="0"/>
        </w:rPr>
      </w:pPr>
      <w:bookmarkStart w:name="（1）追溯重述法" w:id="473"/>
      <w:bookmarkEnd w:id="473"/>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29" w:right="109"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5"/>
        <w:spacing w:line="240" w:lineRule="auto" w:before="34"/>
        <w:ind w:right="0"/>
        <w:jc w:val="left"/>
        <w:rPr>
          <w:b w:val="0"/>
          <w:bCs w:val="0"/>
        </w:rPr>
      </w:pPr>
      <w:bookmarkStart w:name="（2）未来适用法" w:id="474"/>
      <w:bookmarkEnd w:id="474"/>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5"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10"/>
        <w:rPr>
          <w:rFonts w:ascii="宋体" w:hAnsi="宋体" w:cs="宋体" w:eastAsia="宋体" w:hint="default"/>
          <w:b/>
          <w:bCs/>
          <w:sz w:val="24"/>
          <w:szCs w:val="24"/>
        </w:rPr>
      </w:pPr>
    </w:p>
    <w:p>
      <w:pPr>
        <w:pStyle w:val="Heading5"/>
        <w:spacing w:line="240" w:lineRule="auto" w:before="34"/>
        <w:ind w:right="0"/>
        <w:jc w:val="left"/>
        <w:rPr>
          <w:b w:val="0"/>
          <w:bCs w:val="0"/>
        </w:rPr>
      </w:pPr>
      <w:bookmarkStart w:name="2、债务重组" w:id="475"/>
      <w:bookmarkEnd w:id="475"/>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3、资产置换" w:id="476"/>
      <w:bookmarkEnd w:id="476"/>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bookmarkStart w:name="（1）非货币性资产交换" w:id="477"/>
      <w:bookmarkEnd w:id="477"/>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bookmarkStart w:name="（2）其他资产置换" w:id="478"/>
      <w:bookmarkEnd w:id="478"/>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4、年金计划" w:id="479"/>
      <w:bookmarkEnd w:id="479"/>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5、终止经营" w:id="480"/>
      <w:bookmarkEnd w:id="480"/>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35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w:t>
            </w:r>
          </w:p>
        </w:tc>
      </w:tr>
      <w:tr>
        <w:trPr>
          <w:trHeight w:val="31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318"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8"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有者的终止经营</w:t>
            </w:r>
          </w:p>
        </w:tc>
      </w:tr>
      <w:tr>
        <w:trPr>
          <w:trHeight w:val="358"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利润</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6、分部信息" w:id="481"/>
      <w:bookmarkEnd w:id="481"/>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报告分部的确定依据与会计政策" w:id="482"/>
      <w:bookmarkEnd w:id="482"/>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54" w:firstLine="420"/>
        <w:jc w:val="left"/>
      </w:pPr>
      <w:r>
        <w:rPr/>
        <w:t>本公司以内部组织结构、管理要求、内部报告制度为依据确定经营分部。本公司的经营分部是指同时满足下列条件的 组成部分：</w:t>
      </w:r>
    </w:p>
    <w:p>
      <w:pPr>
        <w:pStyle w:val="BodyText"/>
        <w:spacing w:line="240" w:lineRule="auto" w:before="19"/>
        <w:ind w:left="532" w:right="0"/>
        <w:jc w:val="left"/>
      </w:pPr>
      <w:r>
        <w:rPr/>
        <w:t>（</w:t>
      </w:r>
      <w:r>
        <w:rPr>
          <w:rFonts w:ascii="Times New Roman" w:hAnsi="Times New Roman" w:cs="Times New Roman" w:eastAsia="Times New Roman" w:hint="default"/>
        </w:rPr>
        <w:t>1</w:t>
      </w:r>
      <w:r>
        <w:rPr/>
        <w:t>）该组成部分能够在日常活动中产生收入、发生费用；</w:t>
      </w:r>
    </w:p>
    <w:p>
      <w:pPr>
        <w:pStyle w:val="BodyText"/>
        <w:spacing w:line="240" w:lineRule="auto" w:before="63"/>
        <w:ind w:left="532" w:right="0"/>
        <w:jc w:val="left"/>
      </w:pPr>
      <w:r>
        <w:rPr/>
        <w:t>（</w:t>
      </w:r>
      <w:r>
        <w:rPr>
          <w:rFonts w:ascii="Times New Roman" w:hAnsi="Times New Roman" w:cs="Times New Roman" w:eastAsia="Times New Roman" w:hint="default"/>
        </w:rPr>
        <w:t>2</w:t>
      </w:r>
      <w:r>
        <w:rPr/>
        <w:t>）管理层能够定期评价该组成部分的经营成果，以决定向其配置资源、评价其业绩；</w:t>
      </w:r>
    </w:p>
    <w:p>
      <w:pPr>
        <w:pStyle w:val="BodyText"/>
        <w:spacing w:line="300" w:lineRule="auto" w:before="63"/>
        <w:ind w:left="532" w:right="3314"/>
        <w:jc w:val="left"/>
      </w:pPr>
      <w:r>
        <w:rPr/>
        <w:t>（</w:t>
      </w:r>
      <w:r>
        <w:rPr>
          <w:rFonts w:ascii="Times New Roman" w:hAnsi="Times New Roman" w:cs="Times New Roman" w:eastAsia="Times New Roman" w:hint="default"/>
        </w:rPr>
        <w:t>3</w:t>
      </w:r>
      <w:r>
        <w:rPr/>
        <w:t>）能够取得该组成部分的财务状况、经营成果和现金流量等有关会计信息。 本公司以经营分部为基础确定报告分部，满足下列条件之一的经营分部确定为报告分部：</w:t>
      </w:r>
    </w:p>
    <w:p>
      <w:pPr>
        <w:pStyle w:val="BodyText"/>
        <w:spacing w:line="240" w:lineRule="auto" w:before="31"/>
        <w:ind w:left="532" w:right="0"/>
        <w:jc w:val="left"/>
      </w:pPr>
      <w:r>
        <w:rPr/>
        <w:t>（</w:t>
      </w:r>
      <w:r>
        <w:rPr>
          <w:rFonts w:ascii="Times New Roman" w:hAnsi="Times New Roman" w:cs="Times New Roman" w:eastAsia="Times New Roman" w:hint="default"/>
        </w:rPr>
        <w:t>1</w:t>
      </w:r>
      <w:r>
        <w:rPr/>
        <w:t>）该经营分部的分部收入占所有分部收入合计的</w:t>
      </w:r>
      <w:r>
        <w:rPr>
          <w:rFonts w:ascii="Times New Roman" w:hAnsi="Times New Roman" w:cs="Times New Roman" w:eastAsia="Times New Roman" w:hint="default"/>
        </w:rPr>
        <w:t>10%</w:t>
      </w:r>
      <w:r>
        <w:rPr/>
        <w:t>或者以上；</w:t>
      </w:r>
    </w:p>
    <w:p>
      <w:pPr>
        <w:pStyle w:val="BodyText"/>
        <w:spacing w:line="300" w:lineRule="auto" w:before="63"/>
        <w:ind w:right="1116" w:firstLine="420"/>
        <w:jc w:val="left"/>
      </w:pPr>
      <w:r>
        <w:rPr>
          <w:spacing w:val="-1"/>
        </w:rPr>
        <w:t>（</w:t>
      </w:r>
      <w:r>
        <w:rPr>
          <w:rFonts w:ascii="Times New Roman" w:hAnsi="Times New Roman" w:cs="Times New Roman" w:eastAsia="Times New Roman" w:hint="default"/>
          <w:spacing w:val="-1"/>
        </w:rPr>
        <w:t>2</w:t>
      </w:r>
      <w:r>
        <w:rPr>
          <w:spacing w:val="-1"/>
        </w:rPr>
        <w:t>）该分部的分部利润（亏损）的绝对额，占所有盈利分部利润合计额或者所有亏损分部亏损合计额的绝对额两者中</w:t>
      </w:r>
      <w:r>
        <w:rPr/>
        <w:t> 较大者的</w:t>
      </w:r>
      <w:r>
        <w:rPr>
          <w:rFonts w:ascii="Times New Roman" w:hAnsi="Times New Roman" w:cs="Times New Roman" w:eastAsia="Times New Roman" w:hint="default"/>
        </w:rPr>
        <w:t>10%</w:t>
      </w:r>
      <w:r>
        <w:rPr/>
        <w:t>或者以上。</w:t>
      </w:r>
    </w:p>
    <w:p>
      <w:pPr>
        <w:pStyle w:val="BodyText"/>
        <w:spacing w:line="316" w:lineRule="auto" w:before="13"/>
        <w:ind w:right="1154" w:firstLine="420"/>
        <w:jc w:val="left"/>
      </w:pPr>
      <w:r>
        <w:rPr/>
        <w:t>本公司的业务单一，主要为软件开发，管理层将此业务视作为一个整体实施管理、评估经营成果，因此，本财务报表 不呈报分部信息。</w:t>
      </w:r>
    </w:p>
    <w:p>
      <w:pPr>
        <w:spacing w:line="240" w:lineRule="auto" w:before="6"/>
        <w:rPr>
          <w:rFonts w:ascii="宋体" w:hAnsi="宋体" w:cs="宋体" w:eastAsia="宋体" w:hint="default"/>
          <w:sz w:val="22"/>
          <w:szCs w:val="22"/>
        </w:rPr>
      </w:pPr>
    </w:p>
    <w:p>
      <w:pPr>
        <w:pStyle w:val="Heading5"/>
        <w:spacing w:line="240" w:lineRule="auto"/>
        <w:ind w:right="0"/>
        <w:jc w:val="left"/>
        <w:rPr>
          <w:b w:val="0"/>
          <w:bCs w:val="0"/>
        </w:rPr>
      </w:pPr>
      <w:bookmarkStart w:name="（2）报告分部的财务信息" w:id="483"/>
      <w:bookmarkEnd w:id="483"/>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bookmarkStart w:name="（3）公司无报告分部的，或者不能披露各报告分部的资产总额和负债总额的，应说明原因" w:id="484"/>
      <w:bookmarkEnd w:id="484"/>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4）其他说明" w:id="485"/>
      <w:bookmarkEnd w:id="485"/>
      <w:r>
        <w:rPr>
          <w:b w:val="0"/>
          <w:bCs w:val="0"/>
        </w:rPr>
      </w:r>
      <w:r>
        <w:rPr/>
        <w:t>（</w:t>
      </w:r>
      <w:r>
        <w:rPr>
          <w:rFonts w:ascii="Times New Roman" w:hAnsi="Times New Roman" w:cs="Times New Roman" w:eastAsia="Times New Roman" w:hint="default"/>
        </w:rPr>
        <w:t>4</w:t>
      </w:r>
      <w:r>
        <w:rPr/>
        <w:t>）其他说明</w:t>
      </w:r>
      <w:r>
        <w:rPr>
          <w:b w:val="0"/>
          <w:bCs w:val="0"/>
        </w:rPr>
      </w:r>
    </w:p>
    <w:p>
      <w:pPr>
        <w:spacing w:after="0" w:line="240" w:lineRule="auto"/>
        <w:jc w:val="left"/>
        <w:sectPr>
          <w:footerReference w:type="default" r:id="rId34"/>
          <w:pgSz w:w="11910" w:h="16840"/>
          <w:pgMar w:footer="978" w:header="746" w:top="1060" w:bottom="1160" w:left="1020" w:right="0"/>
          <w:pgNumType w:start="21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5"/>
        <w:spacing w:line="240" w:lineRule="auto" w:before="185"/>
        <w:ind w:right="0"/>
        <w:jc w:val="left"/>
        <w:rPr>
          <w:b w:val="0"/>
          <w:bCs w:val="0"/>
        </w:rPr>
      </w:pPr>
      <w:bookmarkStart w:name="7、其他对投资者决策有影响的重要交易和事项" w:id="486"/>
      <w:bookmarkEnd w:id="486"/>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0"/>
        <w:rPr>
          <w:rFonts w:ascii="宋体" w:hAnsi="宋体" w:cs="宋体" w:eastAsia="宋体" w:hint="default"/>
          <w:b/>
          <w:bCs/>
          <w:sz w:val="24"/>
          <w:szCs w:val="24"/>
        </w:rPr>
      </w:pPr>
    </w:p>
    <w:p>
      <w:pPr>
        <w:spacing w:line="484" w:lineRule="auto" w:before="0"/>
        <w:ind w:left="112" w:right="6899" w:firstLine="0"/>
        <w:jc w:val="left"/>
        <w:rPr>
          <w:rFonts w:ascii="宋体" w:hAnsi="宋体" w:cs="宋体" w:eastAsia="宋体" w:hint="default"/>
          <w:sz w:val="21"/>
          <w:szCs w:val="21"/>
        </w:rPr>
      </w:pPr>
      <w:bookmarkStart w:name="8、其他" w:id="487"/>
      <w:bookmarkEnd w:id="48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七、母公司财务报表主要项目注释" w:id="488"/>
      <w:bookmarkEnd w:id="488"/>
      <w:r>
        <w:rPr>
          <w:rFonts w:ascii="宋体" w:hAnsi="宋体" w:cs="宋体" w:eastAsia="宋体" w:hint="default"/>
          <w:b/>
          <w:bCs/>
          <w:w w:val="99"/>
          <w:sz w:val="21"/>
          <w:szCs w:val="21"/>
        </w:rPr>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bookmarkStart w:name="1、应收票据及应收账款" w:id="489"/>
      <w:bookmarkEnd w:id="48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pStyle w:val="BodyText"/>
        <w:spacing w:line="240" w:lineRule="auto" w:before="112"/>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560,560,400.82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484,347,349.52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560,560,400.82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484,347,349.52</w:t>
            </w:r>
          </w:p>
        </w:tc>
      </w:tr>
    </w:tbl>
    <w:p>
      <w:pPr>
        <w:spacing w:line="240" w:lineRule="auto" w:before="5"/>
        <w:rPr>
          <w:rFonts w:ascii="宋体" w:hAnsi="宋体" w:cs="宋体" w:eastAsia="宋体" w:hint="default"/>
          <w:sz w:val="19"/>
          <w:szCs w:val="19"/>
        </w:rPr>
      </w:pPr>
    </w:p>
    <w:p>
      <w:pPr>
        <w:pStyle w:val="Heading5"/>
        <w:spacing w:line="240" w:lineRule="auto" w:before="34"/>
        <w:ind w:right="0"/>
        <w:jc w:val="left"/>
        <w:rPr>
          <w:b w:val="0"/>
          <w:bCs w:val="0"/>
        </w:rPr>
      </w:pPr>
      <w:bookmarkStart w:name="（1）应收票据" w:id="490"/>
      <w:bookmarkEnd w:id="490"/>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0" w:right="1132"/>
        <w:jc w:val="right"/>
      </w:pPr>
      <w:r>
        <w:rPr/>
        <w:t>单位：</w:t>
      </w:r>
      <w:r>
        <w:rPr>
          <w:spacing w:val="-2"/>
        </w:rPr>
        <w:t> </w:t>
      </w:r>
      <w:r>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9;height:397" coordorigin="13,12" coordsize="4779,397">
              <v:shape style="position:absolute;left:13;top:12;width:4779;height:397" coordorigin="13,12" coordsize="4779,397" path="m13,12l4792,12,4792,409,13,409,13,12xe" filled="true" fillcolor="#d2d2d2" stroked="false">
                <v:path arrowok="t"/>
                <v:fill type="solid"/>
              </v:shape>
            </v:group>
            <v:group style="position:absolute;left:4797;top:12;width:4779;height:397" coordorigin="4797,12" coordsize="4779,397">
              <v:shape style="position:absolute;left:4797;top:12;width:4779;height:397" coordorigin="4797,12" coordsize="4779,397" path="m4797,12l9576,12,9576,409,4797,409,4797,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期末已质押金额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51"/>
        <w:ind w:right="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1"/>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2"/>
        <w:rPr>
          <w:rFonts w:ascii="宋体" w:hAnsi="宋体" w:cs="宋体" w:eastAsia="宋体" w:hint="default"/>
          <w:sz w:val="19"/>
          <w:szCs w:val="19"/>
        </w:rPr>
      </w:pPr>
    </w:p>
    <w:p>
      <w:pPr>
        <w:pStyle w:val="Heading5"/>
        <w:spacing w:line="240" w:lineRule="auto" w:before="34"/>
        <w:ind w:right="0"/>
        <w:jc w:val="left"/>
        <w:rPr>
          <w:b w:val="0"/>
          <w:bCs w:val="0"/>
        </w:rPr>
      </w:pPr>
      <w:bookmarkStart w:name="4)期末公司因出票人未履约而将其转应收账款的票据" w:id="491"/>
      <w:bookmarkEnd w:id="491"/>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9;height:397" coordorigin="13,12" coordsize="4779,397">
              <v:shape style="position:absolute;left:13;top:12;width:4779;height:397" coordorigin="13,12" coordsize="4779,397" path="m13,12l4792,12,4792,409,13,409,13,12xe" filled="true" fillcolor="#d2d2d2" stroked="false">
                <v:path arrowok="t"/>
                <v:fill type="solid"/>
              </v:shape>
            </v:group>
            <v:group style="position:absolute;left:4797;top:12;width:4779;height:397" coordorigin="4797,12" coordsize="4779,397">
              <v:shape style="position:absolute;left:4797;top:12;width:4779;height:397" coordorigin="4797,12" coordsize="4779,397" path="m4797,12l9576,12,9576,409,4797,409,4797,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4;top:5;width:2;height:402" coordorigin="4794,5" coordsize="2,402">
              <v:shape style="position:absolute;left:4794;top:5;width:2;height:402" coordorigin="4794,5" coordsize="0,402" path="m4794,5l4794,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5"/>
                        <w:ind w:left="1582" w:right="0" w:firstLine="0"/>
                        <w:jc w:val="left"/>
                        <w:rPr>
                          <w:rFonts w:ascii="宋体" w:hAnsi="宋体" w:cs="宋体" w:eastAsia="宋体" w:hint="default"/>
                          <w:sz w:val="18"/>
                          <w:szCs w:val="18"/>
                        </w:rPr>
                      </w:pPr>
                      <w:r>
                        <w:rPr>
                          <w:rFonts w:ascii="宋体" w:hAnsi="宋体" w:cs="宋体" w:eastAsia="宋体" w:hint="default"/>
                          <w:sz w:val="18"/>
                          <w:szCs w:val="18"/>
                        </w:rPr>
                        <w:t>期末转应收账款金额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2）应收账款" w:id="492"/>
      <w:bookmarkEnd w:id="492"/>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0"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651,015,</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157.23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90,454,7</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56.41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13.89%</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560,560,4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00.82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548,693</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,620.99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64,346,27</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1.47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11.73%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484,347,34</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9.52</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651,015,</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157.23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90,454,7</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56.41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13.89%</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560,560,4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00.82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548,693</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,620.99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64,346,27</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1.47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11.73%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484,347,34</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9.52</w:t>
            </w:r>
          </w:p>
        </w:tc>
      </w:tr>
    </w:tbl>
    <w:p>
      <w:pPr>
        <w:spacing w:after="0" w:line="240" w:lineRule="auto"/>
        <w:jc w:val="left"/>
        <w:rPr>
          <w:rFonts w:ascii="Times New Roman" w:hAnsi="Times New Roman" w:cs="Times New Roman" w:eastAsia="Times New Roman" w:hint="default"/>
          <w:sz w:val="18"/>
          <w:szCs w:val="18"/>
        </w:rPr>
        <w:sectPr>
          <w:pgSz w:w="11910" w:h="16840"/>
          <w:pgMar w:header="746" w:footer="978" w:top="1060" w:bottom="1160" w:left="1020" w:right="0"/>
        </w:sectPr>
      </w:pPr>
    </w:p>
    <w:p>
      <w:pPr>
        <w:pStyle w:val="BodyText"/>
        <w:spacing w:line="240" w:lineRule="auto" w:before="50"/>
        <w:ind w:right="-20"/>
        <w:jc w:val="left"/>
      </w:pPr>
      <w:r>
        <w:rPr/>
        <w:t>期末单项金额重大并单项计提坏账准备的应收账款：</w:t>
      </w:r>
    </w:p>
    <w:p>
      <w:pPr>
        <w:pStyle w:val="BodyText"/>
        <w:spacing w:line="340"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组合中，按账龄分析法计提坏账准备的应收账款：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0"/>
          <w:cols w:num="2" w:equalWidth="0">
            <w:col w:w="4253" w:space="4576"/>
            <w:col w:w="206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386,989,320.86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19,349,466.04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386,989,320.86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19,349,466.04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97,205,112.00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9,720,511.20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69,412,621.82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13,882,524.36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40,132,158.96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20,066,079.48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12,723,962.14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6,361,981.07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21,074,194.26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21,074,194.26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627,537,370.04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90,454,756.41</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1020" w:right="0"/>
        </w:sectPr>
      </w:pPr>
    </w:p>
    <w:p>
      <w:pPr>
        <w:pStyle w:val="BodyText"/>
        <w:spacing w:line="360" w:lineRule="auto" w:before="51"/>
        <w:ind w:right="2052"/>
        <w:jc w:val="left"/>
      </w:pPr>
      <w:r>
        <w:rPr/>
        <w:t>确定该组合依据的说明： 组合中，采用余额百分比法计提坏账准备的应收账款：</w:t>
      </w:r>
    </w:p>
    <w:p>
      <w:pPr>
        <w:pStyle w:val="BodyText"/>
        <w:spacing w:line="350" w:lineRule="auto" w:before="25"/>
        <w:ind w:right="2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340" w:lineRule="auto" w:before="9"/>
        <w:ind w:right="-8"/>
        <w:jc w:val="left"/>
      </w:pPr>
      <w:r>
        <w:rPr/>
        <w:t>本期计提坏账准备金额</w:t>
      </w:r>
      <w:r>
        <w:rPr>
          <w:spacing w:val="-47"/>
        </w:rPr>
        <w:t> </w:t>
      </w:r>
      <w:r>
        <w:rPr>
          <w:rFonts w:ascii="Times New Roman" w:hAnsi="Times New Roman" w:cs="Times New Roman" w:eastAsia="Times New Roman" w:hint="default"/>
        </w:rPr>
        <w:t>26,108,484.94</w:t>
      </w:r>
      <w:r>
        <w:rPr>
          <w:rFonts w:ascii="Times New Roman" w:hAnsi="Times New Roman" w:cs="Times New Roman" w:eastAsia="Times New Roman" w:hint="default"/>
          <w:spacing w:val="-3"/>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2"/>
        </w:rPr>
        <w:t> </w:t>
      </w:r>
      <w:r>
        <w:rPr/>
        <w:t>元</w:t>
      </w:r>
    </w:p>
    <w:p>
      <w:pPr>
        <w:spacing w:after="0" w:line="240" w:lineRule="auto"/>
        <w:jc w:val="left"/>
        <w:sectPr>
          <w:type w:val="continuous"/>
          <w:pgSz w:w="11910" w:h="16840"/>
          <w:pgMar w:top="1060" w:bottom="1160" w:left="1020" w:right="0"/>
          <w:cols w:num="2" w:equalWidth="0">
            <w:col w:w="6505" w:space="2325"/>
            <w:col w:w="2060"/>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2"/>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1"/>
        <w:ind w:left="0" w:right="1132"/>
        <w:jc w:val="right"/>
      </w:pPr>
      <w:r>
        <w:rPr/>
        <w:t>单位：</w:t>
      </w:r>
      <w:r>
        <w:rPr>
          <w:spacing w:val="-2"/>
        </w:rPr>
        <w:t> </w:t>
      </w:r>
      <w:r>
        <w:rPr/>
        <w:t>元</w:t>
      </w:r>
    </w:p>
    <w:p>
      <w:pPr>
        <w:spacing w:line="240" w:lineRule="auto" w:before="10"/>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978;height:397" coordorigin="13,13" coordsize="4978,397">
              <v:shape style="position:absolute;left:13;top:13;width:4978;height:397" coordorigin="13,13" coordsize="4978,397" path="m13,13l4991,13,4991,410,13,410,13,13xe" filled="true" fillcolor="#d2d2d2" stroked="false">
                <v:path arrowok="t"/>
                <v:fill type="solid"/>
              </v:shape>
            </v:group>
            <v:group style="position:absolute;left:4996;top:13;width:4580;height:397" coordorigin="4996,13" coordsize="4580,397">
              <v:shape style="position:absolute;left:4996;top:13;width:4580;height:397" coordorigin="4996,13" coordsize="4580,397" path="m4996,13l9576,13,9576,410,4996,410,4996,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993;top:5;width:2;height:402" coordorigin="4993,5" coordsize="2,402">
              <v:shape style="position:absolute;left:4993;top:5;width:2;height:402" coordorigin="4993,5" coordsize="0,402" path="m4993,5l49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320;top:12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3;top:10;width:45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50"/>
        <w:ind w:right="0"/>
        <w:jc w:val="left"/>
      </w:pPr>
      <w:r>
        <w:rPr/>
        <w:t>其中重要的应收账款核销情况：</w:t>
      </w:r>
    </w:p>
    <w:p>
      <w:pPr>
        <w:pStyle w:val="BodyText"/>
        <w:spacing w:line="240" w:lineRule="auto" w:before="117"/>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408"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9"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82" w:right="0"/>
              <w:jc w:val="left"/>
              <w:rPr>
                <w:rFonts w:ascii="宋体" w:hAnsi="宋体" w:cs="宋体" w:eastAsia="宋体" w:hint="default"/>
                <w:sz w:val="18"/>
                <w:szCs w:val="18"/>
              </w:rPr>
            </w:pPr>
            <w:r>
              <w:rPr>
                <w:rFonts w:ascii="宋体" w:hAnsi="宋体" w:cs="宋体" w:eastAsia="宋体" w:hint="default"/>
                <w:sz w:val="18"/>
                <w:szCs w:val="18"/>
              </w:rPr>
              <w:t>款项是否由关联交</w:t>
            </w:r>
          </w:p>
        </w:tc>
      </w:tr>
    </w:tbl>
    <w:p>
      <w:pPr>
        <w:spacing w:after="0" w:line="240" w:lineRule="auto"/>
        <w:jc w:val="left"/>
        <w:rPr>
          <w:rFonts w:ascii="宋体" w:hAnsi="宋体" w:cs="宋体" w:eastAsia="宋体" w:hint="default"/>
          <w:sz w:val="18"/>
          <w:szCs w:val="18"/>
        </w:rPr>
        <w:sectPr>
          <w:type w:val="continuous"/>
          <w:pgSz w:w="11910" w:h="16840"/>
          <w:pgMar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36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31" w:right="0"/>
              <w:jc w:val="left"/>
              <w:rPr>
                <w:rFonts w:ascii="宋体" w:hAnsi="宋体" w:cs="宋体" w:eastAsia="宋体" w:hint="default"/>
                <w:sz w:val="18"/>
                <w:szCs w:val="18"/>
              </w:rPr>
            </w:pPr>
            <w:r>
              <w:rPr>
                <w:rFonts w:ascii="宋体" w:hAnsi="宋体" w:cs="宋体" w:eastAsia="宋体" w:hint="default"/>
                <w:sz w:val="18"/>
                <w:szCs w:val="18"/>
              </w:rPr>
              <w:t>易产生</w:t>
            </w:r>
          </w:p>
        </w:tc>
      </w:tr>
    </w:tbl>
    <w:p>
      <w:pPr>
        <w:pStyle w:val="BodyText"/>
        <w:spacing w:line="240" w:lineRule="auto" w:before="50"/>
        <w:ind w:right="0"/>
        <w:jc w:val="left"/>
      </w:pPr>
      <w:r>
        <w:rPr/>
        <w:t>应收账款核销说明：</w:t>
      </w:r>
    </w:p>
    <w:p>
      <w:pPr>
        <w:pStyle w:val="BodyText"/>
        <w:spacing w:line="240" w:lineRule="auto" w:before="117"/>
        <w:ind w:right="0"/>
        <w:jc w:val="left"/>
      </w:pPr>
      <w:r>
        <w:rPr>
          <w:rFonts w:ascii="Times New Roman" w:hAnsi="Times New Roman" w:cs="Times New Roman" w:eastAsia="Times New Roman" w:hint="default"/>
        </w:rPr>
        <w:t>4)</w:t>
      </w:r>
      <w:r>
        <w:rPr/>
        <w:t>按欠款方归集的期末余额前五名的应收账款情况</w:t>
      </w:r>
    </w:p>
    <w:p>
      <w:pPr>
        <w:spacing w:line="240" w:lineRule="auto" w:before="0"/>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317"/>
        <w:gridCol w:w="1800"/>
        <w:gridCol w:w="1559"/>
        <w:gridCol w:w="1836"/>
      </w:tblGrid>
      <w:tr>
        <w:trPr>
          <w:trHeight w:val="666" w:hRule="exact"/>
        </w:trPr>
        <w:tc>
          <w:tcPr>
            <w:tcW w:w="33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5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279" w:right="51" w:hanging="228"/>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 额的比例</w:t>
            </w:r>
            <w:r>
              <w:rPr>
                <w:rFonts w:ascii="Times New Roman" w:hAnsi="Times New Roman" w:cs="Times New Roman" w:eastAsia="Times New Roman" w:hint="default"/>
                <w:sz w:val="18"/>
                <w:szCs w:val="18"/>
              </w:rPr>
              <w:t>(%)</w:t>
            </w:r>
          </w:p>
        </w:tc>
        <w:tc>
          <w:tcPr>
            <w:tcW w:w="183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280"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62" w:hRule="exact"/>
        </w:trPr>
        <w:tc>
          <w:tcPr>
            <w:tcW w:w="33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34,141,455.28</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419"/>
              <w:jc w:val="right"/>
              <w:rPr>
                <w:rFonts w:ascii="Times New Roman" w:hAnsi="Times New Roman" w:cs="Times New Roman" w:eastAsia="Times New Roman" w:hint="default"/>
                <w:sz w:val="18"/>
                <w:szCs w:val="18"/>
              </w:rPr>
            </w:pPr>
            <w:r>
              <w:rPr>
                <w:rFonts w:ascii="Times New Roman"/>
                <w:sz w:val="18"/>
              </w:rPr>
              <w:t>5.24</w:t>
            </w:r>
          </w:p>
        </w:tc>
        <w:tc>
          <w:tcPr>
            <w:tcW w:w="18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1,842,503.53</w:t>
            </w:r>
          </w:p>
        </w:tc>
      </w:tr>
      <w:tr>
        <w:trPr>
          <w:trHeight w:val="362" w:hRule="exact"/>
        </w:trPr>
        <w:tc>
          <w:tcPr>
            <w:tcW w:w="33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26,074,370.00</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419"/>
              <w:jc w:val="right"/>
              <w:rPr>
                <w:rFonts w:ascii="Times New Roman" w:hAnsi="Times New Roman" w:cs="Times New Roman" w:eastAsia="Times New Roman" w:hint="default"/>
                <w:sz w:val="18"/>
                <w:szCs w:val="18"/>
              </w:rPr>
            </w:pPr>
            <w:r>
              <w:rPr>
                <w:rFonts w:ascii="Times New Roman"/>
                <w:sz w:val="18"/>
              </w:rPr>
              <w:t>4.01</w:t>
            </w:r>
          </w:p>
        </w:tc>
        <w:tc>
          <w:tcPr>
            <w:tcW w:w="18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4,054,358.50</w:t>
            </w:r>
          </w:p>
        </w:tc>
      </w:tr>
      <w:tr>
        <w:trPr>
          <w:trHeight w:val="362" w:hRule="exact"/>
        </w:trPr>
        <w:tc>
          <w:tcPr>
            <w:tcW w:w="33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3"/>
              <w:ind w:left="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25,982,696.60</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419"/>
              <w:jc w:val="right"/>
              <w:rPr>
                <w:rFonts w:ascii="Times New Roman" w:hAnsi="Times New Roman" w:cs="Times New Roman" w:eastAsia="Times New Roman" w:hint="default"/>
                <w:sz w:val="18"/>
                <w:szCs w:val="18"/>
              </w:rPr>
            </w:pPr>
            <w:r>
              <w:rPr>
                <w:rFonts w:ascii="Times New Roman"/>
                <w:sz w:val="18"/>
              </w:rPr>
              <w:t>3.99</w:t>
            </w:r>
          </w:p>
        </w:tc>
        <w:tc>
          <w:tcPr>
            <w:tcW w:w="18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7,697,541.50</w:t>
            </w:r>
          </w:p>
        </w:tc>
      </w:tr>
      <w:tr>
        <w:trPr>
          <w:trHeight w:val="362" w:hRule="exact"/>
        </w:trPr>
        <w:tc>
          <w:tcPr>
            <w:tcW w:w="33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25,584,508.07</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419"/>
              <w:jc w:val="right"/>
              <w:rPr>
                <w:rFonts w:ascii="Times New Roman" w:hAnsi="Times New Roman" w:cs="Times New Roman" w:eastAsia="Times New Roman" w:hint="default"/>
                <w:sz w:val="18"/>
                <w:szCs w:val="18"/>
              </w:rPr>
            </w:pPr>
            <w:r>
              <w:rPr>
                <w:rFonts w:ascii="Times New Roman"/>
                <w:sz w:val="18"/>
              </w:rPr>
              <w:t>3.93</w:t>
            </w:r>
          </w:p>
        </w:tc>
        <w:tc>
          <w:tcPr>
            <w:tcW w:w="18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6"/>
              <w:jc w:val="right"/>
              <w:rPr>
                <w:rFonts w:ascii="Times New Roman" w:hAnsi="Times New Roman" w:cs="Times New Roman" w:eastAsia="Times New Roman" w:hint="default"/>
                <w:sz w:val="18"/>
                <w:szCs w:val="18"/>
              </w:rPr>
            </w:pPr>
            <w:r>
              <w:rPr>
                <w:rFonts w:ascii="Times New Roman"/>
                <w:spacing w:val="-1"/>
                <w:sz w:val="18"/>
              </w:rPr>
              <w:t>3,681,766.31</w:t>
            </w:r>
          </w:p>
        </w:tc>
      </w:tr>
      <w:tr>
        <w:trPr>
          <w:trHeight w:val="362" w:hRule="exact"/>
        </w:trPr>
        <w:tc>
          <w:tcPr>
            <w:tcW w:w="33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25,196,083.80</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3"/>
              <w:ind w:right="419"/>
              <w:jc w:val="right"/>
              <w:rPr>
                <w:rFonts w:ascii="Times New Roman" w:hAnsi="Times New Roman" w:cs="Times New Roman" w:eastAsia="Times New Roman" w:hint="default"/>
                <w:sz w:val="18"/>
                <w:szCs w:val="18"/>
              </w:rPr>
            </w:pPr>
            <w:r>
              <w:rPr>
                <w:rFonts w:ascii="Times New Roman"/>
                <w:sz w:val="18"/>
              </w:rPr>
              <w:t>3.87</w:t>
            </w:r>
          </w:p>
        </w:tc>
        <w:tc>
          <w:tcPr>
            <w:tcW w:w="18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3"/>
              <w:ind w:right="6"/>
              <w:jc w:val="right"/>
              <w:rPr>
                <w:rFonts w:ascii="Times New Roman" w:hAnsi="Times New Roman" w:cs="Times New Roman" w:eastAsia="Times New Roman" w:hint="default"/>
                <w:sz w:val="18"/>
                <w:szCs w:val="18"/>
              </w:rPr>
            </w:pPr>
            <w:r>
              <w:rPr>
                <w:rFonts w:ascii="Times New Roman"/>
                <w:spacing w:val="-1"/>
                <w:sz w:val="18"/>
              </w:rPr>
              <w:t>2,160,191.51</w:t>
            </w:r>
          </w:p>
        </w:tc>
      </w:tr>
      <w:tr>
        <w:trPr>
          <w:trHeight w:val="362" w:hRule="exact"/>
        </w:trPr>
        <w:tc>
          <w:tcPr>
            <w:tcW w:w="33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136,979,113.75</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4"/>
              <w:ind w:right="419"/>
              <w:jc w:val="right"/>
              <w:rPr>
                <w:rFonts w:ascii="Times New Roman" w:hAnsi="Times New Roman" w:cs="Times New Roman" w:eastAsia="Times New Roman" w:hint="default"/>
                <w:sz w:val="18"/>
                <w:szCs w:val="18"/>
              </w:rPr>
            </w:pPr>
            <w:r>
              <w:rPr>
                <w:rFonts w:ascii="Times New Roman"/>
                <w:sz w:val="18"/>
              </w:rPr>
              <w:t>21.04</w:t>
            </w:r>
          </w:p>
        </w:tc>
        <w:tc>
          <w:tcPr>
            <w:tcW w:w="18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4"/>
              <w:ind w:right="6"/>
              <w:jc w:val="right"/>
              <w:rPr>
                <w:rFonts w:ascii="Times New Roman" w:hAnsi="Times New Roman" w:cs="Times New Roman" w:eastAsia="Times New Roman" w:hint="default"/>
                <w:sz w:val="18"/>
                <w:szCs w:val="18"/>
              </w:rPr>
            </w:pPr>
            <w:r>
              <w:rPr>
                <w:rFonts w:ascii="Times New Roman"/>
                <w:spacing w:val="-1"/>
                <w:sz w:val="18"/>
              </w:rPr>
              <w:t>19,436,361.35</w:t>
            </w:r>
          </w:p>
        </w:tc>
      </w:tr>
    </w:tbl>
    <w:p>
      <w:pPr>
        <w:spacing w:line="240" w:lineRule="auto" w:before="4"/>
        <w:rPr>
          <w:rFonts w:ascii="宋体" w:hAnsi="宋体" w:cs="宋体" w:eastAsia="宋体" w:hint="default"/>
          <w:sz w:val="24"/>
          <w:szCs w:val="24"/>
        </w:rPr>
      </w:pPr>
    </w:p>
    <w:p>
      <w:pPr>
        <w:pStyle w:val="BodyText"/>
        <w:spacing w:line="240" w:lineRule="auto" w:before="44"/>
        <w:ind w:right="0"/>
        <w:jc w:val="left"/>
      </w:pPr>
      <w:r>
        <w:rPr>
          <w:rFonts w:ascii="Times New Roman" w:hAnsi="Times New Roman" w:cs="Times New Roman" w:eastAsia="Times New Roman" w:hint="default"/>
        </w:rPr>
        <w:t>5)</w:t>
      </w:r>
      <w:r>
        <w:rPr/>
        <w:t>因金融资产转移而终止确认的应收账款</w:t>
      </w:r>
    </w:p>
    <w:p>
      <w:pPr>
        <w:pStyle w:val="BodyText"/>
        <w:spacing w:line="340" w:lineRule="auto" w:before="103"/>
        <w:ind w:right="6824"/>
        <w:jc w:val="left"/>
      </w:pPr>
      <w:r>
        <w:rPr>
          <w:rFonts w:ascii="Times New Roman" w:hAnsi="Times New Roman" w:cs="Times New Roman" w:eastAsia="Times New Roman" w:hint="default"/>
        </w:rPr>
        <w:t>6)</w:t>
      </w:r>
      <w:r>
        <w:rPr/>
        <w:t>转移应收账款且继续涉入形成的资产、负债金额 其他说明：</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bookmarkStart w:name="2、其他应收款" w:id="493"/>
      <w:bookmarkEnd w:id="493"/>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118,513,967.40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20,150,601.11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118,513,967.40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20,150,601.11</w:t>
            </w: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bookmarkStart w:name="（1）应收利息" w:id="494"/>
      <w:bookmarkEnd w:id="494"/>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rFonts w:ascii="Times New Roman" w:hAnsi="Times New Roman" w:cs="Times New Roman" w:eastAsia="Times New Roman" w:hint="default"/>
        </w:rPr>
        <w:t>2)</w:t>
      </w:r>
      <w:r>
        <w:rPr/>
        <w:t>重要逾期利息</w:t>
      </w:r>
    </w:p>
    <w:p>
      <w:pPr>
        <w:pStyle w:val="BodyText"/>
        <w:spacing w:line="240" w:lineRule="auto" w:before="101"/>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2）应收股利" w:id="495"/>
      <w:bookmarkEnd w:id="495"/>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应收股利</w:t>
      </w:r>
    </w:p>
    <w:p>
      <w:pPr>
        <w:pStyle w:val="BodyText"/>
        <w:spacing w:line="240" w:lineRule="auto" w:before="101"/>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2)</w:t>
      </w:r>
      <w:r>
        <w:rPr/>
        <w:t>重要的账龄超过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1"/>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3）其他应收款" w:id="496"/>
      <w:bookmarkEnd w:id="496"/>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1"/>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121,749,</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439.16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3,235,47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1.76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2.66%</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118,513,9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67.40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22,267,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909.09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2,117,307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20,150,601.</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pacing w:val="-2"/>
                <w:w w:val="95"/>
                <w:sz w:val="18"/>
              </w:rPr>
              <w:t>11</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121,749,</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439.16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3,235,47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1.76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2.66%</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left"/>
              <w:rPr>
                <w:rFonts w:ascii="Times New Roman" w:hAnsi="Times New Roman" w:cs="Times New Roman" w:eastAsia="Times New Roman" w:hint="default"/>
                <w:sz w:val="18"/>
                <w:szCs w:val="18"/>
              </w:rPr>
            </w:pPr>
            <w:r>
              <w:rPr>
                <w:rFonts w:ascii="Times New Roman"/>
                <w:sz w:val="18"/>
              </w:rPr>
              <w:t>118,513,9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67.40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22,267,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909.09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2,117,307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20,150,601.</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pacing w:val="-2"/>
                <w:w w:val="95"/>
                <w:sz w:val="18"/>
              </w:rPr>
              <w:t>11</w:t>
            </w:r>
          </w:p>
        </w:tc>
      </w:tr>
    </w:tbl>
    <w:p>
      <w:pPr>
        <w:spacing w:after="0" w:line="240" w:lineRule="auto"/>
        <w:jc w:val="right"/>
        <w:rPr>
          <w:rFonts w:ascii="Times New Roman" w:hAnsi="Times New Roman" w:cs="Times New Roman" w:eastAsia="Times New Roman" w:hint="default"/>
          <w:sz w:val="18"/>
          <w:szCs w:val="18"/>
        </w:rPr>
        <w:sectPr>
          <w:pgSz w:w="11910" w:h="16840"/>
          <w:pgMar w:header="746" w:footer="978" w:top="1060" w:bottom="1160" w:left="1020" w:right="0"/>
        </w:sectPr>
      </w:pPr>
    </w:p>
    <w:p>
      <w:pPr>
        <w:pStyle w:val="BodyText"/>
        <w:spacing w:line="240" w:lineRule="auto" w:before="50"/>
        <w:ind w:right="-20"/>
        <w:jc w:val="left"/>
      </w:pPr>
      <w:r>
        <w:rPr/>
        <w:t>期末单项金额重大并单项计提坏账准备的其他应收款：</w:t>
      </w:r>
    </w:p>
    <w:p>
      <w:pPr>
        <w:pStyle w:val="BodyText"/>
        <w:spacing w:line="340"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组合中，按账龄分析法计提坏账准备的其他应收款：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0"/>
          <w:cols w:num="2" w:equalWidth="0">
            <w:col w:w="4433" w:space="4396"/>
            <w:col w:w="206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6,802,402.19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340,120.11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3,603,896.78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360,389.68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4,914,473.96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982,894.79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1,693,206.75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846,603.38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316,725.20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158,362.60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547,101.20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547,101.20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17,877,806.08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3,235,471.76</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2"/>
        <w:ind w:right="6254"/>
        <w:jc w:val="left"/>
      </w:pPr>
      <w:r>
        <w:rPr/>
        <w:t>确定该组合依据的说明： 组合中，采用余额百分比法计提坏账准备的其他应收款：</w:t>
      </w:r>
    </w:p>
    <w:p>
      <w:pPr>
        <w:pStyle w:val="BodyText"/>
        <w:spacing w:line="340" w:lineRule="auto" w:before="29"/>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组合中，采用其他方法计提坏账准备的其他应收款：</w:t>
      </w:r>
    </w:p>
    <w:p>
      <w:pPr>
        <w:spacing w:after="0" w:line="340" w:lineRule="auto"/>
        <w:jc w:val="left"/>
        <w:sectPr>
          <w:type w:val="continuous"/>
          <w:pgSz w:w="11910" w:h="16840"/>
          <w:pgMar w:top="1060" w:bottom="1160" w:left="1020" w:right="0"/>
        </w:sect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6" w:footer="978" w:top="1060" w:bottom="1160" w:left="1020" w:right="0"/>
        </w:sectPr>
      </w:pPr>
    </w:p>
    <w:p>
      <w:pPr>
        <w:pStyle w:val="BodyText"/>
        <w:spacing w:line="240" w:lineRule="auto" w:before="44"/>
        <w:ind w:right="-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pStyle w:val="BodyText"/>
        <w:spacing w:line="240" w:lineRule="auto" w:before="101"/>
        <w:ind w:right="-10"/>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3"/>
        <w:ind w:right="-10"/>
        <w:jc w:val="left"/>
      </w:pPr>
      <w:r>
        <w:rPr/>
        <w:t>本期计提坏账准备金额</w:t>
      </w:r>
      <w:r>
        <w:rPr>
          <w:spacing w:val="-48"/>
        </w:rPr>
        <w:t> </w:t>
      </w:r>
      <w:r>
        <w:rPr>
          <w:rFonts w:ascii="Times New Roman" w:hAnsi="Times New Roman" w:cs="Times New Roman" w:eastAsia="Times New Roman" w:hint="default"/>
        </w:rPr>
        <w:t>1,118,163.78</w:t>
      </w:r>
      <w:r>
        <w:rPr>
          <w:rFonts w:ascii="Times New Roman" w:hAnsi="Times New Roman" w:cs="Times New Roman" w:eastAsia="Times New Roman" w:hint="default"/>
          <w:spacing w:val="-4"/>
        </w:rPr>
        <w:t> </w:t>
      </w:r>
      <w:r>
        <w:rPr/>
        <w:t>元；本期收回或转回坏账准备金额</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0"/>
          <w:cols w:num="2" w:equalWidth="0">
            <w:col w:w="6409" w:space="2421"/>
            <w:col w:w="2060"/>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0"/>
        <w:ind w:right="0"/>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3"/>
        <w:ind w:left="0" w:right="1132"/>
        <w:jc w:val="right"/>
      </w:pPr>
      <w:r>
        <w:rPr/>
        <w:t>单位：</w:t>
      </w:r>
      <w:r>
        <w:rPr>
          <w:spacing w:val="-2"/>
        </w:rPr>
        <w:t> </w:t>
      </w:r>
      <w:r>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978;height:397" coordorigin="13,13" coordsize="4978,397">
              <v:shape style="position:absolute;left:13;top:13;width:4978;height:397" coordorigin="13,13" coordsize="4978,397" path="m13,13l4991,13,4991,410,13,410,13,13xe" filled="true" fillcolor="#d2d2d2" stroked="false">
                <v:path arrowok="t"/>
                <v:fill type="solid"/>
              </v:shape>
            </v:group>
            <v:group style="position:absolute;left:4996;top:13;width:4580;height:397" coordorigin="4996,13" coordsize="4580,397">
              <v:shape style="position:absolute;left:4996;top:13;width:4580;height:397" coordorigin="4996,13" coordsize="4580,397" path="m4996,13l9576,13,9576,410,4996,410,4996,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993;top:5;width:2;height:402" coordorigin="4993,5" coordsize="2,402">
              <v:shape style="position:absolute;left:4993;top:5;width:2;height:402" coordorigin="4993,5" coordsize="0,402" path="m4993,5l49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320;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3;top:10;width:4585;height:402"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51"/>
        <w:ind w:right="0"/>
        <w:jc w:val="left"/>
      </w:pPr>
      <w:r>
        <w:rPr/>
        <w:t>其中重要的其他应收款核销情况：</w:t>
      </w:r>
    </w:p>
    <w:p>
      <w:pPr>
        <w:pStyle w:val="BodyText"/>
        <w:spacing w:line="240" w:lineRule="auto" w:before="117"/>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31"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1020" w:right="0"/>
        </w:sectPr>
      </w:pPr>
    </w:p>
    <w:p>
      <w:pPr>
        <w:pStyle w:val="BodyText"/>
        <w:spacing w:line="240" w:lineRule="auto" w:before="52"/>
        <w:ind w:right="-18"/>
        <w:jc w:val="left"/>
      </w:pPr>
      <w:r>
        <w:rPr/>
        <w:t>其他应收款核销说明：</w:t>
      </w:r>
    </w:p>
    <w:p>
      <w:pPr>
        <w:pStyle w:val="BodyText"/>
        <w:spacing w:line="240" w:lineRule="auto" w:before="115"/>
        <w:ind w:right="-18"/>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160" w:left="1020" w:right="0"/>
          <w:cols w:num="2" w:equalWidth="0">
            <w:col w:w="2785" w:space="6045"/>
            <w:col w:w="2060"/>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6,726,879.20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6,553,646.31</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5,011,906.79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4,476,972.75</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4,591,498.53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4,203,235.23</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合并范围内往来款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103,871,633.08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5,581,488.71</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社保及公积金（个人部分）</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209,233.37</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1,338,288.19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1,452,566.09</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121,749,439.16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22,267,909.09</w:t>
            </w:r>
          </w:p>
        </w:tc>
      </w:tr>
    </w:tbl>
    <w:p>
      <w:pPr>
        <w:pStyle w:val="BodyText"/>
        <w:spacing w:line="240" w:lineRule="auto" w:before="50"/>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1,606,820.58</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480,503.05</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招标履约保证金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942,000.00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0.77%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待退回咨询服务费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700,000.00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0.57%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招标履约保证金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580,500.00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0.48%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132,142.50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待退回宣传费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475,728.16</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0.40%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237,864.08</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4,305,048.74</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1,104,509.63</w:t>
            </w:r>
          </w:p>
        </w:tc>
      </w:tr>
    </w:tbl>
    <w:p>
      <w:pPr>
        <w:pStyle w:val="BodyText"/>
        <w:spacing w:line="240" w:lineRule="auto" w:before="50"/>
        <w:ind w:right="0"/>
        <w:jc w:val="left"/>
      </w:pPr>
      <w:r>
        <w:rPr>
          <w:rFonts w:ascii="Times New Roman" w:hAnsi="Times New Roman" w:cs="Times New Roman" w:eastAsia="Times New Roman" w:hint="default"/>
        </w:rPr>
        <w:t>6)</w:t>
      </w:r>
      <w:r>
        <w:rPr/>
        <w:t>涉及政府补助的应收款项</w:t>
      </w:r>
    </w:p>
    <w:p>
      <w:pPr>
        <w:pStyle w:val="BodyText"/>
        <w:spacing w:line="240" w:lineRule="auto" w:before="103"/>
        <w:ind w:left="0" w:right="1132"/>
        <w:jc w:val="right"/>
      </w:pPr>
      <w:r>
        <w:rPr/>
        <w:t>单位：</w:t>
      </w:r>
      <w:r>
        <w:rPr>
          <w:spacing w:val="-2"/>
        </w:rPr>
        <w:t> </w:t>
      </w:r>
      <w:r>
        <w:rPr/>
        <w:t>元</w:t>
      </w:r>
    </w:p>
    <w:p>
      <w:pPr>
        <w:spacing w:after="0" w:line="240" w:lineRule="auto"/>
        <w:jc w:val="right"/>
        <w:sectPr>
          <w:type w:val="continuous"/>
          <w:pgSz w:w="11910" w:h="16840"/>
          <w:pgMar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025"/>
        <w:gridCol w:w="1866"/>
        <w:gridCol w:w="1867"/>
        <w:gridCol w:w="1867"/>
        <w:gridCol w:w="1944"/>
      </w:tblGrid>
      <w:tr>
        <w:trPr>
          <w:trHeight w:val="714"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7" w:right="64" w:hanging="629"/>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51"/>
        <w:ind w:right="0"/>
        <w:jc w:val="left"/>
      </w:pPr>
      <w:r>
        <w:rPr>
          <w:rFonts w:ascii="Times New Roman" w:hAnsi="Times New Roman" w:cs="Times New Roman" w:eastAsia="Times New Roman" w:hint="default"/>
        </w:rPr>
        <w:t>7)</w:t>
      </w:r>
      <w:r>
        <w:rPr/>
        <w:t>因金融资产转移而终止确认的其他应收款</w:t>
      </w:r>
    </w:p>
    <w:p>
      <w:pPr>
        <w:pStyle w:val="BodyText"/>
        <w:spacing w:line="338" w:lineRule="auto" w:before="103"/>
        <w:ind w:right="6644"/>
        <w:jc w:val="left"/>
      </w:pPr>
      <w:r>
        <w:rPr>
          <w:rFonts w:ascii="Times New Roman" w:hAnsi="Times New Roman" w:cs="Times New Roman" w:eastAsia="Times New Roman" w:hint="default"/>
        </w:rPr>
        <w:t>8)</w:t>
      </w:r>
      <w:r>
        <w:rPr/>
        <w:t>转移其他应收款且继续涉入形成的资产、负债金额 其他说明：</w:t>
      </w:r>
    </w:p>
    <w:p>
      <w:pPr>
        <w:spacing w:line="240" w:lineRule="auto" w:before="5"/>
        <w:rPr>
          <w:rFonts w:ascii="宋体" w:hAnsi="宋体" w:cs="宋体" w:eastAsia="宋体" w:hint="default"/>
          <w:sz w:val="21"/>
          <w:szCs w:val="21"/>
        </w:rPr>
      </w:pPr>
    </w:p>
    <w:p>
      <w:pPr>
        <w:pStyle w:val="Heading5"/>
        <w:spacing w:line="240" w:lineRule="auto"/>
        <w:ind w:right="0"/>
        <w:jc w:val="left"/>
        <w:rPr>
          <w:b w:val="0"/>
          <w:bCs w:val="0"/>
        </w:rPr>
      </w:pPr>
      <w:bookmarkStart w:name="3、长期股权投资" w:id="497"/>
      <w:bookmarkEnd w:id="497"/>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1" w:right="0"/>
              <w:jc w:val="left"/>
              <w:rPr>
                <w:rFonts w:ascii="Times New Roman" w:hAnsi="Times New Roman" w:cs="Times New Roman" w:eastAsia="Times New Roman" w:hint="default"/>
                <w:sz w:val="18"/>
                <w:szCs w:val="18"/>
              </w:rPr>
            </w:pPr>
            <w:r>
              <w:rPr>
                <w:rFonts w:ascii="Times New Roman"/>
                <w:sz w:val="18"/>
              </w:rPr>
              <w:t>40,507,925.00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9" w:right="0"/>
              <w:jc w:val="left"/>
              <w:rPr>
                <w:rFonts w:ascii="Times New Roman" w:hAnsi="Times New Roman" w:cs="Times New Roman" w:eastAsia="Times New Roman" w:hint="default"/>
                <w:sz w:val="18"/>
                <w:szCs w:val="18"/>
              </w:rPr>
            </w:pPr>
            <w:r>
              <w:rPr>
                <w:rFonts w:ascii="Times New Roman"/>
                <w:sz w:val="18"/>
              </w:rPr>
              <w:t>40,507,925.00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10,007,925.00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10,007,925.00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21,069,415.37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21,069,415.37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8,708,167.02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8,708,167.02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1" w:right="0"/>
              <w:jc w:val="left"/>
              <w:rPr>
                <w:rFonts w:ascii="Times New Roman" w:hAnsi="Times New Roman" w:cs="Times New Roman" w:eastAsia="Times New Roman" w:hint="default"/>
                <w:sz w:val="18"/>
                <w:szCs w:val="18"/>
              </w:rPr>
            </w:pPr>
            <w:r>
              <w:rPr>
                <w:rFonts w:ascii="Times New Roman"/>
                <w:sz w:val="18"/>
              </w:rPr>
              <w:t>61,577,340.37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9" w:right="0"/>
              <w:jc w:val="left"/>
              <w:rPr>
                <w:rFonts w:ascii="Times New Roman" w:hAnsi="Times New Roman" w:cs="Times New Roman" w:eastAsia="Times New Roman" w:hint="default"/>
                <w:sz w:val="18"/>
                <w:szCs w:val="18"/>
              </w:rPr>
            </w:pPr>
            <w:r>
              <w:rPr>
                <w:rFonts w:ascii="Times New Roman"/>
                <w:sz w:val="18"/>
              </w:rPr>
              <w:t>61,577,340.37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18,716,092.02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18,716,092.02</w:t>
            </w:r>
          </w:p>
        </w:tc>
      </w:tr>
    </w:tbl>
    <w:p>
      <w:pPr>
        <w:spacing w:line="240" w:lineRule="auto" w:before="5"/>
        <w:rPr>
          <w:rFonts w:ascii="宋体" w:hAnsi="宋体" w:cs="宋体" w:eastAsia="宋体" w:hint="default"/>
          <w:sz w:val="19"/>
          <w:szCs w:val="19"/>
        </w:rPr>
      </w:pPr>
    </w:p>
    <w:p>
      <w:pPr>
        <w:pStyle w:val="Heading5"/>
        <w:spacing w:line="240" w:lineRule="auto" w:before="34"/>
        <w:ind w:right="0"/>
        <w:jc w:val="left"/>
        <w:rPr>
          <w:b w:val="0"/>
          <w:bCs w:val="0"/>
        </w:rPr>
      </w:pPr>
      <w:bookmarkStart w:name="（1）对子公司投资" w:id="498"/>
      <w:bookmarkEnd w:id="498"/>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7"/>
        <w:gridCol w:w="1336"/>
        <w:gridCol w:w="1335"/>
        <w:gridCol w:w="1335"/>
        <w:gridCol w:w="1335"/>
        <w:gridCol w:w="1389"/>
        <w:gridCol w:w="1389"/>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97"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98" w:right="58"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52"/>
              <w:jc w:val="left"/>
              <w:rPr>
                <w:rFonts w:ascii="宋体" w:hAnsi="宋体" w:cs="宋体" w:eastAsia="宋体" w:hint="default"/>
                <w:sz w:val="18"/>
                <w:szCs w:val="18"/>
              </w:rPr>
            </w:pPr>
            <w:r>
              <w:rPr>
                <w:rFonts w:ascii="宋体" w:hAnsi="宋体" w:cs="宋体" w:eastAsia="宋体" w:hint="default"/>
                <w:sz w:val="18"/>
                <w:szCs w:val="18"/>
              </w:rPr>
              <w:t>深圳科蓝金信科 技发展有限公司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6"/>
                <w:sz w:val="18"/>
                <w:szCs w:val="18"/>
              </w:rPr>
              <w:t>科蓝软体系统（香</w:t>
            </w:r>
            <w:r>
              <w:rPr>
                <w:rFonts w:ascii="宋体" w:hAnsi="宋体" w:cs="宋体" w:eastAsia="宋体" w:hint="default"/>
                <w:sz w:val="18"/>
                <w:szCs w:val="18"/>
              </w:rPr>
              <w:t> 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7,925.00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7,925.00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52"/>
              <w:jc w:val="left"/>
              <w:rPr>
                <w:rFonts w:ascii="宋体" w:hAnsi="宋体" w:cs="宋体" w:eastAsia="宋体" w:hint="default"/>
                <w:sz w:val="18"/>
                <w:szCs w:val="18"/>
              </w:rPr>
            </w:pPr>
            <w:r>
              <w:rPr>
                <w:rFonts w:ascii="宋体" w:hAnsi="宋体" w:cs="宋体" w:eastAsia="宋体" w:hint="default"/>
                <w:sz w:val="18"/>
                <w:szCs w:val="18"/>
              </w:rPr>
              <w:t>北京尼客矩阵科 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2" w:right="152"/>
              <w:jc w:val="left"/>
              <w:rPr>
                <w:rFonts w:ascii="宋体" w:hAnsi="宋体" w:cs="宋体" w:eastAsia="宋体" w:hint="default"/>
                <w:sz w:val="18"/>
                <w:szCs w:val="18"/>
              </w:rPr>
            </w:pPr>
            <w:r>
              <w:rPr>
                <w:rFonts w:ascii="宋体" w:hAnsi="宋体" w:cs="宋体" w:eastAsia="宋体" w:hint="default"/>
                <w:sz w:val="18"/>
                <w:szCs w:val="18"/>
              </w:rPr>
              <w:t>大陆云盾电子认 证服务有限公司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10,007,925.00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40,507,925.00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4"/>
        <w:ind w:right="0"/>
        <w:jc w:val="left"/>
        <w:rPr>
          <w:b w:val="0"/>
          <w:bCs w:val="0"/>
        </w:rPr>
      </w:pPr>
      <w:bookmarkStart w:name="（2）对联营、合营企业投资" w:id="499"/>
      <w:bookmarkEnd w:id="499"/>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5"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0"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bl>
    <w:p>
      <w:pPr>
        <w:spacing w:after="0" w:line="240" w:lineRule="auto"/>
        <w:jc w:val="left"/>
        <w:rPr>
          <w:rFonts w:ascii="宋体" w:hAnsi="宋体" w:cs="宋体" w:eastAsia="宋体" w:hint="default"/>
          <w:sz w:val="18"/>
          <w:szCs w:val="18"/>
        </w:rPr>
        <w:sectPr>
          <w:pgSz w:w="11910" w:h="16840"/>
          <w:pgMar w:header="746" w:footer="978" w:top="1060" w:bottom="1160" w:left="1020" w:right="0"/>
        </w:sect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重庆巴云 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8,708,167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-2,414,68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4.22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6,293,482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6"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嘉兴科蓝</w:t>
            </w: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1"/>
              <w:jc w:val="both"/>
              <w:rPr>
                <w:rFonts w:ascii="宋体" w:hAnsi="宋体" w:cs="宋体" w:eastAsia="宋体" w:hint="default"/>
                <w:sz w:val="18"/>
                <w:szCs w:val="18"/>
              </w:rPr>
            </w:pPr>
            <w:r>
              <w:rPr>
                <w:rFonts w:ascii="宋体" w:hAnsi="宋体" w:cs="宋体" w:eastAsia="宋体" w:hint="default"/>
                <w:sz w:val="18"/>
                <w:szCs w:val="18"/>
              </w:rPr>
              <w:t>光荣一号 投资合伙 企业（有</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-224,067.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43</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14,775,93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2.57</w:t>
            </w:r>
          </w:p>
        </w:tc>
        <w:tc>
          <w:tcPr>
            <w:tcW w:w="798" w:type="dxa"/>
            <w:vMerge/>
            <w:tcBorders>
              <w:left w:val="single" w:sz="4" w:space="0" w:color="000000"/>
              <w:right w:val="single" w:sz="4" w:space="0" w:color="000000"/>
            </w:tcBorders>
          </w:tcPr>
          <w:p>
            <w:pPr/>
          </w:p>
        </w:tc>
      </w:tr>
      <w:tr>
        <w:trPr>
          <w:trHeight w:val="358"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限合伙）</w:t>
            </w: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8,708,167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left"/>
              <w:rPr>
                <w:rFonts w:ascii="Times New Roman" w:hAnsi="Times New Roman" w:cs="Times New Roman" w:eastAsia="Times New Roman" w:hint="default"/>
                <w:sz w:val="18"/>
                <w:szCs w:val="18"/>
              </w:rPr>
            </w:pPr>
            <w:r>
              <w:rPr>
                <w:rFonts w:ascii="Times New Roman"/>
                <w:sz w:val="18"/>
              </w:rPr>
              <w:t>-2,638,75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6" w:right="0"/>
              <w:jc w:val="left"/>
              <w:rPr>
                <w:rFonts w:ascii="Times New Roman" w:hAnsi="Times New Roman" w:cs="Times New Roman" w:eastAsia="Times New Roman" w:hint="default"/>
                <w:sz w:val="18"/>
                <w:szCs w:val="18"/>
              </w:rPr>
            </w:pPr>
            <w:r>
              <w:rPr>
                <w:rFonts w:ascii="Times New Roman"/>
                <w:sz w:val="18"/>
              </w:rPr>
              <w:t>21,069,41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5.37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8,708,167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 w:right="0"/>
              <w:jc w:val="left"/>
              <w:rPr>
                <w:rFonts w:ascii="Times New Roman" w:hAnsi="Times New Roman" w:cs="Times New Roman" w:eastAsia="Times New Roman" w:hint="default"/>
                <w:sz w:val="18"/>
                <w:szCs w:val="18"/>
              </w:rPr>
            </w:pPr>
            <w:r>
              <w:rPr>
                <w:rFonts w:ascii="Times New Roman"/>
                <w:sz w:val="18"/>
              </w:rPr>
              <w:t>-2,638,75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1.65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21,069,41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5.37</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5"/>
        <w:spacing w:line="240" w:lineRule="auto" w:before="34"/>
        <w:ind w:right="0"/>
        <w:jc w:val="left"/>
        <w:rPr>
          <w:b w:val="0"/>
          <w:bCs w:val="0"/>
        </w:rPr>
      </w:pPr>
      <w:bookmarkStart w:name="（3）其他说明" w:id="500"/>
      <w:bookmarkEnd w:id="500"/>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bookmarkStart w:name="4、营业收入和营业成本" w:id="501"/>
      <w:bookmarkEnd w:id="501"/>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0"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0"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78" w:right="0"/>
              <w:jc w:val="left"/>
              <w:rPr>
                <w:rFonts w:ascii="Times New Roman" w:hAnsi="Times New Roman" w:cs="Times New Roman" w:eastAsia="Times New Roman" w:hint="default"/>
                <w:sz w:val="18"/>
                <w:szCs w:val="18"/>
              </w:rPr>
            </w:pPr>
            <w:r>
              <w:rPr>
                <w:rFonts w:ascii="Times New Roman"/>
                <w:sz w:val="18"/>
              </w:rPr>
              <w:t>739,127,047.45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54" w:right="0"/>
              <w:jc w:val="left"/>
              <w:rPr>
                <w:rFonts w:ascii="Times New Roman" w:hAnsi="Times New Roman" w:cs="Times New Roman" w:eastAsia="Times New Roman" w:hint="default"/>
                <w:sz w:val="18"/>
                <w:szCs w:val="18"/>
              </w:rPr>
            </w:pPr>
            <w:r>
              <w:rPr>
                <w:rFonts w:ascii="Times New Roman"/>
                <w:sz w:val="18"/>
              </w:rPr>
              <w:t>436,848,476.52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53" w:right="0"/>
              <w:jc w:val="left"/>
              <w:rPr>
                <w:rFonts w:ascii="Times New Roman" w:hAnsi="Times New Roman" w:cs="Times New Roman" w:eastAsia="Times New Roman" w:hint="default"/>
                <w:sz w:val="18"/>
                <w:szCs w:val="18"/>
              </w:rPr>
            </w:pPr>
            <w:r>
              <w:rPr>
                <w:rFonts w:ascii="Times New Roman"/>
                <w:sz w:val="18"/>
              </w:rPr>
              <w:t>653,447,831.28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56" w:right="0"/>
              <w:jc w:val="left"/>
              <w:rPr>
                <w:rFonts w:ascii="Times New Roman" w:hAnsi="Times New Roman" w:cs="Times New Roman" w:eastAsia="Times New Roman" w:hint="default"/>
                <w:sz w:val="18"/>
                <w:szCs w:val="18"/>
              </w:rPr>
            </w:pPr>
            <w:r>
              <w:rPr>
                <w:rFonts w:ascii="Times New Roman"/>
                <w:sz w:val="18"/>
              </w:rPr>
              <w:t>382,880,451.70</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8" w:right="0"/>
              <w:jc w:val="left"/>
              <w:rPr>
                <w:rFonts w:ascii="Times New Roman" w:hAnsi="Times New Roman" w:cs="Times New Roman" w:eastAsia="Times New Roman" w:hint="default"/>
                <w:sz w:val="18"/>
                <w:szCs w:val="18"/>
              </w:rPr>
            </w:pPr>
            <w:r>
              <w:rPr>
                <w:rFonts w:ascii="Times New Roman"/>
                <w:sz w:val="18"/>
              </w:rPr>
              <w:t>739,127,047.45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4" w:right="0"/>
              <w:jc w:val="left"/>
              <w:rPr>
                <w:rFonts w:ascii="Times New Roman" w:hAnsi="Times New Roman" w:cs="Times New Roman" w:eastAsia="Times New Roman" w:hint="default"/>
                <w:sz w:val="18"/>
                <w:szCs w:val="18"/>
              </w:rPr>
            </w:pPr>
            <w:r>
              <w:rPr>
                <w:rFonts w:ascii="Times New Roman"/>
                <w:sz w:val="18"/>
              </w:rPr>
              <w:t>436,848,476.52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3" w:right="0"/>
              <w:jc w:val="left"/>
              <w:rPr>
                <w:rFonts w:ascii="Times New Roman" w:hAnsi="Times New Roman" w:cs="Times New Roman" w:eastAsia="Times New Roman" w:hint="default"/>
                <w:sz w:val="18"/>
                <w:szCs w:val="18"/>
              </w:rPr>
            </w:pPr>
            <w:r>
              <w:rPr>
                <w:rFonts w:ascii="Times New Roman"/>
                <w:sz w:val="18"/>
              </w:rPr>
              <w:t>653,447,831.28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382,880,451.70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5、投资收益" w:id="502"/>
      <w:bookmarkEnd w:id="502"/>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-2,638,751.65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-1,968,436.65</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3" w:right="0"/>
              <w:jc w:val="left"/>
              <w:rPr>
                <w:rFonts w:ascii="宋体" w:hAnsi="宋体" w:cs="宋体" w:eastAsia="宋体" w:hint="default"/>
                <w:sz w:val="18"/>
                <w:szCs w:val="18"/>
              </w:rPr>
            </w:pPr>
            <w:r>
              <w:rPr>
                <w:rFonts w:ascii="宋体" w:hAnsi="宋体" w:cs="宋体" w:eastAsia="宋体" w:hint="default"/>
                <w:sz w:val="18"/>
                <w:szCs w:val="18"/>
              </w:rPr>
              <w:t>银行理财产品投资收益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2,333,692.93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554,743.15</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-305,058.72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-1,413,693.50</w:t>
            </w:r>
          </w:p>
        </w:tc>
      </w:tr>
    </w:tbl>
    <w:p>
      <w:pPr>
        <w:spacing w:line="240" w:lineRule="auto" w:before="2"/>
        <w:rPr>
          <w:rFonts w:ascii="宋体" w:hAnsi="宋体" w:cs="宋体" w:eastAsia="宋体" w:hint="default"/>
          <w:sz w:val="19"/>
          <w:szCs w:val="19"/>
        </w:rPr>
      </w:pPr>
    </w:p>
    <w:p>
      <w:pPr>
        <w:pStyle w:val="Heading5"/>
        <w:spacing w:line="240" w:lineRule="auto" w:before="34"/>
        <w:ind w:right="0"/>
        <w:jc w:val="left"/>
        <w:rPr>
          <w:b w:val="0"/>
          <w:bCs w:val="0"/>
        </w:rPr>
      </w:pPr>
      <w:bookmarkStart w:name="6、其他" w:id="503"/>
      <w:bookmarkEnd w:id="503"/>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4"/>
        <w:spacing w:line="240" w:lineRule="auto"/>
        <w:ind w:right="0"/>
        <w:jc w:val="left"/>
        <w:rPr>
          <w:b w:val="0"/>
          <w:bCs w:val="0"/>
        </w:rPr>
      </w:pPr>
      <w:bookmarkStart w:name="十八、补充资料" w:id="504"/>
      <w:bookmarkEnd w:id="504"/>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当期非经常性损益明细表" w:id="505"/>
      <w:bookmarkEnd w:id="505"/>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pgSz w:w="11910" w:h="16840"/>
          <w:pgMar w:header="746" w:footer="978" w:top="1060" w:bottom="1160" w:left="1020" w:right="0"/>
        </w:sectPr>
      </w:pPr>
    </w:p>
    <w:p>
      <w:pPr>
        <w:spacing w:line="240" w:lineRule="auto" w:before="12"/>
        <w:rPr>
          <w:rFonts w:ascii="宋体" w:hAnsi="宋体" w:cs="宋体" w:eastAsia="宋体" w:hint="default"/>
          <w:sz w:val="25"/>
          <w:szCs w:val="25"/>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-9,318.51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主要为固定资产处置损失</w:t>
            </w:r>
          </w:p>
        </w:tc>
      </w:tr>
      <w:tr>
        <w:trPr>
          <w:trHeight w:val="357" w:hRule="exact"/>
        </w:trPr>
        <w:tc>
          <w:tcPr>
            <w:tcW w:w="332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p>
        </w:tc>
        <w:tc>
          <w:tcPr>
            <w:tcW w:w="3059" w:type="dxa"/>
            <w:tcBorders>
              <w:top w:val="single" w:sz="4" w:space="0" w:color="000000"/>
              <w:left w:val="single" w:sz="4" w:space="0" w:color="000000"/>
              <w:bottom w:val="nil" w:sz="6" w:space="0" w:color="auto"/>
              <w:right w:val="single" w:sz="4" w:space="0" w:color="000000"/>
            </w:tcBorders>
          </w:tcPr>
          <w:p>
            <w:pPr/>
          </w:p>
        </w:tc>
        <w:tc>
          <w:tcPr>
            <w:tcW w:w="318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33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切相关，按照国家统一标准定额或定量享</w:t>
            </w:r>
          </w:p>
        </w:tc>
        <w:tc>
          <w:tcPr>
            <w:tcW w:w="305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2,309,896.18</w:t>
            </w:r>
          </w:p>
        </w:tc>
        <w:tc>
          <w:tcPr>
            <w:tcW w:w="3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主要为稳定岗位补贴、财政扶持基金</w:t>
            </w:r>
          </w:p>
        </w:tc>
      </w:tr>
      <w:tr>
        <w:trPr>
          <w:trHeight w:val="352" w:hRule="exact"/>
        </w:trPr>
        <w:tc>
          <w:tcPr>
            <w:tcW w:w="332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3059" w:type="dxa"/>
            <w:tcBorders>
              <w:top w:val="nil" w:sz="6" w:space="0" w:color="auto"/>
              <w:left w:val="single" w:sz="4" w:space="0" w:color="000000"/>
              <w:bottom w:val="single" w:sz="4" w:space="0" w:color="000000"/>
              <w:right w:val="single" w:sz="4" w:space="0" w:color="000000"/>
            </w:tcBorders>
          </w:tcPr>
          <w:p>
            <w:pPr/>
          </w:p>
        </w:tc>
        <w:tc>
          <w:tcPr>
            <w:tcW w:w="3186"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2,333,692.93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主要为银行理财产品投资收益</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57,972.81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881,866.67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836,116.51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4,737,993.57</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spacing w:val="-3"/>
        </w:rPr>
        <w:t>对公司根据《公开发行证券的公司信息披露解释性公告第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20"/>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2、净资产收益率及每股收益" w:id="506"/>
      <w:bookmarkEnd w:id="506"/>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3080"/>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7"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4"/>
              <w:jc w:val="right"/>
              <w:rPr>
                <w:rFonts w:ascii="宋体" w:hAnsi="宋体" w:cs="宋体" w:eastAsia="宋体" w:hint="default"/>
                <w:sz w:val="18"/>
                <w:szCs w:val="18"/>
              </w:rPr>
            </w:pPr>
            <w:r>
              <w:rPr>
                <w:rFonts w:ascii="宋体" w:hAnsi="宋体" w:cs="宋体" w:eastAsia="宋体" w:hint="default"/>
                <w:w w:val="95"/>
                <w:sz w:val="18"/>
                <w:szCs w:val="18"/>
              </w:rPr>
              <w:t>基本每股收益（元</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4"/>
              <w:jc w:val="right"/>
              <w:rPr>
                <w:rFonts w:ascii="宋体" w:hAnsi="宋体" w:cs="宋体" w:eastAsia="宋体" w:hint="default"/>
                <w:sz w:val="18"/>
                <w:szCs w:val="18"/>
              </w:rPr>
            </w:pPr>
            <w:r>
              <w:rPr>
                <w:rFonts w:ascii="宋体" w:hAnsi="宋体" w:cs="宋体" w:eastAsia="宋体" w:hint="default"/>
                <w:w w:val="95"/>
                <w:sz w:val="18"/>
                <w:szCs w:val="18"/>
              </w:rPr>
              <w:t>稀释每股收益（元</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股）</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0.21</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0.19</w:t>
            </w:r>
          </w:p>
        </w:tc>
      </w:tr>
    </w:tbl>
    <w:p>
      <w:pPr>
        <w:spacing w:line="240" w:lineRule="auto" w:before="4"/>
        <w:rPr>
          <w:rFonts w:ascii="宋体" w:hAnsi="宋体" w:cs="宋体" w:eastAsia="宋体" w:hint="default"/>
          <w:b/>
          <w:bCs/>
          <w:sz w:val="19"/>
          <w:szCs w:val="19"/>
        </w:rPr>
      </w:pPr>
    </w:p>
    <w:p>
      <w:pPr>
        <w:pStyle w:val="Heading5"/>
        <w:spacing w:line="240" w:lineRule="auto" w:before="34"/>
        <w:ind w:right="0"/>
        <w:jc w:val="left"/>
        <w:rPr>
          <w:b w:val="0"/>
          <w:bCs w:val="0"/>
        </w:rPr>
      </w:pPr>
      <w:bookmarkStart w:name="3、境内外会计准则下会计数据差异" w:id="507"/>
      <w:bookmarkEnd w:id="507"/>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bookmarkStart w:name="（1）同时按照国际会计准则与按中国会计准则披露的财务报告中净利润和净资产差异情况" w:id="508"/>
      <w:bookmarkEnd w:id="508"/>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bookmarkStart w:name="（2）同时按照境外会计准则与按中国会计准则披露的财务报告中净利润和净资产差异情况" w:id="509"/>
      <w:bookmarkEnd w:id="509"/>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line="240" w:lineRule="auto" w:before="13"/>
        <w:rPr>
          <w:rFonts w:ascii="宋体" w:hAnsi="宋体" w:cs="宋体" w:eastAsia="宋体" w:hint="default"/>
          <w:sz w:val="25"/>
          <w:szCs w:val="25"/>
        </w:rPr>
      </w:pPr>
    </w:p>
    <w:p>
      <w:pPr>
        <w:pStyle w:val="Heading5"/>
        <w:spacing w:line="256" w:lineRule="auto"/>
        <w:ind w:right="0"/>
        <w:jc w:val="left"/>
        <w:rPr>
          <w:b w:val="0"/>
          <w:bCs w:val="0"/>
        </w:rPr>
      </w:pPr>
      <w:bookmarkStart w:name="（3）境内外会计准则下会计数据差异原因说明，对已经境外审计机构审计的数据进行差异" w:id="510"/>
      <w:bookmarkEnd w:id="510"/>
      <w:r>
        <w:rPr>
          <w:b w:val="0"/>
          <w:bCs w:val="0"/>
        </w:rPr>
      </w:r>
      <w:r>
        <w:rPr>
          <w:spacing w:val="3"/>
          <w:w w:val="95"/>
        </w:rPr>
        <w:t>（</w:t>
      </w:r>
      <w:r>
        <w:rPr>
          <w:rFonts w:ascii="Times New Roman" w:hAnsi="Times New Roman" w:cs="Times New Roman" w:eastAsia="Times New Roman" w:hint="default"/>
          <w:spacing w:val="3"/>
          <w:w w:val="95"/>
        </w:rPr>
        <w:t>3</w:t>
      </w:r>
      <w:r>
        <w:rPr>
          <w:spacing w:val="3"/>
          <w:w w:val="95"/>
        </w:rPr>
        <w:t>）境内外会计准则下会计数据差异原因说明，对已经境外审计机构审计的数据进行差异调节的，应注</w:t>
      </w:r>
      <w:r>
        <w:rPr>
          <w:spacing w:val="93"/>
          <w:w w:val="95"/>
        </w:rPr>
        <w:t> </w:t>
      </w:r>
      <w:r>
        <w:rPr>
          <w:spacing w:val="93"/>
          <w:w w:val="95"/>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4、其他" w:id="511"/>
      <w:bookmarkEnd w:id="511"/>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6" w:footer="978" w:top="1060" w:bottom="1160" w:left="1020" w:right="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p>
      <w:pPr>
        <w:pStyle w:val="Heading1"/>
        <w:spacing w:line="240" w:lineRule="auto"/>
        <w:ind w:left="3247" w:right="0"/>
        <w:jc w:val="left"/>
        <w:rPr>
          <w:b w:val="0"/>
          <w:bCs w:val="0"/>
        </w:rPr>
      </w:pPr>
      <w:bookmarkStart w:name="第十二节 备查文件目录" w:id="512"/>
      <w:bookmarkEnd w:id="512"/>
      <w:r>
        <w:rPr>
          <w:b w:val="0"/>
          <w:bCs w:val="0"/>
        </w:rPr>
      </w:r>
      <w:bookmarkStart w:name="_bookmark10" w:id="513"/>
      <w:bookmarkEnd w:id="513"/>
      <w:r>
        <w:rPr>
          <w:b w:val="0"/>
          <w:bCs w:val="0"/>
        </w:rPr>
      </w:r>
      <w:r>
        <w:rPr/>
        <w:t>第十二节</w:t>
      </w:r>
      <w:r>
        <w:rPr>
          <w:spacing w:val="-10"/>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6" w:lineRule="auto"/>
        <w:ind w:right="3463"/>
        <w:jc w:val="left"/>
      </w:pPr>
      <w:r>
        <w:rPr/>
        <w:t>一、</w:t>
      </w:r>
      <w:r>
        <w:rPr>
          <w:spacing w:val="1"/>
        </w:rPr>
        <w:t> </w:t>
      </w:r>
      <w:r>
        <w:rPr/>
        <w:t>载有公司法定代表人、主管会计工作负责人、会计机构负责人签名并盖章的财务报表。</w:t>
      </w:r>
      <w:r>
        <w:rPr/>
        <w:t> 二、</w:t>
      </w:r>
      <w:r>
        <w:rPr>
          <w:spacing w:val="1"/>
        </w:rPr>
        <w:t> </w:t>
      </w:r>
      <w:r>
        <w:rPr/>
        <w:t>载有会计师事务所盖章、注册会计师签名并盖章的审计报告原件。</w:t>
      </w:r>
    </w:p>
    <w:p>
      <w:pPr>
        <w:pStyle w:val="BodyText"/>
        <w:spacing w:line="316" w:lineRule="auto" w:before="19"/>
        <w:ind w:right="3643"/>
        <w:jc w:val="left"/>
      </w:pPr>
      <w:r>
        <w:rPr/>
        <w:t>三、</w:t>
      </w:r>
      <w:r>
        <w:rPr>
          <w:spacing w:val="1"/>
        </w:rPr>
        <w:t> </w:t>
      </w:r>
      <w:r>
        <w:rPr/>
        <w:t>报告期内在中国证监会指定网站上公开披露过的所有公司文件的正本及公告的原稿。</w:t>
      </w:r>
      <w:r>
        <w:rPr/>
        <w:t> 四、</w:t>
      </w:r>
      <w:r>
        <w:rPr>
          <w:spacing w:val="-1"/>
        </w:rPr>
        <w:t> </w:t>
      </w:r>
      <w:r>
        <w:rPr/>
        <w:t>载有董事长签名的</w:t>
      </w:r>
      <w:r>
        <w:rPr>
          <w:rFonts w:ascii="Times New Roman" w:hAnsi="Times New Roman" w:cs="Times New Roman" w:eastAsia="Times New Roman" w:hint="default"/>
        </w:rPr>
        <w:t>2018</w:t>
      </w:r>
      <w:r>
        <w:rPr/>
        <w:t>年度报告原文件。</w:t>
      </w:r>
    </w:p>
    <w:p>
      <w:pPr>
        <w:pStyle w:val="BodyText"/>
        <w:spacing w:line="235" w:lineRule="exact"/>
        <w:ind w:right="0"/>
        <w:jc w:val="left"/>
      </w:pPr>
      <w:r>
        <w:rPr/>
        <w:t>以上备查文件的备置地点：公司证券事务部</w:t>
      </w:r>
    </w:p>
    <w:sectPr>
      <w:pgSz w:w="11910" w:h="16840"/>
      <w:pgMar w:header="746" w:footer="978" w:top="1060" w:bottom="1160" w:left="10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503256" type="#_x0000_t75" stroked="false">
          <v:imagedata r:id="rId1" o:title=""/>
        </v:shape>
      </w:pict>
    </w:r>
    <w:r>
      <w:rPr/>
      <w:pict>
        <v:shape style="position:absolute;margin-left:533.119995pt;margin-top:795.687988pt;width:6.5pt;height:11pt;mso-position-horizontal-relative:page;mso-position-vertical-relative:page;z-index:-150323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502824" type="#_x0000_t75" stroked="false">
          <v:imagedata r:id="rId1" o:title=""/>
        </v:shape>
      </w:pict>
    </w:r>
    <w:r>
      <w:rPr/>
      <w:pict>
        <v:shape style="position:absolute;margin-left:527.559021pt;margin-top:782.007935pt;width:13.1pt;height:11pt;mso-position-horizontal-relative:page;mso-position-vertical-relative:page;z-index:-15028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75</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502776" type="#_x0000_t75" stroked="false">
          <v:imagedata r:id="rId1" o:title=""/>
        </v:shape>
      </w:pict>
    </w:r>
    <w:r>
      <w:rPr/>
      <w:pict>
        <v:shape style="position:absolute;margin-left:527.559021pt;margin-top:782.007935pt;width:13.1pt;height:11pt;mso-position-horizontal-relative:page;mso-position-vertical-relative:page;z-index:-15027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502728" type="#_x0000_t75" stroked="false">
          <v:imagedata r:id="rId1" o:title=""/>
        </v:shape>
      </w:pict>
    </w:r>
    <w:r>
      <w:rPr/>
      <w:pict>
        <v:shape style="position:absolute;margin-left:527.559021pt;margin-top:782.007935pt;width:13.1pt;height:11pt;mso-position-horizontal-relative:page;mso-position-vertical-relative:page;z-index:-15027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502680" type="#_x0000_t75" stroked="false">
          <v:imagedata r:id="rId1" o:title=""/>
        </v:shape>
      </w:pict>
    </w:r>
    <w:r>
      <w:rPr/>
      <w:pict>
        <v:shape style="position:absolute;margin-left:523.119995pt;margin-top:782.007935pt;width:17.5pt;height:11pt;mso-position-horizontal-relative:page;mso-position-vertical-relative:page;z-index:-15026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502632" type="#_x0000_t75" stroked="false">
          <v:imagedata r:id="rId1" o:title=""/>
        </v:shape>
      </w:pict>
    </w:r>
    <w:r>
      <w:rPr/>
      <w:pict>
        <v:shape style="position:absolute;margin-left:523.479980pt;margin-top:782.007935pt;width:17.4pt;height:11pt;mso-position-horizontal-relative:page;mso-position-vertical-relative:page;z-index:-15026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502584" type="#_x0000_t75" stroked="false">
          <v:imagedata r:id="rId1" o:title=""/>
        </v:shape>
      </w:pict>
    </w:r>
    <w:r>
      <w:rPr/>
      <w:pict>
        <v:shape style="position:absolute;margin-left:523.119995pt;margin-top:782.007935pt;width:17.5pt;height:11pt;mso-position-horizontal-relative:page;mso-position-vertical-relative:page;z-index:-15025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502536" type="#_x0000_t75" stroked="false">
          <v:imagedata r:id="rId1" o:title=""/>
        </v:shape>
      </w:pict>
    </w:r>
    <w:r>
      <w:rPr/>
      <w:pict>
        <v:shape style="position:absolute;margin-left:523.119995pt;margin-top:782.007935pt;width:17.5pt;height:11pt;mso-position-horizontal-relative:page;mso-position-vertical-relative:page;z-index:-15025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502488" type="#_x0000_t75" stroked="false">
          <v:imagedata r:id="rId1" o:title=""/>
        </v:shape>
      </w:pict>
    </w:r>
    <w:r>
      <w:rPr/>
      <w:pict>
        <v:shape style="position:absolute;margin-left:523.119995pt;margin-top:782.007935pt;width:17.5pt;height:11pt;mso-position-horizontal-relative:page;mso-position-vertical-relative:page;z-index:-15024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502440" type="#_x0000_t75" stroked="false">
          <v:imagedata r:id="rId1" o:title=""/>
        </v:shape>
      </w:pict>
    </w:r>
    <w:r>
      <w:rPr/>
      <w:pict>
        <v:shape style="position:absolute;margin-left:523.119995pt;margin-top:782.007935pt;width:17.5pt;height:11pt;mso-position-horizontal-relative:page;mso-position-vertical-relative:page;z-index:-15024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502392" type="#_x0000_t75" stroked="false">
          <v:imagedata r:id="rId1" o:title=""/>
        </v:shape>
      </w:pict>
    </w:r>
    <w:r>
      <w:rPr/>
      <w:pict>
        <v:shape style="position:absolute;margin-left:523.119995pt;margin-top:782.007935pt;width:17.5pt;height:11pt;mso-position-horizontal-relative:page;mso-position-vertical-relative:page;z-index:-15023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503208" type="#_x0000_t75" stroked="false">
          <v:imagedata r:id="rId1" o:title=""/>
        </v:shape>
      </w:pict>
    </w:r>
    <w:r>
      <w:rPr/>
      <w:pict>
        <v:shape style="position:absolute;margin-left:532.119995pt;margin-top:782.007935pt;width:8.5pt;height:11pt;mso-position-horizontal-relative:page;mso-position-vertical-relative:page;z-index:-15031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502344" type="#_x0000_t75" stroked="false">
          <v:imagedata r:id="rId1" o:title=""/>
        </v:shape>
      </w:pict>
    </w:r>
    <w:r>
      <w:rPr/>
      <w:pict>
        <v:shape style="position:absolute;margin-left:523.119995pt;margin-top:782.007935pt;width:17.5pt;height:11pt;mso-position-horizontal-relative:page;mso-position-vertical-relative:page;z-index:-15023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502296" type="#_x0000_t75" stroked="false">
          <v:imagedata r:id="rId1" o:title=""/>
        </v:shape>
      </w:pict>
    </w:r>
    <w:r>
      <w:rPr/>
      <w:pict>
        <v:shape style="position:absolute;margin-left:523.119995pt;margin-top:782.007935pt;width:17.5pt;height:11pt;mso-position-horizontal-relative:page;mso-position-vertical-relative:page;z-index:-15022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502248" type="#_x0000_t75" stroked="false">
          <v:imagedata r:id="rId1" o:title=""/>
        </v:shape>
      </w:pict>
    </w:r>
    <w:r>
      <w:rPr/>
      <w:pict>
        <v:shape style="position:absolute;margin-left:523.119995pt;margin-top:782.007935pt;width:17.5pt;height:11pt;mso-position-horizontal-relative:page;mso-position-vertical-relative:page;z-index:-15022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502200" type="#_x0000_t75" stroked="false">
          <v:imagedata r:id="rId1" o:title=""/>
        </v:shape>
      </w:pict>
    </w:r>
    <w:r>
      <w:rPr/>
      <w:pict>
        <v:shape style="position:absolute;margin-left:523.119995pt;margin-top:782.007935pt;width:17.5pt;height:11pt;mso-position-horizontal-relative:page;mso-position-vertical-relative:page;z-index:-15021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502152" type="#_x0000_t75" stroked="false">
          <v:imagedata r:id="rId1" o:title=""/>
        </v:shape>
      </w:pict>
    </w:r>
    <w:r>
      <w:rPr/>
      <w:pict>
        <v:shape style="position:absolute;margin-left:523.119995pt;margin-top:782.007935pt;width:17.650pt;height:11pt;mso-position-horizontal-relative:page;mso-position-vertical-relative:page;z-index:-15021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503160" type="#_x0000_t75" stroked="false">
          <v:imagedata r:id="rId1" o:title=""/>
        </v:shape>
      </w:pict>
    </w:r>
    <w:r>
      <w:rPr/>
      <w:pict>
        <v:shape style="position:absolute;margin-left:527.559021pt;margin-top:782.007935pt;width:13.2pt;height:11pt;mso-position-horizontal-relative:page;mso-position-vertical-relative:page;z-index:-15031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503112" type="#_x0000_t75" stroked="false">
          <v:imagedata r:id="rId1" o:title=""/>
        </v:shape>
      </w:pict>
    </w:r>
    <w:r>
      <w:rPr/>
      <w:pict>
        <v:shape style="position:absolute;margin-left:527.559021pt;margin-top:782.007935pt;width:13.1pt;height:11pt;mso-position-horizontal-relative:page;mso-position-vertical-relative:page;z-index:-15030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503064" type="#_x0000_t75" stroked="false">
          <v:imagedata r:id="rId1" o:title=""/>
        </v:shape>
      </w:pict>
    </w:r>
    <w:r>
      <w:rPr/>
      <w:pict>
        <v:shape style="position:absolute;margin-left:527.559021pt;margin-top:782.007935pt;width:13.1pt;height:11pt;mso-position-horizontal-relative:page;mso-position-vertical-relative:page;z-index:-15030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503016" type="#_x0000_t75" stroked="false">
          <v:imagedata r:id="rId1" o:title=""/>
        </v:shape>
      </w:pict>
    </w:r>
    <w:r>
      <w:rPr/>
      <w:pict>
        <v:shape style="position:absolute;margin-left:527.559021pt;margin-top:782.007935pt;width:13.1pt;height:11pt;mso-position-horizontal-relative:page;mso-position-vertical-relative:page;z-index:-15029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502968" type="#_x0000_t75" stroked="false">
          <v:imagedata r:id="rId1" o:title=""/>
        </v:shape>
      </w:pict>
    </w:r>
    <w:r>
      <w:rPr/>
      <w:pict>
        <v:shape style="position:absolute;margin-left:527.559021pt;margin-top:782.007935pt;width:13.1pt;height:11pt;mso-position-horizontal-relative:page;mso-position-vertical-relative:page;z-index:-15029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502920" type="#_x0000_t75" stroked="false">
          <v:imagedata r:id="rId1" o:title=""/>
        </v:shape>
      </w:pict>
    </w:r>
    <w:r>
      <w:rPr/>
      <w:pict>
        <v:shape style="position:absolute;margin-left:527.559021pt;margin-top:782.007935pt;width:13.1pt;height:11pt;mso-position-horizontal-relative:page;mso-position-vertical-relative:page;z-index:-15028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1502872" type="#_x0000_t75" stroked="false">
          <v:imagedata r:id="rId1" o:title=""/>
        </v:shape>
      </w:pict>
    </w:r>
    <w:r>
      <w:rPr/>
      <w:pict>
        <v:shape style="position:absolute;margin-left:527.559021pt;margin-top:782.007935pt;width:13.1pt;height:11pt;mso-position-horizontal-relative:page;mso-position-vertical-relative:page;z-index:-15028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19995pt;margin-top:36.315651pt;width:213.45pt;height:11.5pt;mso-position-horizontal-relative:page;mso-position-vertical-relative:page;z-index:-1503280" type="#_x0000_t202" filled="false" stroked="false">
          <v:textbox inset="0,0,0,0">
            <w:txbxContent>
              <w:p>
                <w:pPr>
                  <w:pStyle w:val="BodyText"/>
                  <w:spacing w:line="214" w:lineRule="exact"/>
                  <w:ind w:left="20" w:right="0"/>
                  <w:jc w:val="left"/>
                </w:pPr>
                <w:r>
                  <w:rPr/>
                  <w:t>北京科蓝软件系统股份有限公司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2"/>
    </w:pPr>
    <w:rPr>
      <w:rFonts w:ascii="宋体" w:hAnsi="宋体" w:eastAsia="宋体"/>
      <w:b/>
      <w:bCs/>
      <w:sz w:val="24"/>
      <w:szCs w:val="24"/>
    </w:rPr>
  </w:style>
  <w:style w:styleId="BodyText" w:type="paragraph">
    <w:name w:val="Body Text"/>
    <w:basedOn w:val="Normal"/>
    <w:uiPriority w:val="1"/>
    <w:qFormat/>
    <w:pPr>
      <w:ind w:left="112"/>
    </w:pPr>
    <w:rPr>
      <w:rFonts w:ascii="宋体" w:hAnsi="宋体" w:eastAsia="宋体"/>
      <w:sz w:val="18"/>
      <w:szCs w:val="18"/>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8"/>
      <w:szCs w:val="28"/>
    </w:rPr>
  </w:style>
  <w:style w:styleId="Heading3" w:type="paragraph">
    <w:name w:val="Heading 3"/>
    <w:basedOn w:val="Normal"/>
    <w:uiPriority w:val="1"/>
    <w:qFormat/>
    <w:pPr>
      <w:spacing w:before="106"/>
      <w:ind w:left="254"/>
      <w:outlineLvl w:val="3"/>
    </w:pPr>
    <w:rPr>
      <w:rFonts w:ascii="宋体" w:hAnsi="宋体" w:eastAsia="宋体"/>
      <w:sz w:val="28"/>
      <w:szCs w:val="28"/>
    </w:rPr>
  </w:style>
  <w:style w:styleId="Heading4" w:type="paragraph">
    <w:name w:val="Heading 4"/>
    <w:basedOn w:val="Normal"/>
    <w:uiPriority w:val="1"/>
    <w:qFormat/>
    <w:pPr>
      <w:ind w:left="112"/>
      <w:outlineLvl w:val="4"/>
    </w:pPr>
    <w:rPr>
      <w:rFonts w:ascii="宋体" w:hAnsi="宋体" w:eastAsia="宋体"/>
      <w:b/>
      <w:bCs/>
      <w:sz w:val="24"/>
      <w:szCs w:val="24"/>
    </w:rPr>
  </w:style>
  <w:style w:styleId="Heading5" w:type="paragraph">
    <w:name w:val="Heading 5"/>
    <w:basedOn w:val="Normal"/>
    <w:uiPriority w:val="1"/>
    <w:qFormat/>
    <w:pPr>
      <w:ind w:left="112"/>
      <w:outlineLvl w:val="5"/>
    </w:pPr>
    <w:rPr>
      <w:rFonts w:ascii="宋体" w:hAnsi="宋体" w:eastAsia="宋体"/>
      <w:b/>
      <w:bCs/>
      <w:sz w:val="21"/>
      <w:szCs w:val="21"/>
    </w:rPr>
  </w:style>
  <w:style w:styleId="Heading6" w:type="paragraph">
    <w:name w:val="Heading 6"/>
    <w:basedOn w:val="Normal"/>
    <w:uiPriority w:val="1"/>
    <w:qFormat/>
    <w:pPr>
      <w:ind w:left="532"/>
      <w:outlineLvl w:val="6"/>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csii.com.cn/" TargetMode="External"/><Relationship Id="rId10" Type="http://schemas.openxmlformats.org/officeDocument/2006/relationships/hyperlink" Target="mailto:investor@csii.com.cn"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footer" Target="footer11.xml"/><Relationship Id="rId21" Type="http://schemas.openxmlformats.org/officeDocument/2006/relationships/image" Target="media/image3.jpeg"/><Relationship Id="rId22" Type="http://schemas.openxmlformats.org/officeDocument/2006/relationships/footer" Target="footer12.xml"/><Relationship Id="rId23" Type="http://schemas.openxmlformats.org/officeDocument/2006/relationships/footer" Target="footer13.xml"/><Relationship Id="rId24" Type="http://schemas.openxmlformats.org/officeDocument/2006/relationships/footer" Target="footer14.xml"/><Relationship Id="rId25" Type="http://schemas.openxmlformats.org/officeDocument/2006/relationships/footer" Target="footer15.xml"/><Relationship Id="rId26" Type="http://schemas.openxmlformats.org/officeDocument/2006/relationships/footer" Target="footer16.xml"/><Relationship Id="rId27" Type="http://schemas.openxmlformats.org/officeDocument/2006/relationships/footer" Target="footer17.xml"/><Relationship Id="rId28" Type="http://schemas.openxmlformats.org/officeDocument/2006/relationships/footer" Target="footer18.xml"/><Relationship Id="rId29" Type="http://schemas.openxmlformats.org/officeDocument/2006/relationships/footer" Target="footer19.xml"/><Relationship Id="rId30" Type="http://schemas.openxmlformats.org/officeDocument/2006/relationships/footer" Target="footer20.xml"/><Relationship Id="rId31" Type="http://schemas.openxmlformats.org/officeDocument/2006/relationships/footer" Target="footer21.xml"/><Relationship Id="rId32" Type="http://schemas.openxmlformats.org/officeDocument/2006/relationships/footer" Target="footer22.xml"/><Relationship Id="rId33" Type="http://schemas.openxmlformats.org/officeDocument/2006/relationships/footer" Target="footer23.xml"/><Relationship Id="rId34" Type="http://schemas.openxmlformats.org/officeDocument/2006/relationships/footer" Target="footer2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1.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23.xml.rels><?xml version="1.0" encoding="UTF-8" standalone="yes"?>
<Relationships xmlns="http://schemas.openxmlformats.org/package/2006/relationships"><Relationship Id="rId1" Type="http://schemas.openxmlformats.org/officeDocument/2006/relationships/image" Target="media/image1.jpeg"/></Relationships>

</file>

<file path=word/_rels/footer24.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csii</dc:creator>
  <dcterms:created xsi:type="dcterms:W3CDTF">2020-05-05T02:25:35Z</dcterms:created>
  <dcterms:modified xsi:type="dcterms:W3CDTF">2020-05-05T02:25:35Z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2019-04-24T00:00:00Z</vt:filetime>
  </property>
  <property fmtid="{D5CDD505-2E9C-101B-9397-08002B2CF9AE}" pid="3" name="Creator">
    <vt:lpwstr>WPS 文字</vt:lpwstr>
  </property>
  <property fmtid="{D5CDD505-2E9C-101B-9397-08002B2CF9AE}" pid="4" name="LastSaved">
    <vt:filetime>2020-05-04T00:00:00Z</vt:filetime>
  </property>
</Properties>
</file>