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732" w:lineRule="exact"/>
        <w:ind w:left="40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1127759" cy="46482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59" cy="464820"/>
                    </a:xfrm>
                    <a:prstGeom prst="rect">
                      <a:avLst/>
                    </a:prstGeom>
                  </pic:spPr>
                </pic:pic>
              </a:graphicData>
            </a:graphic>
          </wp:inline>
        </w:drawing>
      </w:r>
      <w:r>
        <w:rPr>
          <w:rFonts w:ascii="Times New Roman" w:hAnsi="Times New Roman" w:cs="Times New Roman" w:eastAsia="Times New Roman" w:hint="default"/>
          <w:position w:val="-14"/>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385" w:right="3400" w:firstLine="0"/>
        <w:jc w:val="center"/>
        <w:rPr>
          <w:rFonts w:ascii="宋体" w:hAnsi="宋体" w:cs="宋体" w:eastAsia="宋体" w:hint="default"/>
          <w:sz w:val="36"/>
          <w:szCs w:val="36"/>
        </w:rPr>
      </w:pPr>
      <w:r>
        <w:rPr>
          <w:rFonts w:ascii="宋体" w:hAnsi="宋体" w:cs="宋体" w:eastAsia="宋体" w:hint="default"/>
          <w:b/>
          <w:bCs/>
          <w:sz w:val="36"/>
          <w:szCs w:val="36"/>
        </w:rPr>
        <w:t>北京科蓝软件系统股份有限公司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380"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385" w:right="3400" w:firstLine="0"/>
        <w:jc w:val="center"/>
        <w:rPr>
          <w:rFonts w:ascii="Times New Roman" w:hAnsi="Times New Roman" w:cs="Times New Roman" w:eastAsia="Times New Roman" w:hint="default"/>
          <w:sz w:val="22"/>
          <w:szCs w:val="22"/>
        </w:rPr>
      </w:pPr>
      <w:r>
        <w:rPr>
          <w:rFonts w:ascii="Times New Roman"/>
          <w:b/>
          <w:sz w:val="22"/>
        </w:rPr>
        <w:t>2020-019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2380"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spacing w:before="76"/>
        <w:ind w:left="112" w:right="0" w:firstLine="0"/>
        <w:jc w:val="left"/>
        <w:rPr>
          <w:rFonts w:ascii="Times New Roman" w:hAnsi="Times New Roman" w:cs="Times New Roman" w:eastAsia="Times New Roman" w:hint="default"/>
          <w:sz w:val="18"/>
          <w:szCs w:val="18"/>
        </w:rPr>
      </w:pPr>
      <w:r>
        <w:rPr>
          <w:rFonts w:ascii="Times New Roman"/>
          <w:sz w:val="18"/>
        </w:rPr>
        <w:t>1</w:t>
      </w:r>
    </w:p>
    <w:p>
      <w:pPr>
        <w:spacing w:after="0"/>
        <w:jc w:val="left"/>
        <w:rPr>
          <w:rFonts w:ascii="Times New Roman" w:hAnsi="Times New Roman" w:cs="Times New Roman" w:eastAsia="Times New Roman" w:hint="default"/>
          <w:sz w:val="18"/>
          <w:szCs w:val="18"/>
        </w:rPr>
        <w:sectPr>
          <w:headerReference w:type="default" r:id="rId5"/>
          <w:footerReference w:type="default" r:id="rId6"/>
          <w:type w:val="continuous"/>
          <w:pgSz w:w="11910" w:h="16840"/>
          <w:pgMar w:header="787" w:footer="504" w:top="1100" w:bottom="7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pStyle w:val="Heading1"/>
        <w:spacing w:line="240" w:lineRule="auto"/>
        <w:ind w:left="2846" w:right="0"/>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128" w:firstLine="561"/>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5"/>
        </w:rPr>
        <w:t> </w:t>
      </w:r>
      <w:r>
        <w:rPr>
          <w:spacing w:val="-135"/>
        </w:rPr>
      </w:r>
      <w:r>
        <w:rPr/>
        <w:t>带的法律责任。</w:t>
      </w:r>
      <w:r>
        <w:rPr>
          <w:b w:val="0"/>
          <w:bCs w:val="0"/>
        </w:rPr>
      </w:r>
    </w:p>
    <w:p>
      <w:pPr>
        <w:pStyle w:val="Heading2"/>
        <w:spacing w:line="386" w:lineRule="auto" w:before="160"/>
        <w:ind w:right="1130" w:firstLine="561"/>
        <w:jc w:val="both"/>
        <w:rPr>
          <w:b w:val="0"/>
          <w:bCs w:val="0"/>
        </w:rPr>
      </w:pPr>
      <w:r>
        <w:rPr>
          <w:spacing w:val="-1"/>
        </w:rPr>
        <w:t>公司负责人王安京、主管会计工作负责人周旭红及会计机构负责人</w:t>
      </w:r>
      <w:r>
        <w:rPr>
          <w:rFonts w:ascii="Times New Roman" w:hAnsi="Times New Roman" w:cs="Times New Roman" w:eastAsia="Times New Roman" w:hint="default"/>
          <w:spacing w:val="-1"/>
        </w:rPr>
        <w:t>(</w:t>
      </w:r>
      <w:r>
        <w:rPr>
          <w:spacing w:val="-1"/>
        </w:rPr>
        <w:t>会计主</w:t>
      </w:r>
      <w:r>
        <w:rPr>
          <w:w w:val="99"/>
        </w:rPr>
        <w:t> </w:t>
      </w:r>
      <w:r>
        <w:rPr/>
        <w:t>管人员</w:t>
      </w:r>
      <w:r>
        <w:rPr>
          <w:rFonts w:ascii="Times New Roman" w:hAnsi="Times New Roman" w:cs="Times New Roman" w:eastAsia="Times New Roman" w:hint="default"/>
        </w:rPr>
        <w:t>)</w:t>
      </w:r>
      <w:r>
        <w:rPr/>
        <w:t>吴玉苹声明：保证年度报告中财务报告的真实、准确、完整。</w:t>
      </w:r>
      <w:r>
        <w:rPr>
          <w:b w:val="0"/>
          <w:bCs w:val="0"/>
        </w:rPr>
      </w:r>
    </w:p>
    <w:p>
      <w:pPr>
        <w:pStyle w:val="Heading2"/>
        <w:spacing w:line="475" w:lineRule="auto" w:before="148"/>
        <w:ind w:left="674" w:right="0"/>
        <w:jc w:val="left"/>
        <w:rPr>
          <w:b w:val="0"/>
          <w:bCs w:val="0"/>
        </w:rPr>
      </w:pPr>
      <w:r>
        <w:rPr/>
        <w:t>所有董事均已出席了审议本报告的董事会会议。</w:t>
      </w:r>
      <w:r>
        <w:rPr>
          <w:w w:val="99"/>
        </w:rPr>
        <w:t> </w:t>
      </w:r>
      <w:r>
        <w:rPr>
          <w:spacing w:val="2"/>
        </w:rPr>
        <w:t>本报告中所涉及的未来经营计划和未来目标等前瞻性陈述，不代表公司的</w:t>
      </w:r>
      <w:r>
        <w:rPr>
          <w:b w:val="0"/>
          <w:bCs w:val="0"/>
          <w:spacing w:val="2"/>
        </w:rPr>
      </w:r>
    </w:p>
    <w:p>
      <w:pPr>
        <w:pStyle w:val="Heading2"/>
        <w:spacing w:line="350" w:lineRule="exact"/>
        <w:ind w:right="0"/>
        <w:jc w:val="both"/>
        <w:rPr>
          <w:b w:val="0"/>
          <w:bCs w:val="0"/>
        </w:rPr>
      </w:pPr>
      <w:r>
        <w:rPr>
          <w:spacing w:val="2"/>
        </w:rPr>
        <w:t>盈利预测或对投资者的实质性承诺，敬请投资者注意投资风险。公司在发展过</w:t>
      </w:r>
      <w:r>
        <w:rPr>
          <w:b w:val="0"/>
          <w:bCs w:val="0"/>
          <w:spacing w:val="2"/>
        </w:rPr>
      </w:r>
    </w:p>
    <w:p>
      <w:pPr>
        <w:spacing w:line="240" w:lineRule="auto" w:before="9"/>
        <w:rPr>
          <w:rFonts w:ascii="宋体" w:hAnsi="宋体" w:cs="宋体" w:eastAsia="宋体" w:hint="default"/>
          <w:b/>
          <w:bCs/>
          <w:sz w:val="19"/>
          <w:szCs w:val="19"/>
        </w:rPr>
      </w:pPr>
    </w:p>
    <w:p>
      <w:pPr>
        <w:pStyle w:val="Heading2"/>
        <w:spacing w:line="240" w:lineRule="auto"/>
        <w:ind w:right="0"/>
        <w:jc w:val="both"/>
        <w:rPr>
          <w:b w:val="0"/>
          <w:bCs w:val="0"/>
        </w:rPr>
      </w:pPr>
      <w:r>
        <w:rPr/>
        <w:t>程中，存在市场竞争加剧、人力成本上升等风险因素。</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26"/>
          <w:szCs w:val="26"/>
        </w:rPr>
      </w:pPr>
    </w:p>
    <w:p>
      <w:pPr>
        <w:pStyle w:val="Heading2"/>
        <w:spacing w:line="448" w:lineRule="auto"/>
        <w:ind w:left="1372" w:right="0" w:hanging="699"/>
        <w:jc w:val="left"/>
        <w:rPr>
          <w:b w:val="0"/>
          <w:bCs w:val="0"/>
        </w:rPr>
      </w:pPr>
      <w:r>
        <w:rPr>
          <w:rFonts w:ascii="Times New Roman" w:hAnsi="Times New Roman" w:cs="Times New Roman" w:eastAsia="Times New Roman" w:hint="default"/>
        </w:rPr>
        <w:t>1</w:t>
      </w:r>
      <w:r>
        <w:rPr/>
        <w:t>、市场竞争加剧风险</w:t>
      </w:r>
      <w:r>
        <w:rPr>
          <w:w w:val="99"/>
        </w:rPr>
        <w:t> </w:t>
      </w:r>
      <w:r>
        <w:rPr>
          <w:spacing w:val="-3"/>
        </w:rPr>
        <w:t>随着互联网金融的发展以及商业银行信息化水平的不断提升，银行对</w:t>
      </w:r>
      <w:r>
        <w:rPr>
          <w:b w:val="0"/>
          <w:bCs w:val="0"/>
          <w:spacing w:val="-3"/>
        </w:rPr>
      </w:r>
    </w:p>
    <w:p>
      <w:pPr>
        <w:pStyle w:val="Heading2"/>
        <w:spacing w:line="398" w:lineRule="auto" w:before="14"/>
        <w:ind w:right="1127"/>
        <w:jc w:val="both"/>
        <w:rPr>
          <w:b w:val="0"/>
          <w:bCs w:val="0"/>
        </w:rPr>
      </w:pPr>
      <w:r>
        <w:rPr>
          <w:rFonts w:ascii="Times New Roman" w:hAnsi="Times New Roman" w:cs="Times New Roman" w:eastAsia="Times New Roman" w:hint="default"/>
        </w:rPr>
        <w:t>IT</w:t>
      </w:r>
      <w:r>
        <w:rPr>
          <w:rFonts w:ascii="Times New Roman" w:hAnsi="Times New Roman" w:cs="Times New Roman" w:eastAsia="Times New Roman" w:hint="default"/>
          <w:spacing w:val="-15"/>
        </w:rPr>
        <w:t> </w:t>
      </w:r>
      <w:r>
        <w:rPr/>
        <w:t>服务的需求逐年增长，市场总体规模不断扩大，行业内竞争对手规模和竞争</w:t>
      </w:r>
      <w:r>
        <w:rPr>
          <w:w w:val="99"/>
        </w:rPr>
        <w:t> </w:t>
      </w:r>
      <w:r>
        <w:rPr>
          <w:spacing w:val="2"/>
        </w:rPr>
        <w:t>力不断提高，同时市场新进入的竞争者逐步增多，可能导致公司所处行业市场</w:t>
      </w:r>
      <w:r>
        <w:rPr>
          <w:spacing w:val="-135"/>
        </w:rPr>
        <w:t> </w:t>
      </w:r>
      <w:r>
        <w:rPr>
          <w:spacing w:val="-135"/>
        </w:rPr>
      </w:r>
      <w:r>
        <w:rPr/>
        <w:t>竞争加剧。</w:t>
      </w:r>
      <w:r>
        <w:rPr>
          <w:b w:val="0"/>
          <w:bCs w:val="0"/>
        </w:rPr>
      </w:r>
    </w:p>
    <w:p>
      <w:pPr>
        <w:pStyle w:val="Heading2"/>
        <w:spacing w:line="448" w:lineRule="auto" w:before="171"/>
        <w:ind w:left="1094" w:right="0" w:hanging="420"/>
        <w:jc w:val="left"/>
        <w:rPr>
          <w:b w:val="0"/>
          <w:bCs w:val="0"/>
        </w:rPr>
      </w:pPr>
      <w:r>
        <w:rPr>
          <w:rFonts w:ascii="Times New Roman" w:hAnsi="Times New Roman" w:cs="Times New Roman" w:eastAsia="Times New Roman" w:hint="default"/>
        </w:rPr>
        <w:t>2</w:t>
      </w:r>
      <w:r>
        <w:rPr/>
        <w:t>、人力成本上升的风险</w:t>
      </w:r>
      <w:r>
        <w:rPr>
          <w:w w:val="99"/>
        </w:rPr>
        <w:t> </w:t>
      </w:r>
      <w:r>
        <w:rPr>
          <w:spacing w:val="-3"/>
        </w:rPr>
        <w:t>随着公司人员进一步增多，且伴随着城市生活成本的上升、竞争对手对</w:t>
      </w:r>
      <w:r>
        <w:rPr>
          <w:b w:val="0"/>
          <w:bCs w:val="0"/>
          <w:spacing w:val="-3"/>
        </w:rPr>
      </w:r>
    </w:p>
    <w:p>
      <w:pPr>
        <w:pStyle w:val="Heading2"/>
        <w:spacing w:line="408" w:lineRule="auto" w:before="14"/>
        <w:ind w:right="1130"/>
        <w:jc w:val="both"/>
        <w:rPr>
          <w:b w:val="0"/>
          <w:bCs w:val="0"/>
        </w:rPr>
      </w:pPr>
      <w:r>
        <w:rPr>
          <w:spacing w:val="2"/>
        </w:rPr>
        <w:t>专业人才的争夺加剧等因素，公司人工成本存在持续上升的风险，从而给公司</w:t>
      </w:r>
      <w:r>
        <w:rPr>
          <w:spacing w:val="-135"/>
        </w:rPr>
        <w:t> </w:t>
      </w:r>
      <w:r>
        <w:rPr>
          <w:spacing w:val="-135"/>
        </w:rPr>
      </w:r>
      <w:r>
        <w:rPr/>
        <w:t>的经营带来一定影响。</w:t>
      </w:r>
      <w:r>
        <w:rPr>
          <w:b w:val="0"/>
          <w:bCs w:val="0"/>
        </w:rPr>
      </w:r>
    </w:p>
    <w:p>
      <w:pPr>
        <w:spacing w:after="0" w:line="408" w:lineRule="auto"/>
        <w:jc w:val="both"/>
        <w:sectPr>
          <w:footerReference w:type="default" r:id="rId8"/>
          <w:pgSz w:w="11910" w:h="16840"/>
          <w:pgMar w:footer="1016" w:header="787" w:top="1100" w:bottom="1200" w:left="1020" w:right="0"/>
          <w:pgNumType w:start="2"/>
        </w:sectPr>
      </w:pPr>
    </w:p>
    <w:p>
      <w:pPr>
        <w:spacing w:line="240" w:lineRule="auto" w:before="0"/>
        <w:rPr>
          <w:rFonts w:ascii="宋体" w:hAnsi="宋体" w:cs="宋体" w:eastAsia="宋体" w:hint="default"/>
          <w:b/>
          <w:bCs/>
          <w:sz w:val="20"/>
          <w:szCs w:val="20"/>
        </w:rPr>
      </w:pPr>
    </w:p>
    <w:p>
      <w:pPr>
        <w:pStyle w:val="Heading2"/>
        <w:spacing w:line="446" w:lineRule="auto" w:before="158"/>
        <w:ind w:left="674" w:right="0"/>
        <w:jc w:val="left"/>
        <w:rPr>
          <w:b w:val="0"/>
          <w:bCs w:val="0"/>
        </w:rPr>
      </w:pPr>
      <w:r>
        <w:rPr>
          <w:rFonts w:ascii="Times New Roman" w:hAnsi="Times New Roman" w:cs="Times New Roman" w:eastAsia="Times New Roman" w:hint="default"/>
        </w:rPr>
        <w:t>3</w:t>
      </w:r>
      <w:r>
        <w:rPr/>
        <w:t>、应收账款逐渐增加及账龄结构发生改变的风险</w:t>
      </w:r>
      <w:r>
        <w:rPr>
          <w:w w:val="99"/>
        </w:rPr>
        <w:t> </w:t>
      </w:r>
      <w:r>
        <w:rPr>
          <w:spacing w:val="2"/>
        </w:rPr>
        <w:t>随着公司业务规模、市场覆盖的扩大，加上项目本身的执行与验收周期较</w:t>
      </w:r>
      <w:r>
        <w:rPr>
          <w:b w:val="0"/>
          <w:bCs w:val="0"/>
          <w:spacing w:val="2"/>
        </w:rPr>
      </w:r>
    </w:p>
    <w:p>
      <w:pPr>
        <w:pStyle w:val="Heading2"/>
        <w:spacing w:line="408" w:lineRule="auto" w:before="16"/>
        <w:ind w:right="1130"/>
        <w:jc w:val="both"/>
        <w:rPr>
          <w:b w:val="0"/>
          <w:bCs w:val="0"/>
        </w:rPr>
      </w:pPr>
      <w:r>
        <w:rPr>
          <w:spacing w:val="2"/>
        </w:rPr>
        <w:t>长，因此应收账款有逐渐增加及账龄结构发生改变的趋势。公司的客户主要为</w:t>
      </w:r>
      <w:r>
        <w:rPr>
          <w:spacing w:val="-135"/>
        </w:rPr>
        <w:t> </w:t>
      </w:r>
      <w:r>
        <w:rPr>
          <w:spacing w:val="-135"/>
        </w:rPr>
      </w:r>
      <w:r>
        <w:rPr>
          <w:spacing w:val="2"/>
        </w:rPr>
        <w:t>银行、金融机构等，如果个别客户信用情况发生较大变化，将不利于公司应收</w:t>
      </w:r>
      <w:r>
        <w:rPr>
          <w:spacing w:val="-135"/>
        </w:rPr>
        <w:t> </w:t>
      </w:r>
      <w:r>
        <w:rPr>
          <w:spacing w:val="-135"/>
        </w:rPr>
      </w:r>
      <w:r>
        <w:rPr/>
        <w:t>账款的收回，对公司的资产质量和经营业绩产生不利影响。</w:t>
      </w:r>
      <w:r>
        <w:rPr>
          <w:b w:val="0"/>
          <w:bCs w:val="0"/>
        </w:rPr>
      </w:r>
    </w:p>
    <w:p>
      <w:pPr>
        <w:pStyle w:val="Heading2"/>
        <w:spacing w:line="240" w:lineRule="auto" w:before="162"/>
        <w:ind w:left="674" w:right="0"/>
        <w:jc w:val="left"/>
        <w:rPr>
          <w:b w:val="0"/>
          <w:bCs w:val="0"/>
        </w:rPr>
      </w:pPr>
      <w:r>
        <w:rPr/>
        <w:t>公司经本次董事会审议通过的利润分配预案为：以</w:t>
      </w:r>
      <w:r>
        <w:rPr>
          <w:spacing w:val="-92"/>
        </w:rPr>
        <w:t> </w:t>
      </w:r>
      <w:r>
        <w:rPr>
          <w:rFonts w:ascii="Times New Roman" w:hAnsi="Times New Roman" w:cs="Times New Roman" w:eastAsia="Times New Roman" w:hint="default"/>
        </w:rPr>
        <w:t>300,425,156</w:t>
      </w:r>
      <w:r>
        <w:rPr>
          <w:rFonts w:ascii="Times New Roman" w:hAnsi="Times New Roman" w:cs="Times New Roman" w:eastAsia="Times New Roman" w:hint="default"/>
          <w:spacing w:val="-23"/>
        </w:rPr>
        <w:t> </w:t>
      </w:r>
      <w:r>
        <w:rPr>
          <w:spacing w:val="-6"/>
        </w:rPr>
        <w:t>为基数，向</w:t>
      </w:r>
      <w:r>
        <w:rPr>
          <w:b w:val="0"/>
          <w:bCs w:val="0"/>
          <w:spacing w:val="-6"/>
        </w:rPr>
      </w:r>
    </w:p>
    <w:p>
      <w:pPr>
        <w:pStyle w:val="Heading2"/>
        <w:spacing w:line="240" w:lineRule="auto" w:before="236"/>
        <w:ind w:right="0"/>
        <w:jc w:val="both"/>
        <w:rPr>
          <w:b w:val="0"/>
          <w:bCs w:val="0"/>
        </w:rPr>
      </w:pPr>
      <w:r>
        <w:rPr>
          <w:spacing w:val="-1"/>
          <w:w w:val="99"/>
        </w:rPr>
        <w:t>全体</w:t>
      </w:r>
      <w:r>
        <w:rPr>
          <w:spacing w:val="2"/>
          <w:w w:val="99"/>
        </w:rPr>
        <w:t>股</w:t>
      </w:r>
      <w:r>
        <w:rPr>
          <w:spacing w:val="-1"/>
          <w:w w:val="99"/>
        </w:rPr>
        <w:t>东</w:t>
      </w:r>
      <w:r>
        <w:rPr>
          <w:w w:val="99"/>
        </w:rPr>
        <w:t>每</w:t>
      </w:r>
      <w:r>
        <w:rPr>
          <w:spacing w:val="-72"/>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1"/>
          <w:w w:val="99"/>
        </w:rPr>
        <w:t>股派</w:t>
      </w:r>
      <w:r>
        <w:rPr>
          <w:spacing w:val="2"/>
          <w:w w:val="99"/>
        </w:rPr>
        <w:t>发</w:t>
      </w:r>
      <w:r>
        <w:rPr>
          <w:spacing w:val="-1"/>
          <w:w w:val="99"/>
        </w:rPr>
        <w:t>现金红</w:t>
      </w:r>
      <w:r>
        <w:rPr>
          <w:w w:val="99"/>
        </w:rPr>
        <w:t>利</w:t>
      </w:r>
      <w:r>
        <w:rPr>
          <w:spacing w:val="-70"/>
        </w:rPr>
        <w:t> </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2"/>
          <w:w w:val="99"/>
        </w:rPr>
        <w:t>元</w:t>
      </w:r>
      <w:r>
        <w:rPr>
          <w:spacing w:val="-1"/>
          <w:w w:val="99"/>
        </w:rPr>
        <w:t>（含税</w:t>
      </w:r>
      <w:r>
        <w:rPr>
          <w:spacing w:val="-140"/>
          <w:w w:val="99"/>
        </w:rPr>
        <w:t>）</w:t>
      </w:r>
      <w:r>
        <w:rPr>
          <w:spacing w:val="-32"/>
          <w:w w:val="99"/>
        </w:rPr>
        <w:t>，</w:t>
      </w:r>
      <w:r>
        <w:rPr>
          <w:spacing w:val="-1"/>
          <w:w w:val="99"/>
        </w:rPr>
        <w:t>送红</w:t>
      </w:r>
      <w:r>
        <w:rPr>
          <w:w w:val="99"/>
        </w:rPr>
        <w:t>股</w:t>
      </w:r>
      <w:r>
        <w:rPr>
          <w:spacing w:val="-70"/>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2"/>
          <w:w w:val="99"/>
        </w:rPr>
        <w:t>股</w:t>
      </w:r>
      <w:r>
        <w:rPr>
          <w:spacing w:val="-1"/>
          <w:w w:val="99"/>
        </w:rPr>
        <w:t>（含</w:t>
      </w:r>
      <w:r>
        <w:rPr>
          <w:spacing w:val="2"/>
          <w:w w:val="99"/>
        </w:rPr>
        <w:t>税</w:t>
      </w:r>
      <w:r>
        <w:rPr>
          <w:spacing w:val="-142"/>
          <w:w w:val="99"/>
        </w:rPr>
        <w:t>）</w:t>
      </w:r>
      <w:r>
        <w:rPr>
          <w:spacing w:val="-32"/>
          <w:w w:val="99"/>
        </w:rPr>
        <w:t>，</w:t>
      </w:r>
      <w:r>
        <w:rPr>
          <w:spacing w:val="-1"/>
          <w:w w:val="99"/>
        </w:rPr>
        <w:t>以资</w:t>
      </w:r>
      <w:r>
        <w:rPr>
          <w:spacing w:val="2"/>
          <w:w w:val="99"/>
        </w:rPr>
        <w:t>本</w:t>
      </w:r>
      <w:r>
        <w:rPr>
          <w:w w:val="99"/>
        </w:rPr>
        <w:t>公</w:t>
      </w:r>
      <w:r>
        <w:rPr>
          <w:b w:val="0"/>
          <w:bCs w:val="0"/>
        </w:rPr>
      </w:r>
    </w:p>
    <w:p>
      <w:pPr>
        <w:pStyle w:val="Heading2"/>
        <w:spacing w:line="240" w:lineRule="auto" w:before="236"/>
        <w:ind w:right="0"/>
        <w:jc w:val="both"/>
        <w:rPr>
          <w:b w:val="0"/>
          <w:bCs w:val="0"/>
        </w:rPr>
      </w:pPr>
      <w:r>
        <w:rPr/>
        <w:t>积金向全体股东每</w:t>
      </w:r>
      <w:r>
        <w:rPr>
          <w:spacing w:val="-7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72"/>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w:t>
      </w:r>
      <w:r>
        <w:rPr>
          <w:b w:val="0"/>
          <w:bCs w:val="0"/>
        </w:rPr>
      </w:r>
    </w:p>
    <w:p>
      <w:pPr>
        <w:spacing w:after="0" w:line="240" w:lineRule="auto"/>
        <w:jc w:val="both"/>
        <w:sectPr>
          <w:pgSz w:w="11910" w:h="16840"/>
          <w:pgMar w:header="787"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2383"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2"/>
              </w:rPr>
              <w:t> </w:t>
            </w:r>
            <w:r>
              <w:rPr/>
              <w:t>可转换公司债券相关情况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第九节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 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104</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110</w:t>
            </w:r>
            <w:r>
              <w:rPr>
                <w:rFonts w:ascii="Times New Roman" w:hAnsi="Times New Roman" w:cs="Times New Roman" w:eastAsia="Times New Roman" w:hint="default"/>
                <w:b w:val="0"/>
                <w:bCs w:val="0"/>
                <w:spacing w:val="-5"/>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9"/>
              </w:rPr>
              <w:t>111</w:t>
            </w:r>
            <w:r>
              <w:rPr>
                <w:rFonts w:ascii="Times New Roman" w:hAnsi="Times New Roman" w:cs="Times New Roman" w:eastAsia="Times New Roman" w:hint="default"/>
                <w:b w:val="0"/>
                <w:bCs w:val="0"/>
                <w:spacing w:val="-9"/>
              </w:rPr>
            </w:r>
          </w:hyperlink>
        </w:p>
      </w:sdtContent>
    </w:sdt>
    <w:p>
      <w:pPr>
        <w:spacing w:after="0" w:line="240" w:lineRule="auto"/>
        <w:jc w:val="left"/>
        <w:rPr>
          <w:rFonts w:ascii="Times New Roman" w:hAnsi="Times New Roman" w:cs="Times New Roman" w:eastAsia="Times New Roman" w:hint="default"/>
        </w:rPr>
        <w:sectPr>
          <w:headerReference w:type="default" r:id="rId9"/>
          <w:pgSz w:w="11910" w:h="16840"/>
          <w:pgMar w:header="907" w:footer="1016" w:top="1100" w:bottom="1200" w:left="1020" w:right="0"/>
        </w:sectPr>
      </w:pPr>
    </w:p>
    <w:p>
      <w:pPr>
        <w:spacing w:before="908"/>
        <w:ind w:left="2383"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公司、本公司、科蓝公司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宁波科蓝盛合投资管理合伙企业（有限合伙）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科蓝盈众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宁波科蓝盈众投资管理合伙企业（有限合伙）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科蓝融创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宁波科蓝融创投资管理合伙企业（有限合伙）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科蓝银科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宁波科蓝银科投资管理合伙企业（有限合伙）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科蓝金投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宁波科蓝金投投资管理合伙企业（有限合伙）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科蓝海联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宁波科蓝海联投资管理合伙企业（有限合伙）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科蓝苏州</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北京科蓝软件系统（苏州）有限公司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深圳科蓝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香港科蓝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科蓝软体系统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数蚂科蓝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尼客矩阵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SUNJE</w:t>
            </w:r>
            <w:r>
              <w:rPr>
                <w:rFonts w:ascii="Times New Roman"/>
                <w:spacing w:val="-4"/>
                <w:sz w:val="18"/>
              </w:rPr>
              <w:t> </w:t>
            </w:r>
            <w:r>
              <w:rPr>
                <w:rFonts w:ascii="Times New Roman"/>
                <w:sz w:val="18"/>
              </w:rPr>
              <w:t>SOFT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株式会社</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大陆云盾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重庆巴云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鑫合易家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杭州兆富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杭州兆富投资合伙企业（有限合伙）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上海文化产业股权投资基金合伙企业（有限合伙）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广州司浦林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广州司浦林信息产业创业投资企业（有限合伙）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杭州太一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杭州太一天择投资管理合伙企业（有限合伙）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君研丰创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新余高新区君研丰创资本股权投资管理中心（有限合伙）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杭州先锋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杭州先锋基石股权投资合伙企业（有限合伙）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济宁先锋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济宁先锋基石股权投资企业（有限合伙）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《北京科蓝软件系统股份有限公司章程》</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北京科蓝软件系统股份有限公司股东大会、董事会、监事会</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，信息技术的英文缩写</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整体解决方案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91"/>
              <w:jc w:val="left"/>
              <w:rPr>
                <w:rFonts w:ascii="宋体" w:hAnsi="宋体" w:cs="宋体" w:eastAsia="宋体" w:hint="default"/>
                <w:sz w:val="18"/>
                <w:szCs w:val="18"/>
              </w:rPr>
            </w:pPr>
            <w:r>
              <w:rPr>
                <w:rFonts w:ascii="宋体" w:hAnsi="宋体" w:cs="宋体" w:eastAsia="宋体" w:hint="default"/>
                <w:sz w:val="18"/>
                <w:szCs w:val="18"/>
              </w:rPr>
              <w:t>由专业化的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企业为金融企业提供满足其分布式数据库、渠道、 业务、管理等需求的应用软件开发及相应技术服务</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金融科技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1"/>
              <w:jc w:val="left"/>
              <w:rPr>
                <w:rFonts w:ascii="宋体" w:hAnsi="宋体" w:cs="宋体" w:eastAsia="宋体" w:hint="default"/>
                <w:sz w:val="18"/>
                <w:szCs w:val="18"/>
              </w:rPr>
            </w:pPr>
            <w:r>
              <w:rPr>
                <w:rFonts w:ascii="宋体" w:hAnsi="宋体" w:cs="宋体" w:eastAsia="宋体" w:hint="default"/>
                <w:sz w:val="18"/>
                <w:szCs w:val="18"/>
              </w:rPr>
              <w:t>指以依托于移动支付、云计算、社交网络以及搜索引擎、</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等互 </w:t>
            </w:r>
            <w:r>
              <w:rPr>
                <w:rFonts w:ascii="宋体" w:hAnsi="宋体" w:cs="宋体" w:eastAsia="宋体" w:hint="default"/>
                <w:spacing w:val="-4"/>
                <w:sz w:val="18"/>
                <w:szCs w:val="18"/>
              </w:rPr>
              <w:t>联网工具，实现资金融通、支付和信息中介等业务的一种新兴金融，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是传统金融行业与互联网精神相结合的新兴领域</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互联网银行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00"/>
              <w:jc w:val="both"/>
              <w:rPr>
                <w:rFonts w:ascii="宋体" w:hAnsi="宋体" w:cs="宋体" w:eastAsia="宋体" w:hint="default"/>
                <w:sz w:val="18"/>
                <w:szCs w:val="18"/>
              </w:rPr>
            </w:pPr>
            <w:r>
              <w:rPr>
                <w:rFonts w:ascii="宋体" w:hAnsi="宋体" w:cs="宋体" w:eastAsia="宋体" w:hint="default"/>
                <w:spacing w:val="-1"/>
                <w:sz w:val="18"/>
                <w:szCs w:val="18"/>
              </w:rPr>
              <w:t>互联网银行或者虚拟银行，是互联网时代应运而生的一种新型银行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运作模式，这一经营模式下，银行没有营业网点，不发放实体银行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卡，客户主要通过电脑、电子邮件、手机、电话等远程渠道获取银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行产品和服务，因没有网点经营费用，直销银行可以为银行客户提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供更有竞争力的存贷款价格及更低的手续费率</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4" w:right="100"/>
              <w:jc w:val="both"/>
              <w:rPr>
                <w:rFonts w:ascii="宋体" w:hAnsi="宋体" w:cs="宋体" w:eastAsia="宋体" w:hint="default"/>
                <w:sz w:val="18"/>
                <w:szCs w:val="18"/>
              </w:rPr>
            </w:pPr>
            <w:r>
              <w:rPr>
                <w:rFonts w:ascii="宋体" w:hAnsi="宋体" w:cs="宋体" w:eastAsia="宋体" w:hint="default"/>
                <w:spacing w:val="-1"/>
                <w:sz w:val="18"/>
                <w:szCs w:val="18"/>
              </w:rPr>
              <w:t>基于互联网的商业计算模型，通过网络以按需、易扩展的方式获得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所需计算服务，这种服务可以是</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、软件或互联网相关，也可以是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其他服务，也即意味着计算能力可以作为一种商品通过互联网进行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流通</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00"/>
              <w:jc w:val="both"/>
              <w:rPr>
                <w:rFonts w:ascii="宋体" w:hAnsi="宋体" w:cs="宋体" w:eastAsia="宋体" w:hint="default"/>
                <w:sz w:val="18"/>
                <w:szCs w:val="18"/>
              </w:rPr>
            </w:pPr>
            <w:r>
              <w:rPr>
                <w:rFonts w:ascii="宋体" w:hAnsi="宋体" w:cs="宋体" w:eastAsia="宋体" w:hint="default"/>
                <w:spacing w:val="-1"/>
                <w:sz w:val="18"/>
                <w:szCs w:val="18"/>
              </w:rPr>
              <w:t>所涉及的资料量规模巨大到无法透过目前主流软件工具，在合理时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间内达到撷取、管理、处理并整理成为帮助企业经营决策更积极目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的的资讯</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00"/>
              <w:jc w:val="left"/>
              <w:rPr>
                <w:rFonts w:ascii="宋体" w:hAnsi="宋体" w:cs="宋体" w:eastAsia="宋体" w:hint="default"/>
                <w:sz w:val="18"/>
                <w:szCs w:val="18"/>
              </w:rPr>
            </w:pPr>
            <w:r>
              <w:rPr>
                <w:rFonts w:ascii="宋体" w:hAnsi="宋体" w:cs="宋体" w:eastAsia="宋体" w:hint="default"/>
                <w:spacing w:val="-1"/>
                <w:sz w:val="18"/>
                <w:szCs w:val="18"/>
              </w:rPr>
              <w:t>分布式数据存储、点对点传输、共识机制、加密算法等计算机技术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的新型应用模式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00"/>
              <w:jc w:val="left"/>
              <w:rPr>
                <w:rFonts w:ascii="宋体" w:hAnsi="宋体" w:cs="宋体" w:eastAsia="宋体" w:hint="default"/>
                <w:sz w:val="18"/>
                <w:szCs w:val="18"/>
              </w:rPr>
            </w:pPr>
            <w:r>
              <w:rPr>
                <w:rFonts w:ascii="宋体" w:hAnsi="宋体" w:cs="宋体" w:eastAsia="宋体" w:hint="default"/>
                <w:spacing w:val="-1"/>
                <w:sz w:val="18"/>
                <w:szCs w:val="18"/>
              </w:rPr>
              <w:t>当下几乎所有技术与计算机、互联网技术的结合，实现物体与物体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之间：环境以及</w:t>
            </w:r>
            <w:r>
              <w:rPr>
                <w:rFonts w:ascii="宋体" w:hAnsi="宋体" w:cs="宋体" w:eastAsia="宋体" w:hint="default"/>
                <w:spacing w:val="-2"/>
                <w:sz w:val="18"/>
                <w:szCs w:val="18"/>
              </w:rPr>
              <w:t> </w:t>
            </w:r>
            <w:r>
              <w:rPr>
                <w:rFonts w:ascii="宋体" w:hAnsi="宋体" w:cs="宋体" w:eastAsia="宋体" w:hint="default"/>
                <w:sz w:val="18"/>
                <w:szCs w:val="18"/>
              </w:rPr>
              <w:t>状态信息实时的实时共享以及智能化的收集、传</w:t>
            </w:r>
            <w:r>
              <w:rPr>
                <w:rFonts w:ascii="宋体" w:hAnsi="宋体" w:cs="宋体" w:eastAsia="宋体" w:hint="default"/>
                <w:sz w:val="18"/>
                <w:szCs w:val="18"/>
              </w:rPr>
              <w:t> 递、处理、执行</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CRM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，即客户关系管理，旨在通过对 </w:t>
            </w:r>
            <w:r>
              <w:rPr>
                <w:rFonts w:ascii="宋体" w:hAnsi="宋体" w:cs="宋体" w:eastAsia="宋体" w:hint="default"/>
                <w:spacing w:val="-1"/>
                <w:sz w:val="18"/>
                <w:szCs w:val="18"/>
              </w:rPr>
              <w:t>客户详细资料的深入分析来提高客户满意程度、从而提高企业的竞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争力</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ECIF</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Facility</w:t>
            </w:r>
            <w:r>
              <w:rPr>
                <w:rFonts w:ascii="宋体" w:hAnsi="宋体" w:cs="宋体" w:eastAsia="宋体" w:hint="default"/>
                <w:sz w:val="18"/>
                <w:szCs w:val="18"/>
              </w:rPr>
              <w:t>，企业级客户信息整合系统， 是指对企业的客户信息进行整合，形成集中、全面的客户信息的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系统</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ISO</w:t>
            </w:r>
            <w:r>
              <w:rPr>
                <w:rFonts w:ascii="Times New Roman"/>
                <w:spacing w:val="-1"/>
                <w:sz w:val="18"/>
              </w:rPr>
              <w:t> </w:t>
            </w:r>
            <w:r>
              <w:rPr>
                <w:rFonts w:ascii="Times New Roman"/>
                <w:sz w:val="18"/>
              </w:rPr>
              <w:t>9001</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00"/>
              <w:jc w:val="left"/>
              <w:rPr>
                <w:rFonts w:ascii="宋体" w:hAnsi="宋体" w:cs="宋体" w:eastAsia="宋体" w:hint="default"/>
                <w:sz w:val="18"/>
                <w:szCs w:val="18"/>
              </w:rPr>
            </w:pPr>
            <w:r>
              <w:rPr>
                <w:rFonts w:ascii="宋体" w:hAnsi="宋体" w:cs="宋体" w:eastAsia="宋体" w:hint="default"/>
                <w:sz w:val="18"/>
                <w:szCs w:val="18"/>
              </w:rPr>
              <w:t>国际标准化组织（</w:t>
            </w:r>
            <w:r>
              <w:rPr>
                <w:rFonts w:ascii="Times New Roman" w:hAnsi="Times New Roman" w:cs="Times New Roman" w:eastAsia="Times New Roman" w:hint="default"/>
                <w:sz w:val="18"/>
                <w:szCs w:val="18"/>
              </w:rPr>
              <w:t>ISO</w:t>
            </w:r>
            <w:r>
              <w:rPr>
                <w:rFonts w:ascii="宋体" w:hAnsi="宋体" w:cs="宋体" w:eastAsia="宋体" w:hint="default"/>
                <w:sz w:val="18"/>
                <w:szCs w:val="18"/>
              </w:rPr>
              <w:t>）颁布的质量管理体系认证标准，该标准对 </w:t>
            </w:r>
            <w:r>
              <w:rPr>
                <w:rFonts w:ascii="宋体" w:hAnsi="宋体" w:cs="宋体" w:eastAsia="宋体" w:hint="default"/>
                <w:spacing w:val="-1"/>
                <w:sz w:val="18"/>
                <w:szCs w:val="18"/>
              </w:rPr>
              <w:t>质量管理体系、管理职责、资源管理、产品实现以及测量、分析和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改进等方面提出了严格要求</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OSGI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10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Open</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Service</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1"/>
                <w:w w:val="99"/>
                <w:sz w:val="18"/>
                <w:szCs w:val="18"/>
              </w:rPr>
              <w:t>Gateway</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5"/>
                <w:w w:val="99"/>
                <w:sz w:val="18"/>
                <w:szCs w:val="18"/>
              </w:rPr>
              <w:t>Initiative</w:t>
            </w:r>
            <w:r>
              <w:rPr>
                <w:rFonts w:ascii="宋体" w:hAnsi="宋体" w:cs="宋体" w:eastAsia="宋体" w:hint="default"/>
                <w:spacing w:val="-5"/>
                <w:w w:val="99"/>
                <w:sz w:val="18"/>
                <w:szCs w:val="18"/>
              </w:rPr>
              <w:t>，是一项面向</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Java</w:t>
            </w:r>
            <w:r>
              <w:rPr>
                <w:rFonts w:ascii="Times New Roman" w:hAnsi="Times New Roman" w:cs="Times New Roman" w:eastAsia="Times New Roman" w:hint="default"/>
                <w:spacing w:val="6"/>
                <w:w w:val="99"/>
                <w:sz w:val="18"/>
                <w:szCs w:val="18"/>
              </w:rPr>
              <w:t> </w:t>
            </w:r>
            <w:r>
              <w:rPr>
                <w:rFonts w:ascii="宋体" w:hAnsi="宋体" w:cs="宋体" w:eastAsia="宋体" w:hint="default"/>
                <w:sz w:val="18"/>
                <w:szCs w:val="18"/>
              </w:rPr>
              <w:t>的动态模型系统的 技术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PowerEngine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公司用于应用开发的拥有自主知识产权的应用开发平台</w:t>
            </w:r>
          </w:p>
        </w:tc>
      </w:tr>
      <w:tr>
        <w:trPr>
          <w:trHeight w:val="9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CMMI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4"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宋体" w:hAnsi="宋体" w:cs="宋体" w:eastAsia="宋体" w:hint="default"/>
                <w:sz w:val="18"/>
                <w:szCs w:val="18"/>
              </w:rPr>
              <w:t>（</w:t>
            </w:r>
            <w:r>
              <w:rPr>
                <w:rFonts w:ascii="Times New Roman" w:hAnsi="Times New Roman" w:cs="Times New Roman" w:eastAsia="Times New Roman" w:hint="default"/>
                <w:sz w:val="18"/>
                <w:szCs w:val="18"/>
              </w:rPr>
              <w:t>Capability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Maturity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Model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）即软件能力成熟度模 型集成，由卡内基</w:t>
            </w:r>
            <w:r>
              <w:rPr>
                <w:rFonts w:ascii="Times New Roman" w:hAnsi="Times New Roman" w:cs="Times New Roman" w:eastAsia="Times New Roman" w:hint="default"/>
                <w:sz w:val="18"/>
                <w:szCs w:val="18"/>
              </w:rPr>
              <w:t>-</w:t>
            </w:r>
            <w:r>
              <w:rPr>
                <w:rFonts w:ascii="宋体" w:hAnsi="宋体" w:cs="宋体" w:eastAsia="宋体" w:hint="default"/>
                <w:sz w:val="18"/>
                <w:szCs w:val="18"/>
              </w:rPr>
              <w:t>梅隆大学和美国国防工业协会共同开发与研制， 其目的是帮助软件企业对软件工程过程进行管理和改进，增强开发</w:t>
            </w:r>
          </w:p>
        </w:tc>
      </w:tr>
    </w:tbl>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与改进能力，从而能按时、不超预算地开发出高质量的软件。</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分布式数据库系统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4" w:right="100"/>
              <w:jc w:val="left"/>
              <w:rPr>
                <w:rFonts w:ascii="宋体" w:hAnsi="宋体" w:cs="宋体" w:eastAsia="宋体" w:hint="default"/>
                <w:sz w:val="18"/>
                <w:szCs w:val="18"/>
              </w:rPr>
            </w:pPr>
            <w:r>
              <w:rPr>
                <w:rFonts w:ascii="宋体" w:hAnsi="宋体" w:cs="宋体" w:eastAsia="宋体" w:hint="default"/>
                <w:spacing w:val="-1"/>
                <w:sz w:val="18"/>
                <w:szCs w:val="18"/>
              </w:rPr>
              <w:t>分布式数据库系统通常使用较小的计算机系统，每台计算机可单独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放在一个地方，每台计算机中都可能有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DBMS </w:t>
            </w:r>
            <w:r>
              <w:rPr>
                <w:rFonts w:ascii="宋体" w:hAnsi="宋体" w:cs="宋体" w:eastAsia="宋体" w:hint="default"/>
                <w:sz w:val="18"/>
                <w:szCs w:val="18"/>
              </w:rPr>
              <w:t>的一份完整拷贝副 </w:t>
            </w:r>
            <w:r>
              <w:rPr>
                <w:rFonts w:ascii="宋体" w:hAnsi="宋体" w:cs="宋体" w:eastAsia="宋体" w:hint="default"/>
                <w:spacing w:val="-1"/>
                <w:sz w:val="18"/>
                <w:szCs w:val="18"/>
              </w:rPr>
              <w:t>本，或者部分拷贝副本，并具有自己局部的数据库，位于不同地点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的许多计算机通过网络互相连接，共同组成一个完整的、全局的逻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辑上集中、物理上分布的大型数据库</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数字货币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00"/>
              <w:jc w:val="left"/>
              <w:rPr>
                <w:rFonts w:ascii="宋体" w:hAnsi="宋体" w:cs="宋体" w:eastAsia="宋体" w:hint="default"/>
                <w:sz w:val="18"/>
                <w:szCs w:val="18"/>
              </w:rPr>
            </w:pPr>
            <w:r>
              <w:rPr>
                <w:rFonts w:ascii="宋体" w:hAnsi="宋体" w:cs="宋体" w:eastAsia="宋体" w:hint="default"/>
                <w:spacing w:val="-1"/>
                <w:sz w:val="18"/>
                <w:szCs w:val="18"/>
              </w:rPr>
              <w:t>是电子货币形式的替代货币，是一种基于节点网络和数字加密算法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的虚拟货币</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685" w:right="0"/>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300663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科蓝软件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Client Service International,</w:t>
            </w:r>
            <w:r>
              <w:rPr>
                <w:rFonts w:ascii="Times New Roman"/>
                <w:spacing w:val="-13"/>
                <w:sz w:val="18"/>
              </w:rPr>
              <w:t> </w:t>
            </w:r>
            <w:r>
              <w:rPr>
                <w:rFonts w:ascii="Times New Roman"/>
                <w:sz w:val="18"/>
              </w:rPr>
              <w:t>Inc.</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CSII</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王安京</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北京市北京经济技术开发区西环南路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室</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北京市朝阳区朝外大街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号丰联广场</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A1601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100020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0">
              <w:r>
                <w:rPr>
                  <w:rFonts w:ascii="Times New Roman"/>
                  <w:sz w:val="18"/>
                </w:rPr>
                <w:t>www.csii.com.cn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1">
              <w:r>
                <w:rPr>
                  <w:rFonts w:ascii="Times New Roman"/>
                  <w:sz w:val="18"/>
                </w:rPr>
                <w:t>investor@csii.com.cn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王娟</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号丰联广场</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A1601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号丰联广场</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A1601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010-65882700-131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010-65882700-131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010-65880766-201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010-65880766-201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investor@csii.com.cn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investor@csii.com.cn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证券时报、上海证券报、证券日报、中国证券报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5"/>
                <w:sz w:val="18"/>
                <w:szCs w:val="18"/>
              </w:rPr>
              <w:t> </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b/>
          <w:bCs/>
          <w:sz w:val="20"/>
          <w:szCs w:val="20"/>
        </w:rPr>
      </w:pPr>
    </w:p>
    <w:p>
      <w:pPr>
        <w:pStyle w:val="Heading4"/>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李峰、刘黎</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17"/>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 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张刚、薛阳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933,872,009.88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753,221,267.15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670,374,055.70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49,509,331.14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42,576,019.79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40,080,358.35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46,289,779.14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37,838,026.22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37,972,695.60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-23,628,851.23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-50,006,057.54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-28,472,239.33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6.47%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7.00%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1,483,845,481.10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1,406,411,116.94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1,135,108,965.26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750,499,575.62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721,015,683.99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678,188,834.44</w:t>
            </w:r>
          </w:p>
        </w:tc>
      </w:tr>
    </w:tbl>
    <w:p>
      <w:pPr>
        <w:spacing w:line="240" w:lineRule="auto" w:before="12"/>
        <w:rPr>
          <w:rFonts w:ascii="宋体" w:hAnsi="宋体" w:cs="宋体" w:eastAsia="宋体" w:hint="default"/>
          <w:sz w:val="17"/>
          <w:szCs w:val="17"/>
        </w:rPr>
      </w:pPr>
    </w:p>
    <w:p>
      <w:pPr>
        <w:pStyle w:val="Heading4"/>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9" w:right="0"/>
              <w:jc w:val="left"/>
              <w:rPr>
                <w:rFonts w:ascii="Times New Roman" w:hAnsi="Times New Roman" w:cs="Times New Roman" w:eastAsia="Times New Roman" w:hint="default"/>
                <w:sz w:val="18"/>
                <w:szCs w:val="18"/>
              </w:rPr>
            </w:pPr>
            <w:r>
              <w:rPr>
                <w:rFonts w:ascii="Times New Roman"/>
                <w:sz w:val="18"/>
              </w:rPr>
              <w:t>112,337,850.90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168,305,212.33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193,669,213.31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459,559,733.34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3" w:right="0"/>
              <w:jc w:val="left"/>
              <w:rPr>
                <w:rFonts w:ascii="Times New Roman" w:hAnsi="Times New Roman" w:cs="Times New Roman" w:eastAsia="Times New Roman" w:hint="default"/>
                <w:sz w:val="18"/>
                <w:szCs w:val="18"/>
              </w:rPr>
            </w:pPr>
            <w:r>
              <w:rPr>
                <w:rFonts w:ascii="Times New Roman"/>
                <w:sz w:val="18"/>
              </w:rPr>
              <w:t>-16,980,692.16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-19,111,097.34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-24,627,486.13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9" w:right="0"/>
              <w:jc w:val="left"/>
              <w:rPr>
                <w:rFonts w:ascii="Times New Roman" w:hAnsi="Times New Roman" w:cs="Times New Roman" w:eastAsia="Times New Roman" w:hint="default"/>
                <w:sz w:val="18"/>
                <w:szCs w:val="18"/>
              </w:rPr>
            </w:pPr>
            <w:r>
              <w:rPr>
                <w:rFonts w:ascii="Times New Roman"/>
                <w:sz w:val="18"/>
              </w:rPr>
              <w:t>110,228,606.77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-17,715,771.47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-20,410,011.96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-25,627,322.48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110,042,885.05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-210,805,390.39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8,570,146.47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9" w:right="0"/>
              <w:jc w:val="left"/>
              <w:rPr>
                <w:rFonts w:ascii="Times New Roman" w:hAnsi="Times New Roman" w:cs="Times New Roman" w:eastAsia="Times New Roman" w:hint="default"/>
                <w:sz w:val="18"/>
                <w:szCs w:val="18"/>
              </w:rPr>
            </w:pPr>
            <w:r>
              <w:rPr>
                <w:rFonts w:ascii="Times New Roman"/>
                <w:sz w:val="18"/>
              </w:rPr>
              <w:t>-33,411,769.38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18"/>
                <w:szCs w:val="18"/>
              </w:rPr>
            </w:pPr>
            <w:r>
              <w:rPr>
                <w:rFonts w:ascii="Times New Roman"/>
                <w:sz w:val="18"/>
              </w:rPr>
              <w:t>212,018,162.07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1185"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26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-9,318.51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-5,927.70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1,714,388.59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2,309,896.18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1,296,864.63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1,629,838.26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2,333,692.93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554,743.15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295,810.11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57,972.81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633,923.15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147,671.28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881,866.67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568,156.24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836,116.51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371,940.48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3,219,552.00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4,737,993.57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2,107,662.75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after="0" w:line="300" w:lineRule="auto"/>
        <w:jc w:val="left"/>
        <w:rPr>
          <w:rFonts w:ascii="宋体" w:hAnsi="宋体" w:cs="宋体" w:eastAsia="宋体" w:hint="default"/>
          <w:sz w:val="18"/>
          <w:szCs w:val="18"/>
        </w:rPr>
        <w:sectPr>
          <w:footerReference w:type="default" r:id="rId13"/>
          <w:pgSz w:w="11910" w:h="16840"/>
          <w:pgMar w:footer="1016" w:header="907" w:top="1100" w:bottom="1200" w:left="1020" w:right="0"/>
          <w:pgNumType w:start="1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1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87" w:right="0"/>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pStyle w:val="Heading4"/>
        <w:spacing w:line="313" w:lineRule="exact" w:before="55"/>
        <w:ind w:right="0"/>
        <w:jc w:val="left"/>
        <w:rPr>
          <w:b w:val="0"/>
          <w:bCs w:val="0"/>
        </w:rPr>
      </w:pPr>
      <w:r>
        <w:rPr/>
        <w:t>（一）主要业务与产品</w:t>
      </w:r>
      <w:r>
        <w:rPr>
          <w:b w:val="0"/>
          <w:bCs w:val="0"/>
        </w:rPr>
      </w:r>
    </w:p>
    <w:p>
      <w:pPr>
        <w:pStyle w:val="Heading4"/>
        <w:spacing w:line="331" w:lineRule="exact"/>
        <w:ind w:left="472" w:right="0"/>
        <w:jc w:val="left"/>
        <w:rPr>
          <w:b w:val="0"/>
          <w:bCs w:val="0"/>
        </w:rPr>
      </w:pPr>
      <w:r>
        <w:rPr>
          <w:rFonts w:ascii="Times New Roman" w:hAnsi="Times New Roman" w:cs="Times New Roman" w:eastAsia="Times New Roman" w:hint="default"/>
        </w:rPr>
        <w:t>1</w:t>
      </w:r>
      <w:r>
        <w:rPr/>
        <w:t>、公司主要业务、产品</w:t>
      </w:r>
      <w:r>
        <w:rPr>
          <w:b w:val="0"/>
          <w:bCs w:val="0"/>
        </w:rPr>
      </w:r>
    </w:p>
    <w:p>
      <w:pPr>
        <w:spacing w:line="316" w:lineRule="auto" w:before="69"/>
        <w:ind w:left="112" w:right="1034" w:firstLine="362"/>
        <w:jc w:val="left"/>
        <w:rPr>
          <w:rFonts w:ascii="宋体" w:hAnsi="宋体" w:cs="宋体" w:eastAsia="宋体" w:hint="default"/>
          <w:sz w:val="18"/>
          <w:szCs w:val="18"/>
        </w:rPr>
      </w:pPr>
      <w:r>
        <w:rPr>
          <w:rFonts w:ascii="宋体" w:hAnsi="宋体" w:cs="宋体" w:eastAsia="宋体" w:hint="default"/>
          <w:spacing w:val="-2"/>
          <w:sz w:val="18"/>
          <w:szCs w:val="18"/>
        </w:rPr>
        <w:t>公司是一家国内互联网银行解决方案的领军企业，主营业务是向以银行为主的金融机构提供线上软件产品和电子支付技</w:t>
      </w:r>
      <w:r>
        <w:rPr>
          <w:rFonts w:ascii="宋体" w:hAnsi="宋体" w:cs="宋体" w:eastAsia="宋体" w:hint="default"/>
          <w:sz w:val="18"/>
          <w:szCs w:val="18"/>
        </w:rPr>
        <w:t> 术服务，可为银行等金融行业提供基于互联网技术的咨询、规划、建设、营运、产品创新以及市场营销等一揽子解决方案。 </w:t>
      </w:r>
      <w:r>
        <w:rPr>
          <w:rFonts w:ascii="宋体" w:hAnsi="宋体" w:cs="宋体" w:eastAsia="宋体" w:hint="default"/>
          <w:spacing w:val="-2"/>
          <w:sz w:val="18"/>
          <w:szCs w:val="18"/>
        </w:rPr>
        <w:t>公司产品涵盖银行渠道类、业务类和管理类领域，主要产品包括分布式内存数据库、银行网点智能设备、电子银行系统、互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联网金融类系统、网络安全系统以及银行线上线下一体化核心业务系统等。</w:t>
      </w:r>
    </w:p>
    <w:p>
      <w:pPr>
        <w:spacing w:line="316" w:lineRule="auto" w:before="57"/>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公司自主研发的高性能分布式内存数据库产品，在架构上应用了先进的分布式技术，具有极强的性能保障，同时在集群</w:t>
      </w:r>
      <w:r>
        <w:rPr>
          <w:rFonts w:ascii="宋体" w:hAnsi="宋体" w:cs="宋体" w:eastAsia="宋体" w:hint="default"/>
          <w:sz w:val="18"/>
          <w:szCs w:val="18"/>
        </w:rPr>
        <w:t> </w:t>
      </w:r>
      <w:r>
        <w:rPr>
          <w:rFonts w:ascii="宋体" w:hAnsi="宋体" w:cs="宋体" w:eastAsia="宋体" w:hint="default"/>
          <w:spacing w:val="-4"/>
          <w:sz w:val="18"/>
          <w:szCs w:val="18"/>
        </w:rPr>
        <w:t>部署的环境下，提供灵活的横向扩展能力，应对多样化的系统运行需求。科蓝分布式内存数据库产品适合于金融互联网交易、</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智慧城市、运营商、证券、人工智能等超高性能、大并发、实时处理数据的领域。在云计算、大数据等新技术的带动下，金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融等行业普遍面临互联网金融在技术和业务上带来的新挑战，高可用、高可靠、可扩展的大数据平台和分布式内存数据库解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决方案是行业的全新技术选择。</w:t>
      </w:r>
    </w:p>
    <w:p>
      <w:pPr>
        <w:spacing w:line="302" w:lineRule="auto" w:before="59"/>
        <w:ind w:left="112" w:right="1034" w:firstLine="451"/>
        <w:jc w:val="left"/>
        <w:rPr>
          <w:rFonts w:ascii="宋体" w:hAnsi="宋体" w:cs="宋体" w:eastAsia="宋体" w:hint="default"/>
          <w:sz w:val="18"/>
          <w:szCs w:val="18"/>
        </w:rPr>
      </w:pPr>
      <w:r>
        <w:rPr>
          <w:rFonts w:ascii="宋体" w:hAnsi="宋体" w:cs="宋体" w:eastAsia="宋体" w:hint="default"/>
          <w:sz w:val="18"/>
          <w:szCs w:val="18"/>
        </w:rPr>
        <w:t>银行网点智能设备是公司在创新未来银行的趋势下，自主研发的国内独家知识产权智慧银行设备</w:t>
      </w:r>
      <w:r>
        <w:rPr>
          <w:rFonts w:ascii="Times New Roman" w:hAnsi="Times New Roman" w:cs="Times New Roman" w:eastAsia="Times New Roman" w:hint="default"/>
          <w:sz w:val="18"/>
          <w:szCs w:val="18"/>
        </w:rPr>
        <w:t>“</w:t>
      </w:r>
      <w:r>
        <w:rPr>
          <w:rFonts w:ascii="宋体" w:hAnsi="宋体" w:cs="宋体" w:eastAsia="宋体" w:hint="default"/>
          <w:sz w:val="18"/>
          <w:szCs w:val="18"/>
        </w:rPr>
        <w:t>小蓝</w:t>
      </w:r>
      <w:r>
        <w:rPr>
          <w:rFonts w:ascii="Times New Roman" w:hAnsi="Times New Roman" w:cs="Times New Roman" w:eastAsia="Times New Roman" w:hint="default"/>
          <w:sz w:val="18"/>
          <w:szCs w:val="18"/>
        </w:rPr>
        <w:t>”</w:t>
      </w:r>
      <w:r>
        <w:rPr>
          <w:rFonts w:ascii="宋体" w:hAnsi="宋体" w:cs="宋体" w:eastAsia="宋体" w:hint="default"/>
          <w:sz w:val="18"/>
          <w:szCs w:val="18"/>
        </w:rPr>
        <w:t>，在完全保留 传统高柜柜台的前提下，</w:t>
      </w:r>
      <w:r>
        <w:rPr>
          <w:rFonts w:ascii="Times New Roman" w:hAnsi="Times New Roman" w:cs="Times New Roman" w:eastAsia="Times New Roman" w:hint="default"/>
          <w:sz w:val="18"/>
          <w:szCs w:val="18"/>
        </w:rPr>
        <w:t>“</w:t>
      </w:r>
      <w:r>
        <w:rPr>
          <w:rFonts w:ascii="宋体" w:hAnsi="宋体" w:cs="宋体" w:eastAsia="宋体" w:hint="default"/>
          <w:sz w:val="18"/>
          <w:szCs w:val="18"/>
        </w:rPr>
        <w:t>小蓝</w:t>
      </w:r>
      <w:r>
        <w:rPr>
          <w:rFonts w:ascii="Times New Roman" w:hAnsi="Times New Roman" w:cs="Times New Roman" w:eastAsia="Times New Roman" w:hint="default"/>
          <w:sz w:val="18"/>
          <w:szCs w:val="18"/>
        </w:rPr>
        <w:t>”</w:t>
      </w:r>
      <w:r>
        <w:rPr>
          <w:rFonts w:ascii="宋体" w:hAnsi="宋体" w:cs="宋体" w:eastAsia="宋体" w:hint="default"/>
          <w:sz w:val="18"/>
          <w:szCs w:val="18"/>
        </w:rPr>
        <w:t>直接代替银行网点高柜的人工，客户在传统的高柜柜台前自助办理现金及非现金业务。智能 </w:t>
      </w:r>
      <w:r>
        <w:rPr>
          <w:rFonts w:ascii="宋体" w:hAnsi="宋体" w:cs="宋体" w:eastAsia="宋体" w:hint="default"/>
          <w:spacing w:val="-3"/>
          <w:sz w:val="18"/>
          <w:szCs w:val="18"/>
        </w:rPr>
        <w:t>设备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小蓝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完全满足银保监、公安部门对网点现金设备监管要求，设备安装快速便捷，直接利用了传统高柜且无需任何改造。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小蓝</w:t>
      </w:r>
      <w:r>
        <w:rPr>
          <w:rFonts w:ascii="Times New Roman" w:hAnsi="Times New Roman" w:cs="Times New Roman" w:eastAsia="Times New Roman" w:hint="default"/>
          <w:sz w:val="18"/>
          <w:szCs w:val="18"/>
        </w:rPr>
        <w:t>”</w:t>
      </w:r>
      <w:r>
        <w:rPr>
          <w:rFonts w:ascii="宋体" w:hAnsi="宋体" w:cs="宋体" w:eastAsia="宋体" w:hint="default"/>
          <w:sz w:val="18"/>
          <w:szCs w:val="18"/>
        </w:rPr>
        <w:t>可提供</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智能应答，远程视频通话，以及千人千面的个性化服务。为国内大中小银行快速实现网点转型，降低人工</w:t>
      </w:r>
      <w:r>
        <w:rPr>
          <w:rFonts w:ascii="宋体" w:hAnsi="宋体" w:cs="宋体" w:eastAsia="宋体" w:hint="default"/>
          <w:w w:val="99"/>
          <w:sz w:val="18"/>
          <w:szCs w:val="18"/>
        </w:rPr>
        <w:t> </w:t>
      </w:r>
      <w:r>
        <w:rPr>
          <w:rFonts w:ascii="宋体" w:hAnsi="宋体" w:cs="宋体" w:eastAsia="宋体" w:hint="default"/>
          <w:spacing w:val="-2"/>
          <w:sz w:val="18"/>
          <w:szCs w:val="18"/>
        </w:rPr>
        <w:t>及运营成本，提高业务处理效率提供了坚实基础。智慧银行设备运用大数据技术优化柜台业务流程，通过软件系统和硬件设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备的技术融合，为银行提供可定制化业务流程及为客户提供</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r>
        <w:rPr>
          <w:rFonts w:ascii="宋体" w:hAnsi="宋体" w:cs="宋体" w:eastAsia="宋体" w:hint="default"/>
          <w:sz w:val="18"/>
          <w:szCs w:val="18"/>
        </w:rPr>
        <w:t>自动化</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w:t>
      </w:r>
      <w:r>
        <w:rPr>
          <w:rFonts w:ascii="Times New Roman" w:hAnsi="Times New Roman" w:cs="Times New Roman" w:eastAsia="Times New Roman" w:hint="default"/>
          <w:sz w:val="18"/>
          <w:szCs w:val="18"/>
        </w:rPr>
        <w:t>,</w:t>
      </w:r>
      <w:r>
        <w:rPr>
          <w:rFonts w:ascii="宋体" w:hAnsi="宋体" w:cs="宋体" w:eastAsia="宋体" w:hint="default"/>
          <w:sz w:val="18"/>
          <w:szCs w:val="18"/>
        </w:rPr>
        <w:t>多样化</w:t>
      </w:r>
      <w:r>
        <w:rPr>
          <w:rFonts w:ascii="Times New Roman" w:hAnsi="Times New Roman" w:cs="Times New Roman" w:eastAsia="Times New Roman" w:hint="default"/>
          <w:sz w:val="18"/>
          <w:szCs w:val="18"/>
        </w:rPr>
        <w:t>”</w:t>
      </w:r>
      <w:r>
        <w:rPr>
          <w:rFonts w:ascii="宋体" w:hAnsi="宋体" w:cs="宋体" w:eastAsia="宋体" w:hint="default"/>
          <w:sz w:val="18"/>
          <w:szCs w:val="18"/>
        </w:rPr>
        <w:t>柜台服务，促进信息技术与业务 流程的深度融合，有效推动业务创新，服务创新，流程创新，管理创新，给客户提供多样、安全、便捷快速的金融服务。</w:t>
      </w:r>
    </w:p>
    <w:p>
      <w:pPr>
        <w:spacing w:line="316" w:lineRule="auto" w:before="70"/>
        <w:ind w:left="112" w:right="1034" w:firstLine="360"/>
        <w:jc w:val="left"/>
        <w:rPr>
          <w:rFonts w:ascii="宋体" w:hAnsi="宋体" w:cs="宋体" w:eastAsia="宋体" w:hint="default"/>
          <w:sz w:val="18"/>
          <w:szCs w:val="18"/>
        </w:rPr>
      </w:pPr>
      <w:r>
        <w:rPr>
          <w:rFonts w:ascii="宋体" w:hAnsi="宋体" w:cs="宋体" w:eastAsia="宋体" w:hint="default"/>
          <w:sz w:val="18"/>
          <w:szCs w:val="18"/>
        </w:rPr>
        <w:t>公司的电子银行系统主要包括网上银行、手机银行、微信银行等电子渠道产品，随着商业银行信息化水平的不断提升， 电子渠道逐渐取代柜台成为商业银行业务收入的主要来源，电子渠道成为银行向</w:t>
      </w:r>
      <w:r>
        <w:rPr>
          <w:rFonts w:ascii="Times New Roman" w:hAnsi="Times New Roman" w:cs="Times New Roman" w:eastAsia="Times New Roman" w:hint="default"/>
          <w:sz w:val="18"/>
          <w:szCs w:val="18"/>
        </w:rPr>
        <w:t>“</w:t>
      </w:r>
      <w:r>
        <w:rPr>
          <w:rFonts w:ascii="宋体" w:hAnsi="宋体" w:cs="宋体" w:eastAsia="宋体" w:hint="default"/>
          <w:sz w:val="18"/>
          <w:szCs w:val="18"/>
        </w:rPr>
        <w:t>以客户为中心</w:t>
      </w:r>
      <w:r>
        <w:rPr>
          <w:rFonts w:ascii="Times New Roman" w:hAnsi="Times New Roman" w:cs="Times New Roman" w:eastAsia="Times New Roman" w:hint="default"/>
          <w:sz w:val="18"/>
          <w:szCs w:val="18"/>
        </w:rPr>
        <w:t>”</w:t>
      </w:r>
      <w:r>
        <w:rPr>
          <w:rFonts w:ascii="宋体" w:hAnsi="宋体" w:cs="宋体" w:eastAsia="宋体" w:hint="default"/>
          <w:sz w:val="18"/>
          <w:szCs w:val="18"/>
        </w:rPr>
        <w:t>转型的重点。</w:t>
      </w:r>
    </w:p>
    <w:p>
      <w:pPr>
        <w:spacing w:line="316" w:lineRule="auto" w:before="37"/>
        <w:ind w:left="112" w:right="1034" w:firstLine="360"/>
        <w:jc w:val="left"/>
        <w:rPr>
          <w:rFonts w:ascii="宋体" w:hAnsi="宋体" w:cs="宋体" w:eastAsia="宋体" w:hint="default"/>
          <w:sz w:val="18"/>
          <w:szCs w:val="18"/>
        </w:rPr>
      </w:pPr>
      <w:r>
        <w:rPr>
          <w:rFonts w:ascii="宋体" w:hAnsi="宋体" w:cs="宋体" w:eastAsia="宋体" w:hint="default"/>
          <w:sz w:val="18"/>
          <w:szCs w:val="18"/>
        </w:rPr>
        <w:t>公司的互联网金融类系统主要包括直销银行、金融开放平台、互联网核心体系等系列产品。为应对互联网金融的挑战， 传统商业银行积极拥抱互联网，互联网银行市场方兴未艾。</w:t>
      </w:r>
    </w:p>
    <w:p>
      <w:pPr>
        <w:spacing w:before="59"/>
        <w:ind w:left="472" w:right="0" w:firstLine="0"/>
        <w:jc w:val="left"/>
        <w:rPr>
          <w:rFonts w:ascii="宋体" w:hAnsi="宋体" w:cs="宋体" w:eastAsia="宋体" w:hint="default"/>
          <w:sz w:val="18"/>
          <w:szCs w:val="18"/>
        </w:rPr>
      </w:pPr>
      <w:r>
        <w:rPr>
          <w:rFonts w:ascii="宋体" w:hAnsi="宋体" w:cs="宋体" w:eastAsia="宋体" w:hint="default"/>
          <w:sz w:val="18"/>
          <w:szCs w:val="18"/>
        </w:rPr>
        <w:t>公司的网络安全系统主要包括网银专用客户端、安全输入系统、电子安全认证、数字认证、电子保全、电子签约平台、</w:t>
      </w:r>
    </w:p>
    <w:p>
      <w:pPr>
        <w:spacing w:line="340" w:lineRule="auto" w:before="76"/>
        <w:ind w:left="47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eID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安全身份认证体系、线上赋予强制执行力的公证服务等产品，主要用于对银行等金融机构安全系统的建设。 </w:t>
      </w:r>
      <w:r>
        <w:rPr>
          <w:rFonts w:ascii="宋体" w:hAnsi="宋体" w:cs="宋体" w:eastAsia="宋体" w:hint="default"/>
          <w:spacing w:val="-2"/>
          <w:sz w:val="18"/>
          <w:szCs w:val="18"/>
        </w:rPr>
        <w:t>公司的银行线上线下一体化核心业务系统基于微服务模型和分布式架构，应用于大中小商业银行的业务流程改造、整体</w:t>
      </w:r>
    </w:p>
    <w:p>
      <w:pPr>
        <w:spacing w:before="1"/>
        <w:ind w:left="112" w:right="0" w:firstLine="0"/>
        <w:jc w:val="left"/>
        <w:rPr>
          <w:rFonts w:ascii="宋体" w:hAnsi="宋体" w:cs="宋体" w:eastAsia="宋体" w:hint="default"/>
          <w:sz w:val="18"/>
          <w:szCs w:val="18"/>
        </w:rPr>
      </w:pPr>
      <w:r>
        <w:rPr>
          <w:rFonts w:ascii="宋体" w:hAnsi="宋体" w:cs="宋体" w:eastAsia="宋体" w:hint="default"/>
          <w:sz w:val="18"/>
          <w:szCs w:val="18"/>
        </w:rPr>
        <w:t>系统升级和服务于互联网时代的创新需求。</w:t>
      </w:r>
    </w:p>
    <w:p>
      <w:pPr>
        <w:spacing w:line="340" w:lineRule="auto" w:before="115"/>
        <w:ind w:left="384" w:right="1122"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、公司主要经营模式 公司主要向以银行为主的金融机构提供金融软件产品、技术开发和技术服务的一体化整体解决方案，将银行互联网金融</w:t>
      </w:r>
    </w:p>
    <w:p>
      <w:pPr>
        <w:spacing w:line="316" w:lineRule="auto" w:before="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渠道、互联网金融业务等方面的产品和技术与市场需求结合，开发出满足市场需求的产品，在标准产品的基础上根据不同客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户的个性化需求进行配置和二次开发，为客户提供包括技术开发与服务的一体化解决方案。</w:t>
      </w:r>
    </w:p>
    <w:p>
      <w:pPr>
        <w:pStyle w:val="Heading4"/>
        <w:spacing w:line="313" w:lineRule="exact" w:before="11"/>
        <w:ind w:right="0"/>
        <w:jc w:val="left"/>
        <w:rPr>
          <w:b w:val="0"/>
          <w:bCs w:val="0"/>
        </w:rPr>
      </w:pPr>
      <w:r>
        <w:rPr/>
        <w:t>（二）公司所处行业情况</w:t>
      </w:r>
      <w:r>
        <w:rPr>
          <w:b w:val="0"/>
          <w:bCs w:val="0"/>
        </w:rPr>
      </w:r>
    </w:p>
    <w:p>
      <w:pPr>
        <w:pStyle w:val="Heading4"/>
        <w:spacing w:line="331" w:lineRule="exact"/>
        <w:ind w:left="592" w:right="0"/>
        <w:jc w:val="left"/>
        <w:rPr>
          <w:b w:val="0"/>
          <w:bCs w:val="0"/>
        </w:rPr>
      </w:pPr>
      <w:r>
        <w:rPr>
          <w:rFonts w:ascii="Times New Roman" w:hAnsi="Times New Roman" w:cs="Times New Roman" w:eastAsia="Times New Roman" w:hint="default"/>
        </w:rPr>
        <w:t>1</w:t>
      </w:r>
      <w:r>
        <w:rPr/>
        <w:t>、公司所处行业基本情况</w:t>
      </w:r>
      <w:r>
        <w:rPr>
          <w:b w:val="0"/>
          <w:bCs w:val="0"/>
        </w:rPr>
      </w:r>
    </w:p>
    <w:p>
      <w:pPr>
        <w:spacing w:before="28"/>
        <w:ind w:left="472" w:right="0" w:firstLine="0"/>
        <w:jc w:val="left"/>
        <w:rPr>
          <w:rFonts w:ascii="宋体" w:hAnsi="宋体" w:cs="宋体" w:eastAsia="宋体" w:hint="default"/>
          <w:sz w:val="18"/>
          <w:szCs w:val="18"/>
        </w:rPr>
      </w:pPr>
      <w:r>
        <w:rPr>
          <w:rFonts w:ascii="宋体" w:hAnsi="宋体" w:cs="宋体" w:eastAsia="宋体" w:hint="default"/>
          <w:sz w:val="18"/>
          <w:szCs w:val="18"/>
        </w:rPr>
        <w:t>公司一直致力于向以银行为主的金融机构提供金融软件产品的应用开发和技术服务的一体化解决方案，细分行业属于</w:t>
      </w:r>
    </w:p>
    <w:p>
      <w:pPr>
        <w:spacing w:line="338" w:lineRule="auto" w:before="76"/>
        <w:ind w:left="472"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软件和信息技术服务业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下的</w:t>
      </w:r>
      <w:r>
        <w:rPr>
          <w:rFonts w:ascii="Times New Roman" w:hAnsi="Times New Roman" w:cs="Times New Roman" w:eastAsia="Times New Roman" w:hint="default"/>
          <w:sz w:val="18"/>
          <w:szCs w:val="18"/>
        </w:rPr>
        <w:t>“</w:t>
      </w:r>
      <w:r>
        <w:rPr>
          <w:rFonts w:ascii="宋体" w:hAnsi="宋体" w:cs="宋体" w:eastAsia="宋体" w:hint="default"/>
          <w:sz w:val="18"/>
          <w:szCs w:val="18"/>
        </w:rPr>
        <w:t>金融软件和信息技术服务业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，是国家重点支持发展的行业之一。 </w:t>
      </w:r>
      <w:r>
        <w:rPr>
          <w:rFonts w:ascii="宋体" w:hAnsi="宋体" w:cs="宋体" w:eastAsia="宋体" w:hint="default"/>
          <w:spacing w:val="-2"/>
          <w:sz w:val="18"/>
          <w:szCs w:val="18"/>
        </w:rPr>
        <w:t>随着金融改革的深化，银行等金融机构的业务品种得到丰富，服务职能得到拓展，市场服务需求总量保持增长态势。同</w:t>
      </w:r>
    </w:p>
    <w:p>
      <w:pPr>
        <w:spacing w:after="0" w:line="338"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6" w:lineRule="auto" w:before="44"/>
        <w:ind w:left="112" w:right="1120" w:firstLine="0"/>
        <w:jc w:val="left"/>
        <w:rPr>
          <w:rFonts w:ascii="宋体" w:hAnsi="宋体" w:cs="宋体" w:eastAsia="宋体" w:hint="default"/>
          <w:sz w:val="18"/>
          <w:szCs w:val="18"/>
        </w:rPr>
      </w:pPr>
      <w:r>
        <w:rPr>
          <w:rFonts w:ascii="宋体" w:hAnsi="宋体" w:cs="宋体" w:eastAsia="宋体" w:hint="default"/>
          <w:spacing w:val="-2"/>
          <w:sz w:val="18"/>
          <w:szCs w:val="18"/>
        </w:rPr>
        <w:t>时，银行业务的信息化、互联网化的趋势不断强化，对银行等金融机构的服务能力提出了更高的要求。上述两个因素使得我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国银行业对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投资规模不断增长，进而促进了我国银行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行业的持续快速发展。</w:t>
      </w:r>
    </w:p>
    <w:p>
      <w:pPr>
        <w:spacing w:line="316" w:lineRule="auto" w:before="37"/>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近几年银行业改革不断深化，民营银行兴起，独立法人直销银行诞生，大量央企、国企和民营大型企业集团开展金融服</w:t>
      </w:r>
      <w:r>
        <w:rPr>
          <w:rFonts w:ascii="宋体" w:hAnsi="宋体" w:cs="宋体" w:eastAsia="宋体" w:hint="default"/>
          <w:sz w:val="18"/>
          <w:szCs w:val="18"/>
        </w:rPr>
        <w:t> </w:t>
      </w:r>
      <w:r>
        <w:rPr>
          <w:rFonts w:ascii="宋体" w:hAnsi="宋体" w:cs="宋体" w:eastAsia="宋体" w:hint="default"/>
          <w:spacing w:val="-2"/>
          <w:sz w:val="18"/>
          <w:szCs w:val="18"/>
        </w:rPr>
        <w:t>务，互联网银行提供的产品类型日益丰富，有力推动了传统银行业务的互联网化转型。银行客户和用户对互联网银行的创新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服务期望值与日俱增。在互联网银行领域，云计算、大数据、人工智能、区块链等新技术的应用不断深入，分布式架构得到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广泛推广。</w:t>
      </w:r>
    </w:p>
    <w:p>
      <w:pPr>
        <w:pStyle w:val="Heading4"/>
        <w:spacing w:line="240" w:lineRule="auto" w:before="11"/>
        <w:ind w:left="595" w:right="0"/>
        <w:jc w:val="left"/>
        <w:rPr>
          <w:b w:val="0"/>
          <w:bCs w:val="0"/>
        </w:rPr>
      </w:pPr>
      <w:r>
        <w:rPr/>
        <w:t>2、银行业整体解决方案市场竞争和公司优势</w:t>
      </w:r>
      <w:r>
        <w:rPr>
          <w:b w:val="0"/>
          <w:bCs w:val="0"/>
        </w:rPr>
      </w:r>
    </w:p>
    <w:p>
      <w:pPr>
        <w:spacing w:line="309" w:lineRule="auto" w:before="87"/>
        <w:ind w:left="112" w:right="0" w:firstLine="360"/>
        <w:jc w:val="left"/>
        <w:rPr>
          <w:rFonts w:ascii="宋体" w:hAnsi="宋体" w:cs="宋体" w:eastAsia="宋体" w:hint="default"/>
          <w:sz w:val="18"/>
          <w:szCs w:val="18"/>
        </w:rPr>
      </w:pPr>
      <w:r>
        <w:rPr>
          <w:rFonts w:ascii="宋体" w:hAnsi="宋体" w:cs="宋体" w:eastAsia="宋体" w:hint="default"/>
          <w:sz w:val="18"/>
          <w:szCs w:val="18"/>
        </w:rPr>
        <w:t>公司作为最主要的银行业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解决方案供应商之一，国际著名市场研究公司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的研究报告中将公司描述为</w:t>
      </w:r>
      <w:r>
        <w:rPr>
          <w:rFonts w:ascii="Times New Roman" w:hAnsi="Times New Roman" w:cs="Times New Roman" w:eastAsia="Times New Roman" w:hint="default"/>
          <w:sz w:val="18"/>
          <w:szCs w:val="18"/>
        </w:rPr>
        <w:t>“</w:t>
      </w:r>
      <w:r>
        <w:rPr>
          <w:rFonts w:ascii="宋体" w:hAnsi="宋体" w:cs="宋体" w:eastAsia="宋体" w:hint="default"/>
          <w:sz w:val="18"/>
          <w:szCs w:val="18"/>
        </w:rPr>
        <w:t>从竞争格 </w:t>
      </w:r>
      <w:r>
        <w:rPr>
          <w:rFonts w:ascii="宋体" w:hAnsi="宋体" w:cs="宋体" w:eastAsia="宋体" w:hint="default"/>
          <w:spacing w:val="-2"/>
          <w:sz w:val="18"/>
          <w:szCs w:val="18"/>
        </w:rPr>
        <w:t>局看，科蓝软件继续保持其头部地位，拥有完整的互联网银行产品家族及高效的服务能力，从网上银行、手机银行、直销银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行直至互联网银行概念的提出与实践，科蓝软件在国内银行的互联网技术与产品创新方面始终是主要的引领者和推动者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16" w:lineRule="auto" w:before="43"/>
        <w:ind w:left="112" w:right="1132" w:firstLine="451"/>
        <w:jc w:val="both"/>
        <w:rPr>
          <w:rFonts w:ascii="宋体" w:hAnsi="宋体" w:cs="宋体" w:eastAsia="宋体" w:hint="default"/>
          <w:sz w:val="18"/>
          <w:szCs w:val="18"/>
        </w:rPr>
      </w:pPr>
      <w:r>
        <w:rPr>
          <w:rFonts w:ascii="宋体" w:hAnsi="宋体" w:cs="宋体" w:eastAsia="宋体" w:hint="default"/>
          <w:sz w:val="18"/>
          <w:szCs w:val="18"/>
        </w:rPr>
        <w:t>多年来，公司将互联网银行作为战略重点，在业界积极倡导和推动传统银行向互联网银行转型的理念，得到了银行用 </w:t>
      </w:r>
      <w:r>
        <w:rPr>
          <w:rFonts w:ascii="宋体" w:hAnsi="宋体" w:cs="宋体" w:eastAsia="宋体" w:hint="default"/>
          <w:spacing w:val="-2"/>
          <w:sz w:val="18"/>
          <w:szCs w:val="18"/>
        </w:rPr>
        <w:t>户和业界的充分认可。公司借助该领域已经形成的品牌优势，和互联网银行前中后台完整的体系，在当前线上服务需求的市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场爆发性增长的趋势下，可预见，今后几年公司将在该优势领域持续稳定地获得更大收益。</w:t>
      </w:r>
    </w:p>
    <w:p>
      <w:pPr>
        <w:spacing w:line="316" w:lineRule="auto" w:before="59"/>
        <w:ind w:left="112" w:right="1051" w:firstLine="360"/>
        <w:jc w:val="both"/>
        <w:rPr>
          <w:rFonts w:ascii="宋体" w:hAnsi="宋体" w:cs="宋体" w:eastAsia="宋体" w:hint="default"/>
          <w:sz w:val="18"/>
          <w:szCs w:val="18"/>
        </w:rPr>
      </w:pPr>
      <w:r>
        <w:rPr>
          <w:rFonts w:ascii="宋体" w:hAnsi="宋体" w:cs="宋体" w:eastAsia="宋体" w:hint="default"/>
          <w:sz w:val="18"/>
          <w:szCs w:val="18"/>
        </w:rPr>
        <w:t>为更好地服务于银行客户应对互联网领域业务的竞争，作为金融科技线上解决方案供应商，公司具备强大的后台账户、 大中台产品和前端多渠道的一体化研发与交付能力，已成功的服务于上千家商业银行及大型企业集团。</w:t>
      </w:r>
    </w:p>
    <w:p>
      <w:pPr>
        <w:pStyle w:val="Heading4"/>
        <w:spacing w:line="313" w:lineRule="exact" w:before="11"/>
        <w:ind w:left="595" w:right="0"/>
        <w:jc w:val="left"/>
        <w:rPr>
          <w:b w:val="0"/>
          <w:bCs w:val="0"/>
        </w:rPr>
      </w:pPr>
      <w:r>
        <w:rPr/>
        <w:t>3、行业经营模式、盈利模式及季节性等特征</w:t>
      </w:r>
      <w:r>
        <w:rPr>
          <w:b w:val="0"/>
          <w:bCs w:val="0"/>
        </w:rPr>
      </w:r>
    </w:p>
    <w:p>
      <w:pPr>
        <w:pStyle w:val="Heading4"/>
        <w:spacing w:line="313" w:lineRule="exact"/>
        <w:ind w:left="595" w:right="0"/>
        <w:jc w:val="left"/>
        <w:rPr>
          <w:b w:val="0"/>
          <w:bCs w:val="0"/>
        </w:rPr>
      </w:pPr>
      <w:r>
        <w:rPr/>
        <w:t>（1）行业经营模式、盈利模式</w:t>
      </w:r>
      <w:r>
        <w:rPr>
          <w:b w:val="0"/>
          <w:bCs w:val="0"/>
        </w:rPr>
      </w:r>
    </w:p>
    <w:p>
      <w:pPr>
        <w:spacing w:line="300" w:lineRule="auto" w:before="84"/>
        <w:ind w:left="112" w:right="1153" w:firstLine="360"/>
        <w:jc w:val="both"/>
        <w:rPr>
          <w:rFonts w:ascii="宋体" w:hAnsi="宋体" w:cs="宋体" w:eastAsia="宋体" w:hint="default"/>
          <w:sz w:val="18"/>
          <w:szCs w:val="18"/>
        </w:rPr>
      </w:pPr>
      <w:r>
        <w:rPr>
          <w:rFonts w:ascii="宋体" w:hAnsi="宋体" w:cs="宋体" w:eastAsia="宋体" w:hint="default"/>
          <w:sz w:val="18"/>
          <w:szCs w:val="18"/>
        </w:rPr>
        <w:t>银行业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解决方案领域属于软件和信息技术服务业，在经营模式方面，行业中企业多为轻资产运营，重视人才、技术 和经验，在研发、运营和市场方面的投入比较高。</w:t>
      </w:r>
    </w:p>
    <w:p>
      <w:pPr>
        <w:spacing w:line="307" w:lineRule="auto" w:before="72"/>
        <w:ind w:left="112" w:right="1132" w:firstLine="360"/>
        <w:jc w:val="both"/>
        <w:rPr>
          <w:rFonts w:ascii="宋体" w:hAnsi="宋体" w:cs="宋体" w:eastAsia="宋体" w:hint="default"/>
          <w:sz w:val="18"/>
          <w:szCs w:val="18"/>
        </w:rPr>
      </w:pPr>
      <w:r>
        <w:rPr>
          <w:rFonts w:ascii="宋体" w:hAnsi="宋体" w:cs="宋体" w:eastAsia="宋体" w:hint="default"/>
          <w:sz w:val="18"/>
          <w:szCs w:val="18"/>
        </w:rPr>
        <w:t>在盈利模式方面，银行业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解决方案领域的收入来源主要为银行等金融机构。一方面，银行受到银保监会等金融监管 </w:t>
      </w:r>
      <w:r>
        <w:rPr>
          <w:rFonts w:ascii="宋体" w:hAnsi="宋体" w:cs="宋体" w:eastAsia="宋体" w:hint="default"/>
          <w:spacing w:val="-2"/>
          <w:sz w:val="18"/>
          <w:szCs w:val="18"/>
        </w:rPr>
        <w:t>部门的监督，其业务涉及到储蓄、信贷和汇兑等关系国计民生领域；另一方面，金融机构的业务体系庞大，且随着商业银行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信息化水平的不断提升以及利率市场化进程的加快、互联网金融等新兴业务的兴起，其对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服务的需求将不断增长，因此 公司所处行业的盈利来源稳定，且未来市场发展潜力巨大。</w:t>
      </w:r>
    </w:p>
    <w:p>
      <w:pPr>
        <w:pStyle w:val="Heading4"/>
        <w:spacing w:line="240" w:lineRule="auto" w:before="18"/>
        <w:ind w:left="595" w:right="0"/>
        <w:jc w:val="left"/>
        <w:rPr>
          <w:b w:val="0"/>
          <w:bCs w:val="0"/>
        </w:rPr>
      </w:pPr>
      <w:r>
        <w:rPr/>
        <w:t>（2）行业季节性特征</w:t>
      </w:r>
      <w:r>
        <w:rPr>
          <w:b w:val="0"/>
          <w:bCs w:val="0"/>
        </w:rPr>
      </w:r>
    </w:p>
    <w:p>
      <w:pPr>
        <w:spacing w:line="340" w:lineRule="auto" w:before="85"/>
        <w:ind w:left="652" w:right="1138" w:firstLine="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解决方案行业属于高技术服务业，其季节性主要取决于其服务的行业客户的相应特征。 报告期内，公司营业收入存在明显的季节性，体现为第四季度收入占比较高。公司的银行客户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采购流程一般每年</w:t>
      </w:r>
    </w:p>
    <w:p>
      <w:pPr>
        <w:spacing w:line="228"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上半年制定投资计划，通过预算、审批、招标、合同签订等流程，下半年则集中开展对供应商开发的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系统进行测试、验</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收等工作，年末结算付款。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7"/>
                <w:sz w:val="18"/>
                <w:szCs w:val="18"/>
              </w:rPr>
              <w:t>日止，固定资产较年初增加</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2,440,260.96</w:t>
            </w:r>
            <w:r>
              <w:rPr>
                <w:rFonts w:ascii="Times New Roman" w:hAnsi="Times New Roman" w:cs="Times New Roman" w:eastAsia="Times New Roman" w:hint="default"/>
                <w:spacing w:val="-2"/>
                <w:sz w:val="18"/>
                <w:szCs w:val="18"/>
              </w:rPr>
              <w:t> </w:t>
            </w:r>
            <w:r>
              <w:rPr>
                <w:rFonts w:ascii="宋体" w:hAnsi="宋体" w:cs="宋体" w:eastAsia="宋体" w:hint="default"/>
                <w:spacing w:val="-18"/>
                <w:sz w:val="18"/>
                <w:szCs w:val="18"/>
              </w:rPr>
              <w:t>元，增幅</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49.32%</w:t>
            </w:r>
            <w:r>
              <w:rPr>
                <w:rFonts w:ascii="宋体" w:hAnsi="宋体" w:cs="宋体" w:eastAsia="宋体" w:hint="default"/>
                <w:spacing w:val="-1"/>
                <w:sz w:val="18"/>
                <w:szCs w:val="18"/>
              </w:rPr>
              <w:t>，</w:t>
            </w:r>
            <w:r>
              <w:rPr>
                <w:rFonts w:ascii="宋体" w:hAnsi="宋体" w:cs="宋体" w:eastAsia="宋体" w:hint="default"/>
                <w:sz w:val="18"/>
                <w:szCs w:val="18"/>
              </w:rPr>
              <w:t> 主要系本期新购置交通运输工具增加所致。</w:t>
            </w:r>
          </w:p>
        </w:tc>
      </w:tr>
      <w:tr>
        <w:trPr>
          <w:trHeight w:val="71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日止，无形资产较年初增加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61,111,586.72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元，增幅</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183.47%</w:t>
            </w:r>
            <w:r>
              <w:rPr>
                <w:rFonts w:ascii="宋体" w:hAnsi="宋体" w:cs="宋体" w:eastAsia="宋体" w:hint="default"/>
                <w:sz w:val="18"/>
                <w:szCs w:val="18"/>
              </w:rPr>
              <w:t>，主要系本期新购土地使用权，以及内部研发支出转入无形资产所致；</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3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日止，存货较年初增加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70,020,037.34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37.61%</w:t>
            </w:r>
            <w:r>
              <w:rPr>
                <w:rFonts w:ascii="宋体" w:hAnsi="宋体" w:cs="宋体" w:eastAsia="宋体" w:hint="default"/>
                <w:sz w:val="18"/>
                <w:szCs w:val="18"/>
              </w:rPr>
              <w:t>， 主要系已投入成本在建项目增加较多所致。</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日止，可供出售金融资产较年初减少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28,472,058.60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元，其</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他权益工具投资增加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28,472,058.60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元，主要系报告期按照新金融工具准则进行重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分类所致。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日止，其他流动资产较年初减少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61,751,637.51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元，减幅</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94.45%</w:t>
            </w:r>
            <w:r>
              <w:rPr>
                <w:rFonts w:ascii="宋体" w:hAnsi="宋体" w:cs="宋体" w:eastAsia="宋体" w:hint="default"/>
                <w:sz w:val="18"/>
                <w:szCs w:val="18"/>
              </w:rPr>
              <w:t>，主要系闲置募集资金购买的理财产品到期收回所致；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日止，长期应收款较年初增加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1,900,000.00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元，增幅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主要系本期新增融资租赁保证金所致。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日止，开发支出较年初增加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15,709,637.73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元，增幅</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235.79%</w:t>
            </w:r>
            <w:r>
              <w:rPr>
                <w:rFonts w:ascii="宋体" w:hAnsi="宋体" w:cs="宋体" w:eastAsia="宋体" w:hint="default"/>
                <w:sz w:val="18"/>
                <w:szCs w:val="18"/>
              </w:rPr>
              <w:t>，主要系本期进入开发阶段的研发项目增加所致。</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日止，递延所得税资产较年初增加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6,094,363.87</w:t>
            </w:r>
            <w:r>
              <w:rPr>
                <w:rFonts w:ascii="Times New Roman" w:hAnsi="Times New Roman" w:cs="Times New Roman" w:eastAsia="Times New Roman" w:hint="default"/>
                <w:spacing w:val="38"/>
                <w:sz w:val="18"/>
                <w:szCs w:val="18"/>
              </w:rPr>
              <w:t> </w:t>
            </w:r>
            <w:r>
              <w:rPr>
                <w:rFonts w:ascii="宋体" w:hAnsi="宋体" w:cs="宋体" w:eastAsia="宋体" w:hint="default"/>
                <w:spacing w:val="-6"/>
                <w:sz w:val="18"/>
                <w:szCs w:val="18"/>
              </w:rPr>
              <w:t>元，增幅</w:t>
            </w:r>
            <w:r>
              <w:rPr>
                <w:rFonts w:ascii="宋体" w:hAnsi="宋体" w:cs="宋体" w:eastAsia="宋体" w:hint="default"/>
                <w:sz w:val="18"/>
                <w:szCs w:val="18"/>
              </w:rPr>
              <w:t> 为</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32.72%</w:t>
            </w:r>
            <w:r>
              <w:rPr>
                <w:rFonts w:ascii="宋体" w:hAnsi="宋体" w:cs="宋体" w:eastAsia="宋体" w:hint="default"/>
                <w:spacing w:val="-2"/>
                <w:sz w:val="18"/>
                <w:szCs w:val="18"/>
              </w:rPr>
              <w:t>，主要系报告期资产减值准备和可抵扣亏损增加相应地可抵扣暂时性差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异增加所致。</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日止，货币资金较年初减少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145,960,316.07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元，减幅 </w:t>
            </w:r>
            <w:r>
              <w:rPr>
                <w:rFonts w:ascii="Times New Roman" w:hAnsi="Times New Roman" w:cs="Times New Roman" w:eastAsia="Times New Roman" w:hint="default"/>
                <w:spacing w:val="-1"/>
                <w:sz w:val="18"/>
                <w:szCs w:val="18"/>
              </w:rPr>
              <w:t>35.84%</w:t>
            </w:r>
            <w:r>
              <w:rPr>
                <w:rFonts w:ascii="宋体" w:hAnsi="宋体" w:cs="宋体" w:eastAsia="宋体" w:hint="default"/>
                <w:spacing w:val="-1"/>
                <w:sz w:val="18"/>
                <w:szCs w:val="18"/>
              </w:rPr>
              <w:t>，主要系支付股权激励回购款、支付长三角科技研发中心土地及房产等购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置款项，本期归还银行借款及利息支出增加所致。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日止，其他非流动资产较年初增加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32,066,302.00</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元，主要</w:t>
            </w:r>
            <w:r>
              <w:rPr>
                <w:rFonts w:ascii="宋体" w:hAnsi="宋体" w:cs="宋体" w:eastAsia="宋体" w:hint="default"/>
                <w:sz w:val="18"/>
                <w:szCs w:val="18"/>
              </w:rPr>
              <w:t> 系房产购置款项所致。</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2"/>
        <w:gridCol w:w="1064"/>
        <w:gridCol w:w="1064"/>
        <w:gridCol w:w="1064"/>
        <w:gridCol w:w="1064"/>
        <w:gridCol w:w="1064"/>
        <w:gridCol w:w="1059"/>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7" w:right="165" w:hanging="89"/>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7" w:right="165"/>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7" w:right="164"/>
              <w:jc w:val="center"/>
              <w:rPr>
                <w:rFonts w:ascii="宋体" w:hAnsi="宋体" w:cs="宋体" w:eastAsia="宋体" w:hint="default"/>
                <w:sz w:val="18"/>
                <w:szCs w:val="18"/>
              </w:rPr>
            </w:pPr>
            <w:r>
              <w:rPr>
                <w:rFonts w:ascii="宋体" w:hAnsi="宋体" w:cs="宋体" w:eastAsia="宋体" w:hint="default"/>
                <w:sz w:val="18"/>
                <w:szCs w:val="18"/>
              </w:rPr>
              <w:t>境外资产 占公司净 资产的比 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4" w:right="162"/>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z w:val="18"/>
                <w:szCs w:val="18"/>
              </w:rPr>
              <w:t>科蓝软体 系统（香 </w:t>
            </w:r>
            <w:r>
              <w:rPr>
                <w:rFonts w:ascii="宋体" w:hAnsi="宋体" w:cs="宋体" w:eastAsia="宋体" w:hint="default"/>
                <w:spacing w:val="-10"/>
                <w:sz w:val="18"/>
                <w:szCs w:val="18"/>
              </w:rPr>
              <w:t>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公司设立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90,121,002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50"/>
              <w:jc w:val="left"/>
              <w:rPr>
                <w:rFonts w:ascii="宋体" w:hAnsi="宋体" w:cs="宋体" w:eastAsia="宋体" w:hint="default"/>
                <w:sz w:val="18"/>
                <w:szCs w:val="18"/>
              </w:rPr>
            </w:pPr>
            <w:r>
              <w:rPr>
                <w:rFonts w:ascii="宋体" w:hAnsi="宋体" w:cs="宋体" w:eastAsia="宋体" w:hint="default"/>
                <w:sz w:val="18"/>
                <w:szCs w:val="18"/>
              </w:rPr>
              <w:t>公司治理、 财务管理、 审计监督、 绩效考核 等方式</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502,745.42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公司治理、</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SUNJE</w:t>
            </w:r>
          </w:p>
          <w:p>
            <w:pPr>
              <w:pStyle w:val="TableParagraph"/>
              <w:spacing w:line="300" w:lineRule="auto" w:before="63"/>
              <w:ind w:left="101"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SOFT </w:t>
            </w:r>
            <w:r>
              <w:rPr>
                <w:rFonts w:ascii="宋体" w:hAnsi="宋体" w:cs="宋体" w:eastAsia="宋体" w:hint="default"/>
                <w:sz w:val="18"/>
                <w:szCs w:val="18"/>
              </w:rPr>
              <w:t>株式 会社</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4" w:right="226"/>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Times New Roman" w:hAnsi="Times New Roman" w:cs="Times New Roman" w:eastAsia="Times New Roman" w:hint="default"/>
                <w:sz w:val="18"/>
                <w:szCs w:val="18"/>
              </w:rPr>
            </w:pPr>
            <w:r>
              <w:rPr>
                <w:rFonts w:ascii="Times New Roman"/>
                <w:sz w:val="18"/>
              </w:rPr>
              <w:t>46,368,437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.49</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50"/>
              <w:jc w:val="both"/>
              <w:rPr>
                <w:rFonts w:ascii="宋体" w:hAnsi="宋体" w:cs="宋体" w:eastAsia="宋体" w:hint="default"/>
                <w:sz w:val="18"/>
                <w:szCs w:val="18"/>
              </w:rPr>
            </w:pPr>
            <w:r>
              <w:rPr>
                <w:rFonts w:ascii="宋体" w:hAnsi="宋体" w:cs="宋体" w:eastAsia="宋体" w:hint="default"/>
                <w:sz w:val="18"/>
                <w:szCs w:val="18"/>
              </w:rPr>
              <w:t>财务管理、 审计监督、 绩效考核</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-7451,642.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6.08%</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等方式</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互联网银行的创新是公司的核心竞争力</w:t>
      </w:r>
      <w:r>
        <w:rPr>
          <w:b w:val="0"/>
          <w:bCs w:val="0"/>
        </w:rPr>
      </w:r>
    </w:p>
    <w:p>
      <w:pPr>
        <w:spacing w:line="316" w:lineRule="auto" w:before="69"/>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众所周知，公司自创立以来，始终引领与推动国内银行业互联网解决方案的创新与发展，以互联网银行创新为业务发展</w:t>
      </w:r>
      <w:r>
        <w:rPr>
          <w:rFonts w:ascii="宋体" w:hAnsi="宋体" w:cs="宋体" w:eastAsia="宋体" w:hint="default"/>
          <w:sz w:val="18"/>
          <w:szCs w:val="18"/>
        </w:rPr>
        <w:t> 主线和战略重点，在金融科技领域已拥有很高的知名度及市场占有率。</w:t>
      </w:r>
    </w:p>
    <w:p>
      <w:pPr>
        <w:spacing w:line="338" w:lineRule="auto" w:before="57"/>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依靠自主研发、持续创新升级的技术平台及其配套的相关产品，公司得以大大降低应用开发的成本、保证最终应用系统</w:t>
      </w:r>
      <w:r>
        <w:rPr>
          <w:rFonts w:ascii="宋体" w:hAnsi="宋体" w:cs="宋体" w:eastAsia="宋体" w:hint="default"/>
          <w:sz w:val="18"/>
          <w:szCs w:val="18"/>
        </w:rPr>
        <w:t> 的安全性、健壮性、高性能及可维护性。并可满足互联网银行对于前、中、后台等一体化系统的建设需求。 </w:t>
      </w:r>
      <w:r>
        <w:rPr>
          <w:rFonts w:ascii="宋体" w:hAnsi="宋体" w:cs="宋体" w:eastAsia="宋体" w:hint="default"/>
          <w:spacing w:val="-2"/>
          <w:sz w:val="18"/>
          <w:szCs w:val="18"/>
        </w:rPr>
        <w:t>报告期内，针对互联网银行的建设与运营，公司持续在创新业务和技术研发加大投入，建设互联网银行大中台系统，推动金</w:t>
      </w:r>
    </w:p>
    <w:p>
      <w:pPr>
        <w:spacing w:before="2"/>
        <w:ind w:left="112" w:right="0" w:firstLine="0"/>
        <w:jc w:val="left"/>
        <w:rPr>
          <w:rFonts w:ascii="宋体" w:hAnsi="宋体" w:cs="宋体" w:eastAsia="宋体" w:hint="default"/>
          <w:sz w:val="18"/>
          <w:szCs w:val="18"/>
        </w:rPr>
      </w:pPr>
      <w:r>
        <w:rPr>
          <w:rFonts w:ascii="宋体" w:hAnsi="宋体" w:cs="宋体" w:eastAsia="宋体" w:hint="default"/>
          <w:sz w:val="18"/>
          <w:szCs w:val="18"/>
        </w:rPr>
        <w:t>融机构服务的线上、线下一体化融合发展。</w:t>
      </w:r>
    </w:p>
    <w:p>
      <w:pPr>
        <w:pStyle w:val="Heading4"/>
        <w:spacing w:line="240" w:lineRule="auto" w:before="68"/>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互联网银行最完善的产品系列及高效的服务能力</w:t>
      </w:r>
      <w:r>
        <w:rPr>
          <w:b w:val="0"/>
          <w:bCs w:val="0"/>
        </w:rPr>
      </w:r>
    </w:p>
    <w:p>
      <w:pPr>
        <w:spacing w:line="316" w:lineRule="auto" w:before="66"/>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公司在互联网银行解决方案细分领域长期占据明显优势。公司已拥有为银行提供前台多渠道、业务与数据的大中台系统</w:t>
      </w:r>
      <w:r>
        <w:rPr>
          <w:rFonts w:ascii="宋体" w:hAnsi="宋体" w:cs="宋体" w:eastAsia="宋体" w:hint="default"/>
          <w:sz w:val="18"/>
          <w:szCs w:val="18"/>
        </w:rPr>
        <w:t> </w:t>
      </w:r>
      <w:r>
        <w:rPr>
          <w:rFonts w:ascii="宋体" w:hAnsi="宋体" w:cs="宋体" w:eastAsia="宋体" w:hint="default"/>
          <w:spacing w:val="-2"/>
          <w:sz w:val="18"/>
          <w:szCs w:val="18"/>
        </w:rPr>
        <w:t>和后台账务系统的一站式解决方案，同时可为客户提供咨询、规划、建设、营运、产品创新以及市场营销等一体化产品与服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w:t>
      </w:r>
    </w:p>
    <w:p>
      <w:pPr>
        <w:pStyle w:val="Heading4"/>
        <w:spacing w:line="240" w:lineRule="auto" w:before="11"/>
        <w:ind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实施与服务交付能力的不断提升和经验优势</w:t>
      </w:r>
      <w:r>
        <w:rPr>
          <w:b w:val="0"/>
          <w:bCs w:val="0"/>
        </w:rPr>
      </w:r>
    </w:p>
    <w:p>
      <w:pPr>
        <w:spacing w:line="309" w:lineRule="auto" w:before="69"/>
        <w:ind w:left="112" w:right="1023" w:firstLine="360"/>
        <w:jc w:val="left"/>
        <w:rPr>
          <w:rFonts w:ascii="宋体" w:hAnsi="宋体" w:cs="宋体" w:eastAsia="宋体" w:hint="default"/>
          <w:sz w:val="18"/>
          <w:szCs w:val="18"/>
        </w:rPr>
      </w:pPr>
      <w:r>
        <w:rPr>
          <w:rFonts w:ascii="宋体" w:hAnsi="宋体" w:cs="宋体" w:eastAsia="宋体" w:hint="default"/>
          <w:sz w:val="18"/>
          <w:szCs w:val="18"/>
        </w:rPr>
        <w:t>公司拥有丰富的项目实施及管理经验，按照</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ISO9001</w:t>
      </w:r>
      <w:r>
        <w:rPr>
          <w:rFonts w:ascii="宋体" w:hAnsi="宋体" w:cs="宋体" w:eastAsia="宋体" w:hint="default"/>
          <w:sz w:val="18"/>
          <w:szCs w:val="18"/>
        </w:rPr>
        <w:t>、</w:t>
      </w:r>
      <w:r>
        <w:rPr>
          <w:rFonts w:ascii="Times New Roman" w:hAnsi="Times New Roman" w:cs="Times New Roman" w:eastAsia="Times New Roman" w:hint="default"/>
          <w:sz w:val="18"/>
          <w:szCs w:val="18"/>
        </w:rPr>
        <w:t>CMMI5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等标准对项目全过程进行严格控制，完成技术开发任务。</w:t>
      </w:r>
      <w:r>
        <w:rPr>
          <w:rFonts w:ascii="宋体" w:hAnsi="宋体" w:cs="宋体" w:eastAsia="宋体" w:hint="default"/>
          <w:w w:val="99"/>
          <w:sz w:val="18"/>
          <w:szCs w:val="18"/>
        </w:rPr>
        <w:t> </w:t>
      </w:r>
      <w:r>
        <w:rPr>
          <w:rFonts w:ascii="宋体" w:hAnsi="宋体" w:cs="宋体" w:eastAsia="宋体" w:hint="default"/>
          <w:spacing w:val="-2"/>
          <w:sz w:val="18"/>
          <w:szCs w:val="18"/>
        </w:rPr>
        <w:t>同时，公司可为银行提供优质的系统维护和售后服务，定期进行预防性检查维护、系统故障响应，协助用户方进行系统软硬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件升级、并提供相应的业务培训与技术咨询等。</w:t>
      </w:r>
    </w:p>
    <w:p>
      <w:pPr>
        <w:pStyle w:val="Heading4"/>
        <w:spacing w:line="240" w:lineRule="auto" w:before="16"/>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持续壮大的客户规模资源与优质服务品牌优势</w:t>
      </w:r>
      <w:r>
        <w:rPr>
          <w:b w:val="0"/>
          <w:bCs w:val="0"/>
        </w:rPr>
      </w:r>
    </w:p>
    <w:p>
      <w:pPr>
        <w:spacing w:line="307" w:lineRule="auto" w:before="66"/>
        <w:ind w:left="112" w:right="1132" w:firstLine="36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年为国内引入网上银行系统以来，公司逐渐拥有了庞大、优质的客户群体及丰富的项目运作经验，在业内树立 </w:t>
      </w:r>
      <w:r>
        <w:rPr>
          <w:rFonts w:ascii="宋体" w:hAnsi="宋体" w:cs="宋体" w:eastAsia="宋体" w:hint="default"/>
          <w:spacing w:val="-2"/>
          <w:sz w:val="18"/>
          <w:szCs w:val="18"/>
        </w:rPr>
        <w:t>了良好的品牌形象。在中国银行业协会主办的《</w:t>
      </w:r>
      <w:r>
        <w:rPr>
          <w:rFonts w:ascii="Times New Roman" w:hAnsi="Times New Roman" w:cs="Times New Roman" w:eastAsia="Times New Roman" w:hint="default"/>
          <w:spacing w:val="-2"/>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未来银行科技服务商排行》</w:t>
      </w:r>
      <w:r>
        <w:rPr>
          <w:rFonts w:ascii="Times New Roman" w:hAnsi="Times New Roman" w:cs="Times New Roman" w:eastAsia="Times New Roman" w:hint="default"/>
          <w:spacing w:val="-2"/>
          <w:sz w:val="18"/>
          <w:szCs w:val="18"/>
        </w:rPr>
        <w:t>100</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强当中，公司综合排名第八，软件服务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排名第一。公司持续保持在中国银行业互联网银行解决方案供应商的领导者地位，在当前市场的竞争力及未来发展潜力两方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面处于行业高端水平。同时，公司的各类解决方案在市场拥有较高的市场占有率。</w:t>
      </w:r>
    </w:p>
    <w:p>
      <w:pPr>
        <w:pStyle w:val="Heading4"/>
        <w:spacing w:line="240" w:lineRule="auto" w:before="18"/>
        <w:ind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6"/>
        </w:rPr>
        <w:t> </w:t>
      </w:r>
      <w:r>
        <w:rPr/>
        <w:t>人才梯队与专业能力优势</w:t>
      </w:r>
      <w:r>
        <w:rPr>
          <w:b w:val="0"/>
          <w:bCs w:val="0"/>
        </w:rPr>
      </w:r>
    </w:p>
    <w:p>
      <w:pPr>
        <w:spacing w:line="300" w:lineRule="auto" w:before="66"/>
        <w:ind w:left="112" w:right="1185" w:firstLine="360"/>
        <w:jc w:val="left"/>
        <w:rPr>
          <w:rFonts w:ascii="宋体" w:hAnsi="宋体" w:cs="宋体" w:eastAsia="宋体" w:hint="default"/>
          <w:sz w:val="18"/>
          <w:szCs w:val="18"/>
        </w:rPr>
      </w:pPr>
      <w:r>
        <w:rPr>
          <w:rFonts w:ascii="宋体" w:hAnsi="宋体" w:cs="宋体" w:eastAsia="宋体" w:hint="default"/>
          <w:sz w:val="18"/>
          <w:szCs w:val="18"/>
        </w:rPr>
        <w:t>经过长期不断发展，目前已拥有近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名熟悉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技术和银行业务的老、中、青结合的、复合型的人才队伍，研发、 技术和项目实施人员占员工总数比例超过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，满足公司未来长远稳定发展。</w:t>
      </w:r>
    </w:p>
    <w:p>
      <w:pPr>
        <w:spacing w:line="316" w:lineRule="auto" w:before="53"/>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公司不断扩大的业务规模为团队建设及人才培养提供了良好的机遇，技术人才不断趋于专业化，建立了经验丰富的各类</w:t>
      </w:r>
      <w:r>
        <w:rPr>
          <w:rFonts w:ascii="宋体" w:hAnsi="宋体" w:cs="宋体" w:eastAsia="宋体" w:hint="default"/>
          <w:sz w:val="18"/>
          <w:szCs w:val="18"/>
        </w:rPr>
        <w:t> 研发与服务人才梯队。</w:t>
      </w:r>
    </w:p>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3007" w:right="0"/>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595" w:right="0"/>
        <w:jc w:val="left"/>
        <w:rPr>
          <w:b w:val="0"/>
          <w:bCs w:val="0"/>
        </w:rPr>
      </w:pPr>
      <w:r>
        <w:rPr/>
        <w:t>（一）经营概况</w:t>
      </w:r>
      <w:r>
        <w:rPr>
          <w:b w:val="0"/>
          <w:bCs w:val="0"/>
        </w:rPr>
      </w:r>
    </w:p>
    <w:p>
      <w:pPr>
        <w:spacing w:line="300" w:lineRule="auto" w:before="87"/>
        <w:ind w:left="112" w:right="1132" w:firstLine="360"/>
        <w:jc w:val="both"/>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年的发展，已经成为一家国内领先的银行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解决方案供应商。报告期内公司的主营业务仍是向以银行为主 的金融机构提供软件产品应用开发和技术服务，为银行等金融行业企业提供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咨询、规划、建设、营运、产品创新以及市 场营销等一揽子解决方案；同时公司积极拓展保险、证券、大型央企国企、金融控股企业等非银金融机构。</w:t>
      </w:r>
    </w:p>
    <w:p>
      <w:pPr>
        <w:spacing w:line="312" w:lineRule="auto" w:before="70"/>
        <w:ind w:left="112" w:right="1034" w:firstLine="360"/>
        <w:jc w:val="left"/>
        <w:rPr>
          <w:rFonts w:ascii="宋体" w:hAnsi="宋体" w:cs="宋体" w:eastAsia="宋体" w:hint="default"/>
          <w:sz w:val="18"/>
          <w:szCs w:val="18"/>
        </w:rPr>
      </w:pPr>
      <w:r>
        <w:rPr>
          <w:rFonts w:ascii="宋体" w:hAnsi="宋体" w:cs="宋体" w:eastAsia="宋体" w:hint="default"/>
          <w:sz w:val="18"/>
          <w:szCs w:val="18"/>
        </w:rPr>
        <w:t>报告期内，公司业务规模持续稳定增长，</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年度营业收入较上年同期有较大增长。为保持技术的领先性，满足银行 </w:t>
      </w:r>
      <w:r>
        <w:rPr>
          <w:rFonts w:ascii="宋体" w:hAnsi="宋体" w:cs="宋体" w:eastAsia="宋体" w:hint="default"/>
          <w:spacing w:val="-2"/>
          <w:sz w:val="18"/>
          <w:szCs w:val="18"/>
        </w:rPr>
        <w:t>客户业务创新的需要，公司大力拓展金融科技创新，如高端分布式数据库、区块链、大数据分析及智慧银行等金融领域。为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此公司储备了大量的高端人才并组建了专门的研发团队，研发投入持续增加。同时，新业务尚在市场培育阶段，投入较大， 盈利将在以后年度逐步释放。基于以上因素影响，</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年公司净利润较上年同期平稳增长。</w:t>
      </w:r>
    </w:p>
    <w:p>
      <w:pPr>
        <w:pStyle w:val="Heading4"/>
        <w:spacing w:line="312" w:lineRule="exact" w:before="26"/>
        <w:ind w:right="1116" w:firstLine="482"/>
        <w:jc w:val="left"/>
        <w:rPr>
          <w:b w:val="0"/>
          <w:bCs w:val="0"/>
        </w:rPr>
      </w:pPr>
      <w:r>
        <w:rPr/>
        <w:t>（二）报告期内，公司工作重点为全方位布局金融科技创新产品，抢占行业制高点。公</w:t>
      </w:r>
      <w:r>
        <w:rPr>
          <w:w w:val="99"/>
        </w:rPr>
        <w:t> </w:t>
      </w:r>
      <w:r>
        <w:rPr/>
        <w:t>司在以下领域展开布局：</w:t>
      </w:r>
      <w:r>
        <w:rPr>
          <w:b w:val="0"/>
          <w:bCs w:val="0"/>
        </w:rPr>
      </w:r>
    </w:p>
    <w:p>
      <w:pPr>
        <w:spacing w:before="58"/>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、新一代网络信息安全</w:t>
      </w:r>
    </w:p>
    <w:p>
      <w:pPr>
        <w:spacing w:before="101"/>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、筹建大数据专业部门</w:t>
      </w:r>
    </w:p>
    <w:p>
      <w:pPr>
        <w:spacing w:before="10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、筹建银行智能设备部门</w:t>
      </w:r>
    </w:p>
    <w:p>
      <w:pPr>
        <w:spacing w:before="10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、强化区块链研发与外部合作</w:t>
      </w:r>
    </w:p>
    <w:p>
      <w:pPr>
        <w:spacing w:before="101"/>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、强化科蓝云建设</w:t>
      </w:r>
    </w:p>
    <w:p>
      <w:pPr>
        <w:spacing w:before="10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、数据库基础软件研发</w:t>
      </w:r>
    </w:p>
    <w:p>
      <w:pPr>
        <w:spacing w:before="10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、线上线下一体化核心业务系统</w:t>
      </w:r>
    </w:p>
    <w:p>
      <w:pPr>
        <w:pStyle w:val="Heading4"/>
        <w:spacing w:line="312" w:lineRule="exact" w:before="86"/>
        <w:ind w:left="595" w:right="5211"/>
        <w:jc w:val="left"/>
        <w:rPr>
          <w:b w:val="0"/>
          <w:bCs w:val="0"/>
        </w:rPr>
      </w:pPr>
      <w:r>
        <w:rPr/>
        <w:t>（三）报告期内，公司已经完成以下重要工作：</w:t>
      </w:r>
      <w:r>
        <w:rPr>
          <w:w w:val="99"/>
        </w:rPr>
        <w:t> </w:t>
      </w:r>
      <w:r>
        <w:rPr/>
        <w:t>1、创新产品的研发</w:t>
      </w:r>
      <w:r>
        <w:rPr>
          <w:b w:val="0"/>
          <w:bCs w:val="0"/>
        </w:rPr>
      </w:r>
    </w:p>
    <w:p>
      <w:pPr>
        <w:spacing w:line="316" w:lineRule="auto" w:before="56"/>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公司高度重视新产品的研发工作，对科技金融产品进行创新、优化、升级工作。同时根据市场预测，启动创新产品的研</w:t>
      </w:r>
      <w:r>
        <w:rPr>
          <w:rFonts w:ascii="宋体" w:hAnsi="宋体" w:cs="宋体" w:eastAsia="宋体" w:hint="default"/>
          <w:sz w:val="18"/>
          <w:szCs w:val="18"/>
        </w:rPr>
        <w:t> </w:t>
      </w:r>
      <w:r>
        <w:rPr>
          <w:rFonts w:ascii="宋体" w:hAnsi="宋体" w:cs="宋体" w:eastAsia="宋体" w:hint="default"/>
          <w:spacing w:val="-2"/>
          <w:sz w:val="18"/>
          <w:szCs w:val="18"/>
        </w:rPr>
        <w:t>发，投入公司核心技术力量，确保新产品快速、优质地落地并推向市场。目前，已经有银行业务大中台服务体系（新一代全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渠道金融服务平台）、新一代互联网核心产品、线上线下一体化核心业务产品、数字营销、银行网点智能设备、网上交易安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全体系、数据库国产化等产品完成研发或阶段性研发工作，预计将为客户带来更加高效、快捷、优质的产品体验，为公司的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业绩带来新的增长点。</w:t>
      </w:r>
    </w:p>
    <w:p>
      <w:pPr>
        <w:pStyle w:val="Heading4"/>
        <w:spacing w:line="240" w:lineRule="auto" w:before="11"/>
        <w:ind w:left="595" w:right="0"/>
        <w:jc w:val="left"/>
        <w:rPr>
          <w:b w:val="0"/>
          <w:bCs w:val="0"/>
        </w:rPr>
      </w:pPr>
      <w:r>
        <w:rPr/>
        <w:t>2、抢占行业制高点，丰富收入来源，培养未来高利润率增长点</w:t>
      </w:r>
      <w:r>
        <w:rPr>
          <w:b w:val="0"/>
          <w:bCs w:val="0"/>
        </w:rPr>
      </w:r>
    </w:p>
    <w:p>
      <w:pPr>
        <w:spacing w:line="316" w:lineRule="auto" w:before="85"/>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公司报告期内在分布式内存数据库、银行智慧网点转型、线上线下一体化银行核心业务系统、网络信息安全业务、区块</w:t>
      </w:r>
      <w:r>
        <w:rPr>
          <w:rFonts w:ascii="宋体" w:hAnsi="宋体" w:cs="宋体" w:eastAsia="宋体" w:hint="default"/>
          <w:sz w:val="18"/>
          <w:szCs w:val="18"/>
        </w:rPr>
        <w:t> 链和数字货币业务领域加大研发力度，抢占行业制高点，丰富收入来源，培养未来高利润率的增长点。</w:t>
      </w:r>
    </w:p>
    <w:p>
      <w:pPr>
        <w:spacing w:line="300" w:lineRule="auto" w:before="59"/>
        <w:ind w:left="11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）公司拥有完全知识产权的超高性能的分布式内存数据库产品，在高并发、实时交易的大数据处理领域拥有突破性 技术，在国际交易型数据库领域处于领先地位</w:t>
      </w:r>
      <w:r>
        <w:rPr>
          <w:rFonts w:ascii="Times New Roman" w:hAnsi="Times New Roman" w:cs="Times New Roman" w:eastAsia="Times New Roman" w:hint="default"/>
          <w:sz w:val="18"/>
          <w:szCs w:val="18"/>
        </w:rPr>
        <w:t>,</w:t>
      </w:r>
      <w:r>
        <w:rPr>
          <w:rFonts w:ascii="宋体" w:hAnsi="宋体" w:cs="宋体" w:eastAsia="宋体" w:hint="default"/>
          <w:sz w:val="18"/>
          <w:szCs w:val="18"/>
        </w:rPr>
        <w:t>在数据库国产化的市场竞争中也明显处于领先地位。科蓝分布式内存数据库 可以从根本上解决大数据处理条件下的高并发和高性能问题，也将更好的满足即将到来的</w:t>
      </w:r>
      <w:r>
        <w:rPr>
          <w:rFonts w:ascii="Times New Roman" w:hAnsi="Times New Roman" w:cs="Times New Roman" w:eastAsia="Times New Roman" w:hint="default"/>
          <w:sz w:val="18"/>
          <w:szCs w:val="18"/>
        </w:rPr>
        <w:t>“5G”</w:t>
      </w:r>
      <w:r>
        <w:rPr>
          <w:rFonts w:ascii="宋体" w:hAnsi="宋体" w:cs="宋体" w:eastAsia="宋体" w:hint="default"/>
          <w:sz w:val="18"/>
          <w:szCs w:val="18"/>
        </w:rPr>
        <w:t>时代大幅提升的网络速度对 数据库更高性能和更快效率的迫切要求。</w:t>
      </w:r>
    </w:p>
    <w:p>
      <w:pPr>
        <w:spacing w:line="309" w:lineRule="auto" w:before="72"/>
        <w:ind w:left="11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）依托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网络的发展和市场普及以及银保监会文件要求的银行网点人员非接触服务，国内二十万家银行网点将大 </w:t>
      </w:r>
      <w:r>
        <w:rPr>
          <w:rFonts w:ascii="宋体" w:hAnsi="宋体" w:cs="宋体" w:eastAsia="宋体" w:hint="default"/>
          <w:spacing w:val="-2"/>
          <w:sz w:val="18"/>
          <w:szCs w:val="18"/>
        </w:rPr>
        <w:t>大加快智能化转型。当前，国内大中小银行都陆续启动了智能设备代替传统人工柜台和网点的智慧银行战略，智慧银行也正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是公司数字银行战略的重要组成部分，即互联网银行</w:t>
      </w:r>
      <w:r>
        <w:rPr>
          <w:rFonts w:ascii="Times New Roman" w:hAnsi="Times New Roman" w:cs="Times New Roman" w:eastAsia="Times New Roman" w:hint="default"/>
          <w:sz w:val="18"/>
          <w:szCs w:val="18"/>
        </w:rPr>
        <w:t>+</w:t>
      </w:r>
      <w:r>
        <w:rPr>
          <w:rFonts w:ascii="宋体" w:hAnsi="宋体" w:cs="宋体" w:eastAsia="宋体" w:hint="default"/>
          <w:sz w:val="18"/>
          <w:szCs w:val="18"/>
        </w:rPr>
        <w:t>智慧银行</w:t>
      </w:r>
      <w:r>
        <w:rPr>
          <w:rFonts w:ascii="Times New Roman" w:hAnsi="Times New Roman" w:cs="Times New Roman" w:eastAsia="Times New Roman" w:hint="default"/>
          <w:sz w:val="18"/>
          <w:szCs w:val="18"/>
        </w:rPr>
        <w:t>=  </w:t>
      </w:r>
      <w:r>
        <w:rPr>
          <w:rFonts w:ascii="宋体" w:hAnsi="宋体" w:cs="宋体" w:eastAsia="宋体" w:hint="default"/>
          <w:sz w:val="18"/>
          <w:szCs w:val="18"/>
        </w:rPr>
        <w:t>数字银行。</w:t>
      </w:r>
    </w:p>
    <w:p>
      <w:pPr>
        <w:spacing w:line="300" w:lineRule="auto" w:before="43"/>
        <w:ind w:left="112" w:right="1118" w:firstLine="360"/>
        <w:jc w:val="left"/>
        <w:rPr>
          <w:rFonts w:ascii="宋体" w:hAnsi="宋体" w:cs="宋体" w:eastAsia="宋体" w:hint="default"/>
          <w:sz w:val="18"/>
          <w:szCs w:val="18"/>
        </w:rPr>
      </w:pPr>
      <w:r>
        <w:rPr>
          <w:rFonts w:ascii="宋体" w:hAnsi="宋体" w:cs="宋体" w:eastAsia="宋体" w:hint="default"/>
          <w:sz w:val="18"/>
          <w:szCs w:val="18"/>
        </w:rPr>
        <w:t>公司推出的独家首创完全自主知识产权的智能机器人</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小蓝</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在国内多家大中型银行的网点试运营</w:t>
      </w:r>
      <w:r>
        <w:rPr>
          <w:rFonts w:ascii="宋体" w:hAnsi="宋体" w:cs="宋体" w:eastAsia="宋体" w:hint="default"/>
          <w:spacing w:val="-82"/>
          <w:sz w:val="18"/>
          <w:szCs w:val="18"/>
        </w:rPr>
        <w:t>，</w:t>
      </w:r>
      <w:r>
        <w:rPr>
          <w:rFonts w:ascii="宋体" w:hAnsi="宋体" w:cs="宋体" w:eastAsia="宋体" w:hint="default"/>
          <w:sz w:val="18"/>
          <w:szCs w:val="18"/>
        </w:rPr>
        <w:t>即互联网</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物联</w:t>
      </w:r>
      <w:r>
        <w:rPr>
          <w:rFonts w:ascii="宋体" w:hAnsi="宋体" w:cs="宋体" w:eastAsia="宋体" w:hint="default"/>
          <w:spacing w:val="-82"/>
          <w:sz w:val="18"/>
          <w:szCs w:val="18"/>
        </w:rPr>
        <w:t>网</w:t>
      </w:r>
      <w:r>
        <w:rPr>
          <w:rFonts w:ascii="宋体" w:hAnsi="宋体" w:cs="宋体" w:eastAsia="宋体" w:hint="default"/>
          <w:sz w:val="18"/>
          <w:szCs w:val="18"/>
        </w:rPr>
        <w:t>（智</w:t>
      </w:r>
      <w:r>
        <w:rPr>
          <w:rFonts w:ascii="宋体" w:hAnsi="宋体" w:cs="宋体" w:eastAsia="宋体" w:hint="default"/>
          <w:sz w:val="18"/>
          <w:szCs w:val="18"/>
        </w:rPr>
        <w:t> 慧网点</w:t>
      </w:r>
      <w:r>
        <w:rPr>
          <w:rFonts w:ascii="宋体" w:hAnsi="宋体" w:cs="宋体" w:eastAsia="宋体" w:hint="default"/>
          <w:spacing w:val="-89"/>
          <w:sz w:val="18"/>
          <w:szCs w:val="18"/>
        </w:rPr>
        <w:t>）</w:t>
      </w:r>
      <w:r>
        <w:rPr>
          <w:rFonts w:ascii="宋体" w:hAnsi="宋体" w:cs="宋体" w:eastAsia="宋体" w:hint="default"/>
          <w:sz w:val="18"/>
          <w:szCs w:val="18"/>
        </w:rPr>
        <w:t>，预示公司成功跨入了智慧银行领域，并实现了理念创新、技术创新、服务创新三大特点的独家优势。公司智能机</w:t>
      </w:r>
    </w:p>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器人</w:t>
      </w:r>
      <w:r>
        <w:rPr>
          <w:rFonts w:ascii="Times New Roman" w:hAnsi="Times New Roman" w:cs="Times New Roman" w:eastAsia="Times New Roman" w:hint="default"/>
          <w:sz w:val="18"/>
          <w:szCs w:val="18"/>
        </w:rPr>
        <w:t>“</w:t>
      </w:r>
      <w:r>
        <w:rPr>
          <w:rFonts w:ascii="宋体" w:hAnsi="宋体" w:cs="宋体" w:eastAsia="宋体" w:hint="default"/>
          <w:sz w:val="18"/>
          <w:szCs w:val="18"/>
        </w:rPr>
        <w:t>小蓝</w:t>
      </w:r>
      <w:r>
        <w:rPr>
          <w:rFonts w:ascii="Times New Roman" w:hAnsi="Times New Roman" w:cs="Times New Roman" w:eastAsia="Times New Roman" w:hint="default"/>
          <w:sz w:val="18"/>
          <w:szCs w:val="18"/>
        </w:rPr>
        <w:t>”</w:t>
      </w:r>
      <w:r>
        <w:rPr>
          <w:rFonts w:ascii="宋体" w:hAnsi="宋体" w:cs="宋体" w:eastAsia="宋体" w:hint="default"/>
          <w:sz w:val="18"/>
          <w:szCs w:val="18"/>
        </w:rPr>
        <w:t>的推出，实现了互联网银行与智慧银行体系相结合，将是公司最终实现数字银行战略的重要里程碑。</w:t>
      </w:r>
    </w:p>
    <w:p>
      <w:pPr>
        <w:spacing w:line="300" w:lineRule="auto" w:before="101"/>
        <w:ind w:left="112" w:right="105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）在金融科技迅猛发展和银行间市场竞争不断加剧的形势下，银行业创新需求日益迫切，传统核心线下业务向线上 业务逐渐转移，传统核心与互联网核心融合，将是未来国内众多中小银行的发展方向。科蓝公司与苏宁银行合作推出的</w:t>
      </w:r>
      <w:r>
        <w:rPr>
          <w:rFonts w:ascii="Times New Roman" w:hAnsi="Times New Roman" w:cs="Times New Roman" w:eastAsia="Times New Roman" w:hint="default"/>
          <w:sz w:val="18"/>
          <w:szCs w:val="18"/>
        </w:rPr>
        <w:t>“</w:t>
      </w:r>
      <w:r>
        <w:rPr>
          <w:rFonts w:ascii="宋体" w:hAnsi="宋体" w:cs="宋体" w:eastAsia="宋体" w:hint="default"/>
          <w:sz w:val="18"/>
          <w:szCs w:val="18"/>
        </w:rPr>
        <w:t>线 上线下一体化分布式核心系统</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年成功上线运营，顺利通过</w:t>
      </w:r>
      <w:r>
        <w:rPr>
          <w:rFonts w:ascii="Times New Roman" w:hAnsi="Times New Roman" w:cs="Times New Roman" w:eastAsia="Times New Roman" w:hint="default"/>
          <w:sz w:val="18"/>
          <w:szCs w:val="18"/>
        </w:rPr>
        <w:t>“</w:t>
      </w:r>
      <w:r>
        <w:rPr>
          <w:rFonts w:ascii="宋体" w:hAnsi="宋体" w:cs="宋体" w:eastAsia="宋体" w:hint="default"/>
          <w:sz w:val="18"/>
          <w:szCs w:val="18"/>
        </w:rPr>
        <w:t>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和年终决算重大考验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运行平稳。公司承建的</w:t>
      </w:r>
      <w:r>
        <w:rPr>
          <w:rFonts w:ascii="Times New Roman" w:hAnsi="Times New Roman" w:cs="Times New Roman" w:eastAsia="Times New Roman" w:hint="default"/>
          <w:sz w:val="18"/>
          <w:szCs w:val="18"/>
        </w:rPr>
        <w:t>“</w:t>
      </w:r>
      <w:r>
        <w:rPr>
          <w:rFonts w:ascii="宋体" w:hAnsi="宋体" w:cs="宋体" w:eastAsia="宋体" w:hint="default"/>
          <w:sz w:val="18"/>
          <w:szCs w:val="18"/>
        </w:rPr>
        <w:t>线 上线下一体化分布式核心系统</w:t>
      </w:r>
      <w:r>
        <w:rPr>
          <w:rFonts w:ascii="Times New Roman" w:hAnsi="Times New Roman" w:cs="Times New Roman" w:eastAsia="Times New Roman" w:hint="default"/>
          <w:sz w:val="18"/>
          <w:szCs w:val="18"/>
        </w:rPr>
        <w:t>”</w:t>
      </w:r>
      <w:r>
        <w:rPr>
          <w:rFonts w:ascii="宋体" w:hAnsi="宋体" w:cs="宋体" w:eastAsia="宋体" w:hint="default"/>
          <w:sz w:val="18"/>
          <w:szCs w:val="18"/>
        </w:rPr>
        <w:t>承载了苏宁银行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万用户和存贷款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万账户的日常处理，批量运行时间为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分钟内，</w:t>
      </w:r>
    </w:p>
    <w:p>
      <w:pPr>
        <w:spacing w:line="300" w:lineRule="auto" w:before="13"/>
        <w:ind w:left="112" w:right="1122" w:firstLine="0"/>
        <w:jc w:val="left"/>
        <w:rPr>
          <w:rFonts w:ascii="宋体" w:hAnsi="宋体" w:cs="宋体" w:eastAsia="宋体" w:hint="default"/>
          <w:sz w:val="18"/>
          <w:szCs w:val="18"/>
        </w:rPr>
      </w:pPr>
      <w:r>
        <w:rPr>
          <w:rFonts w:ascii="宋体" w:hAnsi="宋体" w:cs="宋体" w:eastAsia="宋体" w:hint="default"/>
          <w:sz w:val="18"/>
          <w:szCs w:val="18"/>
        </w:rPr>
        <w:t>日均交易数</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150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万笔，创立了行业内线上线下一体化、云平台分布式架构国内第一个成功案例，是公司在银行核心系统发展</w:t>
      </w:r>
      <w:r>
        <w:rPr>
          <w:rFonts w:ascii="宋体" w:hAnsi="宋体" w:cs="宋体" w:eastAsia="宋体" w:hint="default"/>
          <w:sz w:val="18"/>
          <w:szCs w:val="18"/>
        </w:rPr>
        <w:t> 进程中的重要里程碑。</w:t>
      </w:r>
    </w:p>
    <w:p>
      <w:pPr>
        <w:spacing w:line="309" w:lineRule="auto" w:before="72"/>
        <w:ind w:left="11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）控股子公司大陆云盾以网络信息安全为主业，且已获得工信部颁发的信息安全认证牌照与电子政务牌照，可以提 </w:t>
      </w:r>
      <w:r>
        <w:rPr>
          <w:rFonts w:ascii="宋体" w:hAnsi="宋体" w:cs="宋体" w:eastAsia="宋体" w:hint="default"/>
          <w:spacing w:val="-1"/>
          <w:sz w:val="18"/>
          <w:szCs w:val="18"/>
        </w:rPr>
        <w:t>供先进的网上电子认证、签名签约、文件加密能力，</w:t>
      </w:r>
      <w:r>
        <w:rPr>
          <w:rFonts w:ascii="Times New Roman" w:hAnsi="Times New Roman" w:cs="Times New Roman" w:eastAsia="Times New Roman" w:hint="default"/>
          <w:spacing w:val="-1"/>
          <w:sz w:val="18"/>
          <w:szCs w:val="18"/>
        </w:rPr>
        <w:t>eID</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与电子营业执照有机结合，为自然人和企业提供服务。基于区块链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技术的应用，大陆云盾与国家信息中心建立了战略合作关系，开展实质性的网上数据保全及存证服务。大陆云盾是同时拥有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国家颁发的数字安全认证牌照，又可以与国内知名公证机构合作开展线上赋予强制执行力公证服务的国内极少数信息安全公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司之一，线上赋强公证业务将成为公司收入的重要来源和利润增长点。</w:t>
      </w:r>
    </w:p>
    <w:p>
      <w:pPr>
        <w:spacing w:line="304" w:lineRule="auto" w:before="65"/>
        <w:ind w:left="112" w:right="10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）公司是国内最早布局于银行</w:t>
      </w:r>
      <w:r>
        <w:rPr>
          <w:rFonts w:ascii="Times New Roman" w:hAnsi="Times New Roman" w:cs="Times New Roman" w:eastAsia="Times New Roman" w:hint="default"/>
          <w:sz w:val="18"/>
          <w:szCs w:val="18"/>
        </w:rPr>
        <w:t>+</w:t>
      </w:r>
      <w:r>
        <w:rPr>
          <w:rFonts w:ascii="宋体" w:hAnsi="宋体" w:cs="宋体" w:eastAsia="宋体" w:hint="default"/>
          <w:sz w:val="18"/>
          <w:szCs w:val="18"/>
        </w:rPr>
        <w:t>区块链的金融科技企业之一</w:t>
      </w:r>
      <w:r>
        <w:rPr>
          <w:rFonts w:ascii="Times New Roman" w:hAnsi="Times New Roman" w:cs="Times New Roman" w:eastAsia="Times New Roman" w:hint="default"/>
          <w:sz w:val="18"/>
          <w:szCs w:val="18"/>
        </w:rPr>
        <w:t>,</w:t>
      </w:r>
      <w:r>
        <w:rPr>
          <w:rFonts w:ascii="宋体" w:hAnsi="宋体" w:cs="宋体" w:eastAsia="宋体" w:hint="default"/>
          <w:sz w:val="18"/>
          <w:szCs w:val="18"/>
        </w:rPr>
        <w:t>在银行票据、积分、供应链金融等业务及应用场景中已 积累了丰富经验</w:t>
      </w:r>
      <w:r>
        <w:rPr>
          <w:rFonts w:ascii="Times New Roman" w:hAnsi="Times New Roman" w:cs="Times New Roman" w:eastAsia="Times New Roman" w:hint="default"/>
          <w:sz w:val="18"/>
          <w:szCs w:val="18"/>
        </w:rPr>
        <w:t>,</w:t>
      </w:r>
      <w:r>
        <w:rPr>
          <w:rFonts w:ascii="宋体" w:hAnsi="宋体" w:cs="宋体" w:eastAsia="宋体" w:hint="default"/>
          <w:sz w:val="18"/>
          <w:szCs w:val="18"/>
        </w:rPr>
        <w:t>并在与国内外多家公链与联盟链结合的应用场景方面具备了实践经验和成功案例。公司在与</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BAT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大型互联 网公司合作中完成了某大型央企物流区块链建设；与城市商业银行联盟在银行票据交换领域完成了试点。针对在移动银行、</w:t>
      </w:r>
      <w:hyperlink r:id="rId14">
        <w:r>
          <w:rPr>
            <w:rFonts w:ascii="宋体" w:hAnsi="宋体" w:cs="宋体" w:eastAsia="宋体" w:hint="default"/>
            <w:sz w:val="18"/>
            <w:szCs w:val="18"/>
          </w:rPr>
          <w:t> 网络银行等互联网金融</w:t>
        </w:r>
      </w:hyperlink>
      <w:r>
        <w:rPr>
          <w:rFonts w:ascii="宋体" w:hAnsi="宋体" w:cs="宋体" w:eastAsia="宋体" w:hint="default"/>
          <w:sz w:val="18"/>
          <w:szCs w:val="18"/>
        </w:rPr>
        <w:t>交易领域存在大量的</w:t>
      </w:r>
      <w:hyperlink r:id="rId15">
        <w:r>
          <w:rPr>
            <w:rFonts w:ascii="宋体" w:hAnsi="宋体" w:cs="宋体" w:eastAsia="宋体" w:hint="default"/>
            <w:sz w:val="18"/>
            <w:szCs w:val="18"/>
          </w:rPr>
          <w:t>法律</w:t>
        </w:r>
      </w:hyperlink>
      <w:r>
        <w:rPr>
          <w:rFonts w:ascii="宋体" w:hAnsi="宋体" w:cs="宋体" w:eastAsia="宋体" w:hint="default"/>
          <w:sz w:val="18"/>
          <w:szCs w:val="18"/>
        </w:rPr>
        <w:t>纠纷</w:t>
      </w:r>
      <w:r>
        <w:rPr>
          <w:rFonts w:ascii="Times New Roman" w:hAnsi="Times New Roman" w:cs="Times New Roman" w:eastAsia="Times New Roman" w:hint="default"/>
          <w:sz w:val="18"/>
          <w:szCs w:val="18"/>
        </w:rPr>
        <w:t>,</w:t>
      </w:r>
      <w:r>
        <w:rPr>
          <w:rFonts w:ascii="宋体" w:hAnsi="宋体" w:cs="宋体" w:eastAsia="宋体" w:hint="default"/>
          <w:sz w:val="18"/>
          <w:szCs w:val="18"/>
        </w:rPr>
        <w:t>公司联合国家信息中心电子数据司法鉴定中心共同推出了</w:t>
      </w:r>
      <w:r>
        <w:rPr>
          <w:rFonts w:ascii="Times New Roman" w:hAnsi="Times New Roman" w:cs="Times New Roman" w:eastAsia="Times New Roman" w:hint="default"/>
          <w:sz w:val="18"/>
          <w:szCs w:val="18"/>
        </w:rPr>
        <w:t>“</w:t>
      </w:r>
      <w:r>
        <w:rPr>
          <w:rFonts w:ascii="宋体" w:hAnsi="宋体" w:cs="宋体" w:eastAsia="宋体" w:hint="default"/>
          <w:sz w:val="18"/>
          <w:szCs w:val="18"/>
        </w:rPr>
        <w:t>电子认证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保全鉴证</w:t>
      </w:r>
      <w:r>
        <w:rPr>
          <w:rFonts w:ascii="Times New Roman" w:hAnsi="Times New Roman" w:cs="Times New Roman" w:eastAsia="Times New Roman" w:hint="default"/>
          <w:sz w:val="18"/>
          <w:szCs w:val="18"/>
        </w:rPr>
        <w:t>”</w:t>
      </w:r>
      <w:r>
        <w:rPr>
          <w:rFonts w:ascii="宋体" w:hAnsi="宋体" w:cs="宋体" w:eastAsia="宋体" w:hint="default"/>
          <w:sz w:val="18"/>
          <w:szCs w:val="18"/>
        </w:rPr>
        <w:t>可信数据解决方案。大陆云盾与国家信息中心、重庆仲裁委等机构共同建设了线上金融交易区块链互联网仲裁系 统。</w:t>
      </w:r>
    </w:p>
    <w:p>
      <w:pPr>
        <w:spacing w:line="300" w:lineRule="auto" w:before="66"/>
        <w:ind w:left="112" w:right="10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）在加快建设</w:t>
      </w:r>
      <w:r>
        <w:rPr>
          <w:rFonts w:ascii="Times New Roman" w:hAnsi="Times New Roman" w:cs="Times New Roman" w:eastAsia="Times New Roman" w:hint="default"/>
          <w:sz w:val="18"/>
          <w:szCs w:val="18"/>
        </w:rPr>
        <w:t>“</w:t>
      </w:r>
      <w:r>
        <w:rPr>
          <w:rFonts w:ascii="宋体" w:hAnsi="宋体" w:cs="宋体" w:eastAsia="宋体" w:hint="default"/>
          <w:sz w:val="18"/>
          <w:szCs w:val="18"/>
        </w:rPr>
        <w:t>数字中国</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的大背景下，公司与公安部第三研究所、华为钱包合作，首批在南京银行、西安银行、东 莞农商银行和晋商银行率先实现在直销银行中，使用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eID</w:t>
      </w:r>
      <w:r>
        <w:rPr>
          <w:rFonts w:ascii="宋体" w:hAnsi="宋体" w:cs="宋体" w:eastAsia="宋体" w:hint="default"/>
          <w:sz w:val="18"/>
          <w:szCs w:val="18"/>
        </w:rPr>
        <w:t>（公民网络电子身份标识）进行个人客户二、三类结算账户开户。 客户可以通过华为钱包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开通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eID</w:t>
      </w:r>
      <w:r>
        <w:rPr>
          <w:rFonts w:ascii="宋体" w:hAnsi="宋体" w:cs="宋体" w:eastAsia="宋体" w:hint="default"/>
          <w:sz w:val="18"/>
          <w:szCs w:val="18"/>
        </w:rPr>
        <w:t>，轻松实现直销银行快速认证、开户。提供了更安全的认证服务和更优质的客户体验。 </w:t>
      </w:r>
      <w:r>
        <w:rPr>
          <w:rFonts w:ascii="宋体" w:hAnsi="宋体" w:cs="宋体" w:eastAsia="宋体" w:hint="default"/>
          <w:spacing w:val="-2"/>
          <w:sz w:val="18"/>
          <w:szCs w:val="18"/>
        </w:rPr>
        <w:t>公司推出的手机柜台系统，基于华为</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HMS </w:t>
      </w:r>
      <w:r>
        <w:rPr>
          <w:rFonts w:ascii="宋体" w:hAnsi="宋体" w:cs="宋体" w:eastAsia="宋体" w:hint="default"/>
          <w:spacing w:val="-4"/>
          <w:w w:val="99"/>
          <w:sz w:val="18"/>
          <w:szCs w:val="18"/>
        </w:rPr>
        <w:t>手机钱包提供的最高安全等级的移动终端可信执行环境（</w:t>
      </w:r>
      <w:r>
        <w:rPr>
          <w:rFonts w:ascii="Times New Roman" w:hAnsi="Times New Roman" w:cs="Times New Roman" w:eastAsia="Times New Roman" w:hint="default"/>
          <w:spacing w:val="-4"/>
          <w:w w:val="99"/>
          <w:sz w:val="18"/>
          <w:szCs w:val="18"/>
        </w:rPr>
        <w:t>TEE</w:t>
      </w:r>
      <w:r>
        <w:rPr>
          <w:rFonts w:ascii="宋体" w:hAnsi="宋体" w:cs="宋体" w:eastAsia="宋体" w:hint="default"/>
          <w:spacing w:val="-4"/>
          <w:w w:val="99"/>
          <w:sz w:val="18"/>
          <w:szCs w:val="18"/>
        </w:rPr>
        <w:t>），有效整合了个人</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和企业网络身份识别的基础设施，可以为数字货币体系的全线上化运行提供更可靠、更权威、易获得的高强度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KYC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工具， 落实数字货币在交易环节的反洗钱、反恐怖融资等政策要求的客户身份验证，保障数字货币体系安全运行。</w:t>
      </w:r>
    </w:p>
    <w:p>
      <w:pPr>
        <w:spacing w:line="300" w:lineRule="auto" w:before="72"/>
        <w:ind w:left="112"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年公司与西安银行合作，成功上线科蓝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CSIIVP</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平台，利用该平台提供的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eID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数字身份验证能力，首次实现了城商 银行系统的手机银行客户端最高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万大额转账功能。</w:t>
      </w:r>
    </w:p>
    <w:p>
      <w:pPr>
        <w:spacing w:line="312" w:lineRule="auto" w:before="53"/>
        <w:ind w:left="112" w:right="1029" w:firstLine="360"/>
        <w:jc w:val="left"/>
        <w:rPr>
          <w:rFonts w:ascii="宋体" w:hAnsi="宋体" w:cs="宋体" w:eastAsia="宋体" w:hint="default"/>
          <w:sz w:val="18"/>
          <w:szCs w:val="18"/>
        </w:rPr>
      </w:pPr>
      <w:r>
        <w:rPr>
          <w:rFonts w:ascii="宋体" w:hAnsi="宋体" w:cs="宋体" w:eastAsia="宋体" w:hint="default"/>
          <w:spacing w:val="-2"/>
          <w:sz w:val="18"/>
          <w:szCs w:val="18"/>
        </w:rPr>
        <w:t>上述市场应用对国内手机银行大额支付或转账的市场应用具有重要的里程碑意义，对国家推广数字货币的应用亦具有重</w:t>
      </w:r>
      <w:r>
        <w:rPr>
          <w:rFonts w:ascii="宋体" w:hAnsi="宋体" w:cs="宋体" w:eastAsia="宋体" w:hint="default"/>
          <w:sz w:val="18"/>
          <w:szCs w:val="18"/>
        </w:rPr>
        <w:t> </w:t>
      </w:r>
      <w:r>
        <w:rPr>
          <w:rFonts w:ascii="宋体" w:hAnsi="宋体" w:cs="宋体" w:eastAsia="宋体" w:hint="default"/>
          <w:spacing w:val="-4"/>
          <w:sz w:val="18"/>
          <w:szCs w:val="18"/>
        </w:rPr>
        <w:t>要的借鉴意义。公司对数字货币的发行与推广已有充分的技术和产品储备，在服务端公司具有国家颁发的数字认证</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CA </w:t>
      </w:r>
      <w:r>
        <w:rPr>
          <w:rFonts w:ascii="宋体" w:hAnsi="宋体" w:cs="宋体" w:eastAsia="宋体" w:hint="default"/>
          <w:sz w:val="18"/>
          <w:szCs w:val="18"/>
        </w:rPr>
        <w:t>牌照；</w:t>
      </w:r>
      <w:r>
        <w:rPr>
          <w:rFonts w:ascii="宋体" w:hAnsi="宋体" w:cs="宋体" w:eastAsia="宋体" w:hint="default"/>
          <w:spacing w:val="-87"/>
          <w:sz w:val="18"/>
          <w:szCs w:val="18"/>
        </w:rPr>
        <w:t> </w:t>
      </w:r>
      <w:r>
        <w:rPr>
          <w:rFonts w:ascii="宋体" w:hAnsi="宋体" w:cs="宋体" w:eastAsia="宋体" w:hint="default"/>
          <w:spacing w:val="-2"/>
          <w:sz w:val="18"/>
          <w:szCs w:val="18"/>
        </w:rPr>
        <w:t>在分发端电子支付和移动的技术与产品作为公司的常年主营业务，更具有明显的优势；公司服务端与分发端的银行等金融机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构客户群将有助于数字货币的推广与应用。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933,872,009.88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753,221,267.15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933,872,009.88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753,221,267.15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525,704,699.30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502,390,005.29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303,216,903.05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184,955,334.48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35,028,673.03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28,567,795.43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非银金融机构类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32,620,744.02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15,427,820.28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3"/>
                <w:sz w:val="18"/>
              </w:rPr>
              <w:t>111.44%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10,379,895.15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9,638,455.59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7.69%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26,921,095.33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12,241,856.08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119.91%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358,099,582.10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327,290,216.33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205,732,338.76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195,794,104.03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99,028,337.63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51,257,228.93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97,007,690.91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64,342,476.57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65,316,651.53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47,324,728.33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46,014,600.59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31,882,311.10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36,733,598.91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18,955,965.55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14,813,300.20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2,664,675.12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455.91%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港澳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11,125,909.25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13,709,561.19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-18.85%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2" w:right="0"/>
              <w:jc w:val="left"/>
              <w:rPr>
                <w:rFonts w:ascii="Times New Roman" w:hAnsi="Times New Roman" w:cs="Times New Roman" w:eastAsia="Times New Roman" w:hint="default"/>
                <w:sz w:val="18"/>
                <w:szCs w:val="18"/>
              </w:rPr>
            </w:pPr>
            <w:r>
              <w:rPr>
                <w:rFonts w:ascii="Times New Roman"/>
                <w:sz w:val="18"/>
              </w:rPr>
              <w:t>112,337,8</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50.90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7" w:right="0"/>
              <w:jc w:val="left"/>
              <w:rPr>
                <w:rFonts w:ascii="Times New Roman" w:hAnsi="Times New Roman" w:cs="Times New Roman" w:eastAsia="Times New Roman" w:hint="default"/>
                <w:sz w:val="18"/>
                <w:szCs w:val="18"/>
              </w:rPr>
            </w:pPr>
            <w:r>
              <w:rPr>
                <w:rFonts w:ascii="Times New Roman"/>
                <w:sz w:val="18"/>
              </w:rPr>
              <w:t>168,305,2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12.33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7" w:right="0"/>
              <w:jc w:val="left"/>
              <w:rPr>
                <w:rFonts w:ascii="Times New Roman" w:hAnsi="Times New Roman" w:cs="Times New Roman" w:eastAsia="Times New Roman" w:hint="default"/>
                <w:sz w:val="18"/>
                <w:szCs w:val="18"/>
              </w:rPr>
            </w:pPr>
            <w:r>
              <w:rPr>
                <w:rFonts w:ascii="Times New Roman"/>
                <w:sz w:val="18"/>
              </w:rPr>
              <w:t>193,669,2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13.31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7" w:right="0"/>
              <w:jc w:val="left"/>
              <w:rPr>
                <w:rFonts w:ascii="Times New Roman" w:hAnsi="Times New Roman" w:cs="Times New Roman" w:eastAsia="Times New Roman" w:hint="default"/>
                <w:sz w:val="18"/>
                <w:szCs w:val="18"/>
              </w:rPr>
            </w:pPr>
            <w:r>
              <w:rPr>
                <w:rFonts w:ascii="Times New Roman"/>
                <w:sz w:val="18"/>
              </w:rPr>
              <w:t>459,559,7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33.34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1" w:right="0"/>
              <w:jc w:val="left"/>
              <w:rPr>
                <w:rFonts w:ascii="Times New Roman" w:hAnsi="Times New Roman" w:cs="Times New Roman" w:eastAsia="Times New Roman" w:hint="default"/>
                <w:sz w:val="18"/>
                <w:szCs w:val="18"/>
              </w:rPr>
            </w:pPr>
            <w:r>
              <w:rPr>
                <w:rFonts w:ascii="Times New Roman"/>
                <w:sz w:val="18"/>
              </w:rPr>
              <w:t>73,064,79</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0.87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1" w:right="0"/>
              <w:jc w:val="left"/>
              <w:rPr>
                <w:rFonts w:ascii="Times New Roman" w:hAnsi="Times New Roman" w:cs="Times New Roman" w:eastAsia="Times New Roman" w:hint="default"/>
                <w:sz w:val="18"/>
                <w:szCs w:val="18"/>
              </w:rPr>
            </w:pPr>
            <w:r>
              <w:rPr>
                <w:rFonts w:ascii="Times New Roman"/>
                <w:sz w:val="18"/>
              </w:rPr>
              <w:t>140,147,4</w:t>
            </w:r>
          </w:p>
          <w:p>
            <w:pPr>
              <w:pStyle w:val="TableParagraph"/>
              <w:spacing w:line="240" w:lineRule="auto" w:before="105"/>
              <w:ind w:left="485" w:right="0"/>
              <w:jc w:val="left"/>
              <w:rPr>
                <w:rFonts w:ascii="Times New Roman" w:hAnsi="Times New Roman" w:cs="Times New Roman" w:eastAsia="Times New Roman" w:hint="default"/>
                <w:sz w:val="18"/>
                <w:szCs w:val="18"/>
              </w:rPr>
            </w:pPr>
            <w:r>
              <w:rPr>
                <w:rFonts w:ascii="Times New Roman"/>
                <w:sz w:val="18"/>
              </w:rPr>
              <w:t>67.48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7" w:right="0"/>
              <w:jc w:val="left"/>
              <w:rPr>
                <w:rFonts w:ascii="Times New Roman" w:hAnsi="Times New Roman" w:cs="Times New Roman" w:eastAsia="Times New Roman" w:hint="default"/>
                <w:sz w:val="18"/>
                <w:szCs w:val="18"/>
              </w:rPr>
            </w:pPr>
            <w:r>
              <w:rPr>
                <w:rFonts w:ascii="Times New Roman"/>
                <w:sz w:val="18"/>
              </w:rPr>
              <w:t>100,785,8</w:t>
            </w:r>
          </w:p>
          <w:p>
            <w:pPr>
              <w:pStyle w:val="TableParagraph"/>
              <w:spacing w:line="240" w:lineRule="auto" w:before="105"/>
              <w:ind w:left="484" w:right="0"/>
              <w:jc w:val="left"/>
              <w:rPr>
                <w:rFonts w:ascii="Times New Roman" w:hAnsi="Times New Roman" w:cs="Times New Roman" w:eastAsia="Times New Roman" w:hint="default"/>
                <w:sz w:val="18"/>
                <w:szCs w:val="18"/>
              </w:rPr>
            </w:pPr>
            <w:r>
              <w:rPr>
                <w:rFonts w:ascii="Times New Roman"/>
                <w:sz w:val="18"/>
              </w:rPr>
              <w:t>17.07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9" w:right="0"/>
              <w:jc w:val="left"/>
              <w:rPr>
                <w:rFonts w:ascii="Times New Roman" w:hAnsi="Times New Roman" w:cs="Times New Roman" w:eastAsia="Times New Roman" w:hint="default"/>
                <w:sz w:val="18"/>
                <w:szCs w:val="18"/>
              </w:rPr>
            </w:pPr>
            <w:r>
              <w:rPr>
                <w:rFonts w:ascii="Times New Roman"/>
                <w:sz w:val="18"/>
              </w:rPr>
              <w:t>439,223,1</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91.73</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44"/>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-16,980,69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-19,111,09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7.34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-24,627,47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6.13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110,833,8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63.26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-19,762,82</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6.89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-13,317,07</w:t>
            </w:r>
          </w:p>
          <w:p>
            <w:pPr>
              <w:pStyle w:val="TableParagraph"/>
              <w:spacing w:line="240" w:lineRule="auto" w:before="105"/>
              <w:ind w:left="576" w:right="0"/>
              <w:jc w:val="left"/>
              <w:rPr>
                <w:rFonts w:ascii="Times New Roman" w:hAnsi="Times New Roman" w:cs="Times New Roman" w:eastAsia="Times New Roman" w:hint="default"/>
                <w:sz w:val="18"/>
                <w:szCs w:val="18"/>
              </w:rPr>
            </w:pPr>
            <w:r>
              <w:rPr>
                <w:rFonts w:ascii="Times New Roman"/>
                <w:sz w:val="18"/>
              </w:rPr>
              <w:t>6.77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-27,886,21</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4.19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103,542,1</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37.64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9025" w:space="40"/>
            <w:col w:w="1825"/>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软件和信息产 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933,872,009.88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539,272,953.78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525,704,699.30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284,187,059.89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303,216,903.05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204,896,072.38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358,099,582.10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204,139,196.98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205,732,338.76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118,351,961.02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99,028,337.63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57,383,754.40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97,007,690.91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71,003,632.94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-8.17%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软件和信息产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464,967,431.38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86.22%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404,253,537.56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91.23%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15.02%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软件和信息产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23,519,872.29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9,997,699.57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135.25%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软件和信息产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26,917,687.47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24,448,623.76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软件和信息产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23,867,962.64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4,400,181.44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442.43%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539,272,953.78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443,100,042.33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21.70%</w:t>
            </w:r>
          </w:p>
        </w:tc>
      </w:tr>
    </w:tbl>
    <w:p>
      <w:pPr>
        <w:spacing w:before="5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266,661,839.06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267,986,458.94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2,337,559.63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1,494,872.82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56.37%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13,094,469.23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14,067,017.05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-6.91%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2,093,191.97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1,090,623.05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91.93%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284,187,059.89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284,638,971.86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-0.16%</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非银金融机构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17,144,494.78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6,109,966.37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180.60%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非银金融机构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215,364.86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非银金融机构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1,080,336.90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367,323.59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194.11%</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非银金融机构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536,773.59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1,380,674.29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-61.12%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18,976,970.13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7,857,964.25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141.50%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银行核心业务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17,782,679.68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13,873,845.35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28.17%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银行核心业务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1,352,818.39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银行核心业务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1,352,818.39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945,528.62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43.08%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银行核心业务 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358,490.56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19,493,988.63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14,819,373.97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31.54%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156,657,060.91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111,431,464.01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40.59%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20,027,368.41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2,459,623.90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714.25%</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10,757,770.43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8,454,915.38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27.24%</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1016" w:header="907" w:top="1100" w:bottom="1200" w:left="1020" w:right="0"/>
          <w:pgNumType w:start="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17,453,872.63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705,471.78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2,374.07%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204,896,072.38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123,051,475.07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66.51%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3,190,340.35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3,032,383.27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911,688.20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295,107.30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244,181.16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20.86%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793,274.22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47,169.81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1,581.74%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4,278,721.87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4,235,422.44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3,531,016.60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1,819,419.62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94.07%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939,579.39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5,131,514.65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-81.69%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337,185.22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369,657.96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2,632,359.67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1,176,242.51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123.79%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7,440,140.88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8,496,834.74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-12.44%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before="50"/>
        <w:ind w:left="112" w:right="-1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0" w:lineRule="auto"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9025" w:space="40"/>
            <w:col w:w="1825"/>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464,967,431.38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404,253,537.56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23,519,872.29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9,997,699.57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135.30%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26,917,687.47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24,448,623.76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23,867,962.64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4,400,181.44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442.40%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539,272,953.78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443,100,042.33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21.70%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694"/>
        <w:gridCol w:w="2564"/>
      </w:tblGrid>
      <w:tr>
        <w:trPr>
          <w:trHeight w:val="347" w:hRule="exact"/>
        </w:trPr>
        <w:tc>
          <w:tcPr>
            <w:tcW w:w="4694"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 w:right="0"/>
              <w:jc w:val="left"/>
              <w:rPr>
                <w:rFonts w:ascii="宋体" w:hAnsi="宋体" w:cs="宋体" w:eastAsia="宋体" w:hint="default"/>
                <w:sz w:val="22"/>
                <w:szCs w:val="22"/>
              </w:rPr>
            </w:pPr>
            <w:r>
              <w:rPr>
                <w:rFonts w:ascii="宋体" w:hAnsi="宋体" w:cs="宋体" w:eastAsia="宋体" w:hint="default"/>
                <w:sz w:val="22"/>
                <w:szCs w:val="22"/>
              </w:rPr>
              <w:t>变更原因</w:t>
            </w:r>
          </w:p>
        </w:tc>
      </w:tr>
      <w:tr>
        <w:trPr>
          <w:trHeight w:val="347" w:hRule="exact"/>
        </w:trPr>
        <w:tc>
          <w:tcPr>
            <w:tcW w:w="46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 w:right="0"/>
              <w:jc w:val="left"/>
              <w:rPr>
                <w:rFonts w:ascii="宋体" w:hAnsi="宋体" w:cs="宋体" w:eastAsia="宋体" w:hint="default"/>
                <w:sz w:val="22"/>
                <w:szCs w:val="22"/>
              </w:rPr>
            </w:pPr>
            <w:r>
              <w:rPr>
                <w:rFonts w:ascii="宋体" w:hAnsi="宋体" w:cs="宋体" w:eastAsia="宋体" w:hint="default"/>
                <w:sz w:val="22"/>
                <w:szCs w:val="22"/>
              </w:rPr>
              <w:t>北京科蓝软件系统（苏州）有限公司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left"/>
              <w:rPr>
                <w:rFonts w:ascii="宋体" w:hAnsi="宋体" w:cs="宋体" w:eastAsia="宋体" w:hint="default"/>
                <w:sz w:val="22"/>
                <w:szCs w:val="22"/>
              </w:rPr>
            </w:pPr>
            <w:r>
              <w:rPr>
                <w:rFonts w:ascii="宋体" w:hAnsi="宋体" w:cs="宋体" w:eastAsia="宋体" w:hint="default"/>
                <w:sz w:val="22"/>
                <w:szCs w:val="22"/>
              </w:rPr>
              <w:t>新成立的全资子公司</w:t>
            </w:r>
          </w:p>
        </w:tc>
      </w:tr>
      <w:tr>
        <w:trPr>
          <w:trHeight w:val="347" w:hRule="exact"/>
        </w:trPr>
        <w:tc>
          <w:tcPr>
            <w:tcW w:w="469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3" w:right="0"/>
              <w:jc w:val="left"/>
              <w:rPr>
                <w:rFonts w:ascii="宋体" w:hAnsi="宋体" w:cs="宋体" w:eastAsia="宋体" w:hint="default"/>
                <w:sz w:val="22"/>
                <w:szCs w:val="22"/>
              </w:rPr>
            </w:pPr>
            <w:r>
              <w:rPr>
                <w:rFonts w:ascii="宋体" w:hAnsi="宋体" w:cs="宋体" w:eastAsia="宋体" w:hint="default"/>
                <w:sz w:val="22"/>
                <w:szCs w:val="22"/>
              </w:rPr>
              <w:t>大陆云盾（重庆）信息安全技术研究院有限公司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 w:right="0"/>
              <w:jc w:val="left"/>
              <w:rPr>
                <w:rFonts w:ascii="宋体" w:hAnsi="宋体" w:cs="宋体" w:eastAsia="宋体" w:hint="default"/>
                <w:sz w:val="22"/>
                <w:szCs w:val="22"/>
              </w:rPr>
            </w:pPr>
            <w:r>
              <w:rPr>
                <w:rFonts w:ascii="宋体" w:hAnsi="宋体" w:cs="宋体" w:eastAsia="宋体" w:hint="default"/>
                <w:sz w:val="22"/>
                <w:szCs w:val="22"/>
              </w:rPr>
              <w:t>新成立的全资孙公司</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4"/>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210,186,027.48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22.51%</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74,830,094.42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8.01%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48,779,811.31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32,031,516.98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31,683,980.00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22,860,624.77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210,186,027.48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46,716,760.75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75.98%</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39,496,717.12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64.24%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1,993,442.10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1,146,601.53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46,716,760.75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361"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销售费用较上年增加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24,960,857.49</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8"/>
                <w:sz w:val="18"/>
                <w:szCs w:val="18"/>
              </w:rPr>
              <w:t>元，增幅</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41.27%</w:t>
            </w:r>
            <w:r>
              <w:rPr>
                <w:rFonts w:ascii="宋体" w:hAnsi="宋体" w:cs="宋体" w:eastAsia="宋体" w:hint="default"/>
                <w:spacing w:val="-3"/>
                <w:sz w:val="18"/>
                <w:szCs w:val="18"/>
              </w:rPr>
              <w:t>，主要系上年非同</w:t>
            </w:r>
          </w:p>
        </w:tc>
      </w:tr>
      <w:tr>
        <w:trPr>
          <w:trHeight w:val="307"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一控制下企业合并纳入合并范围的</w:t>
            </w:r>
          </w:p>
        </w:tc>
      </w:tr>
      <w:tr>
        <w:trPr>
          <w:trHeight w:val="624"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85,442,257.48</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60,481,399.99</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41.27%</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04"/>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SUNJESOFT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株式会社和大 陆云盾公司的销售费用支出本期全</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部纳入合并范围增加的销售费用，</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以及销售人员增加、维保费增加所</w:t>
            </w:r>
          </w:p>
        </w:tc>
      </w:tr>
      <w:tr>
        <w:trPr>
          <w:trHeight w:val="358"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362"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管理费用较上年增加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36,330,254.40</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pacing w:val="-8"/>
                <w:sz w:val="18"/>
                <w:szCs w:val="18"/>
              </w:rPr>
              <w:t>元，增幅</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61.54%</w:t>
            </w:r>
            <w:r>
              <w:rPr>
                <w:rFonts w:ascii="宋体" w:hAnsi="宋体" w:cs="宋体" w:eastAsia="宋体" w:hint="default"/>
                <w:spacing w:val="-3"/>
                <w:sz w:val="18"/>
                <w:szCs w:val="18"/>
              </w:rPr>
              <w:t>，主要系上年非同</w:t>
            </w:r>
          </w:p>
        </w:tc>
      </w:tr>
      <w:tr>
        <w:trPr>
          <w:trHeight w:val="307"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一控制下企业合并纳入合并范围的</w:t>
            </w:r>
          </w:p>
        </w:tc>
      </w:tr>
      <w:tr>
        <w:trPr>
          <w:trHeight w:val="624"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95,362,876.53</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59,032,622.13</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61.54%</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4" w:right="96" w:firstLine="14"/>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SUNJESOFT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株式会社和大 陆云盾公司的管理费用支出本期全</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1"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部纳入合并范围增加的管理费用，</w:t>
            </w:r>
          </w:p>
        </w:tc>
      </w:tr>
      <w:tr>
        <w:trPr>
          <w:trHeight w:val="708"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644" w:right="0"/>
              <w:jc w:val="left"/>
              <w:rPr>
                <w:rFonts w:ascii="宋体" w:hAnsi="宋体" w:cs="宋体" w:eastAsia="宋体" w:hint="default"/>
                <w:sz w:val="18"/>
                <w:szCs w:val="18"/>
              </w:rPr>
            </w:pPr>
            <w:r>
              <w:rPr>
                <w:rFonts w:ascii="宋体" w:hAnsi="宋体" w:cs="宋体" w:eastAsia="宋体" w:hint="default"/>
                <w:sz w:val="18"/>
                <w:szCs w:val="18"/>
              </w:rPr>
              <w:t>并办公场地租赁费增加所致</w:t>
            </w:r>
          </w:p>
        </w:tc>
      </w:tr>
      <w:tr>
        <w:trPr>
          <w:trHeight w:val="362"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财务费用较上年增加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10,320,674.14</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34,534,917.90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24,214,243.76</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42.62%</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8"/>
                <w:sz w:val="18"/>
                <w:szCs w:val="18"/>
              </w:rPr>
              <w:t>元，增幅</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42.62%</w:t>
            </w:r>
            <w:r>
              <w:rPr>
                <w:rFonts w:ascii="宋体" w:hAnsi="宋体" w:cs="宋体" w:eastAsia="宋体" w:hint="default"/>
                <w:spacing w:val="-3"/>
                <w:sz w:val="18"/>
                <w:szCs w:val="18"/>
              </w:rPr>
              <w:t>，主要系本期借款</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增加，借款费用相应增加所致；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113,794,154.92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94,048,597.88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 适用 □ 不适用 智慧银行研发项目目的：实现与客户的无缝连接、提供统一、高效的渠道服务、实现专业、高效的风险管理； 业务应用平台研发项目目的：打通事前的身份核验、在线合同签署，事中的数据保全、存证；</w:t>
      </w:r>
    </w:p>
    <w:p>
      <w:pPr>
        <w:spacing w:line="316" w:lineRule="auto" w:before="2"/>
        <w:ind w:left="112" w:right="0" w:firstLine="0"/>
        <w:jc w:val="left"/>
        <w:rPr>
          <w:rFonts w:ascii="宋体" w:hAnsi="宋体" w:cs="宋体" w:eastAsia="宋体" w:hint="default"/>
          <w:sz w:val="18"/>
          <w:szCs w:val="18"/>
        </w:rPr>
      </w:pPr>
      <w:r>
        <w:rPr>
          <w:rFonts w:ascii="宋体" w:hAnsi="宋体" w:cs="宋体" w:eastAsia="宋体" w:hint="default"/>
          <w:sz w:val="18"/>
          <w:szCs w:val="18"/>
        </w:rPr>
        <w:t>数字证书基础应用产品研发项目目的：采用电子签名技术在PDF电子文档上实现电子签章及验章功能； </w:t>
      </w:r>
      <w:r>
        <w:rPr>
          <w:rFonts w:ascii="宋体" w:hAnsi="宋体" w:cs="宋体" w:eastAsia="宋体" w:hint="default"/>
          <w:spacing w:val="-2"/>
          <w:sz w:val="18"/>
          <w:szCs w:val="18"/>
        </w:rPr>
        <w:t>大陆云盾研究院在线纠纷司法处置平台研发项目目的：证明某份文件（或某条信息）在某个时间(或以前)存在，防止用户在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这个时间前或时间后伪造数据进行欺骗活动。</w:t>
      </w:r>
    </w:p>
    <w:p>
      <w:pPr>
        <w:spacing w:before="57"/>
        <w:ind w:left="11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136,166,368.45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100,711,173.68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85,472,348.16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22,372,213.53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6,662,575.80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6" w:top="110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5"/>
        <w:ind w:left="112" w:right="493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7"/>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基于 </w:t>
            </w:r>
            <w:r>
              <w:rPr>
                <w:rFonts w:ascii="Times New Roman" w:hAnsi="Times New Roman" w:cs="Times New Roman" w:eastAsia="Times New Roman" w:hint="default"/>
                <w:sz w:val="18"/>
                <w:szCs w:val="18"/>
              </w:rPr>
              <w:t>VX</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技术的开发平台、</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科蓝 </w:t>
            </w:r>
            <w:r>
              <w:rPr>
                <w:rFonts w:ascii="Times New Roman" w:hAnsi="Times New Roman" w:cs="Times New Roman" w:eastAsia="Times New Roman" w:hint="default"/>
                <w:sz w:val="18"/>
                <w:szCs w:val="18"/>
              </w:rPr>
              <w:t>PE10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开发平台、运维</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监控 </w:t>
            </w:r>
            <w:r>
              <w:rPr>
                <w:rFonts w:ascii="Times New Roman" w:hAnsi="Times New Roman" w:cs="Times New Roman" w:eastAsia="Times New Roman" w:hint="default"/>
                <w:sz w:val="18"/>
                <w:szCs w:val="18"/>
              </w:rPr>
              <w:t>NTC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平台、以及相应</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智慧银行</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16,126,009.55</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1"/>
              <w:jc w:val="left"/>
              <w:rPr>
                <w:rFonts w:ascii="宋体" w:hAnsi="宋体" w:cs="宋体" w:eastAsia="宋体" w:hint="default"/>
                <w:sz w:val="18"/>
                <w:szCs w:val="18"/>
              </w:rPr>
            </w:pPr>
            <w:r>
              <w:rPr>
                <w:rFonts w:ascii="宋体" w:hAnsi="宋体" w:cs="宋体" w:eastAsia="宋体" w:hint="default"/>
                <w:sz w:val="18"/>
                <w:szCs w:val="18"/>
              </w:rPr>
              <w:t>的设备支持，研发出智慧银 </w:t>
            </w:r>
            <w:r>
              <w:rPr>
                <w:rFonts w:ascii="宋体" w:hAnsi="宋体" w:cs="宋体" w:eastAsia="宋体" w:hint="default"/>
                <w:spacing w:val="-6"/>
                <w:sz w:val="18"/>
                <w:szCs w:val="18"/>
              </w:rPr>
              <w:t>行，实现与客户的无缝连接、</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为银行等金融机构提供统</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一、高效的渠道服务、实现</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专业、高效的风险管理</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该业务应用平台目的在于打</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通事前的身份核验、在线合</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同签署，事中的数据保全，</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存证</w:t>
            </w:r>
            <w:r>
              <w:rPr>
                <w:rFonts w:ascii="宋体" w:hAnsi="宋体" w:cs="宋体" w:eastAsia="宋体" w:hint="default"/>
                <w:spacing w:val="-75"/>
                <w:sz w:val="18"/>
                <w:szCs w:val="18"/>
              </w:rPr>
              <w:t>，</w:t>
            </w:r>
            <w:r>
              <w:rPr>
                <w:rFonts w:ascii="宋体" w:hAnsi="宋体" w:cs="宋体" w:eastAsia="宋体" w:hint="default"/>
                <w:sz w:val="18"/>
                <w:szCs w:val="18"/>
              </w:rPr>
              <w:t>保证电子数据的真实、</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完整</w:t>
            </w:r>
            <w:r>
              <w:rPr>
                <w:rFonts w:ascii="宋体" w:hAnsi="宋体" w:cs="宋体" w:eastAsia="宋体" w:hint="default"/>
                <w:spacing w:val="-75"/>
                <w:sz w:val="18"/>
                <w:szCs w:val="18"/>
              </w:rPr>
              <w:t>，</w:t>
            </w:r>
            <w:r>
              <w:rPr>
                <w:rFonts w:ascii="宋体" w:hAnsi="宋体" w:cs="宋体" w:eastAsia="宋体" w:hint="default"/>
                <w:sz w:val="18"/>
                <w:szCs w:val="18"/>
              </w:rPr>
              <w:t>确保保全证据的质量、</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业务应用平台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3,747,217.83</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6"/>
              <w:jc w:val="left"/>
              <w:rPr>
                <w:rFonts w:ascii="宋体" w:hAnsi="宋体" w:cs="宋体" w:eastAsia="宋体" w:hint="default"/>
                <w:sz w:val="18"/>
                <w:szCs w:val="18"/>
              </w:rPr>
            </w:pPr>
            <w:r>
              <w:rPr>
                <w:rFonts w:ascii="宋体" w:hAnsi="宋体" w:cs="宋体" w:eastAsia="宋体" w:hint="default"/>
                <w:sz w:val="18"/>
                <w:szCs w:val="18"/>
              </w:rPr>
              <w:t>提高保全证据的证明力，到 事后的发生纠纷时，快速出</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具验证证书、完整证据保全</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报告、司法鉴定意见书等，</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提供全面的一站式数据保</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全、司法处置服务提高司法</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处置，降低纠纷解决成本。</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数字证书基础应用产品是一</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整套电子签名解决方案，采</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用电子签名技术在</w:t>
            </w:r>
            <w:r>
              <w:rPr>
                <w:rFonts w:ascii="Times New Roman" w:hAnsi="Times New Roman" w:cs="Times New Roman" w:eastAsia="Times New Roman" w:hint="default"/>
                <w:spacing w:val="3"/>
                <w:sz w:val="18"/>
                <w:szCs w:val="18"/>
              </w:rPr>
              <w:t>PDF</w:t>
            </w:r>
            <w:r>
              <w:rPr>
                <w:rFonts w:ascii="宋体" w:hAnsi="宋体" w:cs="宋体" w:eastAsia="宋体" w:hint="default"/>
                <w:spacing w:val="3"/>
                <w:sz w:val="18"/>
                <w:szCs w:val="18"/>
              </w:rPr>
              <w:t>电子</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数字证书基础应用产品</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282,981.62</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16"/>
              <w:jc w:val="left"/>
              <w:rPr>
                <w:rFonts w:ascii="宋体" w:hAnsi="宋体" w:cs="宋体" w:eastAsia="宋体" w:hint="default"/>
                <w:sz w:val="18"/>
                <w:szCs w:val="18"/>
              </w:rPr>
            </w:pPr>
            <w:r>
              <w:rPr>
                <w:rFonts w:ascii="宋体" w:hAnsi="宋体" w:cs="宋体" w:eastAsia="宋体" w:hint="default"/>
                <w:sz w:val="18"/>
                <w:szCs w:val="18"/>
              </w:rPr>
              <w:t>文档上实现电子签章及验章 功能，由电子签章客户端、</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电子签章服务器端两大模块</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组成，该版本用于公司市场</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基于国家标准时间源，采用</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技术，为应用系统提供</w:t>
            </w:r>
          </w:p>
        </w:tc>
        <w:tc>
          <w:tcPr>
            <w:tcW w:w="239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101" w:right="118"/>
              <w:jc w:val="left"/>
              <w:rPr>
                <w:rFonts w:ascii="宋体" w:hAnsi="宋体" w:cs="宋体" w:eastAsia="宋体" w:hint="default"/>
                <w:sz w:val="18"/>
                <w:szCs w:val="18"/>
              </w:rPr>
            </w:pPr>
            <w:r>
              <w:rPr>
                <w:rFonts w:ascii="宋体" w:hAnsi="宋体" w:cs="宋体" w:eastAsia="宋体" w:hint="default"/>
                <w:sz w:val="18"/>
                <w:szCs w:val="18"/>
              </w:rPr>
              <w:t>大陆云盾研究院在线纠纷司 法处置平台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2,216,004.53</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16"/>
              <w:jc w:val="both"/>
              <w:rPr>
                <w:rFonts w:ascii="宋体" w:hAnsi="宋体" w:cs="宋体" w:eastAsia="宋体" w:hint="default"/>
                <w:sz w:val="18"/>
                <w:szCs w:val="18"/>
              </w:rPr>
            </w:pPr>
            <w:r>
              <w:rPr>
                <w:rFonts w:ascii="宋体" w:hAnsi="宋体" w:cs="宋体" w:eastAsia="宋体" w:hint="default"/>
                <w:sz w:val="18"/>
                <w:szCs w:val="18"/>
              </w:rPr>
              <w:t>精准、安全和可信时间认证 服务，证明某份文件（或某 条信息）在某个时间</w:t>
            </w:r>
            <w:r>
              <w:rPr>
                <w:rFonts w:ascii="Times New Roman" w:hAnsi="Times New Roman" w:cs="Times New Roman" w:eastAsia="Times New Roman" w:hint="default"/>
                <w:sz w:val="18"/>
                <w:szCs w:val="18"/>
              </w:rPr>
              <w:t>(</w:t>
            </w:r>
            <w:r>
              <w:rPr>
                <w:rFonts w:ascii="宋体" w:hAnsi="宋体" w:cs="宋体" w:eastAsia="宋体" w:hint="default"/>
                <w:sz w:val="18"/>
                <w:szCs w:val="18"/>
              </w:rPr>
              <w:t>或以</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存在，防止用户在这个时</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间前或时间后伪造数据进行</w:t>
            </w:r>
          </w:p>
        </w:tc>
        <w:tc>
          <w:tcPr>
            <w:tcW w:w="2392"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欺骗活动。</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921,664,349.06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723,832,116.43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945,293,200.29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773,838,173.97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-23,628,851.23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-50,006,057.54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194,183,107.63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265,933,692.93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-26.98%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253,447,852.25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349,160,179.66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-27.41%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-59,264,744.62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-83,226,486.73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822,624,166.67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638,526,982.77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922,345,509.86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481,551,869.67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-99,721,343.19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156,975,113.10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-163.53%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-182,321,107.49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24,490,520.70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-844.46%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12" w:right="1128" w:firstLine="360"/>
        <w:jc w:val="left"/>
        <w:rPr>
          <w:rFonts w:ascii="宋体" w:hAnsi="宋体" w:cs="宋体" w:eastAsia="宋体" w:hint="default"/>
          <w:sz w:val="18"/>
          <w:szCs w:val="18"/>
        </w:rPr>
      </w:pPr>
      <w:r>
        <w:rPr>
          <w:rFonts w:ascii="宋体" w:hAnsi="宋体" w:cs="宋体" w:eastAsia="宋体" w:hint="default"/>
          <w:sz w:val="18"/>
          <w:szCs w:val="18"/>
        </w:rPr>
        <w:t>经营活动产生的现金流量净额较上年增长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26,377,206.31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52.75%</w:t>
      </w:r>
      <w:r>
        <w:rPr>
          <w:rFonts w:ascii="宋体" w:hAnsi="宋体" w:cs="宋体" w:eastAsia="宋体" w:hint="default"/>
          <w:sz w:val="18"/>
          <w:szCs w:val="18"/>
        </w:rPr>
        <w:t>，主要系公司业务规模增长，同时加强销售业 务管理，确保销售回款和项目执行进度相匹配所致；</w:t>
      </w:r>
    </w:p>
    <w:p>
      <w:pPr>
        <w:spacing w:line="319" w:lineRule="auto" w:before="72"/>
        <w:ind w:left="112" w:right="1128" w:firstLine="360"/>
        <w:jc w:val="left"/>
        <w:rPr>
          <w:rFonts w:ascii="宋体" w:hAnsi="宋体" w:cs="宋体" w:eastAsia="宋体" w:hint="default"/>
          <w:sz w:val="18"/>
          <w:szCs w:val="18"/>
        </w:rPr>
      </w:pPr>
      <w:r>
        <w:rPr>
          <w:rFonts w:ascii="宋体" w:hAnsi="宋体" w:cs="宋体" w:eastAsia="宋体" w:hint="default"/>
          <w:sz w:val="18"/>
          <w:szCs w:val="18"/>
        </w:rPr>
        <w:t>筹资活动现金流出小计较上年增加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440,793,640.19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91.54%</w:t>
      </w:r>
      <w:r>
        <w:rPr>
          <w:rFonts w:ascii="宋体" w:hAnsi="宋体" w:cs="宋体" w:eastAsia="宋体" w:hint="default"/>
          <w:sz w:val="18"/>
          <w:szCs w:val="18"/>
        </w:rPr>
        <w:t>，主要系归还短期借款增加及股权激励回购所致； 筹资活动产生的现金流量净额较上年减少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256,696,456.29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元，减幅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163.53%</w:t>
      </w:r>
      <w:r>
        <w:rPr>
          <w:rFonts w:ascii="宋体" w:hAnsi="宋体" w:cs="宋体" w:eastAsia="宋体" w:hint="default"/>
          <w:sz w:val="18"/>
          <w:szCs w:val="18"/>
        </w:rPr>
        <w:t>，主要系归还短期借款增加及支付股权激励回购 款所致；</w:t>
      </w:r>
    </w:p>
    <w:p>
      <w:pPr>
        <w:spacing w:line="300" w:lineRule="auto" w:before="55"/>
        <w:ind w:left="112" w:right="1125" w:firstLine="360"/>
        <w:jc w:val="left"/>
        <w:rPr>
          <w:rFonts w:ascii="宋体" w:hAnsi="宋体" w:cs="宋体" w:eastAsia="宋体" w:hint="default"/>
          <w:sz w:val="18"/>
          <w:szCs w:val="18"/>
        </w:rPr>
      </w:pPr>
      <w:r>
        <w:rPr>
          <w:rFonts w:ascii="宋体" w:hAnsi="宋体" w:cs="宋体" w:eastAsia="宋体" w:hint="default"/>
          <w:sz w:val="18"/>
          <w:szCs w:val="18"/>
        </w:rPr>
        <w:t>现金及现金等价物净增加额较去年减少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206,811,628.19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元，减幅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844.46%</w:t>
      </w:r>
      <w:r>
        <w:rPr>
          <w:rFonts w:ascii="宋体" w:hAnsi="宋体" w:cs="宋体" w:eastAsia="宋体" w:hint="default"/>
          <w:sz w:val="18"/>
          <w:szCs w:val="18"/>
        </w:rPr>
        <w:t>，主要系支付长三角科技研发中心土地及房产 等购置款项。</w:t>
      </w:r>
    </w:p>
    <w:p>
      <w:pPr>
        <w:spacing w:before="72"/>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3" w:right="0"/>
              <w:jc w:val="left"/>
              <w:rPr>
                <w:rFonts w:ascii="Times New Roman" w:hAnsi="Times New Roman" w:cs="Times New Roman" w:eastAsia="Times New Roman" w:hint="default"/>
                <w:sz w:val="18"/>
                <w:szCs w:val="18"/>
              </w:rPr>
            </w:pPr>
            <w:r>
              <w:rPr>
                <w:rFonts w:ascii="Times New Roman"/>
                <w:sz w:val="18"/>
              </w:rPr>
              <w:t>-167,641.37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7" w:right="0"/>
              <w:jc w:val="left"/>
              <w:rPr>
                <w:rFonts w:ascii="Times New Roman" w:hAnsi="Times New Roman" w:cs="Times New Roman" w:eastAsia="Times New Roman" w:hint="default"/>
                <w:sz w:val="18"/>
                <w:szCs w:val="18"/>
              </w:rPr>
            </w:pPr>
            <w:r>
              <w:rPr>
                <w:rFonts w:ascii="Times New Roman"/>
                <w:sz w:val="18"/>
              </w:rPr>
              <w:t>-0.39%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0"/>
              <w:jc w:val="both"/>
              <w:rPr>
                <w:rFonts w:ascii="宋体" w:hAnsi="宋体" w:cs="宋体" w:eastAsia="宋体" w:hint="default"/>
                <w:sz w:val="18"/>
                <w:szCs w:val="18"/>
              </w:rPr>
            </w:pPr>
            <w:r>
              <w:rPr>
                <w:rFonts w:ascii="宋体" w:hAnsi="宋体" w:cs="宋体" w:eastAsia="宋体" w:hint="default"/>
                <w:sz w:val="18"/>
                <w:szCs w:val="18"/>
              </w:rPr>
              <w:t>权益法核算的长期股权 投资收益和理财产品投 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45"/>
              <w:jc w:val="left"/>
              <w:rPr>
                <w:rFonts w:ascii="宋体" w:hAnsi="宋体" w:cs="宋体" w:eastAsia="宋体" w:hint="default"/>
                <w:sz w:val="18"/>
                <w:szCs w:val="18"/>
              </w:rPr>
            </w:pPr>
            <w:r>
              <w:rPr>
                <w:rFonts w:ascii="宋体" w:hAnsi="宋体" w:cs="宋体" w:eastAsia="宋体" w:hint="default"/>
                <w:sz w:val="18"/>
                <w:szCs w:val="18"/>
              </w:rPr>
              <w:t>权益法核算的长期股权投 资收益具有可持续性</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-4,590,531.54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0"/>
              <w:jc w:val="left"/>
              <w:rPr>
                <w:rFonts w:ascii="宋体" w:hAnsi="宋体" w:cs="宋体" w:eastAsia="宋体" w:hint="default"/>
                <w:sz w:val="18"/>
                <w:szCs w:val="18"/>
              </w:rPr>
            </w:pPr>
            <w:r>
              <w:rPr>
                <w:rFonts w:ascii="宋体" w:hAnsi="宋体" w:cs="宋体" w:eastAsia="宋体" w:hint="default"/>
                <w:sz w:val="18"/>
                <w:szCs w:val="18"/>
              </w:rPr>
              <w:t>应收款项按账龄计提的 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354,635.82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0.82%</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58,825.71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0.14%</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2,424,245.13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收到的增值税退税、个税</w:t>
            </w:r>
            <w:r>
              <w:rPr>
                <w:rFonts w:ascii="宋体" w:hAnsi="宋体" w:cs="宋体" w:eastAsia="宋体" w:hint="default"/>
                <w:sz w:val="18"/>
                <w:szCs w:val="18"/>
              </w:rPr>
              <w:t> 返还、政府补助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65"/>
              <w:jc w:val="left"/>
              <w:rPr>
                <w:rFonts w:ascii="宋体" w:hAnsi="宋体" w:cs="宋体" w:eastAsia="宋体" w:hint="default"/>
                <w:sz w:val="18"/>
                <w:szCs w:val="18"/>
              </w:rPr>
            </w:pPr>
            <w:r>
              <w:rPr>
                <w:rFonts w:ascii="宋体" w:hAnsi="宋体" w:cs="宋体" w:eastAsia="宋体" w:hint="default"/>
                <w:sz w:val="18"/>
                <w:szCs w:val="18"/>
              </w:rPr>
              <w:t>增值税退税具有可持续性， 政府补助不具有可持续性</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8485" w:space="434"/>
            <w:col w:w="19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261,348,244.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407,308,560.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-11.35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643,121,762.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532,756,775.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256,169,835.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186,149,797.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19,271,935.7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21,069,415.3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7,388,408.94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4,948,147.98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414,738,949.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421,917,795.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-2.05%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日止，本公司受限制的货币资金总额为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39,697,383.00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元，为履约保证金及附使用条件的政府补助。</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其中履约保证金为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39,372,050.00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元，附使用条件的政府补助为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325,333.00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before="103"/>
        <w:ind w:left="47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日止，本公司受限制的应收账款余额为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10,540.60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万元，为取得银行贷款所产生的质押担保。</w:t>
      </w:r>
    </w:p>
    <w:p>
      <w:pPr>
        <w:spacing w:after="0"/>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35,875,280.00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650"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40" w:right="157"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15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157"/>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5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159"/>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58" w:hRule="exact"/>
        </w:trPr>
        <w:tc>
          <w:tcPr>
            <w:tcW w:w="865"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4"/>
              <w:jc w:val="center"/>
              <w:rPr>
                <w:rFonts w:ascii="宋体" w:hAnsi="宋体" w:cs="宋体" w:eastAsia="宋体" w:hint="default"/>
                <w:sz w:val="18"/>
                <w:szCs w:val="18"/>
              </w:rPr>
            </w:pPr>
            <w:r>
              <w:rPr>
                <w:rFonts w:ascii="宋体" w:hAnsi="宋体" w:cs="宋体" w:eastAsia="宋体" w:hint="default"/>
                <w:sz w:val="18"/>
                <w:szCs w:val="18"/>
              </w:rPr>
              <w:t>尚未使</w:t>
            </w: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865"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用的募</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5"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向社会</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14"/>
              <w:jc w:val="center"/>
              <w:rPr>
                <w:rFonts w:ascii="宋体" w:hAnsi="宋体" w:cs="宋体" w:eastAsia="宋体" w:hint="default"/>
                <w:sz w:val="18"/>
                <w:szCs w:val="18"/>
              </w:rPr>
            </w:pPr>
            <w:r>
              <w:rPr>
                <w:rFonts w:ascii="宋体" w:hAnsi="宋体" w:cs="宋体" w:eastAsia="宋体" w:hint="default"/>
                <w:sz w:val="18"/>
                <w:szCs w:val="18"/>
              </w:rPr>
              <w:t>集资金</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5"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公众公</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14"/>
              <w:jc w:val="center"/>
              <w:rPr>
                <w:rFonts w:ascii="宋体" w:hAnsi="宋体" w:cs="宋体" w:eastAsia="宋体" w:hint="default"/>
                <w:sz w:val="18"/>
                <w:szCs w:val="18"/>
              </w:rPr>
            </w:pPr>
            <w:r>
              <w:rPr>
                <w:rFonts w:ascii="宋体" w:hAnsi="宋体" w:cs="宋体" w:eastAsia="宋体" w:hint="default"/>
                <w:sz w:val="18"/>
                <w:szCs w:val="18"/>
              </w:rPr>
              <w:t>存放于</w:t>
            </w:r>
          </w:p>
        </w:tc>
        <w:tc>
          <w:tcPr>
            <w:tcW w:w="86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215"/>
              <w:jc w:val="left"/>
              <w:rPr>
                <w:rFonts w:ascii="宋体" w:hAnsi="宋体" w:cs="宋体" w:eastAsia="宋体" w:hint="default"/>
                <w:sz w:val="18"/>
                <w:szCs w:val="18"/>
              </w:rPr>
            </w:pPr>
            <w:r>
              <w:rPr>
                <w:rFonts w:ascii="宋体" w:hAnsi="宋体" w:cs="宋体" w:eastAsia="宋体" w:hint="default"/>
                <w:sz w:val="18"/>
                <w:szCs w:val="18"/>
              </w:rPr>
              <w:t>开发行 普通股</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9,604.62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19,922.6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984.96</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216"/>
              <w:jc w:val="left"/>
              <w:rPr>
                <w:rFonts w:ascii="宋体" w:hAnsi="宋体" w:cs="宋体" w:eastAsia="宋体" w:hint="default"/>
                <w:sz w:val="18"/>
                <w:szCs w:val="18"/>
              </w:rPr>
            </w:pPr>
            <w:r>
              <w:rPr>
                <w:rFonts w:ascii="宋体" w:hAnsi="宋体" w:cs="宋体" w:eastAsia="宋体" w:hint="default"/>
                <w:sz w:val="18"/>
                <w:szCs w:val="18"/>
              </w:rPr>
              <w:t>公司开 立的募</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865"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14"/>
              <w:jc w:val="center"/>
              <w:rPr>
                <w:rFonts w:ascii="宋体" w:hAnsi="宋体" w:cs="宋体" w:eastAsia="宋体" w:hint="default"/>
                <w:sz w:val="18"/>
                <w:szCs w:val="18"/>
              </w:rPr>
            </w:pPr>
            <w:r>
              <w:rPr>
                <w:rFonts w:ascii="宋体" w:hAnsi="宋体" w:cs="宋体" w:eastAsia="宋体" w:hint="default"/>
                <w:sz w:val="18"/>
                <w:szCs w:val="18"/>
              </w:rPr>
              <w:t>集资金</w:t>
            </w:r>
          </w:p>
        </w:tc>
        <w:tc>
          <w:tcPr>
            <w:tcW w:w="869"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865"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pacing w:val="-17"/>
                <w:sz w:val="18"/>
                <w:szCs w:val="18"/>
              </w:rPr>
              <w:t>专户，将</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5"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用于募</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865"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投项目</w:t>
            </w:r>
          </w:p>
        </w:tc>
        <w:tc>
          <w:tcPr>
            <w:tcW w:w="86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4"/>
      </w:tblGrid>
      <w:tr>
        <w:trPr>
          <w:trHeight w:val="674" w:hRule="exact"/>
        </w:trPr>
        <w:tc>
          <w:tcPr>
            <w:tcW w:w="86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36"/>
              <w:jc w:val="left"/>
              <w:rPr>
                <w:rFonts w:ascii="宋体" w:hAnsi="宋体" w:cs="宋体" w:eastAsia="宋体" w:hint="default"/>
                <w:sz w:val="18"/>
                <w:szCs w:val="18"/>
              </w:rPr>
            </w:pPr>
            <w:r>
              <w:rPr>
                <w:rFonts w:ascii="宋体" w:hAnsi="宋体" w:cs="宋体" w:eastAsia="宋体" w:hint="default"/>
                <w:sz w:val="18"/>
                <w:szCs w:val="18"/>
              </w:rPr>
              <w:t>后续资 金支付。</w:t>
            </w: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9,604.62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19,922.6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984.96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02" w:hRule="exact"/>
        </w:trPr>
        <w:tc>
          <w:tcPr>
            <w:tcW w:w="955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日证监许可</w:t>
            </w:r>
            <w:r>
              <w:rPr>
                <w:rFonts w:ascii="Times New Roman" w:hAnsi="Times New Roman" w:cs="Times New Roman" w:eastAsia="Times New Roman" w:hint="default"/>
                <w:sz w:val="18"/>
                <w:szCs w:val="18"/>
              </w:rPr>
              <w:t>[2017]690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号文《关于核准北京科蓝软件系统股份有限公司</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首次公开发行股票的批复》的核准，并经深圳证券交易所同意，</w:t>
            </w:r>
            <w:r>
              <w:rPr>
                <w:rFonts w:ascii="宋体" w:hAnsi="宋体" w:cs="宋体" w:eastAsia="宋体" w:hint="default"/>
                <w:spacing w:val="1"/>
                <w:sz w:val="18"/>
                <w:szCs w:val="18"/>
              </w:rPr>
              <w:t> </w:t>
            </w:r>
            <w:r>
              <w:rPr>
                <w:rFonts w:ascii="宋体" w:hAnsi="宋体" w:cs="宋体" w:eastAsia="宋体" w:hint="default"/>
                <w:sz w:val="18"/>
                <w:szCs w:val="18"/>
              </w:rPr>
              <w:t>本公司由主承销商海通证券股份有限公司于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万股，每股面值</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元，每股发行价人民币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12"/>
                <w:sz w:val="18"/>
                <w:szCs w:val="18"/>
              </w:rPr>
              <w:t>，</w:t>
            </w:r>
            <w:r>
              <w:rPr>
                <w:rFonts w:ascii="宋体" w:hAnsi="宋体" w:cs="宋体" w:eastAsia="宋体" w:hint="default"/>
                <w:sz w:val="18"/>
                <w:szCs w:val="18"/>
              </w:rPr>
              <w:t>本公司共募集资金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元</w:t>
            </w:r>
            <w:r>
              <w:rPr>
                <w:rFonts w:ascii="宋体" w:hAnsi="宋体" w:cs="宋体" w:eastAsia="宋体" w:hint="default"/>
                <w:sz w:val="18"/>
                <w:szCs w:val="18"/>
              </w:rPr>
              <w:t>（大写</w:t>
            </w:r>
            <w:r>
              <w:rPr>
                <w:rFonts w:ascii="宋体" w:hAnsi="宋体" w:cs="宋体" w:eastAsia="宋体" w:hint="default"/>
                <w:spacing w:val="-12"/>
                <w:sz w:val="18"/>
                <w:szCs w:val="18"/>
              </w:rPr>
              <w:t>：</w:t>
            </w:r>
            <w:r>
              <w:rPr>
                <w:rFonts w:ascii="宋体" w:hAnsi="宋体" w:cs="宋体" w:eastAsia="宋体" w:hint="default"/>
                <w:sz w:val="18"/>
                <w:szCs w:val="18"/>
              </w:rPr>
              <w:t>贰亿叁仟捌佰捌拾玖万贰仟贰佰元整</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扣除发行费</w:t>
            </w:r>
            <w:r>
              <w:rPr>
                <w:rFonts w:ascii="宋体" w:hAnsi="宋体" w:cs="宋体" w:eastAsia="宋体" w:hint="default"/>
                <w:spacing w:val="-12"/>
                <w:sz w:val="18"/>
                <w:szCs w:val="18"/>
              </w:rPr>
              <w:t>用</w:t>
            </w:r>
            <w:r>
              <w:rPr>
                <w:rFonts w:ascii="宋体" w:hAnsi="宋体" w:cs="宋体" w:eastAsia="宋体" w:hint="default"/>
                <w:sz w:val="18"/>
                <w:szCs w:val="18"/>
              </w:rPr>
              <w:t>（不</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含增值税）人民币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元（大写：叁仟伍佰壹拾壹万零捌佰零柒元玖角叁分</w:t>
            </w:r>
            <w:r>
              <w:rPr>
                <w:rFonts w:ascii="宋体" w:hAnsi="宋体" w:cs="宋体" w:eastAsia="宋体" w:hint="default"/>
                <w:spacing w:val="-89"/>
                <w:sz w:val="18"/>
                <w:szCs w:val="18"/>
              </w:rPr>
              <w:t>）</w:t>
            </w:r>
            <w:r>
              <w:rPr>
                <w:rFonts w:ascii="宋体" w:hAnsi="宋体" w:cs="宋体" w:eastAsia="宋体" w:hint="default"/>
                <w:sz w:val="18"/>
                <w:szCs w:val="18"/>
              </w:rPr>
              <w:t>，募集资金净额为人民币</w:t>
            </w:r>
          </w:p>
          <w:p>
            <w:pPr>
              <w:pStyle w:val="TableParagraph"/>
              <w:spacing w:line="300" w:lineRule="auto" w:before="63"/>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203,781,392.07</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元（大写：贰亿零叁佰柒拾捌万壹仟叁佰玖拾贰元零角柒分）。上述发行募集的资金已全部到位，业经大</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华会计师事务所（特殊普通合伙）出具的“大华验字</w:t>
            </w:r>
            <w:r>
              <w:rPr>
                <w:rFonts w:ascii="Times New Roman" w:hAnsi="Times New Roman" w:cs="Times New Roman" w:eastAsia="Times New Roman" w:hint="default"/>
                <w:sz w:val="18"/>
                <w:szCs w:val="18"/>
              </w:rPr>
              <w:t>[2017]000357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号”验资报告验证确认。</w:t>
            </w:r>
          </w:p>
          <w:p>
            <w:pPr>
              <w:pStyle w:val="TableParagraph"/>
              <w:spacing w:line="240" w:lineRule="auto" w:before="5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96,046,235.00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元，累计使用募集资金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199,226,449.27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元。募集资金专用账户累计收到利</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息收入（包括理财收益、扣除银行手续费）</w:t>
            </w:r>
            <w:r>
              <w:rPr>
                <w:rFonts w:ascii="Times New Roman" w:hAnsi="Times New Roman" w:cs="Times New Roman" w:eastAsia="Times New Roman" w:hint="default"/>
                <w:sz w:val="18"/>
                <w:szCs w:val="18"/>
              </w:rPr>
              <w:t>5,294,637.03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日止，募集资金余额为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9,849,579.86</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元（包含累计收到的银行存款利息、理财收益扣除银行手续费等的净额）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22"/>
        <w:gridCol w:w="726"/>
        <w:gridCol w:w="896"/>
        <w:gridCol w:w="896"/>
        <w:gridCol w:w="727"/>
        <w:gridCol w:w="898"/>
        <w:gridCol w:w="898"/>
        <w:gridCol w:w="727"/>
        <w:gridCol w:w="727"/>
        <w:gridCol w:w="898"/>
        <w:gridCol w:w="727"/>
        <w:gridCol w:w="727"/>
      </w:tblGrid>
      <w:tr>
        <w:trPr>
          <w:trHeight w:val="227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承诺 投资 项目 和超 募资 金投 向</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48" w:right="146"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3" w:right="17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72" w:right="17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8" w:right="176"/>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4" w:right="17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1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8" w:right="177"/>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78" w:right="177"/>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73" w:right="17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8" w:right="17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8" w:right="177"/>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7"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新一</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代互</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both"/>
              <w:rPr>
                <w:rFonts w:ascii="宋体" w:hAnsi="宋体" w:cs="宋体" w:eastAsia="宋体" w:hint="default"/>
                <w:sz w:val="18"/>
                <w:szCs w:val="18"/>
              </w:rPr>
            </w:pPr>
            <w:r>
              <w:rPr>
                <w:rFonts w:ascii="宋体" w:hAnsi="宋体" w:cs="宋体" w:eastAsia="宋体" w:hint="default"/>
                <w:sz w:val="18"/>
                <w:szCs w:val="18"/>
              </w:rPr>
              <w:t>联网 银行 系统</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5,000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5,000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2,244.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4,605.85</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92.12%</w:t>
            </w: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新一</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01"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代银</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35"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1" w:right="248"/>
              <w:jc w:val="left"/>
              <w:rPr>
                <w:rFonts w:ascii="宋体" w:hAnsi="宋体" w:cs="宋体" w:eastAsia="宋体" w:hint="default"/>
                <w:sz w:val="18"/>
                <w:szCs w:val="18"/>
              </w:rPr>
            </w:pPr>
            <w:r>
              <w:rPr>
                <w:rFonts w:ascii="宋体" w:hAnsi="宋体" w:cs="宋体" w:eastAsia="宋体" w:hint="default"/>
                <w:sz w:val="18"/>
                <w:szCs w:val="18"/>
              </w:rPr>
              <w:t>行核 心业</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64" w:right="0"/>
              <w:jc w:val="left"/>
              <w:rPr>
                <w:rFonts w:ascii="Times New Roman" w:hAnsi="Times New Roman" w:cs="Times New Roman" w:eastAsia="Times New Roman" w:hint="default"/>
                <w:sz w:val="18"/>
                <w:szCs w:val="18"/>
              </w:rPr>
            </w:pPr>
            <w:r>
              <w:rPr>
                <w:rFonts w:ascii="Times New Roman"/>
                <w:sz w:val="18"/>
              </w:rPr>
              <w:t>2,457.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3,289.61</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93.99%</w:t>
            </w: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务系</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统建</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726"/>
        <w:gridCol w:w="896"/>
        <w:gridCol w:w="896"/>
        <w:gridCol w:w="727"/>
        <w:gridCol w:w="898"/>
        <w:gridCol w:w="898"/>
        <w:gridCol w:w="727"/>
        <w:gridCol w:w="727"/>
        <w:gridCol w:w="898"/>
        <w:gridCol w:w="727"/>
        <w:gridCol w:w="727"/>
      </w:tblGrid>
      <w:tr>
        <w:trPr>
          <w:trHeight w:val="67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248"/>
              <w:jc w:val="left"/>
              <w:rPr>
                <w:rFonts w:ascii="宋体" w:hAnsi="宋体" w:cs="宋体" w:eastAsia="宋体" w:hint="default"/>
                <w:sz w:val="18"/>
                <w:szCs w:val="18"/>
              </w:rPr>
            </w:pPr>
            <w:r>
              <w:rPr>
                <w:rFonts w:ascii="宋体" w:hAnsi="宋体" w:cs="宋体" w:eastAsia="宋体" w:hint="default"/>
                <w:sz w:val="18"/>
                <w:szCs w:val="18"/>
              </w:rPr>
              <w:t>设项 目</w:t>
            </w:r>
          </w:p>
        </w:tc>
        <w:tc>
          <w:tcPr>
            <w:tcW w:w="72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新一</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代全</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渠道</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2019</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248"/>
              <w:jc w:val="left"/>
              <w:rPr>
                <w:rFonts w:ascii="宋体" w:hAnsi="宋体" w:cs="宋体" w:eastAsia="宋体" w:hint="default"/>
                <w:sz w:val="18"/>
                <w:szCs w:val="18"/>
              </w:rPr>
            </w:pPr>
            <w:r>
              <w:rPr>
                <w:rFonts w:ascii="宋体" w:hAnsi="宋体" w:cs="宋体" w:eastAsia="宋体" w:hint="default"/>
                <w:sz w:val="18"/>
                <w:szCs w:val="18"/>
              </w:rPr>
              <w:t>电子 银行</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937.43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2,764.94</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92.16%</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495.86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495.86</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新一</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代移</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both"/>
              <w:rPr>
                <w:rFonts w:ascii="宋体" w:hAnsi="宋体" w:cs="宋体" w:eastAsia="宋体" w:hint="default"/>
                <w:sz w:val="18"/>
                <w:szCs w:val="18"/>
              </w:rPr>
            </w:pPr>
            <w:r>
              <w:rPr>
                <w:rFonts w:ascii="宋体" w:hAnsi="宋体" w:cs="宋体" w:eastAsia="宋体" w:hint="default"/>
                <w:sz w:val="18"/>
                <w:szCs w:val="18"/>
              </w:rPr>
              <w:t>动支 付系 统建</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z w:val="18"/>
              </w:rPr>
              <w:t>2,500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2,500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1,693.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2,483.52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pacing w:val="-1"/>
                <w:sz w:val="18"/>
              </w:rPr>
              <w:t>99.34%</w:t>
            </w: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设项</w:t>
            </w:r>
          </w:p>
        </w:tc>
        <w:tc>
          <w:tcPr>
            <w:tcW w:w="72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企业 技术 中心 建设 项目</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3,578.14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3,578.14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1,259.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2,966.43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82.90%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补充</w:t>
            </w:r>
          </w:p>
        </w:tc>
        <w:tc>
          <w:tcPr>
            <w:tcW w:w="72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流动 资金</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2,800.82</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9"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投资 项目</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4" w:right="0"/>
              <w:jc w:val="left"/>
              <w:rPr>
                <w:rFonts w:ascii="Times New Roman" w:hAnsi="Times New Roman" w:cs="Times New Roman" w:eastAsia="Times New Roman" w:hint="default"/>
                <w:sz w:val="18"/>
                <w:szCs w:val="18"/>
              </w:rPr>
            </w:pPr>
            <w:r>
              <w:rPr>
                <w:rFonts w:ascii="Times New Roman"/>
                <w:sz w:val="18"/>
              </w:rPr>
              <w:t>8,593.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14</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w w:val="95"/>
                <w:sz w:val="18"/>
              </w:rPr>
              <w:t>18,911.1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495.86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495.86</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48"/>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补充</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流动 资金</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（如</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95"/>
              <w:jc w:val="right"/>
              <w:rPr>
                <w:rFonts w:ascii="Times New Roman" w:hAnsi="Times New Roman" w:cs="Times New Roman" w:eastAsia="Times New Roman" w:hint="default"/>
                <w:sz w:val="18"/>
                <w:szCs w:val="18"/>
              </w:rPr>
            </w:pPr>
            <w:r>
              <w:rPr>
                <w:rFonts w:ascii="Times New Roman"/>
                <w:sz w:val="18"/>
              </w:rPr>
              <w:t>--</w:t>
            </w:r>
          </w:p>
        </w:tc>
        <w:tc>
          <w:tcPr>
            <w:tcW w:w="896"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48</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pacing w:val="-1"/>
                <w:sz w:val="18"/>
              </w:rPr>
              <w:t>1,011.48</w:t>
            </w: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97"/>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97"/>
              <w:jc w:val="right"/>
              <w:rPr>
                <w:rFonts w:ascii="Times New Roman" w:hAnsi="Times New Roman" w:cs="Times New Roman" w:eastAsia="Times New Roman" w:hint="default"/>
                <w:sz w:val="18"/>
                <w:szCs w:val="18"/>
              </w:rPr>
            </w:pPr>
            <w:r>
              <w:rPr>
                <w:rFonts w:ascii="Times New Roman"/>
                <w:sz w:val="18"/>
              </w:rPr>
              <w:t>--</w:t>
            </w: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98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超募 资金 投向</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1,011.48</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726"/>
        <w:gridCol w:w="896"/>
        <w:gridCol w:w="896"/>
        <w:gridCol w:w="727"/>
        <w:gridCol w:w="898"/>
        <w:gridCol w:w="898"/>
        <w:gridCol w:w="727"/>
        <w:gridCol w:w="727"/>
        <w:gridCol w:w="898"/>
        <w:gridCol w:w="727"/>
        <w:gridCol w:w="727"/>
      </w:tblGrid>
      <w:tr>
        <w:trPr>
          <w:trHeight w:val="36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9,604.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19,922.6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495.86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495.86</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未达</w:t>
            </w:r>
          </w:p>
        </w:tc>
        <w:tc>
          <w:tcPr>
            <w:tcW w:w="8847" w:type="dxa"/>
            <w:gridSpan w:val="11"/>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到计</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划进</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度或</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预计</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收益 的情</w:t>
            </w:r>
          </w:p>
        </w:tc>
        <w:tc>
          <w:tcPr>
            <w:tcW w:w="8847"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况和</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具体</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47" w:type="dxa"/>
            <w:gridSpan w:val="11"/>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47" w:type="dxa"/>
            <w:gridSpan w:val="11"/>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可行</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性发</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624"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48"/>
              <w:jc w:val="left"/>
              <w:rPr>
                <w:rFonts w:ascii="宋体" w:hAnsi="宋体" w:cs="宋体" w:eastAsia="宋体" w:hint="default"/>
                <w:sz w:val="18"/>
                <w:szCs w:val="18"/>
              </w:rPr>
            </w:pPr>
            <w:r>
              <w:rPr>
                <w:rFonts w:ascii="宋体" w:hAnsi="宋体" w:cs="宋体" w:eastAsia="宋体" w:hint="default"/>
                <w:sz w:val="18"/>
                <w:szCs w:val="18"/>
              </w:rPr>
              <w:t>生重 大变</w:t>
            </w:r>
          </w:p>
        </w:tc>
        <w:tc>
          <w:tcPr>
            <w:tcW w:w="8847"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化的</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7" w:type="dxa"/>
            <w:gridSpan w:val="11"/>
            <w:tcBorders>
              <w:top w:val="nil" w:sz="6" w:space="0" w:color="auto"/>
              <w:left w:val="single" w:sz="4" w:space="0" w:color="000000"/>
              <w:bottom w:val="nil" w:sz="6" w:space="0" w:color="auto"/>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847" w:type="dxa"/>
            <w:gridSpan w:val="11"/>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超募</w:t>
            </w:r>
          </w:p>
        </w:tc>
        <w:tc>
          <w:tcPr>
            <w:tcW w:w="88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8"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847" w:type="dxa"/>
            <w:gridSpan w:val="11"/>
            <w:vMerge w:val="restart"/>
            <w:tcBorders>
              <w:top w:val="single" w:sz="4" w:space="0" w:color="000000"/>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的金</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12"/>
                <w:sz w:val="18"/>
                <w:szCs w:val="18"/>
              </w:rPr>
              <w:t>额、用</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途及</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进展</w:t>
            </w:r>
          </w:p>
        </w:tc>
        <w:tc>
          <w:tcPr>
            <w:tcW w:w="8847" w:type="dxa"/>
            <w:gridSpan w:val="11"/>
            <w:vMerge/>
            <w:tcBorders>
              <w:left w:val="single" w:sz="4" w:space="0" w:color="000000"/>
              <w:right w:val="single" w:sz="4" w:space="0" w:color="000000"/>
            </w:tcBorders>
          </w:tcPr>
          <w:p>
            <w:pPr/>
          </w:p>
        </w:tc>
      </w:tr>
      <w:tr>
        <w:trPr>
          <w:trHeight w:val="356"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7" w:type="dxa"/>
            <w:gridSpan w:val="11"/>
            <w:vMerge/>
            <w:tcBorders>
              <w:left w:val="single" w:sz="4" w:space="0" w:color="000000"/>
              <w:bottom w:val="single" w:sz="4" w:space="0" w:color="000000"/>
              <w:right w:val="single" w:sz="4" w:space="0" w:color="000000"/>
            </w:tcBorders>
          </w:tcPr>
          <w:p>
            <w:pPr/>
          </w:p>
        </w:tc>
      </w:tr>
      <w:tr>
        <w:trPr>
          <w:trHeight w:val="402"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88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847" w:type="dxa"/>
            <w:gridSpan w:val="11"/>
            <w:vMerge w:val="restart"/>
            <w:tcBorders>
              <w:top w:val="single" w:sz="4" w:space="0" w:color="000000"/>
              <w:left w:val="single" w:sz="4" w:space="0" w:color="000000"/>
              <w:right w:val="single" w:sz="4" w:space="0" w:color="000000"/>
            </w:tcBorders>
          </w:tcPr>
          <w:p>
            <w:pPr/>
          </w:p>
        </w:tc>
      </w:tr>
      <w:tr>
        <w:trPr>
          <w:trHeight w:val="135" w:hRule="exact"/>
        </w:trPr>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847" w:type="dxa"/>
            <w:gridSpan w:val="11"/>
            <w:vMerge/>
            <w:tcBorders>
              <w:left w:val="single" w:sz="4" w:space="0" w:color="000000"/>
              <w:bottom w:val="single" w:sz="4" w:space="0" w:color="000000"/>
              <w:right w:val="single" w:sz="4" w:space="0" w:color="000000"/>
            </w:tcBorders>
          </w:tcPr>
          <w:p>
            <w:pPr/>
          </w:p>
        </w:tc>
      </w:tr>
      <w:tr>
        <w:trPr>
          <w:trHeight w:val="177" w:hRule="exact"/>
        </w:trPr>
        <w:tc>
          <w:tcPr>
            <w:tcW w:w="722" w:type="dxa"/>
            <w:vMerge/>
            <w:tcBorders>
              <w:left w:val="single" w:sz="4" w:space="0" w:color="000000"/>
              <w:bottom w:val="nil" w:sz="6" w:space="0" w:color="auto"/>
              <w:right w:val="single" w:sz="4" w:space="0" w:color="000000"/>
            </w:tcBorders>
            <w:shd w:val="clear" w:color="auto" w:fill="D2D2D2"/>
          </w:tcPr>
          <w:p>
            <w:pPr/>
          </w:p>
        </w:tc>
        <w:tc>
          <w:tcPr>
            <w:tcW w:w="8847" w:type="dxa"/>
            <w:gridSpan w:val="11"/>
            <w:vMerge w:val="restart"/>
            <w:tcBorders>
              <w:top w:val="single" w:sz="4" w:space="0" w:color="000000"/>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实施</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地点</w:t>
            </w:r>
          </w:p>
        </w:tc>
        <w:tc>
          <w:tcPr>
            <w:tcW w:w="8847" w:type="dxa"/>
            <w:gridSpan w:val="11"/>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8847" w:type="dxa"/>
            <w:gridSpan w:val="11"/>
            <w:vMerge/>
            <w:tcBorders>
              <w:left w:val="single" w:sz="4" w:space="0" w:color="000000"/>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7" w:type="dxa"/>
            <w:gridSpan w:val="11"/>
            <w:vMerge/>
            <w:tcBorders>
              <w:left w:val="single" w:sz="4" w:space="0" w:color="000000"/>
              <w:bottom w:val="single" w:sz="4" w:space="0" w:color="000000"/>
              <w:right w:val="single" w:sz="4" w:space="0" w:color="000000"/>
            </w:tcBorders>
          </w:tcPr>
          <w:p>
            <w:pPr/>
          </w:p>
        </w:tc>
      </w:tr>
      <w:tr>
        <w:trPr>
          <w:trHeight w:val="402"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62"/>
              <w:ind w:left="101"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88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8847" w:type="dxa"/>
            <w:gridSpan w:val="11"/>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847" w:type="dxa"/>
            <w:gridSpan w:val="11"/>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016" w:header="907" w:top="1100" w:bottom="1200" w:left="1020" w:right="0"/>
          <w:pgNumType w:start="3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22"/>
        <w:gridCol w:w="8847"/>
      </w:tblGrid>
      <w:tr>
        <w:trPr>
          <w:trHeight w:val="1610"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248"/>
              <w:jc w:val="both"/>
              <w:rPr>
                <w:rFonts w:ascii="宋体" w:hAnsi="宋体" w:cs="宋体" w:eastAsia="宋体" w:hint="default"/>
                <w:sz w:val="18"/>
                <w:szCs w:val="18"/>
              </w:rPr>
            </w:pPr>
            <w:r>
              <w:rPr>
                <w:rFonts w:ascii="宋体" w:hAnsi="宋体" w:cs="宋体" w:eastAsia="宋体" w:hint="default"/>
                <w:sz w:val="18"/>
                <w:szCs w:val="18"/>
              </w:rPr>
              <w:t>项目 实施 方式 调整 情况</w:t>
            </w: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募集 资金 投资 项目 先期 投入 及置 换情 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9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248"/>
              <w:jc w:val="both"/>
              <w:rPr>
                <w:rFonts w:ascii="宋体" w:hAnsi="宋体" w:cs="宋体" w:eastAsia="宋体" w:hint="default"/>
                <w:sz w:val="18"/>
                <w:szCs w:val="18"/>
              </w:rPr>
            </w:pPr>
            <w:r>
              <w:rPr>
                <w:rFonts w:ascii="宋体" w:hAnsi="宋体" w:cs="宋体" w:eastAsia="宋体" w:hint="default"/>
                <w:sz w:val="18"/>
                <w:szCs w:val="18"/>
              </w:rPr>
              <w:t>用闲 置募 集资 金暂 时补 充流 动资 金情 况</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9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项目 实施 出现 募集 资金 结余 的金 额及 原因</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49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62"/>
              <w:ind w:left="102" w:right="10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日召开的第二届董事会第二十九次会议、第二届监事会第二十四次会议以及独立董事关于 董事会第二十九次会议相关事项独立意见审议通过的</w:t>
            </w:r>
            <w:r>
              <w:rPr>
                <w:rFonts w:ascii="宋体" w:hAnsi="宋体" w:cs="宋体" w:eastAsia="宋体" w:hint="default"/>
                <w:spacing w:val="1"/>
                <w:sz w:val="18"/>
                <w:szCs w:val="18"/>
              </w:rPr>
              <w:t> </w:t>
            </w:r>
            <w:r>
              <w:rPr>
                <w:rFonts w:ascii="宋体" w:hAnsi="宋体" w:cs="宋体" w:eastAsia="宋体" w:hint="default"/>
                <w:sz w:val="18"/>
                <w:szCs w:val="18"/>
              </w:rPr>
              <w:t>《关于部分募投项目结项并将节余募集资金永久补充流</w:t>
            </w:r>
            <w:r>
              <w:rPr>
                <w:rFonts w:ascii="宋体" w:hAnsi="宋体" w:cs="宋体" w:eastAsia="宋体" w:hint="default"/>
                <w:sz w:val="18"/>
                <w:szCs w:val="18"/>
              </w:rPr>
              <w:t> </w:t>
            </w:r>
            <w:r>
              <w:rPr>
                <w:rFonts w:ascii="宋体" w:hAnsi="宋体" w:cs="宋体" w:eastAsia="宋体" w:hint="default"/>
                <w:spacing w:val="-8"/>
                <w:sz w:val="18"/>
                <w:szCs w:val="18"/>
              </w:rPr>
              <w:t>动资金的议案》，“新一代全渠道电子银行系统建设项目”、“企业技术中心建设项目”已建设完成，为提高募集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资金的使用效率，降低财务费用，促进公司业务的健康稳定发展，公司将上述项目节余募集资金及结存利息永</w:t>
            </w:r>
            <w:r>
              <w:rPr>
                <w:rFonts w:ascii="宋体" w:hAnsi="宋体" w:cs="宋体" w:eastAsia="宋体" w:hint="default"/>
                <w:sz w:val="18"/>
                <w:szCs w:val="18"/>
              </w:rPr>
              <w:t> 久补充公司的流动资金。上述两个募投项目节余资金及结存利息实际结转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1,011.48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万元，其中“新一代全渠道</w:t>
            </w:r>
          </w:p>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电子银行系统建设项目</w:t>
            </w:r>
            <w:r>
              <w:rPr>
                <w:rFonts w:ascii="宋体" w:hAnsi="宋体" w:cs="宋体" w:eastAsia="宋体" w:hint="default"/>
                <w:spacing w:val="-27"/>
                <w:sz w:val="18"/>
                <w:szCs w:val="18"/>
              </w:rPr>
              <w:t>”</w:t>
            </w:r>
            <w:r>
              <w:rPr>
                <w:rFonts w:ascii="宋体" w:hAnsi="宋体" w:cs="宋体" w:eastAsia="宋体" w:hint="default"/>
                <w:sz w:val="18"/>
                <w:szCs w:val="18"/>
              </w:rPr>
              <w:t>节余资金及结存利息</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日转出至公司基本账户</w:t>
            </w:r>
            <w:r>
              <w:rPr>
                <w:rFonts w:ascii="宋体" w:hAnsi="宋体" w:cs="宋体" w:eastAsia="宋体" w:hint="default"/>
                <w:spacing w:val="-116"/>
                <w:sz w:val="18"/>
                <w:szCs w:val="18"/>
              </w:rPr>
              <w:t>，</w:t>
            </w:r>
            <w:r>
              <w:rPr>
                <w:rFonts w:ascii="宋体" w:hAnsi="宋体" w:cs="宋体" w:eastAsia="宋体" w:hint="default"/>
                <w:sz w:val="18"/>
                <w:szCs w:val="18"/>
              </w:rPr>
              <w:t>“企业技</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术中心建设项目”</w:t>
            </w:r>
            <w:r>
              <w:rPr>
                <w:rFonts w:ascii="宋体" w:hAnsi="宋体" w:cs="宋体" w:eastAsia="宋体" w:hint="default"/>
                <w:spacing w:val="1"/>
                <w:sz w:val="18"/>
                <w:szCs w:val="18"/>
              </w:rPr>
              <w:t> </w:t>
            </w:r>
            <w:r>
              <w:rPr>
                <w:rFonts w:ascii="宋体" w:hAnsi="宋体" w:cs="宋体" w:eastAsia="宋体" w:hint="default"/>
                <w:sz w:val="18"/>
                <w:szCs w:val="18"/>
              </w:rPr>
              <w:t>节余资金及结存利息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日转出至公司基本账户。</w:t>
            </w:r>
          </w:p>
        </w:tc>
      </w:tr>
      <w:tr>
        <w:trPr>
          <w:trHeight w:val="227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8"/>
              <w:jc w:val="both"/>
              <w:rPr>
                <w:rFonts w:ascii="宋体" w:hAnsi="宋体" w:cs="宋体" w:eastAsia="宋体" w:hint="default"/>
                <w:sz w:val="18"/>
                <w:szCs w:val="18"/>
              </w:rPr>
            </w:pPr>
            <w:r>
              <w:rPr>
                <w:rFonts w:ascii="宋体" w:hAnsi="宋体" w:cs="宋体" w:eastAsia="宋体" w:hint="default"/>
                <w:sz w:val="18"/>
                <w:szCs w:val="18"/>
              </w:rPr>
              <w:t>尚未 使用 的募 集资 金用 途及 去向</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尚未使用的募集资金存放于公司开立的募集资金专户，将用于募投项目后续资金支付。</w:t>
            </w:r>
          </w:p>
        </w:tc>
      </w:tr>
      <w:tr>
        <w:trPr>
          <w:trHeight w:val="130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8"/>
              <w:jc w:val="both"/>
              <w:rPr>
                <w:rFonts w:ascii="宋体" w:hAnsi="宋体" w:cs="宋体" w:eastAsia="宋体" w:hint="default"/>
                <w:sz w:val="18"/>
                <w:szCs w:val="18"/>
              </w:rPr>
            </w:pPr>
            <w:r>
              <w:rPr>
                <w:rFonts w:ascii="宋体" w:hAnsi="宋体" w:cs="宋体" w:eastAsia="宋体" w:hint="default"/>
                <w:sz w:val="18"/>
                <w:szCs w:val="18"/>
              </w:rPr>
              <w:t>募集 资金 使用 及披</w:t>
            </w:r>
          </w:p>
        </w:tc>
        <w:tc>
          <w:tcPr>
            <w:tcW w:w="8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7"/>
        <w:rPr>
          <w:rFonts w:ascii="Times New Roman" w:hAnsi="Times New Roman" w:cs="Times New Roman" w:eastAsia="Times New Roman" w:hint="default"/>
          <w:sz w:val="28"/>
          <w:szCs w:val="28"/>
        </w:rPr>
      </w:pPr>
    </w:p>
    <w:p>
      <w:pPr>
        <w:spacing w:line="1936"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pict>
          <v:group style="width:479.45pt;height:96.85pt;mso-position-horizontal-relative:char;mso-position-vertical-relative:line" coordorigin="0,0" coordsize="9589,1937">
            <v:group style="position:absolute;left:13;top:13;width:717;height:1917" coordorigin="13,13" coordsize="717,1917">
              <v:shape style="position:absolute;left:13;top:13;width:717;height:1917" coordorigin="13,13" coordsize="717,1917" path="m13,13l730,13,730,1930,13,1930,13,13xe" filled="true" fillcolor="#d2d2d2"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1932;width:9579;height:2" coordorigin="5,1932" coordsize="9579,2">
              <v:shape style="position:absolute;left:5;top:1932;width:9579;height:2" coordorigin="5,1932" coordsize="9579,0" path="m5,1932l9583,1932e" filled="false" stroked="true" strokeweight=".48pt" strokecolor="#000000">
                <v:path arrowok="t"/>
              </v:shape>
            </v:group>
            <v:group style="position:absolute;left:10;top:5;width:2;height:1922" coordorigin="10,5" coordsize="2,1922">
              <v:shape style="position:absolute;left:10;top:5;width:2;height:1922" coordorigin="10,5" coordsize="0,1922" path="m10,5l10,1927e" filled="false" stroked="true" strokeweight=".48pt" strokecolor="#000000">
                <v:path arrowok="t"/>
              </v:shape>
            </v:group>
            <v:group style="position:absolute;left:732;top:5;width:2;height:1922" coordorigin="732,5" coordsize="2,1922">
              <v:shape style="position:absolute;left:732;top:5;width:2;height:1922" coordorigin="732,5" coordsize="0,1922" path="m732,5l732,1927e" filled="false" stroked="true" strokeweight=".48pt" strokecolor="#000000">
                <v:path arrowok="t"/>
              </v:shape>
            </v:group>
            <v:group style="position:absolute;left:9579;top:5;width:2;height:1922" coordorigin="9579,5" coordsize="2,1922">
              <v:shape style="position:absolute;left:9579;top:5;width:2;height:1922" coordorigin="9579,5" coordsize="0,1922" path="m9579,5l9579,1927e" filled="false" stroked="true" strokeweight=".48pt" strokecolor="#000000">
                <v:path arrowok="t"/>
              </v:shape>
              <v:shape style="position:absolute;left:10;top:10;width:722;height:1922" type="#_x0000_t202" filled="false" stroked="false">
                <v:textbox inset="0,0,0,0">
                  <w:txbxContent>
                    <w:p>
                      <w:pPr>
                        <w:spacing w:line="316" w:lineRule="auto" w:before="16"/>
                        <w:ind w:left="106" w:right="253" w:firstLine="0"/>
                        <w:jc w:val="both"/>
                        <w:rPr>
                          <w:rFonts w:ascii="宋体" w:hAnsi="宋体" w:cs="宋体" w:eastAsia="宋体" w:hint="default"/>
                          <w:sz w:val="18"/>
                          <w:szCs w:val="18"/>
                        </w:rPr>
                      </w:pPr>
                      <w:r>
                        <w:rPr>
                          <w:rFonts w:ascii="宋体" w:hAnsi="宋体" w:cs="宋体" w:eastAsia="宋体" w:hint="default"/>
                          <w:sz w:val="18"/>
                          <w:szCs w:val="18"/>
                        </w:rPr>
                        <w:t>露中 存在 的问 题或 其他 情况</w:t>
                      </w:r>
                    </w:p>
                  </w:txbxContent>
                </v:textbox>
                <w10:wrap type="none"/>
              </v:shape>
            </v:group>
          </v:group>
        </w:pict>
      </w:r>
      <w:r>
        <w:rPr>
          <w:rFonts w:ascii="Times New Roman" w:hAnsi="Times New Roman" w:cs="Times New Roman" w:eastAsia="Times New Roman" w:hint="default"/>
          <w:position w:val="-38"/>
          <w:sz w:val="20"/>
          <w:szCs w:val="20"/>
        </w:rPr>
      </w:r>
    </w:p>
    <w:p>
      <w:pPr>
        <w:spacing w:line="240" w:lineRule="auto" w:before="11"/>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165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93" w:right="111"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14" w:right="111"/>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4"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1"/>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exact"/>
              <w:ind w:left="111"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实际累计 投入金额 </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112" w:right="10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4" w:right="11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13" w:right="11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3"/>
              <w:jc w:val="both"/>
              <w:rPr>
                <w:rFonts w:ascii="宋体" w:hAnsi="宋体" w:cs="宋体" w:eastAsia="宋体" w:hint="default"/>
                <w:sz w:val="18"/>
                <w:szCs w:val="18"/>
              </w:rPr>
            </w:pPr>
            <w:r>
              <w:rPr>
                <w:rFonts w:ascii="宋体" w:hAnsi="宋体" w:cs="宋体" w:eastAsia="宋体" w:hint="default"/>
                <w:sz w:val="18"/>
                <w:szCs w:val="18"/>
              </w:rPr>
              <w:t>新一代互 联网银行 系统建设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23"/>
              <w:jc w:val="both"/>
              <w:rPr>
                <w:rFonts w:ascii="宋体" w:hAnsi="宋体" w:cs="宋体" w:eastAsia="宋体" w:hint="default"/>
                <w:sz w:val="18"/>
                <w:szCs w:val="18"/>
              </w:rPr>
            </w:pPr>
            <w:r>
              <w:rPr>
                <w:rFonts w:ascii="宋体" w:hAnsi="宋体" w:cs="宋体" w:eastAsia="宋体" w:hint="default"/>
                <w:sz w:val="18"/>
                <w:szCs w:val="18"/>
              </w:rPr>
              <w:t>新一代互 联网银行 系统建设 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2,244.96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4,605.85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92.12%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both"/>
              <w:rPr>
                <w:rFonts w:ascii="宋体" w:hAnsi="宋体" w:cs="宋体" w:eastAsia="宋体" w:hint="default"/>
                <w:sz w:val="18"/>
                <w:szCs w:val="18"/>
              </w:rPr>
            </w:pPr>
            <w:r>
              <w:rPr>
                <w:rFonts w:ascii="宋体" w:hAnsi="宋体" w:cs="宋体" w:eastAsia="宋体" w:hint="default"/>
                <w:sz w:val="18"/>
                <w:szCs w:val="18"/>
              </w:rPr>
              <w:t>新一代银 行核心业 务系统建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23"/>
              <w:jc w:val="both"/>
              <w:rPr>
                <w:rFonts w:ascii="宋体" w:hAnsi="宋体" w:cs="宋体" w:eastAsia="宋体" w:hint="default"/>
                <w:sz w:val="18"/>
                <w:szCs w:val="18"/>
              </w:rPr>
            </w:pPr>
            <w:r>
              <w:rPr>
                <w:rFonts w:ascii="宋体" w:hAnsi="宋体" w:cs="宋体" w:eastAsia="宋体" w:hint="default"/>
                <w:sz w:val="18"/>
                <w:szCs w:val="18"/>
              </w:rPr>
              <w:t>新一代银 行核心业 务系统建 设项目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2,457.83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3,289.61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93.99%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3"/>
              <w:jc w:val="both"/>
              <w:rPr>
                <w:rFonts w:ascii="宋体" w:hAnsi="宋体" w:cs="宋体" w:eastAsia="宋体" w:hint="default"/>
                <w:sz w:val="18"/>
                <w:szCs w:val="18"/>
              </w:rPr>
            </w:pPr>
            <w:r>
              <w:rPr>
                <w:rFonts w:ascii="宋体" w:hAnsi="宋体" w:cs="宋体" w:eastAsia="宋体" w:hint="default"/>
                <w:sz w:val="18"/>
                <w:szCs w:val="18"/>
              </w:rPr>
              <w:t>新一代全 渠道电子 银行系统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23"/>
              <w:jc w:val="both"/>
              <w:rPr>
                <w:rFonts w:ascii="宋体" w:hAnsi="宋体" w:cs="宋体" w:eastAsia="宋体" w:hint="default"/>
                <w:sz w:val="18"/>
                <w:szCs w:val="18"/>
              </w:rPr>
            </w:pPr>
            <w:r>
              <w:rPr>
                <w:rFonts w:ascii="宋体" w:hAnsi="宋体" w:cs="宋体" w:eastAsia="宋体" w:hint="default"/>
                <w:sz w:val="18"/>
                <w:szCs w:val="18"/>
              </w:rPr>
              <w:t>新一代全 渠道电子 银行系统 建设项目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937.43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2,764.94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92.16%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both"/>
              <w:rPr>
                <w:rFonts w:ascii="宋体" w:hAnsi="宋体" w:cs="宋体" w:eastAsia="宋体" w:hint="default"/>
                <w:sz w:val="18"/>
                <w:szCs w:val="18"/>
              </w:rPr>
            </w:pPr>
            <w:r>
              <w:rPr>
                <w:rFonts w:ascii="宋体" w:hAnsi="宋体" w:cs="宋体" w:eastAsia="宋体" w:hint="default"/>
                <w:sz w:val="18"/>
                <w:szCs w:val="18"/>
              </w:rPr>
              <w:t>新一代移 动支付系 统建设项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23"/>
              <w:jc w:val="both"/>
              <w:rPr>
                <w:rFonts w:ascii="宋体" w:hAnsi="宋体" w:cs="宋体" w:eastAsia="宋体" w:hint="default"/>
                <w:sz w:val="18"/>
                <w:szCs w:val="18"/>
              </w:rPr>
            </w:pPr>
            <w:r>
              <w:rPr>
                <w:rFonts w:ascii="宋体" w:hAnsi="宋体" w:cs="宋体" w:eastAsia="宋体" w:hint="default"/>
                <w:sz w:val="18"/>
                <w:szCs w:val="18"/>
              </w:rPr>
              <w:t>新一代移 动支付系 统建设项 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1,693.82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2,483.52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99.34%</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3"/>
              <w:jc w:val="both"/>
              <w:rPr>
                <w:rFonts w:ascii="宋体" w:hAnsi="宋体" w:cs="宋体" w:eastAsia="宋体" w:hint="default"/>
                <w:sz w:val="18"/>
                <w:szCs w:val="18"/>
              </w:rPr>
            </w:pPr>
            <w:r>
              <w:rPr>
                <w:rFonts w:ascii="宋体" w:hAnsi="宋体" w:cs="宋体" w:eastAsia="宋体" w:hint="default"/>
                <w:sz w:val="18"/>
                <w:szCs w:val="18"/>
              </w:rPr>
              <w:t>企业技术 中心建设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23"/>
              <w:jc w:val="both"/>
              <w:rPr>
                <w:rFonts w:ascii="宋体" w:hAnsi="宋体" w:cs="宋体" w:eastAsia="宋体" w:hint="default"/>
                <w:sz w:val="18"/>
                <w:szCs w:val="18"/>
              </w:rPr>
            </w:pPr>
            <w:r>
              <w:rPr>
                <w:rFonts w:ascii="宋体" w:hAnsi="宋体" w:cs="宋体" w:eastAsia="宋体" w:hint="default"/>
                <w:sz w:val="18"/>
                <w:szCs w:val="18"/>
              </w:rPr>
              <w:t>企业技术 中心建设 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3,578.14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1,259.1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2,966.43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82.90%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补充流动 资金项目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23"/>
              <w:jc w:val="left"/>
              <w:rPr>
                <w:rFonts w:ascii="宋体" w:hAnsi="宋体" w:cs="宋体" w:eastAsia="宋体" w:hint="default"/>
                <w:sz w:val="18"/>
                <w:szCs w:val="18"/>
              </w:rPr>
            </w:pPr>
            <w:r>
              <w:rPr>
                <w:rFonts w:ascii="宋体" w:hAnsi="宋体" w:cs="宋体" w:eastAsia="宋体" w:hint="default"/>
                <w:sz w:val="18"/>
                <w:szCs w:val="18"/>
              </w:rPr>
              <w:t>补充流动 资金项目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2,800.82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20,378.14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8,593.14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18,911.17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495.86</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98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1"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03" w:firstLine="360"/>
              <w:jc w:val="both"/>
              <w:rPr>
                <w:rFonts w:ascii="宋体" w:hAnsi="宋体" w:cs="宋体" w:eastAsia="宋体" w:hint="default"/>
                <w:sz w:val="18"/>
                <w:szCs w:val="18"/>
              </w:rPr>
            </w:pPr>
            <w:r>
              <w:rPr>
                <w:rFonts w:ascii="宋体" w:hAnsi="宋体" w:cs="宋体" w:eastAsia="宋体" w:hint="default"/>
                <w:sz w:val="18"/>
                <w:szCs w:val="18"/>
              </w:rPr>
              <w:t>因公司首发上市募投项目的规划时间较早，随着公司及银行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技术建设的快 速发展，国内经济环境发展变化等原因，在实施募投项目过程中，公司发现在目前 市场环境下存在投资预算总额偏高的情况，计划的投资结构与当前市场情况存在一</w:t>
            </w:r>
          </w:p>
        </w:tc>
      </w:tr>
    </w:tbl>
    <w:p>
      <w:pPr>
        <w:spacing w:after="0" w:line="309"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72"/>
        <w:gridCol w:w="6698"/>
      </w:tblGrid>
      <w:tr>
        <w:trPr>
          <w:trHeight w:val="318" w:hRule="exact"/>
        </w:trPr>
        <w:tc>
          <w:tcPr>
            <w:tcW w:w="2872" w:type="dxa"/>
            <w:vMerge w:val="restart"/>
            <w:tcBorders>
              <w:top w:val="single" w:sz="4" w:space="0" w:color="000000"/>
              <w:left w:val="single" w:sz="4" w:space="0" w:color="000000"/>
              <w:right w:val="single" w:sz="4" w:space="0" w:color="000000"/>
            </w:tcBorders>
            <w:shd w:val="clear" w:color="auto" w:fill="D2D2D2"/>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定差异，且部分项目的技术研发因市场形势变化进程有所延缓，导致部分项目实施</w:t>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进度延后。</w:t>
            </w:r>
          </w:p>
        </w:tc>
      </w:tr>
      <w:tr>
        <w:trPr>
          <w:trHeight w:val="336"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46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日召开第二届董事会第二十三次会议和第二届监事会第</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3"/>
                <w:sz w:val="18"/>
                <w:szCs w:val="18"/>
              </w:rPr>
              <w:t>十八次会议、</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年第一次临时股东大会审议通过了《关于</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调整募投项目投资规模</w:t>
            </w:r>
            <w:r>
              <w:rPr>
                <w:rFonts w:ascii="宋体" w:hAnsi="宋体" w:cs="宋体" w:eastAsia="宋体" w:hint="default"/>
                <w:spacing w:val="-44"/>
                <w:sz w:val="18"/>
                <w:szCs w:val="18"/>
              </w:rPr>
              <w:t>、</w:t>
            </w:r>
            <w:r>
              <w:rPr>
                <w:rFonts w:ascii="宋体" w:hAnsi="宋体" w:cs="宋体" w:eastAsia="宋体" w:hint="default"/>
                <w:sz w:val="18"/>
                <w:szCs w:val="18"/>
              </w:rPr>
              <w:t>投资结构以及部分募投项目实施进度的议案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调整各项目</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的投资规模，并对部分项目投资结构进行调整，并对部分募集资金投资项目实施进</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度进行变更。本次调整募投项目投资规模、投资结构以及部分募投项目实施进度事</w:t>
            </w:r>
          </w:p>
        </w:tc>
      </w:tr>
      <w:tr>
        <w:trPr>
          <w:trHeight w:val="358"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项由独立董事发表同意意见，保荐机构经核查后无异议。</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18"/>
          <w:szCs w:val="18"/>
        </w:rPr>
      </w:pPr>
    </w:p>
    <w:p>
      <w:pPr>
        <w:pStyle w:val="Heading4"/>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4808" w:space="4111"/>
            <w:col w:w="19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18"/>
              <w:jc w:val="center"/>
              <w:rPr>
                <w:rFonts w:ascii="宋体" w:hAnsi="宋体" w:cs="宋体" w:eastAsia="宋体" w:hint="default"/>
                <w:sz w:val="18"/>
                <w:szCs w:val="18"/>
              </w:rPr>
            </w:pPr>
            <w:r>
              <w:rPr>
                <w:rFonts w:ascii="宋体" w:hAnsi="宋体" w:cs="宋体" w:eastAsia="宋体" w:hint="default"/>
                <w:sz w:val="18"/>
                <w:szCs w:val="18"/>
              </w:rPr>
              <w:t>大陆云盾</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81"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1" w:right="220"/>
              <w:jc w:val="both"/>
              <w:rPr>
                <w:rFonts w:ascii="宋体" w:hAnsi="宋体" w:cs="宋体" w:eastAsia="宋体" w:hint="default"/>
                <w:sz w:val="18"/>
                <w:szCs w:val="18"/>
              </w:rPr>
            </w:pPr>
            <w:r>
              <w:rPr>
                <w:rFonts w:ascii="宋体" w:hAnsi="宋体" w:cs="宋体" w:eastAsia="宋体" w:hint="default"/>
                <w:sz w:val="18"/>
                <w:szCs w:val="18"/>
              </w:rPr>
              <w:t>电子认证 服务有限 公司</w:t>
            </w: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30,258,200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24,547,931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18,467,400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7,063,548.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-6,206,505.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-6,098,401.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SUNJE</w:t>
            </w:r>
          </w:p>
          <w:p>
            <w:pPr>
              <w:pStyle w:val="TableParagraph"/>
              <w:spacing w:line="300" w:lineRule="auto" w:before="65"/>
              <w:ind w:left="101"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株式 会社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8"/>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3,075,017.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46,368,437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38,675,052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14,813,300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-9,514,406.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-7,451,642.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6"/>
                <w:sz w:val="18"/>
                <w:szCs w:val="18"/>
              </w:rPr>
              <w:t>大陆云盾（重庆）信息安全技术研究院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公司子公司大陆云盾电子认证服务有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月成立，以重庆两江新区为</w:t>
            </w:r>
          </w:p>
        </w:tc>
      </w:tr>
    </w:tbl>
    <w:p>
      <w:pPr>
        <w:spacing w:after="0" w:line="240" w:lineRule="auto"/>
        <w:jc w:val="center"/>
        <w:rPr>
          <w:rFonts w:ascii="宋体" w:hAnsi="宋体" w:cs="宋体" w:eastAsia="宋体"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98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01"/>
              <w:jc w:val="both"/>
              <w:rPr>
                <w:rFonts w:ascii="宋体" w:hAnsi="宋体" w:cs="宋体" w:eastAsia="宋体" w:hint="default"/>
                <w:sz w:val="18"/>
                <w:szCs w:val="18"/>
              </w:rPr>
            </w:pPr>
            <w:r>
              <w:rPr>
                <w:rFonts w:ascii="宋体" w:hAnsi="宋体" w:cs="宋体" w:eastAsia="宋体" w:hint="default"/>
                <w:sz w:val="18"/>
                <w:szCs w:val="18"/>
              </w:rPr>
              <w:t>限公司以自有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万元设立其全资子 </w:t>
            </w:r>
            <w:r>
              <w:rPr>
                <w:rFonts w:ascii="宋体" w:hAnsi="宋体" w:cs="宋体" w:eastAsia="宋体" w:hint="default"/>
                <w:spacing w:val="-6"/>
                <w:sz w:val="18"/>
                <w:szCs w:val="18"/>
              </w:rPr>
              <w:t>公司大陆云盾（重庆）信息安全技术研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究院有限公司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6"/>
              <w:jc w:val="left"/>
              <w:rPr>
                <w:rFonts w:ascii="宋体" w:hAnsi="宋体" w:cs="宋体" w:eastAsia="宋体" w:hint="default"/>
                <w:sz w:val="18"/>
                <w:szCs w:val="18"/>
              </w:rPr>
            </w:pPr>
            <w:r>
              <w:rPr>
                <w:rFonts w:ascii="宋体" w:hAnsi="宋体" w:cs="宋体" w:eastAsia="宋体" w:hint="default"/>
                <w:spacing w:val="-5"/>
                <w:sz w:val="18"/>
                <w:szCs w:val="18"/>
              </w:rPr>
              <w:t>平台，建设国家信息中心数据保全创新</w:t>
            </w:r>
            <w:r>
              <w:rPr>
                <w:rFonts w:ascii="宋体" w:hAnsi="宋体" w:cs="宋体" w:eastAsia="宋体" w:hint="default"/>
                <w:sz w:val="18"/>
                <w:szCs w:val="18"/>
              </w:rPr>
              <w:t> 应用基地项目，目前项目尚在建设中。</w:t>
            </w:r>
          </w:p>
        </w:tc>
      </w:tr>
      <w:tr>
        <w:trPr>
          <w:trHeight w:val="362"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公司以自有资金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万人民币设立全</w:t>
            </w: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月成立，主要是承担未来苏</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北京科蓝软件系统（苏州）有限公司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6"/>
                <w:sz w:val="18"/>
                <w:szCs w:val="18"/>
              </w:rPr>
              <w:t>资子公司北京科蓝软件系统（苏州）有</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州研发中心的建设，</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年苏州建设</w:t>
            </w:r>
          </w:p>
        </w:tc>
      </w:tr>
      <w:tr>
        <w:trPr>
          <w:trHeight w:val="352"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项目尚未开工。</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before="115"/>
        <w:ind w:left="47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日，公司子公司大陆云盾电子认证服务有限公司（以下简称大陆云盾公司）董事会决议，以货币资金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w:t>
      </w:r>
    </w:p>
    <w:p>
      <w:pPr>
        <w:spacing w:line="300" w:lineRule="auto" w:before="63"/>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万元设立其全资子公司大陆云盾（重庆）信息安全技术研究院有限公司（以下简称云盾研究院）。</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日，云盾 </w:t>
      </w:r>
      <w:r>
        <w:rPr>
          <w:rFonts w:ascii="宋体" w:hAnsi="宋体" w:cs="宋体" w:eastAsia="宋体" w:hint="default"/>
          <w:spacing w:val="-4"/>
          <w:sz w:val="18"/>
          <w:szCs w:val="18"/>
        </w:rPr>
        <w:t>研究院获得了由重庆两江新区市场和质量监督管理局核发的《营业执照》，统一社会信用代码</w:t>
      </w:r>
      <w:r>
        <w:rPr>
          <w:rFonts w:ascii="宋体" w:hAnsi="宋体" w:cs="宋体" w:eastAsia="宋体" w:hint="default"/>
          <w:spacing w:val="-18"/>
          <w:sz w:val="18"/>
          <w:szCs w:val="18"/>
        </w:rPr>
        <w:t> </w:t>
      </w:r>
      <w:r>
        <w:rPr>
          <w:rFonts w:ascii="Times New Roman" w:hAnsi="Times New Roman" w:cs="Times New Roman" w:eastAsia="Times New Roman" w:hint="default"/>
          <w:spacing w:val="-2"/>
          <w:w w:val="99"/>
          <w:sz w:val="18"/>
          <w:szCs w:val="18"/>
        </w:rPr>
        <w:t>91500000MA60E2Y81X</w:t>
      </w:r>
      <w:r>
        <w:rPr>
          <w:rFonts w:ascii="宋体" w:hAnsi="宋体" w:cs="宋体" w:eastAsia="宋体" w:hint="default"/>
          <w:spacing w:val="-2"/>
          <w:w w:val="99"/>
          <w:sz w:val="18"/>
          <w:szCs w:val="18"/>
        </w:rPr>
        <w:t>，注册</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z w:val="18"/>
          <w:szCs w:val="18"/>
        </w:rPr>
        <w:t>资本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万元，法定代表人：姜晓崑。云盾研究院章程规定，股东出资时间为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spacing w:before="1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日止，大陆云盾公司实缴出资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0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日，公司第二届董事会第二十一此会议决议，以自有资金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万人民币设立全资子公司北京科蓝软件系</w:t>
      </w:r>
    </w:p>
    <w:p>
      <w:pPr>
        <w:spacing w:line="300" w:lineRule="auto" w:before="63"/>
        <w:ind w:left="112" w:right="1128" w:firstLine="0"/>
        <w:jc w:val="left"/>
        <w:rPr>
          <w:rFonts w:ascii="宋体" w:hAnsi="宋体" w:cs="宋体" w:eastAsia="宋体" w:hint="default"/>
          <w:sz w:val="18"/>
          <w:szCs w:val="18"/>
        </w:rPr>
      </w:pPr>
      <w:r>
        <w:rPr>
          <w:rFonts w:ascii="宋体" w:hAnsi="宋体" w:cs="宋体" w:eastAsia="宋体" w:hint="default"/>
          <w:spacing w:val="-8"/>
          <w:sz w:val="18"/>
          <w:szCs w:val="18"/>
        </w:rPr>
        <w:t>统（苏州）有限公司（以下简称苏州子公司）。</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日，苏州子公司获得了由苏州市相城区行政审批局核发的《营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业执照》，统一社会信用代码</w:t>
      </w:r>
      <w:r>
        <w:rPr>
          <w:rFonts w:ascii="宋体" w:hAnsi="宋体" w:cs="宋体" w:eastAsia="宋体" w:hint="default"/>
          <w:spacing w:val="-42"/>
          <w:sz w:val="18"/>
          <w:szCs w:val="18"/>
        </w:rPr>
        <w:t> </w:t>
      </w:r>
      <w:r>
        <w:rPr>
          <w:rFonts w:ascii="Times New Roman" w:hAnsi="Times New Roman" w:cs="Times New Roman" w:eastAsia="Times New Roman" w:hint="default"/>
          <w:spacing w:val="-4"/>
          <w:w w:val="99"/>
          <w:sz w:val="18"/>
          <w:szCs w:val="18"/>
        </w:rPr>
        <w:t>91320507MA1Y22MT3Y</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1/1</w:t>
      </w:r>
      <w:r>
        <w:rPr>
          <w:rFonts w:ascii="宋体" w:hAnsi="宋体" w:cs="宋体" w:eastAsia="宋体" w:hint="default"/>
          <w:spacing w:val="-4"/>
          <w:w w:val="99"/>
          <w:sz w:val="18"/>
          <w:szCs w:val="18"/>
        </w:rPr>
        <w:t>），注册资本</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万元，法定代表人：王安京。苏州子公司章程</w:t>
      </w:r>
      <w:r>
        <w:rPr>
          <w:rFonts w:ascii="宋体" w:hAnsi="宋体" w:cs="宋体" w:eastAsia="宋体" w:hint="default"/>
          <w:spacing w:val="-83"/>
          <w:sz w:val="18"/>
          <w:szCs w:val="18"/>
        </w:rPr>
        <w:t> </w:t>
      </w:r>
      <w:r>
        <w:rPr>
          <w:rFonts w:ascii="宋体" w:hAnsi="宋体" w:cs="宋体" w:eastAsia="宋体" w:hint="default"/>
          <w:sz w:val="18"/>
          <w:szCs w:val="18"/>
        </w:rPr>
        <w:t>规定，股东出资时间为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日止，母公司尚未缴纳认缴出资款。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0"/>
        <w:jc w:val="left"/>
        <w:rPr>
          <w:b w:val="0"/>
          <w:bCs w:val="0"/>
        </w:rPr>
      </w:pPr>
      <w:r>
        <w:rPr/>
        <w:t>（一）行业未来发展趋势</w:t>
      </w:r>
      <w:r>
        <w:rPr>
          <w:b w:val="0"/>
          <w:bCs w:val="0"/>
        </w:rPr>
      </w:r>
    </w:p>
    <w:p>
      <w:pPr>
        <w:spacing w:line="340" w:lineRule="auto" w:before="85"/>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、数字银行将成为中国商业银行发展的最高境界 </w:t>
      </w:r>
      <w:r>
        <w:rPr>
          <w:rFonts w:ascii="宋体" w:hAnsi="宋体" w:cs="宋体" w:eastAsia="宋体" w:hint="default"/>
          <w:spacing w:val="-2"/>
          <w:sz w:val="18"/>
          <w:szCs w:val="18"/>
        </w:rPr>
        <w:t>传统银行业务将受到互联网银行业务的进一步强烈冲击，市场中现有传统银行将加快向互联网银行转型，系统升级改造</w:t>
      </w:r>
    </w:p>
    <w:p>
      <w:pPr>
        <w:spacing w:line="300" w:lineRule="auto" w:before="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需求大幅提升；互联网银行也会</w:t>
      </w:r>
      <w:r>
        <w:rPr>
          <w:rFonts w:ascii="MS PGothic" w:hAnsi="MS PGothic" w:cs="MS PGothic" w:eastAsia="MS PGothic"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来更快速度的发展，具有后台的账户、大中台的产品和前端多渠道的互联网银行与银行网</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点智能设备代替传统人工柜台和线下网点的智慧银行，可以成为相对独立的未来银行的模式。</w:t>
      </w:r>
    </w:p>
    <w:p>
      <w:pPr>
        <w:spacing w:line="300" w:lineRule="auto" w:before="72"/>
        <w:ind w:left="112" w:right="0" w:firstLine="360"/>
        <w:jc w:val="left"/>
        <w:rPr>
          <w:rFonts w:ascii="宋体" w:hAnsi="宋体" w:cs="宋体" w:eastAsia="宋体" w:hint="default"/>
          <w:sz w:val="18"/>
          <w:szCs w:val="18"/>
        </w:rPr>
      </w:pPr>
      <w:r>
        <w:rPr>
          <w:rFonts w:ascii="宋体" w:hAnsi="宋体" w:cs="宋体" w:eastAsia="宋体" w:hint="default"/>
          <w:sz w:val="18"/>
          <w:szCs w:val="18"/>
        </w:rPr>
        <w:t>传统银行转型升级的最高境界是数字银行，即互联网银行</w:t>
      </w:r>
      <w:r>
        <w:rPr>
          <w:rFonts w:ascii="Times New Roman" w:hAnsi="Times New Roman" w:cs="Times New Roman" w:eastAsia="Times New Roman" w:hint="default"/>
          <w:sz w:val="18"/>
          <w:szCs w:val="18"/>
        </w:rPr>
        <w:t>+</w:t>
      </w:r>
      <w:r>
        <w:rPr>
          <w:rFonts w:ascii="宋体" w:hAnsi="宋体" w:cs="宋体" w:eastAsia="宋体" w:hint="default"/>
          <w:sz w:val="18"/>
          <w:szCs w:val="18"/>
        </w:rPr>
        <w:t>智慧银行</w:t>
      </w:r>
      <w:r>
        <w:rPr>
          <w:rFonts w:ascii="Times New Roman" w:hAnsi="Times New Roman" w:cs="Times New Roman" w:eastAsia="Times New Roman" w:hint="default"/>
          <w:sz w:val="18"/>
          <w:szCs w:val="18"/>
        </w:rPr>
        <w:t>= </w:t>
      </w:r>
      <w:r>
        <w:rPr>
          <w:rFonts w:ascii="宋体" w:hAnsi="宋体" w:cs="宋体" w:eastAsia="宋体" w:hint="default"/>
          <w:sz w:val="18"/>
          <w:szCs w:val="18"/>
        </w:rPr>
        <w:t>数字银行。</w:t>
      </w:r>
      <w:r>
        <w:rPr>
          <w:rFonts w:ascii="宋体" w:hAnsi="宋体" w:cs="宋体" w:eastAsia="宋体" w:hint="default"/>
          <w:spacing w:val="-2"/>
          <w:sz w:val="18"/>
          <w:szCs w:val="18"/>
        </w:rPr>
        <w:t> </w:t>
      </w:r>
      <w:r>
        <w:rPr>
          <w:rFonts w:ascii="宋体" w:hAnsi="宋体" w:cs="宋体" w:eastAsia="宋体" w:hint="default"/>
          <w:sz w:val="18"/>
          <w:szCs w:val="18"/>
        </w:rPr>
        <w:t>公司将数字银行作为未来发展的战</w:t>
      </w:r>
      <w:r>
        <w:rPr>
          <w:rFonts w:ascii="宋体" w:hAnsi="宋体" w:cs="宋体" w:eastAsia="宋体" w:hint="default"/>
          <w:sz w:val="18"/>
          <w:szCs w:val="18"/>
        </w:rPr>
        <w:t> 略重点，并且可望继续保持市场明显领先的地位。</w:t>
      </w:r>
    </w:p>
    <w:p>
      <w:pPr>
        <w:spacing w:line="340" w:lineRule="auto" w:before="70"/>
        <w:ind w:left="472" w:right="0"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、银行业用户对创新能力、整体服务能力和持续交付能力要求的提升 </w:t>
      </w:r>
      <w:r>
        <w:rPr>
          <w:rFonts w:ascii="宋体" w:hAnsi="宋体" w:cs="宋体" w:eastAsia="宋体" w:hint="default"/>
          <w:spacing w:val="-2"/>
          <w:sz w:val="18"/>
          <w:szCs w:val="18"/>
        </w:rPr>
        <w:t>随着利率市场化的不断推进，互联网金融的冲击，传统银行用户越来越重视产品创新与服务创新，个性化和差异化的需</w:t>
      </w:r>
    </w:p>
    <w:p>
      <w:pPr>
        <w:spacing w:line="300" w:lineRule="auto" w:before="1"/>
        <w:ind w:left="112" w:right="1138" w:firstLine="0"/>
        <w:jc w:val="left"/>
        <w:rPr>
          <w:rFonts w:ascii="宋体" w:hAnsi="宋体" w:cs="宋体" w:eastAsia="宋体" w:hint="default"/>
          <w:sz w:val="18"/>
          <w:szCs w:val="18"/>
        </w:rPr>
      </w:pPr>
      <w:r>
        <w:rPr>
          <w:rFonts w:ascii="宋体" w:hAnsi="宋体" w:cs="宋体" w:eastAsia="宋体" w:hint="default"/>
          <w:sz w:val="18"/>
          <w:szCs w:val="18"/>
        </w:rPr>
        <w:t>求越来越多，从而提升用户体验。这就要求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解决方案供应商能够随需而变，敏锐地把握住银行用户的新需求，满足银行 用户的个性化需求方面，不断创新。</w:t>
      </w:r>
    </w:p>
    <w:p>
      <w:pPr>
        <w:spacing w:line="316" w:lineRule="auto" w:before="72"/>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公司进一步加强在数字银行等创新产品的研发。同时，针对提升整体服务能力和持续交付能力进行了一系列的组织结构</w:t>
      </w:r>
      <w:r>
        <w:rPr>
          <w:rFonts w:ascii="宋体" w:hAnsi="宋体" w:cs="宋体" w:eastAsia="宋体" w:hint="default"/>
          <w:sz w:val="18"/>
          <w:szCs w:val="18"/>
        </w:rPr>
        <w:t> 调整，为应对和满足客户需求的变化，不断提升自身精细化管理水平和规范化水平。</w:t>
      </w:r>
    </w:p>
    <w:p>
      <w:pPr>
        <w:pStyle w:val="Heading4"/>
        <w:spacing w:line="240" w:lineRule="auto" w:before="8"/>
        <w:ind w:right="0"/>
        <w:jc w:val="left"/>
        <w:rPr>
          <w:b w:val="0"/>
          <w:bCs w:val="0"/>
        </w:rPr>
      </w:pPr>
      <w:r>
        <w:rPr/>
        <w:t>（二）公司发展规划</w:t>
      </w:r>
      <w:r>
        <w:rPr>
          <w:b w:val="0"/>
          <w:bCs w:val="0"/>
        </w:rPr>
      </w:r>
    </w:p>
    <w:p>
      <w:pPr>
        <w:spacing w:line="316" w:lineRule="auto" w:before="46"/>
        <w:ind w:left="112" w:right="0" w:firstLine="480"/>
        <w:jc w:val="left"/>
        <w:rPr>
          <w:rFonts w:ascii="宋体" w:hAnsi="宋体" w:cs="宋体" w:eastAsia="宋体" w:hint="default"/>
          <w:sz w:val="18"/>
          <w:szCs w:val="18"/>
        </w:rPr>
      </w:pPr>
      <w:r>
        <w:rPr>
          <w:rFonts w:ascii="宋体" w:hAnsi="宋体" w:cs="宋体" w:eastAsia="宋体" w:hint="default"/>
          <w:sz w:val="18"/>
          <w:szCs w:val="18"/>
        </w:rPr>
        <w:t>公司的发展战略为互联网银行解决方案为基础，不断拓宽产品及服务范围，实现软件产品标准化、成熟化，依靠科技 </w:t>
      </w:r>
      <w:r>
        <w:rPr>
          <w:rFonts w:ascii="宋体" w:hAnsi="宋体" w:cs="宋体" w:eastAsia="宋体" w:hint="default"/>
          <w:spacing w:val="-4"/>
          <w:sz w:val="18"/>
          <w:szCs w:val="18"/>
        </w:rPr>
        <w:t>进步和不断创新提升技术开发及技术服务水准，壮大企业规模，不断加强企业技术优势、人才优势和品牌优势，成为专业化、</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科技化、规范化的国内一流金融行业整体解决方案供应商。结合公司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年度业绩目标，我们制定了以下发展规划：</w:t>
      </w:r>
    </w:p>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spacing w:before="26"/>
        <w:ind w:left="592" w:right="0"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b/>
          <w:bCs/>
          <w:sz w:val="24"/>
          <w:szCs w:val="24"/>
        </w:rPr>
        <w:t>业务发展规划</w:t>
      </w:r>
      <w:r>
        <w:rPr>
          <w:rFonts w:ascii="宋体" w:hAnsi="宋体" w:cs="宋体" w:eastAsia="宋体" w:hint="default"/>
          <w:sz w:val="24"/>
          <w:szCs w:val="24"/>
        </w:rPr>
      </w:r>
    </w:p>
    <w:p>
      <w:pPr>
        <w:spacing w:line="309" w:lineRule="auto" w:before="46"/>
        <w:ind w:left="112"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年，公司将在核心客户和优质客户上面，大力挖潜，扩大业务规模。依托现有的产品和市场能力，培育新客户，寻</w:t>
      </w:r>
      <w:r>
        <w:rPr>
          <w:rFonts w:ascii="宋体" w:hAnsi="宋体" w:cs="宋体" w:eastAsia="宋体" w:hint="default"/>
          <w:sz w:val="18"/>
          <w:szCs w:val="18"/>
        </w:rPr>
        <w:t> </w:t>
      </w:r>
      <w:r>
        <w:rPr>
          <w:rFonts w:ascii="宋体" w:hAnsi="宋体" w:cs="宋体" w:eastAsia="宋体" w:hint="default"/>
          <w:spacing w:val="-2"/>
          <w:sz w:val="18"/>
          <w:szCs w:val="18"/>
        </w:rPr>
        <w:t>求新的业务增长点，充分提高跨部门，跨子公司市场配合和产品支持能力。推广团队合作的营销模式，形成市场合力，适应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市场需要，全方位服务客户。</w:t>
      </w:r>
    </w:p>
    <w:p>
      <w:pPr>
        <w:spacing w:line="300" w:lineRule="auto" w:before="24"/>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年公司持续加强互联网银行全体系产品，尤其是线上线下一体化核心系统的推广，提高市场竞争能力和行业产品创</w:t>
      </w:r>
      <w:r>
        <w:rPr>
          <w:rFonts w:ascii="宋体" w:hAnsi="宋体" w:cs="宋体" w:eastAsia="宋体" w:hint="default"/>
          <w:sz w:val="18"/>
          <w:szCs w:val="18"/>
        </w:rPr>
        <w:t> 新能力，确保在该领域的持续领先。公司将持续对大数据、云计算，区块链，移动金融和数字货币等新方向加大投入。</w:t>
      </w:r>
    </w:p>
    <w:p>
      <w:pPr>
        <w:pStyle w:val="Heading4"/>
        <w:spacing w:line="297" w:lineRule="exact"/>
        <w:ind w:left="592" w:right="0"/>
        <w:jc w:val="left"/>
        <w:rPr>
          <w:b w:val="0"/>
          <w:bCs w:val="0"/>
        </w:rPr>
      </w:pPr>
      <w:r>
        <w:rPr>
          <w:rFonts w:ascii="宋体" w:hAnsi="宋体" w:cs="宋体" w:eastAsia="宋体" w:hint="default"/>
          <w:b w:val="0"/>
          <w:bCs w:val="0"/>
        </w:rPr>
        <w:t>2、</w:t>
      </w:r>
      <w:r>
        <w:rPr/>
        <w:t>产品研发及创新规划</w:t>
      </w:r>
      <w:r>
        <w:rPr>
          <w:b w:val="0"/>
          <w:bCs w:val="0"/>
        </w:rPr>
      </w:r>
    </w:p>
    <w:p>
      <w:pPr>
        <w:spacing w:before="46"/>
        <w:ind w:left="472" w:right="0" w:firstLine="0"/>
        <w:jc w:val="left"/>
        <w:rPr>
          <w:rFonts w:ascii="宋体" w:hAnsi="宋体" w:cs="宋体" w:eastAsia="宋体" w:hint="default"/>
          <w:sz w:val="18"/>
          <w:szCs w:val="18"/>
        </w:rPr>
      </w:pPr>
      <w:r>
        <w:rPr>
          <w:rFonts w:ascii="宋体" w:hAnsi="宋体" w:cs="宋体" w:eastAsia="宋体" w:hint="default"/>
          <w:sz w:val="18"/>
          <w:szCs w:val="18"/>
        </w:rPr>
        <w:t>公司将加强软件研发力度，提升技术服务水平，坚持技术创新，提升公司的核心竞争力。</w:t>
      </w:r>
    </w:p>
    <w:p>
      <w:pPr>
        <w:spacing w:line="300" w:lineRule="auto" w:before="76"/>
        <w:ind w:left="47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）加强技术开发、提升技术服务水平 </w:t>
      </w:r>
      <w:r>
        <w:rPr>
          <w:rFonts w:ascii="宋体" w:hAnsi="宋体" w:cs="宋体" w:eastAsia="宋体" w:hint="default"/>
          <w:spacing w:val="-2"/>
          <w:sz w:val="18"/>
          <w:szCs w:val="18"/>
        </w:rPr>
        <w:t>公司根据市场需求和金融</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行业发展趋势，在丰富、完善现有主要软件产品系列的基础上，继续大力发展高技术含量的</w:t>
      </w:r>
    </w:p>
    <w:p>
      <w:pPr>
        <w:spacing w:line="316" w:lineRule="auto" w:before="13"/>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产品，如高端分布式数据库、云计算、区块链、大数据分析、数字货币及智慧银行等，为银行等金融机构提供个性化技术服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务及整体解决方案。通过不断提高软件系统开发能力，加快新产品研发，以更好的满足银行等金融机构爆发性增长的新需求。</w:t>
      </w:r>
    </w:p>
    <w:p>
      <w:pPr>
        <w:spacing w:line="300" w:lineRule="auto" w:before="19"/>
        <w:ind w:left="564" w:right="1122" w:hanging="9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）技术创新 公司将始终贯彻科技创新的发展战略，紧密跟踪国内国外金融科技的发展趋势，加大研发投入，健全企业技术中心研</w:t>
      </w:r>
    </w:p>
    <w:p>
      <w:pPr>
        <w:spacing w:before="31"/>
        <w:ind w:left="112" w:right="0" w:firstLine="0"/>
        <w:jc w:val="left"/>
        <w:rPr>
          <w:rFonts w:ascii="宋体" w:hAnsi="宋体" w:cs="宋体" w:eastAsia="宋体" w:hint="default"/>
          <w:sz w:val="18"/>
          <w:szCs w:val="18"/>
        </w:rPr>
      </w:pPr>
      <w:r>
        <w:rPr>
          <w:rFonts w:ascii="宋体" w:hAnsi="宋体" w:cs="宋体" w:eastAsia="宋体" w:hint="default"/>
          <w:sz w:val="18"/>
          <w:szCs w:val="18"/>
        </w:rPr>
        <w:t>发体制，创造优良的研发环境，使公司在市场竞争中始终保持技术的领先优势，保持公司在金融科技领域的领先地位。</w:t>
      </w:r>
    </w:p>
    <w:p>
      <w:pPr>
        <w:pStyle w:val="Heading4"/>
        <w:spacing w:line="240" w:lineRule="auto" w:before="28"/>
        <w:ind w:left="592" w:right="0"/>
        <w:jc w:val="left"/>
        <w:rPr>
          <w:b w:val="0"/>
          <w:bCs w:val="0"/>
        </w:rPr>
      </w:pPr>
      <w:r>
        <w:rPr>
          <w:rFonts w:ascii="宋体" w:hAnsi="宋体" w:cs="宋体" w:eastAsia="宋体" w:hint="default"/>
          <w:b w:val="0"/>
          <w:bCs w:val="0"/>
        </w:rPr>
        <w:t>3、</w:t>
      </w:r>
      <w:r>
        <w:rPr/>
        <w:t>提升管理能力、完善组织结构</w:t>
      </w:r>
      <w:r>
        <w:rPr>
          <w:b w:val="0"/>
          <w:bCs w:val="0"/>
        </w:rPr>
      </w:r>
    </w:p>
    <w:p>
      <w:pPr>
        <w:spacing w:line="316" w:lineRule="auto" w:before="46"/>
        <w:ind w:left="112" w:right="1041" w:firstLine="360"/>
        <w:jc w:val="both"/>
        <w:rPr>
          <w:rFonts w:ascii="宋体" w:hAnsi="宋体" w:cs="宋体" w:eastAsia="宋体" w:hint="default"/>
          <w:sz w:val="18"/>
          <w:szCs w:val="18"/>
        </w:rPr>
      </w:pPr>
      <w:r>
        <w:rPr>
          <w:rFonts w:ascii="宋体" w:hAnsi="宋体" w:cs="宋体" w:eastAsia="宋体" w:hint="default"/>
          <w:spacing w:val="-4"/>
          <w:sz w:val="18"/>
          <w:szCs w:val="18"/>
        </w:rPr>
        <w:t>公司将继续推进制度建设，实施管理提升工程。以岗位规范化和业务流程标准化为重点，形成规范化、标准化管理体系；</w:t>
      </w:r>
      <w:r>
        <w:rPr>
          <w:rFonts w:ascii="宋体" w:hAnsi="宋体" w:cs="宋体" w:eastAsia="宋体" w:hint="default"/>
          <w:sz w:val="18"/>
          <w:szCs w:val="18"/>
        </w:rPr>
        <w:t> 根据企业发展需要，完善组织机构设置，强化人力资源管理、投资管理、营销管理、企业文化建设等方面的组织功能。</w:t>
      </w:r>
    </w:p>
    <w:p>
      <w:pPr>
        <w:spacing w:before="19"/>
        <w:ind w:left="564" w:right="0" w:firstLine="0"/>
        <w:jc w:val="left"/>
        <w:rPr>
          <w:rFonts w:ascii="宋体" w:hAnsi="宋体" w:cs="宋体" w:eastAsia="宋体" w:hint="default"/>
          <w:sz w:val="18"/>
          <w:szCs w:val="18"/>
        </w:rPr>
      </w:pPr>
      <w:r>
        <w:rPr>
          <w:rFonts w:ascii="宋体" w:hAnsi="宋体" w:cs="宋体" w:eastAsia="宋体" w:hint="default"/>
          <w:sz w:val="18"/>
          <w:szCs w:val="18"/>
        </w:rPr>
        <w:t>在公司治理结构上，按照现代企业制度要求，着力构建规范高效的公司治理模式</w:t>
      </w:r>
    </w:p>
    <w:p>
      <w:pPr>
        <w:spacing w:line="309" w:lineRule="auto" w:before="76"/>
        <w:ind w:left="112" w:right="1130" w:firstLine="45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）发挥董事会决策中心作用。公司的重大经营决策、投资决策由董事会提出或决定并监督实施；董事会按照《公司</w:t>
      </w:r>
      <w:r>
        <w:rPr>
          <w:rFonts w:ascii="宋体" w:hAnsi="宋体" w:cs="宋体" w:eastAsia="宋体" w:hint="default"/>
          <w:sz w:val="18"/>
          <w:szCs w:val="18"/>
        </w:rPr>
        <w:t> </w:t>
      </w:r>
      <w:r>
        <w:rPr>
          <w:rFonts w:ascii="宋体" w:hAnsi="宋体" w:cs="宋体" w:eastAsia="宋体" w:hint="default"/>
          <w:spacing w:val="-5"/>
          <w:sz w:val="18"/>
          <w:szCs w:val="18"/>
        </w:rPr>
        <w:t>章程》、《董事会议事规则》的规定进行运作，充分发挥独立董事的作用；充分发挥战略、审计、提名、薪酬与考核等专业委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员会的作用，加强对公司各项重大事项的决策和监督，确保公司的经营战略目标的实现。</w:t>
      </w:r>
    </w:p>
    <w:p>
      <w:pPr>
        <w:spacing w:line="300" w:lineRule="auto" w:before="24"/>
        <w:ind w:left="112" w:right="1130" w:firstLine="45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）发挥经营层的管理指挥中心作用。公司经营层根据董事会授权实</w:t>
      </w:r>
      <w:r>
        <w:rPr>
          <w:rFonts w:ascii="MS PGothic" w:hAnsi="MS PGothic" w:cs="MS PGothic" w:eastAsia="MS PGothic"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公司的经营管理计划和投资方案，按照职能清</w:t>
      </w:r>
      <w:r>
        <w:rPr>
          <w:rFonts w:ascii="宋体" w:hAnsi="宋体" w:cs="宋体" w:eastAsia="宋体" w:hint="default"/>
          <w:sz w:val="18"/>
          <w:szCs w:val="18"/>
        </w:rPr>
        <w:t> 晰、信息畅通、机制灵活、运作高效的要求，提高经营管理效率，提升总经理工作班子的整体运作水平。</w:t>
      </w:r>
    </w:p>
    <w:p>
      <w:pPr>
        <w:pStyle w:val="Heading4"/>
        <w:spacing w:line="312" w:lineRule="exact" w:before="13"/>
        <w:ind w:left="712" w:right="6659" w:hanging="120"/>
        <w:jc w:val="left"/>
        <w:rPr>
          <w:b w:val="0"/>
          <w:bCs w:val="0"/>
        </w:rPr>
      </w:pPr>
      <w:r>
        <w:rPr/>
        <w:t>（三）可能面临的风险及应对措施</w:t>
      </w:r>
      <w:r>
        <w:rPr>
          <w:w w:val="99"/>
        </w:rPr>
        <w:t> </w:t>
      </w:r>
      <w:r>
        <w:rPr/>
        <w:t>1、市场竞争加剧风险</w:t>
      </w:r>
      <w:r>
        <w:rPr>
          <w:b w:val="0"/>
          <w:bCs w:val="0"/>
        </w:rPr>
      </w:r>
    </w:p>
    <w:p>
      <w:pPr>
        <w:spacing w:line="309" w:lineRule="auto" w:before="17"/>
        <w:ind w:left="112" w:right="1041" w:firstLine="480"/>
        <w:jc w:val="both"/>
        <w:rPr>
          <w:rFonts w:ascii="宋体" w:hAnsi="宋体" w:cs="宋体" w:eastAsia="宋体" w:hint="default"/>
          <w:sz w:val="18"/>
          <w:szCs w:val="18"/>
        </w:rPr>
      </w:pPr>
      <w:r>
        <w:rPr>
          <w:rFonts w:ascii="宋体" w:hAnsi="宋体" w:cs="宋体" w:eastAsia="宋体" w:hint="default"/>
          <w:spacing w:val="-2"/>
          <w:sz w:val="18"/>
          <w:szCs w:val="18"/>
        </w:rPr>
        <w:t>随着互联网金融的发展以及商业银行信息化水平的不断提升，银行对</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服务的需求逐年增长，市场总体规模不断扩大，</w:t>
      </w:r>
      <w:r>
        <w:rPr>
          <w:rFonts w:ascii="宋体" w:hAnsi="宋体" w:cs="宋体" w:eastAsia="宋体" w:hint="default"/>
          <w:sz w:val="18"/>
          <w:szCs w:val="18"/>
        </w:rPr>
        <w:t> 行业内竞争对手规模和竞争力不断提高，同时市场新进入的竞争者逐步增多，可能导致公司所处行业市场竞争加剧。据此， </w:t>
      </w:r>
      <w:r>
        <w:rPr>
          <w:rFonts w:ascii="宋体" w:hAnsi="宋体" w:cs="宋体" w:eastAsia="宋体" w:hint="default"/>
          <w:spacing w:val="-4"/>
          <w:sz w:val="18"/>
          <w:szCs w:val="18"/>
        </w:rPr>
        <w:t>为避免该风险，公司将不断提升自己，紧随行业趋势，在产品研发、技术创新、客户服务和资金规模等方面进一步增强实力。</w:t>
      </w:r>
    </w:p>
    <w:p>
      <w:pPr>
        <w:pStyle w:val="Heading4"/>
        <w:spacing w:line="290" w:lineRule="exact"/>
        <w:ind w:left="712" w:right="0"/>
        <w:jc w:val="left"/>
        <w:rPr>
          <w:b w:val="0"/>
          <w:bCs w:val="0"/>
        </w:rPr>
      </w:pPr>
      <w:r>
        <w:rPr>
          <w:rFonts w:ascii="宋体" w:hAnsi="宋体" w:cs="宋体" w:eastAsia="宋体" w:hint="default"/>
          <w:b w:val="0"/>
          <w:bCs w:val="0"/>
        </w:rPr>
        <w:t>2、</w:t>
      </w:r>
      <w:r>
        <w:rPr/>
        <w:t>人力成本上升的风险</w:t>
      </w:r>
      <w:r>
        <w:rPr>
          <w:b w:val="0"/>
          <w:bCs w:val="0"/>
        </w:rPr>
      </w:r>
    </w:p>
    <w:p>
      <w:pPr>
        <w:spacing w:line="309" w:lineRule="auto" w:before="46"/>
        <w:ind w:left="112" w:right="1130" w:firstLine="331"/>
        <w:jc w:val="both"/>
        <w:rPr>
          <w:rFonts w:ascii="宋体" w:hAnsi="宋体" w:cs="宋体" w:eastAsia="宋体" w:hint="default"/>
          <w:sz w:val="18"/>
          <w:szCs w:val="18"/>
        </w:rPr>
      </w:pPr>
      <w:r>
        <w:rPr>
          <w:rFonts w:ascii="宋体" w:hAnsi="宋体" w:cs="宋体" w:eastAsia="宋体" w:hint="default"/>
          <w:spacing w:val="-1"/>
          <w:sz w:val="18"/>
          <w:szCs w:val="18"/>
        </w:rPr>
        <w:t>随着公司人员进一步增多，且伴随着城市生活成本的上升、竞争对手对专业人才的争夺加剧等因素，公司人工成</w:t>
      </w:r>
      <w:r>
        <w:rPr>
          <w:rFonts w:ascii="MS PGothic" w:hAnsi="MS PGothic" w:cs="MS PGothic" w:eastAsia="MS PGothic"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存在</w:t>
      </w:r>
      <w:r>
        <w:rPr>
          <w:rFonts w:ascii="宋体" w:hAnsi="宋体" w:cs="宋体" w:eastAsia="宋体" w:hint="default"/>
          <w:sz w:val="18"/>
          <w:szCs w:val="18"/>
        </w:rPr>
        <w:t> </w:t>
      </w:r>
      <w:r>
        <w:rPr>
          <w:rFonts w:ascii="宋体" w:hAnsi="宋体" w:cs="宋体" w:eastAsia="宋体" w:hint="default"/>
          <w:spacing w:val="-2"/>
          <w:sz w:val="18"/>
          <w:szCs w:val="18"/>
        </w:rPr>
        <w:t>持续上升的风险，从而给公司的经营带来一定影响。为此，公司将逐步建立高水平的企业管理和内控制度，不断提高公司治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理水平，进一步实施全过程成本控制，提高公司日常运营效率。</w:t>
      </w:r>
    </w:p>
    <w:p>
      <w:pPr>
        <w:pStyle w:val="Heading4"/>
        <w:spacing w:line="290" w:lineRule="exact"/>
        <w:ind w:left="712" w:right="0"/>
        <w:jc w:val="left"/>
        <w:rPr>
          <w:b w:val="0"/>
          <w:bCs w:val="0"/>
        </w:rPr>
      </w:pPr>
      <w:r>
        <w:rPr/>
        <w:t>3、应收账款逐渐增加及账龄结构发生改变的风险</w:t>
      </w:r>
      <w:r>
        <w:rPr>
          <w:b w:val="0"/>
          <w:bCs w:val="0"/>
        </w:rPr>
      </w:r>
    </w:p>
    <w:p>
      <w:pPr>
        <w:spacing w:line="316" w:lineRule="auto" w:before="46"/>
        <w:ind w:left="112" w:right="1034" w:firstLine="360"/>
        <w:jc w:val="left"/>
        <w:rPr>
          <w:rFonts w:ascii="宋体" w:hAnsi="宋体" w:cs="宋体" w:eastAsia="宋体" w:hint="default"/>
          <w:sz w:val="18"/>
          <w:szCs w:val="18"/>
        </w:rPr>
      </w:pPr>
      <w:r>
        <w:rPr>
          <w:rFonts w:ascii="宋体" w:hAnsi="宋体" w:cs="宋体" w:eastAsia="宋体" w:hint="default"/>
          <w:spacing w:val="-2"/>
          <w:sz w:val="18"/>
          <w:szCs w:val="18"/>
        </w:rPr>
        <w:t>随着公司业务规模、市场覆盖的扩大，加上项目本身的执行与验收周期较长，因此应收账款有逐渐增加及账龄结构发生</w:t>
      </w:r>
      <w:r>
        <w:rPr>
          <w:rFonts w:ascii="宋体" w:hAnsi="宋体" w:cs="宋体" w:eastAsia="宋体" w:hint="default"/>
          <w:sz w:val="18"/>
          <w:szCs w:val="18"/>
        </w:rPr>
        <w:t> 改变的趋势。公司的客户主要为银行、金融机构等，如果个别客户信用情况发生较大变化，将不利于公司应收账款的收回， </w:t>
      </w:r>
      <w:r>
        <w:rPr>
          <w:rFonts w:ascii="宋体" w:hAnsi="宋体" w:cs="宋体" w:eastAsia="宋体" w:hint="default"/>
          <w:spacing w:val="-2"/>
          <w:sz w:val="18"/>
          <w:szCs w:val="18"/>
        </w:rPr>
        <w:t>对公司的资产质量和经营业绩产生不利影响。为此，公司将进一步规范管理，加强对应收账款的催收力度，同时要认真总结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经验教训，尽最大可能避免产生新的逾期应收账款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降低应收账款风险。</w:t>
      </w:r>
    </w:p>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公司报告期内未发生接待调研、沟通、采访等活动。</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五节重要事项" w:id="60"/>
      <w:bookmarkEnd w:id="60"/>
      <w:r>
        <w:rPr>
          <w:b w:val="0"/>
          <w:bCs w:val="0"/>
        </w:rPr>
      </w:r>
      <w:bookmarkStart w:name="_bookmark3" w:id="61"/>
      <w:bookmarkEnd w:id="61"/>
      <w:r>
        <w:rPr>
          <w:b w:val="0"/>
          <w:bCs w:val="0"/>
        </w:rPr>
      </w:r>
      <w:r>
        <w:rPr/>
        <w:t>第五节重要事项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60" w:lineRule="auto" w:before="117"/>
        <w:ind w:left="472" w:right="112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根据《公司章程》的要求，对公司利润分配政策进行了明确规定，确定了公司利润分配的原则和方案，尤其是现金分红</w:t>
      </w:r>
    </w:p>
    <w:p>
      <w:pPr>
        <w:spacing w:line="222"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的具体条件、比例，确定了公司利润分配的决策程序和机制以及利润分配政策调整的决策程序。</w:t>
      </w:r>
    </w:p>
    <w:p>
      <w:pPr>
        <w:spacing w:line="316" w:lineRule="auto" w:before="76"/>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《公司章程》第一百五十六条规定，公司实施积极的利润分配政策，重视对投资者的合理投资回报，并保持利润分配政</w:t>
      </w:r>
      <w:r>
        <w:rPr>
          <w:rFonts w:ascii="宋体" w:hAnsi="宋体" w:cs="宋体" w:eastAsia="宋体" w:hint="default"/>
          <w:sz w:val="18"/>
          <w:szCs w:val="18"/>
        </w:rPr>
        <w:t> </w:t>
      </w:r>
      <w:r>
        <w:rPr>
          <w:rFonts w:ascii="宋体" w:hAnsi="宋体" w:cs="宋体" w:eastAsia="宋体" w:hint="default"/>
          <w:spacing w:val="-2"/>
          <w:sz w:val="18"/>
          <w:szCs w:val="18"/>
        </w:rPr>
        <w:t>策的连续性和稳定性。公司可以采取现金或者股票等方式分配利润，利润分配不得超过累计可分配利润的范围，不得损害公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司持续经营能力。</w:t>
      </w:r>
    </w:p>
    <w:p>
      <w:pPr>
        <w:spacing w:line="316" w:lineRule="auto" w:before="19"/>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（一）公司的利润分配形式：采取现金、股票或二者相结合的方式分配股利，但以现金分红为主，在具备现金分红的条</w:t>
      </w:r>
      <w:r>
        <w:rPr>
          <w:rFonts w:ascii="宋体" w:hAnsi="宋体" w:cs="宋体" w:eastAsia="宋体" w:hint="default"/>
          <w:sz w:val="18"/>
          <w:szCs w:val="18"/>
        </w:rPr>
        <w:t> 件下，应优先选择以现金形式分红。</w:t>
      </w:r>
    </w:p>
    <w:p>
      <w:pPr>
        <w:spacing w:line="312" w:lineRule="auto" w:before="19"/>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（二）公司现金方式分红的具体条件和比例：公司主要采取现金分红的利润分配政策，即公司当年度实现盈利，在依法</w:t>
      </w:r>
      <w:r>
        <w:rPr>
          <w:rFonts w:ascii="宋体" w:hAnsi="宋体" w:cs="宋体" w:eastAsia="宋体" w:hint="default"/>
          <w:sz w:val="18"/>
          <w:szCs w:val="18"/>
        </w:rPr>
        <w:t> </w:t>
      </w:r>
      <w:r>
        <w:rPr>
          <w:rFonts w:ascii="宋体" w:hAnsi="宋体" w:cs="宋体" w:eastAsia="宋体" w:hint="default"/>
          <w:spacing w:val="-2"/>
          <w:sz w:val="18"/>
          <w:szCs w:val="18"/>
        </w:rPr>
        <w:t>弥补亏损、提取法定公积金、盈余公积金后有可分配利润的，则公司应当进行现金分红；公司利润分配不得超过累计可分配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利润的范围。公司如无重大投资计划或重大现金支出等事项发生，单一年度以现金方式分配的利润不少于当年度实现的可分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配利润的</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；重大投资计划或重大现金支出是指公司在一年内购买资产以及对外投资等交易涉及的资产总额（同时存在账</w:t>
      </w:r>
      <w:r>
        <w:rPr>
          <w:rFonts w:ascii="宋体" w:hAnsi="宋体" w:cs="宋体" w:eastAsia="宋体" w:hint="default"/>
          <w:sz w:val="18"/>
          <w:szCs w:val="18"/>
        </w:rPr>
        <w:t> </w:t>
      </w:r>
      <w:r>
        <w:rPr>
          <w:rFonts w:ascii="宋体" w:hAnsi="宋体" w:cs="宋体" w:eastAsia="宋体" w:hint="default"/>
          <w:spacing w:val="-1"/>
          <w:sz w:val="18"/>
          <w:szCs w:val="18"/>
        </w:rPr>
        <w:t>面值和评估值的，以较高者计）占公司最近一期经审计总资产</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以上的事项。根据公司章程的规定，重大投资计划或重大</w:t>
      </w:r>
      <w:r>
        <w:rPr>
          <w:rFonts w:ascii="宋体" w:hAnsi="宋体" w:cs="宋体" w:eastAsia="宋体" w:hint="default"/>
          <w:sz w:val="18"/>
          <w:szCs w:val="18"/>
        </w:rPr>
        <w:t> 现金支出等事项应经董事会审议后，提交股东大会表决通过。</w:t>
      </w:r>
    </w:p>
    <w:p>
      <w:pPr>
        <w:spacing w:line="316" w:lineRule="auto" w:before="22"/>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同时，公司董事会应当综合考虑公司所处行业特点、发展阶段、自身经营模式、盈利水平以及是否有重大资金支出安排</w:t>
      </w:r>
      <w:r>
        <w:rPr>
          <w:rFonts w:ascii="宋体" w:hAnsi="宋体" w:cs="宋体" w:eastAsia="宋体" w:hint="default"/>
          <w:sz w:val="18"/>
          <w:szCs w:val="18"/>
        </w:rPr>
        <w:t> 等因素，在提出利润分配的方案时，提出差异化的现金分红政策：</w:t>
      </w:r>
    </w:p>
    <w:p>
      <w:pPr>
        <w:spacing w:line="300" w:lineRule="auto" w:before="19"/>
        <w:ind w:left="112" w:right="11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、公司发展阶段属成熟期且无重大资金支出安排的，进行利润分配时，现金分红在本次利润分配中所占比例最低应达 到</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p>
      <w:pPr>
        <w:spacing w:line="300" w:lineRule="auto" w:before="13"/>
        <w:ind w:left="112" w:right="11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spacing w:line="300" w:lineRule="auto" w:before="13"/>
        <w:ind w:left="112" w:right="11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、公司发展阶段属成长期且有重大资金支出安排的，进行利润分配时，现金分红在本次利润分配中所占比例最低应达 到</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spacing w:line="240" w:lineRule="auto" w:before="1"/>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57" w:lineRule="auto" w:before="44"/>
        <w:ind w:left="112" w:right="427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300,425,156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7,510,628.90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7,510,628.90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221,347,133.07</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以公司总股本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元人民币现金（含税</w:t>
            </w:r>
            <w:r>
              <w:rPr>
                <w:rFonts w:ascii="宋体" w:hAnsi="宋体" w:cs="宋体" w:eastAsia="宋体" w:hint="default"/>
                <w:spacing w:val="-89"/>
                <w:sz w:val="18"/>
                <w:szCs w:val="18"/>
              </w:rPr>
              <w:t>）</w:t>
            </w:r>
            <w:r>
              <w:rPr>
                <w:rFonts w:ascii="宋体" w:hAnsi="宋体" w:cs="宋体" w:eastAsia="宋体" w:hint="default"/>
                <w:sz w:val="18"/>
                <w:szCs w:val="18"/>
              </w:rPr>
              <w:t>，合计派发股利</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300" w:lineRule="auto" w:before="103"/>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年利润分配及资本公积金转增股本方案：以公司总股本</w:t>
      </w:r>
      <w:r>
        <w:rPr>
          <w:rFonts w:ascii="Times New Roman" w:hAnsi="Times New Roman" w:cs="Times New Roman" w:eastAsia="Times New Roman" w:hint="default"/>
          <w:spacing w:val="-1"/>
          <w:sz w:val="18"/>
          <w:szCs w:val="18"/>
        </w:rPr>
        <w:t>134,948,619</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w:t>
      </w:r>
      <w:r>
        <w:rPr>
          <w:rFonts w:ascii="Times New Roman" w:hAnsi="Times New Roman" w:cs="Times New Roman" w:eastAsia="Times New Roman" w:hint="default"/>
          <w:spacing w:val="-1"/>
          <w:sz w:val="18"/>
          <w:szCs w:val="18"/>
        </w:rPr>
        <w:t>0.496294</w:t>
      </w:r>
      <w:r>
        <w:rPr>
          <w:rFonts w:ascii="宋体" w:hAnsi="宋体" w:cs="宋体" w:eastAsia="宋体" w:hint="default"/>
          <w:spacing w:val="-1"/>
          <w:sz w:val="18"/>
          <w:szCs w:val="18"/>
        </w:rPr>
        <w:t>元人民</w:t>
      </w:r>
      <w:r>
        <w:rPr>
          <w:rFonts w:ascii="宋体" w:hAnsi="宋体" w:cs="宋体" w:eastAsia="宋体" w:hint="default"/>
          <w:sz w:val="18"/>
          <w:szCs w:val="18"/>
        </w:rPr>
        <w:t> </w:t>
      </w:r>
      <w:r>
        <w:rPr>
          <w:rFonts w:ascii="宋体" w:hAnsi="宋体" w:cs="宋体" w:eastAsia="宋体" w:hint="default"/>
          <w:spacing w:val="-2"/>
          <w:sz w:val="18"/>
          <w:szCs w:val="18"/>
        </w:rPr>
        <w:t>币现金（含税），合计派发股利</w:t>
      </w:r>
      <w:r>
        <w:rPr>
          <w:rFonts w:ascii="Times New Roman" w:hAnsi="Times New Roman" w:cs="Times New Roman" w:eastAsia="Times New Roman" w:hint="default"/>
          <w:spacing w:val="-2"/>
          <w:sz w:val="18"/>
          <w:szCs w:val="18"/>
        </w:rPr>
        <w:t>6,697,430.95</w:t>
      </w:r>
      <w:r>
        <w:rPr>
          <w:rFonts w:ascii="宋体" w:hAnsi="宋体" w:cs="宋体" w:eastAsia="宋体" w:hint="default"/>
          <w:spacing w:val="-2"/>
          <w:sz w:val="18"/>
          <w:szCs w:val="18"/>
        </w:rPr>
        <w:t>元；同时，以资本公积金向全体股东每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4.962948</w:t>
      </w:r>
      <w:r>
        <w:rPr>
          <w:rFonts w:ascii="宋体" w:hAnsi="宋体" w:cs="宋体" w:eastAsia="宋体" w:hint="default"/>
          <w:spacing w:val="-2"/>
          <w:sz w:val="18"/>
          <w:szCs w:val="18"/>
        </w:rPr>
        <w:t>股。</w:t>
      </w:r>
    </w:p>
    <w:p>
      <w:pPr>
        <w:spacing w:line="300" w:lineRule="auto" w:before="13"/>
        <w:ind w:left="112" w:right="116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年利润分配及资本公积金转增股本方案：以公司总股本201,463,957股为基数，向全体股东每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0.35</w:t>
      </w:r>
      <w:r>
        <w:rPr>
          <w:rFonts w:ascii="宋体" w:hAnsi="宋体" w:cs="宋体" w:eastAsia="宋体" w:hint="default"/>
          <w:sz w:val="18"/>
          <w:szCs w:val="18"/>
        </w:rPr>
        <w:t>元人民币 </w:t>
      </w:r>
      <w:r>
        <w:rPr>
          <w:rFonts w:ascii="宋体" w:hAnsi="宋体" w:cs="宋体" w:eastAsia="宋体" w:hint="default"/>
          <w:spacing w:val="-2"/>
          <w:sz w:val="18"/>
          <w:szCs w:val="18"/>
        </w:rPr>
        <w:t>现金（含税），合计派发股利</w:t>
      </w:r>
      <w:r>
        <w:rPr>
          <w:rFonts w:ascii="Times New Roman" w:hAnsi="Times New Roman" w:cs="Times New Roman" w:eastAsia="Times New Roman" w:hint="default"/>
          <w:spacing w:val="-2"/>
          <w:sz w:val="18"/>
          <w:szCs w:val="18"/>
        </w:rPr>
        <w:t>7,051,238.50</w:t>
      </w:r>
      <w:r>
        <w:rPr>
          <w:rFonts w:ascii="宋体" w:hAnsi="宋体" w:cs="宋体" w:eastAsia="宋体" w:hint="default"/>
          <w:spacing w:val="-2"/>
          <w:sz w:val="18"/>
          <w:szCs w:val="18"/>
        </w:rPr>
        <w:t>元；同时，以资本公积金向全体股东每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股。</w:t>
      </w:r>
    </w:p>
    <w:p>
      <w:pPr>
        <w:spacing w:line="300" w:lineRule="auto" w:before="13"/>
        <w:ind w:left="112" w:right="1169" w:firstLine="360"/>
        <w:jc w:val="left"/>
        <w:rPr>
          <w:rFonts w:ascii="宋体" w:hAnsi="宋体" w:cs="宋体" w:eastAsia="宋体" w:hint="default"/>
          <w:sz w:val="18"/>
          <w:szCs w:val="18"/>
        </w:rPr>
      </w:pPr>
      <w:r>
        <w:rPr>
          <w:rFonts w:ascii="宋体" w:hAnsi="宋体" w:cs="宋体" w:eastAsia="宋体" w:hint="default"/>
          <w:sz w:val="18"/>
          <w:szCs w:val="18"/>
        </w:rPr>
        <w:t>2019年利润分配及资本公积金转增股本预案：以公司总股本300,425,156为基数，向全体股东每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0.25</w:t>
      </w:r>
      <w:r>
        <w:rPr>
          <w:rFonts w:ascii="宋体" w:hAnsi="宋体" w:cs="宋体" w:eastAsia="宋体" w:hint="default"/>
          <w:sz w:val="18"/>
          <w:szCs w:val="18"/>
        </w:rPr>
        <w:t>元人民币现 </w:t>
      </w:r>
      <w:r>
        <w:rPr>
          <w:rFonts w:ascii="宋体" w:hAnsi="宋体" w:cs="宋体" w:eastAsia="宋体" w:hint="default"/>
          <w:spacing w:val="-3"/>
          <w:sz w:val="18"/>
          <w:szCs w:val="18"/>
        </w:rPr>
        <w:t>金（含税），合计派发股利7,510,628.90元；不送红股，不以资本公积金转增股本。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7,510,628.90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49,509,331.1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7,510,628.90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15.17%</w:t>
            </w:r>
          </w:p>
        </w:tc>
      </w:tr>
      <w:tr>
        <w:trPr>
          <w:trHeight w:val="400"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7,051,238.50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38" w:right="0"/>
              <w:jc w:val="left"/>
              <w:rPr>
                <w:rFonts w:ascii="Times New Roman" w:hAnsi="Times New Roman" w:cs="Times New Roman" w:eastAsia="Times New Roman" w:hint="default"/>
                <w:sz w:val="18"/>
                <w:szCs w:val="18"/>
              </w:rPr>
            </w:pPr>
            <w:r>
              <w:rPr>
                <w:rFonts w:ascii="Times New Roman"/>
                <w:sz w:val="18"/>
              </w:rPr>
              <w:t>42,576,019.7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7,051,238.50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6,697,430.95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40,080,358.3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16.71%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6,697,430.95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16.71%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6"/>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2"/>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2"/>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816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1"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2" w:right="110"/>
              <w:jc w:val="left"/>
              <w:rPr>
                <w:rFonts w:ascii="宋体" w:hAnsi="宋体" w:cs="宋体" w:eastAsia="宋体" w:hint="default"/>
                <w:sz w:val="18"/>
                <w:szCs w:val="18"/>
              </w:rPr>
            </w:pPr>
            <w:r>
              <w:rPr>
                <w:rFonts w:ascii="宋体" w:hAnsi="宋体" w:cs="宋体" w:eastAsia="宋体" w:hint="default"/>
                <w:sz w:val="18"/>
                <w:szCs w:val="18"/>
              </w:rPr>
              <w:t>实际控制人 王安京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11"/>
              <w:jc w:val="left"/>
              <w:rPr>
                <w:rFonts w:ascii="宋体" w:hAnsi="宋体" w:cs="宋体" w:eastAsia="宋体" w:hint="default"/>
                <w:sz w:val="18"/>
                <w:szCs w:val="18"/>
              </w:rPr>
            </w:pPr>
            <w:r>
              <w:rPr>
                <w:rFonts w:ascii="宋体" w:hAnsi="宋体" w:cs="宋体" w:eastAsia="宋体" w:hint="default"/>
                <w:sz w:val="18"/>
                <w:szCs w:val="18"/>
              </w:rPr>
              <w:t>本人直接或 间接持有的 股票，自公 司股票上市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 转让或者委 托他人管理 本人持有的 公司上市前 已发行的股 份，也不由 公司回购该 部分股份； 王安京作为 科蓝盛合的 普通合伙 人，自公司 股票上市之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 让其所持有 的出资份 额；公司上 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内如股票连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价均低于本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次发行的发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价，王安京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股票将在上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的锁定期；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10"/>
              <w:jc w:val="both"/>
              <w:rPr>
                <w:rFonts w:ascii="宋体" w:hAnsi="宋体" w:cs="宋体" w:eastAsia="宋体" w:hint="default"/>
                <w:sz w:val="18"/>
                <w:szCs w:val="18"/>
              </w:rPr>
            </w:pPr>
            <w:r>
              <w:rPr>
                <w:rFonts w:ascii="宋体" w:hAnsi="宋体" w:cs="宋体" w:eastAsia="宋体" w:hint="default"/>
                <w:sz w:val="18"/>
                <w:szCs w:val="18"/>
              </w:rPr>
              <w:t>科蓝盈众、 科蓝银科、 科蓝融创、 科蓝金投、 科蓝海联承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所上市之日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 或者委托他 人管理其所 持有的股 份，也不由</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理本企业持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有的公司上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市前已发行 的股份，也 不由公司回</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购该部分股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份；公司发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个月内如股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016" w:header="907" w:top="1100" w:bottom="1200" w:left="1020" w:right="0"/>
          <w:pgNumType w:start="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本次发行的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蓝盛合持有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将在上述锁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后自动延长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人管理其所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上海文化、</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杭州兆富、</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杭州太一、</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0"/>
              <w:jc w:val="left"/>
              <w:rPr>
                <w:rFonts w:ascii="宋体" w:hAnsi="宋体" w:cs="宋体" w:eastAsia="宋体" w:hint="default"/>
                <w:sz w:val="18"/>
                <w:szCs w:val="18"/>
              </w:rPr>
            </w:pPr>
            <w:r>
              <w:rPr>
                <w:rFonts w:ascii="宋体" w:hAnsi="宋体" w:cs="宋体" w:eastAsia="宋体" w:hint="default"/>
                <w:sz w:val="18"/>
                <w:szCs w:val="18"/>
              </w:rPr>
              <w:t>广州司浦 林、君研丰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left"/>
              <w:rPr>
                <w:rFonts w:ascii="宋体" w:hAnsi="宋体" w:cs="宋体" w:eastAsia="宋体" w:hint="default"/>
                <w:sz w:val="18"/>
                <w:szCs w:val="18"/>
              </w:rPr>
            </w:pPr>
            <w:r>
              <w:rPr>
                <w:rFonts w:ascii="宋体" w:hAnsi="宋体" w:cs="宋体" w:eastAsia="宋体" w:hint="default"/>
                <w:sz w:val="18"/>
                <w:szCs w:val="18"/>
              </w:rPr>
              <w:t>锁定期届满 后，拟减持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创、杭州先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股份时应按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锋、济宁先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照相关法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锋</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规章、规范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性文件及深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所的相关规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定进行减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持，且不违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背已作出的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所持股份锁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王安京、王</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12"/>
              <w:jc w:val="left"/>
              <w:rPr>
                <w:rFonts w:ascii="宋体" w:hAnsi="宋体" w:cs="宋体" w:eastAsia="宋体" w:hint="default"/>
                <w:sz w:val="18"/>
                <w:szCs w:val="18"/>
              </w:rPr>
            </w:pPr>
            <w:r>
              <w:rPr>
                <w:rFonts w:ascii="宋体" w:hAnsi="宋体" w:cs="宋体" w:eastAsia="宋体" w:hint="default"/>
                <w:spacing w:val="-14"/>
                <w:sz w:val="18"/>
                <w:szCs w:val="18"/>
              </w:rPr>
              <w:t>方圆、周荣、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李国庆、周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left"/>
              <w:rPr>
                <w:rFonts w:ascii="宋体" w:hAnsi="宋体" w:cs="宋体" w:eastAsia="宋体" w:hint="default"/>
                <w:sz w:val="18"/>
                <w:szCs w:val="18"/>
              </w:rPr>
            </w:pPr>
            <w:r>
              <w:rPr>
                <w:rFonts w:ascii="宋体" w:hAnsi="宋体" w:cs="宋体" w:eastAsia="宋体" w:hint="default"/>
                <w:sz w:val="18"/>
                <w:szCs w:val="18"/>
              </w:rPr>
              <w:t>后，在本人 任职期间，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旭红</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，并且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月内申报离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内不得转让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之日起第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个月至第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间申报离职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不得转让其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低于本次发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行的发行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的科蓝公司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股票将在锁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后自动延长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定期，如果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后派发现金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80"/>
                <w:sz w:val="18"/>
                <w:szCs w:val="18"/>
              </w:rPr>
              <w:t>、</w:t>
            </w:r>
            <w:r>
              <w:rPr>
                <w:rFonts w:ascii="宋体" w:hAnsi="宋体" w:cs="宋体" w:eastAsia="宋体" w:hint="default"/>
                <w:sz w:val="18"/>
                <w:szCs w:val="18"/>
              </w:rPr>
              <w:t>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增发新股等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原因进行除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80"/>
                <w:sz w:val="18"/>
                <w:szCs w:val="18"/>
              </w:rPr>
              <w:t>、</w:t>
            </w:r>
            <w:r>
              <w:rPr>
                <w:rFonts w:ascii="宋体" w:hAnsi="宋体" w:cs="宋体" w:eastAsia="宋体" w:hint="default"/>
                <w:sz w:val="18"/>
                <w:szCs w:val="18"/>
              </w:rPr>
              <w:t>除息的，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则按照证券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关规定对发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行价作除权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除息处理；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本人将向公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司及时申报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份及其变动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内，本人不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10"/>
              <w:jc w:val="left"/>
              <w:rPr>
                <w:rFonts w:ascii="宋体" w:hAnsi="宋体" w:cs="宋体" w:eastAsia="宋体" w:hint="default"/>
                <w:sz w:val="18"/>
                <w:szCs w:val="18"/>
              </w:rPr>
            </w:pPr>
            <w:r>
              <w:rPr>
                <w:rFonts w:ascii="宋体" w:hAnsi="宋体" w:cs="宋体" w:eastAsia="宋体" w:hint="default"/>
                <w:sz w:val="18"/>
                <w:szCs w:val="18"/>
              </w:rPr>
              <w:t>王方圆、王 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托他人管理 通过科蓝盈 众、科蓝银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科持有的公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不由公司回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购本人间接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635"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left"/>
              <w:rPr>
                <w:rFonts w:ascii="宋体" w:hAnsi="宋体" w:cs="宋体" w:eastAsia="宋体" w:hint="default"/>
                <w:sz w:val="18"/>
                <w:szCs w:val="18"/>
              </w:rPr>
            </w:pPr>
            <w:r>
              <w:rPr>
                <w:rFonts w:ascii="宋体" w:hAnsi="宋体" w:cs="宋体" w:eastAsia="宋体" w:hint="default"/>
                <w:sz w:val="18"/>
                <w:szCs w:val="18"/>
              </w:rPr>
              <w:t>股份不超过 公司在证券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之日时本企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业已持有的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科蓝软件股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本人拟减持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科蓝软件股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份的，应按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规章、规范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性文件及深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所的相关规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背本人已作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减持方式包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括二级市场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易或其他深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所认可的合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法方式。锁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两年内，本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人拟减持科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格根据当时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超过发行前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所持股份总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并应符合相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规、规范性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文件及深圳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定。本人拟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三个交易日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告减持意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向，本人持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时除外。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企业拟减持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的，减持价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格根据当时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的二级市场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价格确定，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且不低于发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2" w:right="110"/>
              <w:jc w:val="both"/>
              <w:rPr>
                <w:rFonts w:ascii="宋体" w:hAnsi="宋体" w:cs="宋体" w:eastAsia="宋体" w:hint="default"/>
                <w:sz w:val="18"/>
                <w:szCs w:val="18"/>
              </w:rPr>
            </w:pPr>
            <w:r>
              <w:rPr>
                <w:rFonts w:ascii="宋体" w:hAnsi="宋体" w:cs="宋体" w:eastAsia="宋体" w:hint="default"/>
                <w:sz w:val="18"/>
                <w:szCs w:val="18"/>
              </w:rPr>
              <w:t>宁波科蓝盛 合投资管理 合伙企业</w:t>
            </w:r>
          </w:p>
          <w:p>
            <w:pPr>
              <w:pStyle w:val="TableParagraph"/>
              <w:spacing w:line="316" w:lineRule="auto" w:before="19"/>
              <w:ind w:left="102" w:right="29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111"/>
              <w:jc w:val="both"/>
              <w:rPr>
                <w:rFonts w:ascii="宋体" w:hAnsi="宋体" w:cs="宋体" w:eastAsia="宋体" w:hint="default"/>
                <w:sz w:val="18"/>
                <w:szCs w:val="18"/>
              </w:rPr>
            </w:pPr>
            <w:r>
              <w:rPr>
                <w:rFonts w:ascii="宋体" w:hAnsi="宋体" w:cs="宋体" w:eastAsia="宋体" w:hint="default"/>
                <w:sz w:val="18"/>
                <w:szCs w:val="18"/>
              </w:rPr>
              <w:t>并应符合相 关法律、法 规、规范性 文件及深圳 证券交易所 的相关规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企业拟减持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份时，将在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减持前三个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交易日通过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公司公告减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持意向，本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合伙企业持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时除外。</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后两年内，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本合伙企业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持有公司的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股份拟减持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完毕，减持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价格根据当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时的二级市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场价格确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定，且不低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于发行价，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并应符合相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0"/>
              <w:jc w:val="both"/>
              <w:rPr>
                <w:rFonts w:ascii="宋体" w:hAnsi="宋体" w:cs="宋体" w:eastAsia="宋体" w:hint="default"/>
                <w:sz w:val="18"/>
                <w:szCs w:val="18"/>
              </w:rPr>
            </w:pPr>
            <w:r>
              <w:rPr>
                <w:rFonts w:ascii="宋体" w:hAnsi="宋体" w:cs="宋体" w:eastAsia="宋体" w:hint="default"/>
                <w:sz w:val="18"/>
                <w:szCs w:val="18"/>
              </w:rPr>
              <w:t>上海文化、 杭州先锋、 济宁先锋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规、规范性 文化及深证 证券交易所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的相关规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企业拟减持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所持公司股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份时，将在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减持前三个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交易日通过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公司公告减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持意向，本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合伙企业持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时除外。</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后两年内，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本合伙企业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拟减持公司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股份的，减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广州司浦</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持价格根据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110"/>
              <w:jc w:val="both"/>
              <w:rPr>
                <w:rFonts w:ascii="宋体" w:hAnsi="宋体" w:cs="宋体" w:eastAsia="宋体" w:hint="default"/>
                <w:sz w:val="18"/>
                <w:szCs w:val="18"/>
              </w:rPr>
            </w:pPr>
            <w:r>
              <w:rPr>
                <w:rFonts w:ascii="宋体" w:hAnsi="宋体" w:cs="宋体" w:eastAsia="宋体" w:hint="default"/>
                <w:sz w:val="18"/>
                <w:szCs w:val="18"/>
              </w:rPr>
              <w:t>林、杭州太 一天、杭州 兆富、君研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both"/>
              <w:rPr>
                <w:rFonts w:ascii="宋体" w:hAnsi="宋体" w:cs="宋体" w:eastAsia="宋体" w:hint="default"/>
                <w:sz w:val="18"/>
                <w:szCs w:val="18"/>
              </w:rPr>
            </w:pPr>
            <w:r>
              <w:rPr>
                <w:rFonts w:ascii="宋体" w:hAnsi="宋体" w:cs="宋体" w:eastAsia="宋体" w:hint="default"/>
                <w:sz w:val="18"/>
                <w:szCs w:val="18"/>
              </w:rPr>
              <w:t>当时的二级 市场价格确 定，且不低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丰创</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于发行价，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每年减持分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别不超过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符合相关法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律、法规、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关规定。本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合伙企业拟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三个交易日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件公告减持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意向，本合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伙企业持有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满后，本合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伙企业每年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10"/>
              <w:jc w:val="both"/>
              <w:rPr>
                <w:rFonts w:ascii="宋体" w:hAnsi="宋体" w:cs="宋体" w:eastAsia="宋体" w:hint="default"/>
                <w:sz w:val="18"/>
                <w:szCs w:val="18"/>
              </w:rPr>
            </w:pPr>
            <w:r>
              <w:rPr>
                <w:rFonts w:ascii="宋体" w:hAnsi="宋体" w:cs="宋体" w:eastAsia="宋体" w:hint="default"/>
                <w:sz w:val="18"/>
                <w:szCs w:val="18"/>
              </w:rPr>
              <w:t>科蓝海联、 科蓝金投、 科蓝融创、 科蓝银科、 科蓝盈众</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公司在证券 交易所上市 之日时本企 业已持有的 公司股份总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（上一年在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转让额度内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未转让部分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可累计到下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一年转让</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后，本人拟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份的，应按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照相关法律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5"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110"/>
              <w:jc w:val="left"/>
              <w:rPr>
                <w:rFonts w:ascii="宋体" w:hAnsi="宋体" w:cs="宋体" w:eastAsia="宋体" w:hint="default"/>
                <w:sz w:val="18"/>
                <w:szCs w:val="18"/>
              </w:rPr>
            </w:pPr>
            <w:r>
              <w:rPr>
                <w:rFonts w:ascii="宋体" w:hAnsi="宋体" w:cs="宋体" w:eastAsia="宋体" w:hint="default"/>
                <w:sz w:val="18"/>
                <w:szCs w:val="18"/>
              </w:rPr>
              <w:t>李国庆、周 荣、周旭红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2" w:right="111"/>
              <w:jc w:val="left"/>
              <w:rPr>
                <w:rFonts w:ascii="宋体" w:hAnsi="宋体" w:cs="宋体" w:eastAsia="宋体" w:hint="default"/>
                <w:sz w:val="18"/>
                <w:szCs w:val="18"/>
              </w:rPr>
            </w:pPr>
            <w:r>
              <w:rPr>
                <w:rFonts w:ascii="宋体" w:hAnsi="宋体" w:cs="宋体" w:eastAsia="宋体" w:hint="default"/>
                <w:sz w:val="18"/>
                <w:szCs w:val="18"/>
              </w:rPr>
              <w:t>法规及深圳 证券交易所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规则要求进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行减持，且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不违背本人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已作出承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诺，减持方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式包括二级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市场集中竞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价交易、大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宗交易或其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他深圳证券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交易所认可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届满后两年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内，本人拟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价格根据当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时的二级市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场价格确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定，且不低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并应符合相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交易所规则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要求。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在本人及本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人的关联自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然人在科蓝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软件担任董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员期间，每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份不超过本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人持有科蓝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1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97"/>
              <w:jc w:val="left"/>
              <w:rPr>
                <w:rFonts w:ascii="宋体" w:hAnsi="宋体" w:cs="宋体" w:eastAsia="宋体" w:hint="default"/>
                <w:sz w:val="18"/>
                <w:szCs w:val="18"/>
              </w:rPr>
            </w:pPr>
            <w:r>
              <w:rPr>
                <w:rFonts w:ascii="宋体" w:hAnsi="宋体" w:cs="宋体" w:eastAsia="宋体" w:hint="default"/>
                <w:sz w:val="18"/>
                <w:szCs w:val="18"/>
              </w:rPr>
              <w:t>软件股份总 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后，本人拟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减持科蓝软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应按照相关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w:t>
            </w:r>
            <w:r>
              <w:rPr>
                <w:rFonts w:ascii="宋体" w:hAnsi="宋体" w:cs="宋体" w:eastAsia="宋体" w:hint="default"/>
                <w:spacing w:val="-80"/>
                <w:sz w:val="18"/>
                <w:szCs w:val="18"/>
              </w:rPr>
              <w:t>、</w:t>
            </w:r>
            <w:r>
              <w:rPr>
                <w:rFonts w:ascii="宋体" w:hAnsi="宋体" w:cs="宋体" w:eastAsia="宋体" w:hint="default"/>
                <w:sz w:val="18"/>
                <w:szCs w:val="18"/>
              </w:rPr>
              <w:t>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规章、规范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性文件及深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所的相关规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定进行减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持，且不违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背本人已作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减持方式包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括二级市场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易或其他深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所认可的合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法方式。锁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两年内，本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人拟减持科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格根据当时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的二级市场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价格确定，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行价，每年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并应符合相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文件及深圳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的相关规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定。本人拟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减持所持科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时，将在减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前三个交易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日通过科蓝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软件公告减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持意向，本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人持有的科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除外。</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71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2" w:right="110"/>
              <w:jc w:val="left"/>
              <w:rPr>
                <w:rFonts w:ascii="宋体" w:hAnsi="宋体" w:cs="宋体" w:eastAsia="宋体" w:hint="default"/>
                <w:sz w:val="18"/>
                <w:szCs w:val="18"/>
              </w:rPr>
            </w:pPr>
            <w:r>
              <w:rPr>
                <w:rFonts w:ascii="宋体" w:hAnsi="宋体" w:cs="宋体" w:eastAsia="宋体" w:hint="default"/>
                <w:sz w:val="18"/>
                <w:szCs w:val="18"/>
              </w:rPr>
              <w:t>王安京、广 州司浦林、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3" w:right="111"/>
              <w:jc w:val="left"/>
              <w:rPr>
                <w:rFonts w:ascii="宋体" w:hAnsi="宋体" w:cs="宋体" w:eastAsia="宋体" w:hint="default"/>
                <w:sz w:val="18"/>
                <w:szCs w:val="18"/>
              </w:rPr>
            </w:pPr>
            <w:r>
              <w:rPr>
                <w:rFonts w:ascii="宋体" w:hAnsi="宋体" w:cs="宋体" w:eastAsia="宋体" w:hint="default"/>
                <w:sz w:val="18"/>
                <w:szCs w:val="18"/>
              </w:rPr>
              <w:t>关于关联交 易、资金占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2" w:right="111"/>
              <w:jc w:val="left"/>
              <w:rPr>
                <w:rFonts w:ascii="宋体" w:hAnsi="宋体" w:cs="宋体" w:eastAsia="宋体" w:hint="default"/>
                <w:sz w:val="18"/>
                <w:szCs w:val="18"/>
              </w:rPr>
            </w:pPr>
            <w:r>
              <w:rPr>
                <w:rFonts w:ascii="宋体" w:hAnsi="宋体" w:cs="宋体" w:eastAsia="宋体" w:hint="default"/>
                <w:sz w:val="18"/>
                <w:szCs w:val="18"/>
              </w:rPr>
              <w:t>本企业及本 人为科蓝软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杭州太一、</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件的关联方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杭州兆富、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期间，本人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科蓝海联、</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及本人所控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科蓝金投、</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科蓝融创、</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限于独自经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科蓝银科、</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营、合资经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科蓝盈众、</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营、合作经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君研丰创</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营以及直接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或间接拥有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权益的其他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业）将尽最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大的努力减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少或避免与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科蓝软件的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对于确属必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要的关联交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易，应按照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公平、公允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和等价有偿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的原则进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行，并依据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法律，行政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证监会及证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券交易所的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有关规定和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审议程序并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及时予以披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、预警条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件：当公司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 价承诺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left"/>
              <w:rPr>
                <w:rFonts w:ascii="宋体" w:hAnsi="宋体" w:cs="宋体" w:eastAsia="宋体" w:hint="default"/>
                <w:sz w:val="18"/>
                <w:szCs w:val="18"/>
              </w:rPr>
            </w:pPr>
            <w:r>
              <w:rPr>
                <w:rFonts w:ascii="宋体" w:hAnsi="宋体" w:cs="宋体" w:eastAsia="宋体" w:hint="default"/>
                <w:sz w:val="18"/>
                <w:szCs w:val="18"/>
              </w:rPr>
              <w:t>收盘价低于 每股净资产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作日内召开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投资者见面</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016" w:header="907" w:top="1100" w:bottom="1200" w:left="1020" w:right="0"/>
          <w:pgNumType w:start="5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会，与投资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者就上市公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司经营状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况、财务指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标、发展战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略进行深入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沟通；</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动条件：公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司股票自上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年内，当公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低于每股净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当在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内实施相关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方案，并应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提前公告具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体实施方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案。</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稳定股价预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事会办公室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负责本公司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前述触发实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方案条件的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监测，在其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监测到前述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触发实施稳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条件成就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时，</w:t>
            </w:r>
            <w:r>
              <w:rPr>
                <w:rFonts w:ascii="Times New Roman" w:hAnsi="Times New Roman" w:cs="Times New Roman" w:eastAsia="Times New Roman" w:hint="default"/>
                <w:spacing w:val="-9"/>
                <w:sz w:val="18"/>
                <w:szCs w:val="18"/>
              </w:rPr>
              <w:t>10</w:t>
            </w:r>
            <w:r>
              <w:rPr>
                <w:rFonts w:ascii="Times New Roman" w:hAnsi="Times New Roman" w:cs="Times New Roman" w:eastAsia="Times New Roman" w:hint="default"/>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易日内召开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董事会讨论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稳定股价方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案，并经公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司董事会全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体董事二分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之一以上表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决通过</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应于董事会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表决通过之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易日内发出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召开股东大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会的通知，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并于发出股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东大会会议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通知后的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日内召开股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东大会审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做出决议，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须经出席会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议的股东所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持表决权的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上通过</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审议通过股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份回购方案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依法通知债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权人，并向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理部门、证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券交易所等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主管部门报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送相关材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料，办理审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批或备案手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司应在股东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大会决议做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出之日起次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日开始启动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相关法定手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续后的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82"/>
                <w:sz w:val="18"/>
                <w:szCs w:val="18"/>
              </w:rPr>
              <w:t>）</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购方案实施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完毕后，应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日内公告公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司股份变动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股份，办理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工商变更登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记手续。</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稳定股价方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案的其他事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项（</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资金为自有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资金，回购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要约方式或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理部门认可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式。但如果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股份回购方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案实施前或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实施过程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股票价格连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价均高于当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产，则本公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司可不再继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续实施该方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司为稳定股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价之目的进</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的，除应符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法规之要求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之外，还应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符合下列各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项条件：①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公司单一会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计年度用于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资金总额累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计不超过上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经审计的归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的可分配利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②公司单次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超过当次股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份回购方案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实施前公司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；③公司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回购股份不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违反公司签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署的相关协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议的约定，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且不会导致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分布不符合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上市条件。</w:t>
            </w:r>
            <w:r>
              <w:rPr>
                <w:rFonts w:ascii="Times New Roman" w:hAnsi="Times New Roman" w:cs="Times New Roman" w:eastAsia="Times New Roman" w:hint="default"/>
                <w:spacing w:val="-11"/>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关于对公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司审议股份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回购方案进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行投票的承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 价承诺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诺公司股票 自挂牌上市 之日起三年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内，一旦出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个交易日公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司股票收盘</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最近一期报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告期期末公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资产，如最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近一期报告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期期末财务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数据公告后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至下一报告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期期末财务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数据公告前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期间因分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转增等情况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导致公司股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份或权益发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生变化时，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则为经调整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0"/>
                <w:sz w:val="18"/>
                <w:szCs w:val="18"/>
              </w:rPr>
              <w:t>，</w:t>
            </w:r>
            <w:r>
              <w:rPr>
                <w:rFonts w:ascii="宋体" w:hAnsi="宋体" w:cs="宋体" w:eastAsia="宋体" w:hint="default"/>
                <w:sz w:val="18"/>
                <w:szCs w:val="18"/>
              </w:rPr>
              <w:t>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情形时，则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触发公司回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购股份稳定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股价的义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诺就公司稳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以本人的董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事身份在董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事会上投赞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成票，并以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所拥有的全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部表决票数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上投赞成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票。</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本人实施稳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的条件在公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司出现上述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需实施稳定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情形，且出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股份方案实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之日后的连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的股票收盘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价均低于每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股净资产的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情形时，本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人将按照有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的规定，增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份。</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稳定股价预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案的程序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于触发本人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实施稳定股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日内通知公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司董事会本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划，并通过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公司发布增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持公告</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本人将在增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持公告发布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之日起次日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开始启动增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持，并应在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定手续后的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日内实施完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毕。</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其他事项增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持股份的方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式为集中竞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价交易方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式、要约方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式或证券监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督管理部门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认可的其他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导致公司的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股权分布不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符合上市条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下，单次用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于增持的资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金总额不低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元，单次增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过当次股份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增持方案实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施前公司总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股本的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但如果股份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增持方案实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施前或实施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过程中，公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价均高于公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产，则本人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可不再继续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实施该方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28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102" w:right="12"/>
              <w:jc w:val="left"/>
              <w:rPr>
                <w:rFonts w:ascii="宋体" w:hAnsi="宋体" w:cs="宋体" w:eastAsia="宋体" w:hint="default"/>
                <w:sz w:val="18"/>
                <w:szCs w:val="18"/>
              </w:rPr>
            </w:pPr>
            <w:r>
              <w:rPr>
                <w:rFonts w:ascii="宋体" w:hAnsi="宋体" w:cs="宋体" w:eastAsia="宋体" w:hint="default"/>
                <w:sz w:val="18"/>
                <w:szCs w:val="18"/>
              </w:rPr>
              <w:t>王安京、郑 仁寰、李国 </w:t>
            </w:r>
            <w:r>
              <w:rPr>
                <w:rFonts w:ascii="宋体" w:hAnsi="宋体" w:cs="宋体" w:eastAsia="宋体" w:hint="default"/>
                <w:spacing w:val="-14"/>
                <w:sz w:val="18"/>
                <w:szCs w:val="18"/>
              </w:rPr>
              <w:t>庆、马朝松、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王方圆、王 缉志、杨栋 </w:t>
            </w:r>
            <w:r>
              <w:rPr>
                <w:rFonts w:ascii="宋体" w:hAnsi="宋体" w:cs="宋体" w:eastAsia="宋体" w:hint="default"/>
                <w:spacing w:val="-14"/>
                <w:sz w:val="18"/>
                <w:szCs w:val="18"/>
              </w:rPr>
              <w:t>锐、郑晓武、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周荣、周旭 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0" w:lineRule="auto"/>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 价承诺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、触发公司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董事及高级 管理人员实 施稳定股价 方案的条件 在公司股票 自挂牌上市 之日起三年 内，一旦出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个交易日公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司股票收盘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最近一期报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告期期末公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资产，如最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近一期报告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期期末财务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数据公告后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至下一报告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期期末财务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数据公告前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期间因分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转增等情况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导致公司股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份或权益发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生变化时，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则为经调整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后的每股净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0"/>
                <w:sz w:val="18"/>
                <w:szCs w:val="18"/>
              </w:rPr>
              <w:t>，</w:t>
            </w:r>
            <w:r>
              <w:rPr>
                <w:rFonts w:ascii="宋体" w:hAnsi="宋体" w:cs="宋体" w:eastAsia="宋体" w:hint="default"/>
                <w:sz w:val="18"/>
                <w:szCs w:val="18"/>
              </w:rPr>
              <w:t>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情形，且出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控制人增持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公司股份方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案实施期限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届满之日后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理人员将按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法规的规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定，增持公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实施稳定股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价方案的程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序（</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管理于触发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其实施稳定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日内通知公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司董事会增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的计划，并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布增持公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司董事及高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级管理将在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增持公告发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布之日起次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日开始启动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增持，并应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易日内实施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完毕。</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方式为集中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竞价交易方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式、要约方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式或证券监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督管理部门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认可的其他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持股份不会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导致公司的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股权分布不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符合上市条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下，单次用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于增持的资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金总额不低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于在担任公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期间上一会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计年度从公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司处领取的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税后薪酬累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，单一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年度用以稳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定股价所动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用的资金应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不超过在担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上一会计年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度从公司处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领取的税后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薪酬累计额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如果股份增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前或实施过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程中，公司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股票价格连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均高于公司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管理人员可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不再继续实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施该方案。</w:t>
            </w:r>
            <w:r>
              <w:rPr>
                <w:rFonts w:ascii="Times New Roman" w:hAnsi="Times New Roman" w:cs="Times New Roman" w:eastAsia="Times New Roman" w:hint="default"/>
                <w:spacing w:val="-11"/>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自承诺函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签署之日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3" w:right="11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起，本人及 本人控制的 公司将不开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发、生产、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销售任何与</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1016" w:header="907" w:top="1100" w:bottom="1200" w:left="1020" w:right="0"/>
          <w:pgNumType w:start="6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科蓝软件生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产的产品构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的产品，不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科蓝软件经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的业务，也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不参与投资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任何与科蓝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软件生产的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产品或经营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并保证本人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及与本人关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系密切的家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庭成员不直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事、参与或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进行与科蓝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软件的生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自承诺函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起，如科蓝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软件进一步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拓展产品和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将不与科蓝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软件拓展后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的产品或业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务相竞争；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若与科蓝软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件拓展后的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产品或业务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产生竞争，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则本人及本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司将以停止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生产或经营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务或产品的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将相竞争的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业务纳入到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科蓝软件经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或者将相竞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争的业务转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关系的第三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方的方式避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争；</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愿意承担由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承诺给科蓝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失、索赔责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任及额外的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在本人及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公司与科蓝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软件存在关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联关系期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函有效。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王安京、郑</w:t>
            </w: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sz w:val="18"/>
                <w:szCs w:val="18"/>
              </w:rPr>
              <w:t>仁寰、李国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不存在虚假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公开发行招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2"/>
              <w:jc w:val="left"/>
              <w:rPr>
                <w:rFonts w:ascii="宋体" w:hAnsi="宋体" w:cs="宋体" w:eastAsia="宋体" w:hint="default"/>
                <w:sz w:val="18"/>
                <w:szCs w:val="18"/>
              </w:rPr>
            </w:pPr>
            <w:r>
              <w:rPr>
                <w:rFonts w:ascii="宋体" w:hAnsi="宋体" w:cs="宋体" w:eastAsia="宋体" w:hint="default"/>
                <w:spacing w:val="-14"/>
                <w:sz w:val="18"/>
                <w:szCs w:val="18"/>
              </w:rPr>
              <w:t>庆、马朝松、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王方圆、王 缉志、杨栋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11"/>
              <w:jc w:val="both"/>
              <w:rPr>
                <w:rFonts w:ascii="宋体" w:hAnsi="宋体" w:cs="宋体" w:eastAsia="宋体" w:hint="default"/>
                <w:sz w:val="18"/>
                <w:szCs w:val="18"/>
              </w:rPr>
            </w:pPr>
            <w:r>
              <w:rPr>
                <w:rFonts w:ascii="宋体" w:hAnsi="宋体" w:cs="宋体" w:eastAsia="宋体" w:hint="default"/>
                <w:sz w:val="18"/>
                <w:szCs w:val="18"/>
              </w:rPr>
              <w:t>记载、误导 性陈述或重 大遗漏的承</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both"/>
              <w:rPr>
                <w:rFonts w:ascii="宋体" w:hAnsi="宋体" w:cs="宋体" w:eastAsia="宋体" w:hint="default"/>
                <w:sz w:val="18"/>
                <w:szCs w:val="18"/>
              </w:rPr>
            </w:pPr>
            <w:r>
              <w:rPr>
                <w:rFonts w:ascii="宋体" w:hAnsi="宋体" w:cs="宋体" w:eastAsia="宋体" w:hint="default"/>
                <w:sz w:val="18"/>
                <w:szCs w:val="18"/>
              </w:rPr>
              <w:t>股说明书不 存在虚假记 载、误导性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88" w:right="0"/>
              <w:jc w:val="center"/>
              <w:rPr>
                <w:rFonts w:ascii="宋体" w:hAnsi="宋体" w:cs="宋体" w:eastAsia="宋体" w:hint="default"/>
                <w:sz w:val="18"/>
                <w:szCs w:val="18"/>
              </w:rPr>
            </w:pPr>
            <w:r>
              <w:rPr>
                <w:rFonts w:ascii="宋体" w:hAnsi="宋体" w:cs="宋体" w:eastAsia="宋体" w:hint="default"/>
                <w:sz w:val="18"/>
                <w:szCs w:val="18"/>
              </w:rPr>
              <w:t>锐</w:t>
            </w:r>
            <w:r>
              <w:rPr>
                <w:rFonts w:ascii="宋体" w:hAnsi="宋体" w:cs="宋体" w:eastAsia="宋体" w:hint="default"/>
                <w:spacing w:val="-82"/>
                <w:sz w:val="18"/>
                <w:szCs w:val="18"/>
              </w:rPr>
              <w:t>、</w:t>
            </w:r>
            <w:r>
              <w:rPr>
                <w:rFonts w:ascii="宋体" w:hAnsi="宋体" w:cs="宋体" w:eastAsia="宋体" w:hint="default"/>
                <w:sz w:val="18"/>
                <w:szCs w:val="18"/>
              </w:rPr>
              <w:t>郑晓武、</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周海朗、宋</w:t>
            </w: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大遗漏。</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建彪</w:t>
            </w:r>
            <w:r>
              <w:rPr>
                <w:rFonts w:ascii="宋体" w:hAnsi="宋体" w:cs="宋体" w:eastAsia="宋体" w:hint="default"/>
                <w:spacing w:val="-82"/>
                <w:sz w:val="18"/>
                <w:szCs w:val="18"/>
              </w:rPr>
              <w:t>、</w:t>
            </w:r>
            <w:r>
              <w:rPr>
                <w:rFonts w:ascii="宋体" w:hAnsi="宋体" w:cs="宋体" w:eastAsia="宋体" w:hint="default"/>
                <w:sz w:val="18"/>
                <w:szCs w:val="18"/>
              </w:rPr>
              <w:t>周荣、</w:t>
            </w: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如公司本次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损失的，本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人将在该等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违法事实被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认定后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天内依法赔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偿投资者损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一）利润分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配的原则：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公司实施连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续、稳定的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策，公司利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润分配应重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视对投资者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的合理投资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回报，并兼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顾公司的可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持续发展。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11"/>
              <w:jc w:val="both"/>
              <w:rPr>
                <w:rFonts w:ascii="宋体" w:hAnsi="宋体" w:cs="宋体" w:eastAsia="宋体" w:hint="default"/>
                <w:sz w:val="18"/>
                <w:szCs w:val="18"/>
              </w:rPr>
            </w:pPr>
            <w:r>
              <w:rPr>
                <w:rFonts w:ascii="宋体" w:hAnsi="宋体" w:cs="宋体" w:eastAsia="宋体" w:hint="default"/>
                <w:sz w:val="18"/>
                <w:szCs w:val="18"/>
              </w:rPr>
              <w:t>关于执行利 润分配的承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both"/>
              <w:rPr>
                <w:rFonts w:ascii="宋体" w:hAnsi="宋体" w:cs="宋体" w:eastAsia="宋体" w:hint="default"/>
                <w:sz w:val="18"/>
                <w:szCs w:val="18"/>
              </w:rPr>
            </w:pPr>
            <w:r>
              <w:rPr>
                <w:rFonts w:ascii="宋体" w:hAnsi="宋体" w:cs="宋体" w:eastAsia="宋体" w:hint="default"/>
                <w:sz w:val="18"/>
                <w:szCs w:val="18"/>
              </w:rPr>
              <w:t>在满足公司 正常生产经 营的资金需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求情况下，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如无重大投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资计划或重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大现金支出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等事项发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生，公司将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积极采取现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利润分配的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可以采用现</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金、股票、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现金与股票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相结合或者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法律法规允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许的其他方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方式的分配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顺序上现金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分红优先于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具备现金分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公司应当优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先采用现金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分红进行利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每年以现金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方式分配的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利润应不低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于当年实现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的可分配利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其中，公司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实施现金分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红时须同时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满足下列条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司该年度实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现的可分配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司弥补亏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损、提取公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积金后所余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的税后利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80"/>
                <w:sz w:val="18"/>
                <w:szCs w:val="18"/>
              </w:rPr>
              <w:t>）</w:t>
            </w:r>
            <w:r>
              <w:rPr>
                <w:rFonts w:ascii="宋体" w:hAnsi="宋体" w:cs="宋体" w:eastAsia="宋体" w:hint="default"/>
                <w:sz w:val="18"/>
                <w:szCs w:val="18"/>
              </w:rPr>
              <w:t>为正值、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且现金流充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裕，实施现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金分红不会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影响公司后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续持续经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计机构对公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司的该年度</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财务报告出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具标准无保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留意见的审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三）公司应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保持利润分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配政策的连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续性与稳定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性，并综合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考虑所处行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业特点、发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展阶段、自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身经营模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式、盈利水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平以及是否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支出安排等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因素，制定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以下差异化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政策</w:t>
            </w:r>
            <w:r>
              <w:rPr>
                <w:rFonts w:ascii="宋体" w:hAnsi="宋体" w:cs="宋体" w:eastAsia="宋体" w:hint="default"/>
                <w:spacing w:val="-84"/>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4"/>
                <w:sz w:val="18"/>
                <w:szCs w:val="18"/>
              </w:rPr>
              <w:t>、</w:t>
            </w:r>
            <w:r>
              <w:rPr>
                <w:rFonts w:ascii="宋体" w:hAnsi="宋体" w:cs="宋体" w:eastAsia="宋体" w:hint="default"/>
                <w:sz w:val="18"/>
                <w:szCs w:val="18"/>
              </w:rPr>
              <w:t>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段属成熟期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且无重大资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的，进行利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当公司发展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阶段属成熟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期且有重大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资金支出安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40%;3</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宋体" w:hAnsi="宋体" w:cs="宋体" w:eastAsia="宋体" w:hint="default"/>
                <w:sz w:val="18"/>
                <w:szCs w:val="18"/>
              </w:rPr>
              <w:t>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段属成长期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的，进行利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不易区分但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的，可以按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照前项规定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在符合现金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分红条件情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况下，公司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原则上每年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进行一次现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金分红，公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司董事会可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以根据公司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的盈利状况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及资金需求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状况提议公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司进行中期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五）公司可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以根据年度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的盈利情况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及现金流状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况，在保证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最低现金分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红比例和公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司股本规模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及股权结构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合理的前提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下，注重股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本扩张与业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绩增长保持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同步，在确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保足额现金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股利分配的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前提下，公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司可以另行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采取股票股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利分配的方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配不得超过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累计可分配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利润的范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围，不得损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害公司持续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经营能力。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七）公司每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年利润分配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预案由公司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管理层、董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事会结合公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定、盈利情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况、资金需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求和股东回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报规划提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出、拟定，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经董事会审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议通过后提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批准。董事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事和符合一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定条件的股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东可以向公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司股东征集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其在股东大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会上的投票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事应对利润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分配预案独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立发表意见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并公开披</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pacing w:val="-9"/>
                <w:sz w:val="18"/>
                <w:szCs w:val="18"/>
              </w:rPr>
              <w:t>露。</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八）董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事会审议现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金分红具体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方案时，应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当认真研究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和论证公司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时机、条件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和最低比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例、调整的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条件及其决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策程序要求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等事宜，独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立董事应当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发表明确意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见。</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九）股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东大会对现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金分红具体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方案进行审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议时，应当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通过多种渠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道主动与股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东特别是中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小股东进行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沟通和交流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限于提供网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络投票表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决、邀请中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小股东参会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89"/>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充分听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取中小股东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的意见和诉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求，并及时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答复中小股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东关心的问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题。分红预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案应由出席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股东大会的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代理人以所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持二分之一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以上的表决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权通过。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十）公司年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度盈利，管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理层、董事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会未提出、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拟定现金分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红预案的，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管理层需就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此向董事会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提交详细的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包括未分红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的原因、未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用于分红的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资金留存公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司的用途和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使用计划，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并由独立董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事对利润分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配预案发表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独立意见并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通过后提交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股东大会通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过现场或网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络投票的方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式审议批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准，并由董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事会向股东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大会做出情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况说明。</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一）监事会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应对董事会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和管理层执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行公司利润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分配政策和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股东回报规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划的情况及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决策程序进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行监督，并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应对年度内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盈利但未提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的预案，就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相关政策、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规划执行情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况发表专项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说明和意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公司应严格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按照有关规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定在定期报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告中披露利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润分配预案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政策执行情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况，说明是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否符合公司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章程的规定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会决议的要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求，分红标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准和比例是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否明确和清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晰，相关的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决策程序和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机制是否完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备，独立董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事是否尽职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履责并发挥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了应有的作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东是否有充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分表达意见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和诉求的机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益是否得到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充分维护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等。对现金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分红政策进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行调整或变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更的，还要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详细说明调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整或变更的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条件和程序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是否合规和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透明等。若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1016" w:header="907" w:top="1100" w:bottom="1200" w:left="1020" w:right="0"/>
          <w:pgNumType w:start="7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公司年度盈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利但未提出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案，应在年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报中详细说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明未分红的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原因、未用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于分红的资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金留存公司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的用途和使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用计划。</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三）公司应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当严格执行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公司章程确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定的现金分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红政策以及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股东大会审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1"/>
                <w:sz w:val="18"/>
                <w:szCs w:val="18"/>
              </w:rPr>
              <w:t> </w:t>
            </w:r>
            <w:r>
              <w:rPr>
                <w:rFonts w:ascii="宋体" w:hAnsi="宋体" w:cs="宋体" w:eastAsia="宋体" w:hint="default"/>
                <w:sz w:val="18"/>
                <w:szCs w:val="18"/>
              </w:rPr>
              <w:t>批准的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现金分红具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体方案。公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司根据生产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经营情况、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投资规划和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长期发展的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需要</w:t>
            </w:r>
            <w:r>
              <w:rPr>
                <w:rFonts w:ascii="宋体" w:hAnsi="宋体" w:cs="宋体" w:eastAsia="宋体" w:hint="default"/>
                <w:spacing w:val="1"/>
                <w:sz w:val="18"/>
                <w:szCs w:val="18"/>
              </w:rPr>
              <w:t> </w:t>
            </w:r>
            <w:r>
              <w:rPr>
                <w:rFonts w:ascii="宋体" w:hAnsi="宋体" w:cs="宋体" w:eastAsia="宋体" w:hint="default"/>
                <w:sz w:val="18"/>
                <w:szCs w:val="18"/>
              </w:rPr>
              <w:t>或因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外部经营环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境发生重大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变化，确需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调整利润分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配政策和股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东回报规划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0"/>
                <w:sz w:val="18"/>
                <w:szCs w:val="18"/>
              </w:rPr>
              <w:t>，</w:t>
            </w:r>
            <w:r>
              <w:rPr>
                <w:rFonts w:ascii="宋体" w:hAnsi="宋体" w:cs="宋体" w:eastAsia="宋体" w:hint="default"/>
                <w:sz w:val="18"/>
                <w:szCs w:val="18"/>
              </w:rPr>
              <w:t>调</w:t>
            </w:r>
            <w:r>
              <w:rPr>
                <w:rFonts w:ascii="宋体" w:hAnsi="宋体" w:cs="宋体" w:eastAsia="宋体" w:hint="default"/>
                <w:spacing w:val="-2"/>
                <w:sz w:val="18"/>
                <w:szCs w:val="18"/>
              </w:rPr>
              <w:t> </w:t>
            </w:r>
            <w:r>
              <w:rPr>
                <w:rFonts w:ascii="宋体" w:hAnsi="宋体" w:cs="宋体" w:eastAsia="宋体" w:hint="default"/>
                <w:sz w:val="18"/>
                <w:szCs w:val="18"/>
              </w:rPr>
              <w:t>整后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政策不得违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反相关法律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法规、规范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性文件、公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关规定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关调整利润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分配政策的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议案，由独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立董事、监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事会发表意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见，经公司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议后提交公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批准，并经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出席股东大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会的股东所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持表决权的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过。公司同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时应当提供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网络投票方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式以方便中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小股东参与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股东大会表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决</w:t>
            </w:r>
            <w:r>
              <w:rPr>
                <w:rFonts w:ascii="宋体" w:hAnsi="宋体" w:cs="宋体" w:eastAsia="宋体" w:hint="default"/>
                <w:spacing w:val="-80"/>
                <w:sz w:val="18"/>
                <w:szCs w:val="18"/>
              </w:rPr>
              <w:t>。</w:t>
            </w:r>
            <w:r>
              <w:rPr>
                <w:rFonts w:ascii="宋体" w:hAnsi="宋体" w:cs="宋体" w:eastAsia="宋体" w:hint="default"/>
                <w:sz w:val="18"/>
                <w:szCs w:val="18"/>
              </w:rPr>
              <w:t>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符合一定条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件的股东可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以向公司股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东征集其在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股东大会上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的投票权。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十四）存在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股东违规占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用公司资金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情况的，公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司应当扣减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该股东所分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配的</w:t>
            </w:r>
            <w:r>
              <w:rPr>
                <w:rFonts w:ascii="宋体" w:hAnsi="宋体" w:cs="宋体" w:eastAsia="宋体" w:hint="default"/>
                <w:spacing w:val="1"/>
                <w:sz w:val="18"/>
                <w:szCs w:val="18"/>
              </w:rPr>
              <w:t> </w:t>
            </w:r>
            <w:r>
              <w:rPr>
                <w:rFonts w:ascii="宋体" w:hAnsi="宋体" w:cs="宋体" w:eastAsia="宋体" w:hint="default"/>
                <w:sz w:val="18"/>
                <w:szCs w:val="18"/>
              </w:rPr>
              <w:t>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红利，以偿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还其占用的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为降低本次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公开发行摊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薄即期回报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的影响，公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11"/>
              <w:jc w:val="both"/>
              <w:rPr>
                <w:rFonts w:ascii="宋体" w:hAnsi="宋体" w:cs="宋体" w:eastAsia="宋体" w:hint="default"/>
                <w:sz w:val="18"/>
                <w:szCs w:val="18"/>
              </w:rPr>
            </w:pPr>
            <w:r>
              <w:rPr>
                <w:rFonts w:ascii="宋体" w:hAnsi="宋体" w:cs="宋体" w:eastAsia="宋体" w:hint="default"/>
                <w:sz w:val="18"/>
                <w:szCs w:val="18"/>
              </w:rPr>
              <w:t>填补被摊薄 即期回报的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11"/>
              <w:jc w:val="both"/>
              <w:rPr>
                <w:rFonts w:ascii="宋体" w:hAnsi="宋体" w:cs="宋体" w:eastAsia="宋体" w:hint="default"/>
                <w:sz w:val="18"/>
                <w:szCs w:val="18"/>
              </w:rPr>
            </w:pPr>
            <w:r>
              <w:rPr>
                <w:rFonts w:ascii="宋体" w:hAnsi="宋体" w:cs="宋体" w:eastAsia="宋体" w:hint="default"/>
                <w:sz w:val="18"/>
                <w:szCs w:val="18"/>
              </w:rPr>
              <w:t>司将通过加 大互联网银 行类产品市</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场为降低本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摊薄即期回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报的影响，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公司将通过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加大互联网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银行类产品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市场开拓力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度，强化募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集资金管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理，加快募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投项目建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设，争取早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日实现项目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预期收益，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强化投资者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回报机制及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权益保护等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综合措施提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高公司盈利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能力，增厚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未来收益，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以填补股东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被摊薄的即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期回报。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关于首次公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摊薄即期回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报采取填补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函，公司董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12"/>
              <w:jc w:val="left"/>
              <w:rPr>
                <w:rFonts w:ascii="宋体" w:hAnsi="宋体" w:cs="宋体" w:eastAsia="宋体" w:hint="default"/>
                <w:sz w:val="18"/>
                <w:szCs w:val="18"/>
              </w:rPr>
            </w:pPr>
            <w:r>
              <w:rPr>
                <w:rFonts w:ascii="宋体" w:hAnsi="宋体" w:cs="宋体" w:eastAsia="宋体" w:hint="default"/>
                <w:sz w:val="18"/>
                <w:szCs w:val="18"/>
              </w:rPr>
              <w:t>王安京、郑 仁寰、李国 </w:t>
            </w:r>
            <w:r>
              <w:rPr>
                <w:rFonts w:ascii="宋体" w:hAnsi="宋体" w:cs="宋体" w:eastAsia="宋体" w:hint="default"/>
                <w:spacing w:val="-14"/>
                <w:sz w:val="18"/>
                <w:szCs w:val="18"/>
              </w:rPr>
              <w:t>庆、马朝松、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王方圆、王 缉志、杨栋 </w:t>
            </w:r>
            <w:r>
              <w:rPr>
                <w:rFonts w:ascii="宋体" w:hAnsi="宋体" w:cs="宋体" w:eastAsia="宋体" w:hint="default"/>
                <w:spacing w:val="-14"/>
                <w:sz w:val="18"/>
                <w:szCs w:val="18"/>
              </w:rPr>
              <w:t>锐、郑晓武、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周荣、周旭 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both"/>
              <w:rPr>
                <w:rFonts w:ascii="宋体" w:hAnsi="宋体" w:cs="宋体" w:eastAsia="宋体" w:hint="default"/>
                <w:sz w:val="18"/>
                <w:szCs w:val="18"/>
              </w:rPr>
            </w:pPr>
            <w:r>
              <w:rPr>
                <w:rFonts w:ascii="宋体" w:hAnsi="宋体" w:cs="宋体" w:eastAsia="宋体" w:hint="default"/>
                <w:sz w:val="18"/>
                <w:szCs w:val="18"/>
              </w:rPr>
              <w:t>理人员承诺 </w:t>
            </w:r>
            <w:r>
              <w:rPr>
                <w:rFonts w:ascii="宋体" w:hAnsi="宋体" w:cs="宋体" w:eastAsia="宋体" w:hint="default"/>
                <w:spacing w:val="-14"/>
                <w:sz w:val="18"/>
                <w:szCs w:val="18"/>
              </w:rPr>
              <w:t>如下：</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诺不无偿或 以不公平条 件向其他单 位或者个人 输送利益， 也不采用其 他方式损害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公司利益。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承诺对董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事和高级管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理人员的职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务消费行为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进行约束。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承诺不动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用公司资产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从事与其履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行职责无关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的投资、消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承诺由董事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会或薪酬委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4"/>
                <w:sz w:val="18"/>
                <w:szCs w:val="18"/>
              </w:rPr>
              <w:t>钩。</w:t>
            </w: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司未来实施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股权激励方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案，承诺未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来股权激励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方案的行权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条件将与公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司填补回报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措施的执行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制人王安京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出具承诺：</w:t>
            </w:r>
            <w:r>
              <w:rPr>
                <w:rFonts w:ascii="Times New Roman" w:hAnsi="Times New Roman" w:cs="Times New Roman" w:eastAsia="Times New Roman" w:hint="default"/>
                <w:spacing w:val="-11"/>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科蓝软件在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本次发行上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市之前未为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员工缴纳或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未按时、足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1"/>
              <w:jc w:val="both"/>
              <w:rPr>
                <w:rFonts w:ascii="宋体" w:hAnsi="宋体" w:cs="宋体" w:eastAsia="宋体" w:hint="default"/>
                <w:sz w:val="18"/>
                <w:szCs w:val="18"/>
              </w:rPr>
            </w:pPr>
            <w:r>
              <w:rPr>
                <w:rFonts w:ascii="宋体" w:hAnsi="宋体" w:cs="宋体" w:eastAsia="宋体" w:hint="default"/>
                <w:sz w:val="18"/>
                <w:szCs w:val="18"/>
              </w:rPr>
              <w:t>额缴纳社会 保险、住房 公积金而被</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27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政府部门处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以罚款、滞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纳金或被员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工要求承担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经济补偿、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赔偿，或使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科蓝软件或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其子公司产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生其他任何</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费用或支出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的，由本人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承担相应的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经济赔偿责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w:t>
            </w:r>
            <w:r>
              <w:rPr>
                <w:rFonts w:ascii="宋体" w:hAnsi="宋体" w:cs="宋体" w:eastAsia="宋体" w:hint="default"/>
                <w:spacing w:val="-80"/>
                <w:sz w:val="18"/>
                <w:szCs w:val="18"/>
              </w:rPr>
              <w:t>，</w:t>
            </w:r>
            <w:r>
              <w:rPr>
                <w:rFonts w:ascii="宋体" w:hAnsi="宋体" w:cs="宋体" w:eastAsia="宋体" w:hint="default"/>
                <w:sz w:val="18"/>
                <w:szCs w:val="18"/>
              </w:rPr>
              <w:t>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下一步的工作计划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6"/>
        <w:spacing w:line="259" w:lineRule="auto" w:before="34"/>
        <w:ind w:right="1185"/>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9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4"/>
        <w:spacing w:line="312" w:lineRule="exact" w:before="125"/>
        <w:ind w:right="1034"/>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4"/>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pStyle w:val="Heading6"/>
        <w:spacing w:line="240" w:lineRule="auto"/>
        <w:ind w:left="535" w:right="0"/>
        <w:jc w:val="left"/>
        <w:rPr>
          <w:b w:val="0"/>
          <w:bCs w:val="0"/>
        </w:rPr>
      </w:pPr>
      <w:r>
        <w:rPr/>
        <w:t>会计政策变更</w:t>
      </w:r>
      <w:r>
        <w:rPr>
          <w:b w:val="0"/>
          <w:bCs w:val="0"/>
        </w:rPr>
      </w:r>
    </w:p>
    <w:p>
      <w:pPr>
        <w:pStyle w:val="BodyText"/>
        <w:spacing w:line="240" w:lineRule="auto" w:before="157"/>
        <w:ind w:left="532" w:right="0"/>
        <w:jc w:val="left"/>
      </w:pPr>
      <w:r>
        <w:rPr/>
        <w:t>（1）执行新金融工具准则</w:t>
      </w:r>
    </w:p>
    <w:p>
      <w:pPr>
        <w:pStyle w:val="BodyText"/>
        <w:spacing w:line="273" w:lineRule="auto" w:before="37"/>
        <w:ind w:right="1132" w:firstLine="420"/>
        <w:jc w:val="left"/>
      </w:pPr>
      <w:r>
        <w:rPr>
          <w:spacing w:val="-1"/>
          <w:w w:val="99"/>
        </w:rPr>
        <w:t>本</w:t>
      </w:r>
      <w:r>
        <w:rPr>
          <w:spacing w:val="2"/>
          <w:w w:val="99"/>
        </w:rPr>
        <w:t>公</w:t>
      </w:r>
      <w:r>
        <w:rPr>
          <w:spacing w:val="-1"/>
          <w:w w:val="99"/>
        </w:rPr>
        <w:t>司</w:t>
      </w:r>
      <w:r>
        <w:rPr>
          <w:spacing w:val="2"/>
          <w:w w:val="99"/>
        </w:rPr>
        <w:t>自</w:t>
      </w:r>
      <w:r>
        <w:rPr>
          <w:spacing w:val="1"/>
          <w:w w:val="99"/>
        </w:rPr>
        <w:t>201</w:t>
      </w:r>
      <w:r>
        <w:rPr>
          <w:spacing w:val="-2"/>
          <w:w w:val="99"/>
        </w:rPr>
        <w:t>9</w:t>
      </w:r>
      <w:r>
        <w:rPr>
          <w:spacing w:val="2"/>
          <w:w w:val="99"/>
        </w:rPr>
        <w:t>年</w:t>
      </w:r>
      <w:r>
        <w:rPr>
          <w:spacing w:val="1"/>
          <w:w w:val="99"/>
        </w:rPr>
        <w:t>1</w:t>
      </w:r>
      <w:r>
        <w:rPr>
          <w:spacing w:val="-1"/>
          <w:w w:val="99"/>
        </w:rPr>
        <w:t>月</w:t>
      </w:r>
      <w:r>
        <w:rPr>
          <w:spacing w:val="1"/>
          <w:w w:val="99"/>
        </w:rPr>
        <w:t>1</w:t>
      </w:r>
      <w:r>
        <w:rPr>
          <w:spacing w:val="-1"/>
          <w:w w:val="99"/>
        </w:rPr>
        <w:t>日</w:t>
      </w:r>
      <w:r>
        <w:rPr>
          <w:spacing w:val="2"/>
          <w:w w:val="99"/>
        </w:rPr>
        <w:t>起</w:t>
      </w:r>
      <w:r>
        <w:rPr>
          <w:spacing w:val="-1"/>
          <w:w w:val="99"/>
        </w:rPr>
        <w:t>执</w:t>
      </w:r>
      <w:r>
        <w:rPr>
          <w:spacing w:val="2"/>
          <w:w w:val="99"/>
        </w:rPr>
        <w:t>行</w:t>
      </w:r>
      <w:r>
        <w:rPr>
          <w:spacing w:val="-1"/>
          <w:w w:val="99"/>
        </w:rPr>
        <w:t>财</w:t>
      </w:r>
      <w:r>
        <w:rPr>
          <w:spacing w:val="2"/>
          <w:w w:val="99"/>
        </w:rPr>
        <w:t>政</w:t>
      </w:r>
      <w:r>
        <w:rPr>
          <w:spacing w:val="-1"/>
          <w:w w:val="99"/>
        </w:rPr>
        <w:t>部</w:t>
      </w:r>
      <w:r>
        <w:rPr>
          <w:spacing w:val="1"/>
          <w:w w:val="99"/>
        </w:rPr>
        <w:t>201</w:t>
      </w:r>
      <w:r>
        <w:rPr>
          <w:spacing w:val="-2"/>
          <w:w w:val="99"/>
        </w:rPr>
        <w:t>7</w:t>
      </w:r>
      <w:r>
        <w:rPr>
          <w:spacing w:val="-1"/>
          <w:w w:val="99"/>
        </w:rPr>
        <w:t>年</w:t>
      </w:r>
      <w:r>
        <w:rPr>
          <w:spacing w:val="2"/>
          <w:w w:val="99"/>
        </w:rPr>
        <w:t>修</w:t>
      </w:r>
      <w:r>
        <w:rPr>
          <w:spacing w:val="-1"/>
          <w:w w:val="99"/>
        </w:rPr>
        <w:t>订</w:t>
      </w:r>
      <w:r>
        <w:rPr>
          <w:spacing w:val="-61"/>
          <w:w w:val="99"/>
        </w:rPr>
        <w:t>的</w:t>
      </w:r>
      <w:r>
        <w:rPr>
          <w:spacing w:val="-1"/>
          <w:w w:val="99"/>
        </w:rPr>
        <w:t>《企</w:t>
      </w:r>
      <w:r>
        <w:rPr>
          <w:spacing w:val="2"/>
          <w:w w:val="99"/>
        </w:rPr>
        <w:t>业</w:t>
      </w:r>
      <w:r>
        <w:rPr>
          <w:spacing w:val="-1"/>
          <w:w w:val="99"/>
        </w:rPr>
        <w:t>会</w:t>
      </w:r>
      <w:r>
        <w:rPr>
          <w:spacing w:val="2"/>
          <w:w w:val="99"/>
        </w:rPr>
        <w:t>计</w:t>
      </w:r>
      <w:r>
        <w:rPr>
          <w:spacing w:val="-1"/>
          <w:w w:val="99"/>
        </w:rPr>
        <w:t>准</w:t>
      </w:r>
      <w:r>
        <w:rPr>
          <w:spacing w:val="2"/>
          <w:w w:val="99"/>
        </w:rPr>
        <w:t>则第</w:t>
      </w:r>
      <w:r>
        <w:rPr>
          <w:spacing w:val="1"/>
          <w:w w:val="99"/>
        </w:rPr>
        <w:t>2</w:t>
      </w:r>
      <w:r>
        <w:rPr>
          <w:spacing w:val="-2"/>
          <w:w w:val="99"/>
        </w:rPr>
        <w:t>2</w:t>
      </w:r>
      <w:r>
        <w:rPr>
          <w:spacing w:val="2"/>
          <w:w w:val="99"/>
        </w:rPr>
        <w:t>号</w:t>
      </w:r>
      <w:r>
        <w:rPr>
          <w:spacing w:val="1"/>
          <w:w w:val="99"/>
        </w:rPr>
        <w:t>-</w:t>
      </w:r>
      <w:r>
        <w:rPr>
          <w:spacing w:val="-1"/>
          <w:w w:val="99"/>
        </w:rPr>
        <w:t>金</w:t>
      </w:r>
      <w:r>
        <w:rPr>
          <w:spacing w:val="2"/>
          <w:w w:val="99"/>
        </w:rPr>
        <w:t>融</w:t>
      </w:r>
      <w:r>
        <w:rPr>
          <w:spacing w:val="-1"/>
          <w:w w:val="99"/>
        </w:rPr>
        <w:t>工</w:t>
      </w:r>
      <w:r>
        <w:rPr>
          <w:spacing w:val="2"/>
          <w:w w:val="99"/>
        </w:rPr>
        <w:t>具</w:t>
      </w:r>
      <w:r>
        <w:rPr>
          <w:spacing w:val="-1"/>
          <w:w w:val="99"/>
        </w:rPr>
        <w:t>确</w:t>
      </w:r>
      <w:r>
        <w:rPr>
          <w:spacing w:val="2"/>
          <w:w w:val="99"/>
        </w:rPr>
        <w:t>认</w:t>
      </w:r>
      <w:r>
        <w:rPr>
          <w:spacing w:val="-1"/>
          <w:w w:val="99"/>
        </w:rPr>
        <w:t>和</w:t>
      </w:r>
      <w:r>
        <w:rPr>
          <w:spacing w:val="2"/>
          <w:w w:val="99"/>
        </w:rPr>
        <w:t>计</w:t>
      </w:r>
      <w:r>
        <w:rPr>
          <w:spacing w:val="-1"/>
          <w:w w:val="99"/>
        </w:rPr>
        <w:t>量</w:t>
      </w:r>
      <w:r>
        <w:rPr>
          <w:spacing w:val="-104"/>
          <w:w w:val="99"/>
        </w:rPr>
        <w:t>》</w:t>
      </w:r>
      <w:r>
        <w:rPr>
          <w:spacing w:val="-169"/>
          <w:w w:val="99"/>
        </w:rPr>
        <w:t>、</w:t>
      </w:r>
      <w:r>
        <w:rPr>
          <w:spacing w:val="2"/>
          <w:w w:val="99"/>
        </w:rPr>
        <w:t>《</w:t>
      </w:r>
      <w:r>
        <w:rPr>
          <w:w w:val="99"/>
        </w:rPr>
        <w:t>企</w:t>
      </w:r>
      <w:r>
        <w:rPr>
          <w:w w:val="99"/>
        </w:rPr>
        <w:t> </w:t>
      </w:r>
      <w:r>
        <w:rPr>
          <w:spacing w:val="-1"/>
          <w:w w:val="99"/>
        </w:rPr>
        <w:t>业</w:t>
      </w:r>
      <w:r>
        <w:rPr>
          <w:spacing w:val="2"/>
          <w:w w:val="99"/>
        </w:rPr>
        <w:t>会</w:t>
      </w:r>
      <w:r>
        <w:rPr>
          <w:spacing w:val="-1"/>
          <w:w w:val="99"/>
        </w:rPr>
        <w:t>计</w:t>
      </w:r>
      <w:r>
        <w:rPr>
          <w:spacing w:val="2"/>
          <w:w w:val="99"/>
        </w:rPr>
        <w:t>准</w:t>
      </w:r>
      <w:r>
        <w:rPr>
          <w:spacing w:val="-1"/>
          <w:w w:val="99"/>
        </w:rPr>
        <w:t>则</w:t>
      </w:r>
      <w:r>
        <w:rPr>
          <w:spacing w:val="2"/>
          <w:w w:val="99"/>
        </w:rPr>
        <w:t>第</w:t>
      </w:r>
      <w:r>
        <w:rPr>
          <w:spacing w:val="1"/>
          <w:w w:val="99"/>
        </w:rPr>
        <w:t>23</w:t>
      </w:r>
      <w:r>
        <w:rPr>
          <w:spacing w:val="-1"/>
          <w:w w:val="99"/>
        </w:rPr>
        <w:t>号</w:t>
      </w:r>
      <w:r>
        <w:rPr>
          <w:spacing w:val="1"/>
          <w:w w:val="99"/>
        </w:rPr>
        <w:t>-</w:t>
      </w:r>
      <w:r>
        <w:rPr>
          <w:spacing w:val="-1"/>
          <w:w w:val="99"/>
        </w:rPr>
        <w:t>金</w:t>
      </w:r>
      <w:r>
        <w:rPr>
          <w:spacing w:val="2"/>
          <w:w w:val="99"/>
        </w:rPr>
        <w:t>融</w:t>
      </w:r>
      <w:r>
        <w:rPr>
          <w:spacing w:val="-1"/>
          <w:w w:val="99"/>
        </w:rPr>
        <w:t>资</w:t>
      </w:r>
      <w:r>
        <w:rPr>
          <w:spacing w:val="2"/>
          <w:w w:val="99"/>
        </w:rPr>
        <w:t>产</w:t>
      </w:r>
      <w:r>
        <w:rPr>
          <w:spacing w:val="-1"/>
          <w:w w:val="99"/>
        </w:rPr>
        <w:t>转</w:t>
      </w:r>
      <w:r>
        <w:rPr>
          <w:spacing w:val="2"/>
          <w:w w:val="99"/>
        </w:rPr>
        <w:t>移</w:t>
      </w:r>
      <w:r>
        <w:rPr>
          <w:spacing w:val="-1"/>
          <w:w w:val="99"/>
        </w:rPr>
        <w:t>》</w:t>
      </w:r>
      <w:r>
        <w:rPr>
          <w:spacing w:val="2"/>
          <w:w w:val="99"/>
        </w:rPr>
        <w:t>和</w:t>
      </w:r>
      <w:r>
        <w:rPr>
          <w:spacing w:val="-1"/>
          <w:w w:val="99"/>
        </w:rPr>
        <w:t>《</w:t>
      </w:r>
      <w:r>
        <w:rPr>
          <w:spacing w:val="2"/>
          <w:w w:val="99"/>
        </w:rPr>
        <w:t>企</w:t>
      </w:r>
      <w:r>
        <w:rPr>
          <w:spacing w:val="-1"/>
          <w:w w:val="99"/>
        </w:rPr>
        <w:t>业</w:t>
      </w:r>
      <w:r>
        <w:rPr>
          <w:spacing w:val="2"/>
          <w:w w:val="99"/>
        </w:rPr>
        <w:t>会</w:t>
      </w:r>
      <w:r>
        <w:rPr>
          <w:spacing w:val="-1"/>
          <w:w w:val="99"/>
        </w:rPr>
        <w:t>计</w:t>
      </w:r>
      <w:r>
        <w:rPr>
          <w:spacing w:val="2"/>
          <w:w w:val="99"/>
        </w:rPr>
        <w:t>准</w:t>
      </w:r>
      <w:r>
        <w:rPr>
          <w:spacing w:val="-1"/>
          <w:w w:val="99"/>
        </w:rPr>
        <w:t>则</w:t>
      </w:r>
      <w:r>
        <w:rPr>
          <w:spacing w:val="2"/>
          <w:w w:val="99"/>
        </w:rPr>
        <w:t>第</w:t>
      </w:r>
      <w:r>
        <w:rPr>
          <w:spacing w:val="1"/>
          <w:w w:val="99"/>
        </w:rPr>
        <w:t>24</w:t>
      </w:r>
      <w:r>
        <w:rPr>
          <w:spacing w:val="-1"/>
          <w:w w:val="99"/>
        </w:rPr>
        <w:t>号</w:t>
      </w:r>
      <w:r>
        <w:rPr>
          <w:spacing w:val="1"/>
          <w:w w:val="99"/>
        </w:rPr>
        <w:t>-</w:t>
      </w:r>
      <w:r>
        <w:rPr>
          <w:spacing w:val="-1"/>
          <w:w w:val="99"/>
        </w:rPr>
        <w:t>套</w:t>
      </w:r>
      <w:r>
        <w:rPr>
          <w:spacing w:val="2"/>
          <w:w w:val="99"/>
        </w:rPr>
        <w:t>期</w:t>
      </w:r>
      <w:r>
        <w:rPr>
          <w:spacing w:val="-1"/>
          <w:w w:val="99"/>
        </w:rPr>
        <w:t>会</w:t>
      </w:r>
      <w:r>
        <w:rPr>
          <w:spacing w:val="2"/>
          <w:w w:val="99"/>
        </w:rPr>
        <w:t>计</w:t>
      </w:r>
      <w:r>
        <w:rPr>
          <w:spacing w:val="-104"/>
          <w:w w:val="99"/>
        </w:rPr>
        <w:t>》</w:t>
      </w:r>
      <w:r>
        <w:rPr>
          <w:spacing w:val="-106"/>
          <w:w w:val="99"/>
        </w:rPr>
        <w:t>、</w:t>
      </w:r>
      <w:r>
        <w:rPr>
          <w:spacing w:val="-1"/>
          <w:w w:val="99"/>
        </w:rPr>
        <w:t>《</w:t>
      </w:r>
      <w:r>
        <w:rPr>
          <w:spacing w:val="2"/>
          <w:w w:val="99"/>
        </w:rPr>
        <w:t>企</w:t>
      </w:r>
      <w:r>
        <w:rPr>
          <w:spacing w:val="-1"/>
          <w:w w:val="99"/>
        </w:rPr>
        <w:t>业</w:t>
      </w:r>
      <w:r>
        <w:rPr>
          <w:spacing w:val="2"/>
          <w:w w:val="99"/>
        </w:rPr>
        <w:t>会</w:t>
      </w:r>
      <w:r>
        <w:rPr>
          <w:spacing w:val="-1"/>
          <w:w w:val="99"/>
        </w:rPr>
        <w:t>计</w:t>
      </w:r>
      <w:r>
        <w:rPr>
          <w:spacing w:val="2"/>
          <w:w w:val="99"/>
        </w:rPr>
        <w:t>准</w:t>
      </w:r>
      <w:r>
        <w:rPr>
          <w:spacing w:val="-1"/>
          <w:w w:val="99"/>
        </w:rPr>
        <w:t>则</w:t>
      </w:r>
      <w:r>
        <w:rPr>
          <w:spacing w:val="2"/>
          <w:w w:val="99"/>
        </w:rPr>
        <w:t>第</w:t>
      </w:r>
      <w:r>
        <w:rPr>
          <w:spacing w:val="1"/>
          <w:w w:val="99"/>
        </w:rPr>
        <w:t>37</w:t>
      </w:r>
      <w:r>
        <w:rPr>
          <w:spacing w:val="-1"/>
          <w:w w:val="99"/>
        </w:rPr>
        <w:t>号</w:t>
      </w:r>
      <w:r>
        <w:rPr>
          <w:spacing w:val="1"/>
          <w:w w:val="99"/>
        </w:rPr>
        <w:t>-</w:t>
      </w:r>
      <w:r>
        <w:rPr>
          <w:spacing w:val="-1"/>
          <w:w w:val="99"/>
        </w:rPr>
        <w:t>金</w:t>
      </w:r>
      <w:r>
        <w:rPr>
          <w:spacing w:val="2"/>
          <w:w w:val="99"/>
        </w:rPr>
        <w:t>融</w:t>
      </w:r>
      <w:r>
        <w:rPr>
          <w:w w:val="99"/>
        </w:rPr>
        <w:t>工</w:t>
      </w:r>
      <w:r>
        <w:rPr>
          <w:w w:val="99"/>
        </w:rPr>
        <w:t> </w:t>
      </w:r>
      <w:r>
        <w:rPr>
          <w:spacing w:val="-1"/>
          <w:w w:val="99"/>
        </w:rPr>
        <w:t>具</w:t>
      </w:r>
      <w:r>
        <w:rPr>
          <w:spacing w:val="2"/>
          <w:w w:val="99"/>
        </w:rPr>
        <w:t>列报</w:t>
      </w:r>
      <w:r>
        <w:rPr>
          <w:spacing w:val="-104"/>
          <w:w w:val="99"/>
        </w:rPr>
        <w:t>》</w:t>
      </w:r>
      <w:r>
        <w:rPr>
          <w:spacing w:val="-1"/>
          <w:w w:val="99"/>
        </w:rPr>
        <w:t>（</w:t>
      </w:r>
      <w:r>
        <w:rPr>
          <w:spacing w:val="2"/>
          <w:w w:val="99"/>
        </w:rPr>
        <w:t>以</w:t>
      </w:r>
      <w:r>
        <w:rPr>
          <w:spacing w:val="-1"/>
          <w:w w:val="99"/>
        </w:rPr>
        <w:t>上</w:t>
      </w:r>
      <w:r>
        <w:rPr>
          <w:spacing w:val="2"/>
          <w:w w:val="99"/>
        </w:rPr>
        <w:t>四</w:t>
      </w:r>
      <w:r>
        <w:rPr>
          <w:spacing w:val="-1"/>
          <w:w w:val="99"/>
        </w:rPr>
        <w:t>项</w:t>
      </w:r>
      <w:r>
        <w:rPr>
          <w:spacing w:val="2"/>
          <w:w w:val="99"/>
        </w:rPr>
        <w:t>统</w:t>
      </w:r>
      <w:r>
        <w:rPr>
          <w:spacing w:val="-1"/>
          <w:w w:val="99"/>
        </w:rPr>
        <w:t>称</w:t>
      </w:r>
      <w:r>
        <w:rPr>
          <w:spacing w:val="1"/>
          <w:w w:val="99"/>
        </w:rPr>
        <w:t>&lt;</w:t>
      </w:r>
      <w:r>
        <w:rPr>
          <w:spacing w:val="-1"/>
          <w:w w:val="99"/>
        </w:rPr>
        <w:t>新</w:t>
      </w:r>
      <w:r>
        <w:rPr>
          <w:spacing w:val="2"/>
          <w:w w:val="99"/>
        </w:rPr>
        <w:t>金</w:t>
      </w:r>
      <w:r>
        <w:rPr>
          <w:spacing w:val="-1"/>
          <w:w w:val="99"/>
        </w:rPr>
        <w:t>融</w:t>
      </w:r>
      <w:r>
        <w:rPr>
          <w:spacing w:val="2"/>
          <w:w w:val="99"/>
        </w:rPr>
        <w:t>工</w:t>
      </w:r>
      <w:r>
        <w:rPr>
          <w:spacing w:val="-1"/>
          <w:w w:val="99"/>
        </w:rPr>
        <w:t>具</w:t>
      </w:r>
      <w:r>
        <w:rPr>
          <w:spacing w:val="2"/>
          <w:w w:val="99"/>
        </w:rPr>
        <w:t>准</w:t>
      </w:r>
      <w:r>
        <w:rPr>
          <w:spacing w:val="-1"/>
          <w:w w:val="99"/>
        </w:rPr>
        <w:t>则</w:t>
      </w:r>
      <w:r>
        <w:rPr>
          <w:spacing w:val="1"/>
          <w:w w:val="99"/>
        </w:rPr>
        <w:t>&gt;</w:t>
      </w:r>
      <w:r>
        <w:rPr>
          <w:spacing w:val="-104"/>
          <w:w w:val="99"/>
        </w:rPr>
        <w:t>）</w:t>
      </w:r>
      <w:r>
        <w:rPr>
          <w:spacing w:val="-1"/>
          <w:w w:val="99"/>
        </w:rPr>
        <w:t>，</w:t>
      </w:r>
      <w:r>
        <w:rPr>
          <w:spacing w:val="2"/>
          <w:w w:val="99"/>
        </w:rPr>
        <w:t>变</w:t>
      </w:r>
      <w:r>
        <w:rPr>
          <w:spacing w:val="-1"/>
          <w:w w:val="99"/>
        </w:rPr>
        <w:t>更</w:t>
      </w:r>
      <w:r>
        <w:rPr>
          <w:spacing w:val="2"/>
          <w:w w:val="99"/>
        </w:rPr>
        <w:t>后</w:t>
      </w:r>
      <w:r>
        <w:rPr>
          <w:spacing w:val="-1"/>
          <w:w w:val="99"/>
        </w:rPr>
        <w:t>的</w:t>
      </w:r>
      <w:r>
        <w:rPr>
          <w:spacing w:val="2"/>
          <w:w w:val="99"/>
        </w:rPr>
        <w:t>会</w:t>
      </w:r>
      <w:r>
        <w:rPr>
          <w:spacing w:val="-1"/>
          <w:w w:val="99"/>
        </w:rPr>
        <w:t>计</w:t>
      </w:r>
      <w:r>
        <w:rPr>
          <w:spacing w:val="2"/>
          <w:w w:val="99"/>
        </w:rPr>
        <w:t>政</w:t>
      </w:r>
      <w:r>
        <w:rPr>
          <w:spacing w:val="-1"/>
          <w:w w:val="99"/>
        </w:rPr>
        <w:t>策</w:t>
      </w:r>
      <w:r>
        <w:rPr>
          <w:spacing w:val="2"/>
          <w:w w:val="99"/>
        </w:rPr>
        <w:t>详</w:t>
      </w:r>
      <w:r>
        <w:rPr>
          <w:spacing w:val="-1"/>
          <w:w w:val="99"/>
        </w:rPr>
        <w:t>见</w:t>
      </w:r>
      <w:r>
        <w:rPr>
          <w:spacing w:val="2"/>
          <w:w w:val="99"/>
        </w:rPr>
        <w:t>附</w:t>
      </w:r>
      <w:r>
        <w:rPr>
          <w:spacing w:val="-1"/>
          <w:w w:val="99"/>
        </w:rPr>
        <w:t>注</w:t>
      </w:r>
      <w:r>
        <w:rPr>
          <w:spacing w:val="2"/>
          <w:w w:val="99"/>
        </w:rPr>
        <w:t>四</w:t>
      </w:r>
      <w:r>
        <w:rPr>
          <w:w w:val="99"/>
        </w:rPr>
        <w:t>。</w:t>
      </w:r>
      <w:r>
        <w:rPr/>
      </w:r>
    </w:p>
    <w:p>
      <w:pPr>
        <w:pStyle w:val="BodyText"/>
        <w:spacing w:line="273" w:lineRule="auto"/>
        <w:ind w:right="1132" w:firstLine="420"/>
        <w:jc w:val="both"/>
      </w:pPr>
      <w:r>
        <w:rPr>
          <w:w w:val="95"/>
        </w:rPr>
        <w:t>于2019年1月1日之前的金融工具确认和计量与新金融工具准则要求不一致的，本公司按照新金融工具</w:t>
      </w:r>
      <w:r>
        <w:rPr>
          <w:w w:val="99"/>
        </w:rPr>
        <w:t> </w:t>
      </w:r>
      <w:r>
        <w:rPr>
          <w:w w:val="95"/>
        </w:rPr>
        <w:t>准则的要求进行衔接调整。涉及前期比较财务报表数据与新金融工具准则要求不一致的，本公司未调整可</w:t>
      </w:r>
      <w:r>
        <w:rPr>
          <w:spacing w:val="40"/>
          <w:w w:val="95"/>
        </w:rPr>
        <w:t> </w:t>
      </w:r>
      <w:r>
        <w:rPr>
          <w:spacing w:val="40"/>
          <w:w w:val="95"/>
        </w:rPr>
      </w:r>
      <w:r>
        <w:rPr>
          <w:w w:val="95"/>
        </w:rPr>
        <w:t>比期间信息。金融工具原账面价值和新金融工具准则施行日的新账面价值之间的差额，计入2019年1月1日</w:t>
      </w:r>
      <w:r>
        <w:rPr/>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532" w:right="2654" w:hanging="420"/>
        <w:jc w:val="left"/>
      </w:pPr>
      <w:r>
        <w:rPr/>
        <w:t>留存收益或其他综合收益。</w:t>
      </w:r>
      <w:r>
        <w:rPr>
          <w:w w:val="99"/>
        </w:rPr>
        <w:t> </w:t>
      </w:r>
      <w:r>
        <w:rPr>
          <w:w w:val="95"/>
        </w:rPr>
        <w:t>执行新金融工具准则对本期期初资产负债表相关项目的影响列示如下：</w:t>
      </w:r>
      <w:r>
        <w:rPr/>
      </w:r>
    </w:p>
    <w:tbl>
      <w:tblPr>
        <w:tblW w:w="0" w:type="auto"/>
        <w:jc w:val="left"/>
        <w:tblInd w:w="106" w:type="dxa"/>
        <w:tblLayout w:type="fixed"/>
        <w:tblCellMar>
          <w:top w:w="0" w:type="dxa"/>
          <w:left w:w="0" w:type="dxa"/>
          <w:bottom w:w="0" w:type="dxa"/>
          <w:right w:w="0" w:type="dxa"/>
        </w:tblCellMar>
        <w:tblLook w:val="01E0"/>
      </w:tblPr>
      <w:tblGrid>
        <w:gridCol w:w="1701"/>
        <w:gridCol w:w="1576"/>
        <w:gridCol w:w="1199"/>
        <w:gridCol w:w="1194"/>
        <w:gridCol w:w="1276"/>
        <w:gridCol w:w="1276"/>
      </w:tblGrid>
      <w:tr>
        <w:trPr>
          <w:trHeight w:val="354" w:hRule="exact"/>
        </w:trPr>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6" w:type="dxa"/>
            <w:vMerge w:val="restart"/>
            <w:tcBorders>
              <w:top w:val="single" w:sz="6" w:space="0" w:color="000000"/>
              <w:left w:val="single" w:sz="6" w:space="0" w:color="000000"/>
              <w:right w:val="single" w:sz="6"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366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276" w:type="dxa"/>
            <w:vMerge w:val="restart"/>
            <w:tcBorders>
              <w:top w:val="single" w:sz="6" w:space="0" w:color="000000"/>
              <w:left w:val="single" w:sz="6" w:space="0" w:color="000000"/>
              <w:right w:val="nil" w:sz="6" w:space="0" w:color="auto"/>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986" w:hRule="exact"/>
        </w:trPr>
        <w:tc>
          <w:tcPr>
            <w:tcW w:w="1701" w:type="dxa"/>
            <w:vMerge/>
            <w:tcBorders>
              <w:left w:val="single" w:sz="6" w:space="0" w:color="000000"/>
              <w:bottom w:val="single" w:sz="12" w:space="0" w:color="000000"/>
              <w:right w:val="single" w:sz="6" w:space="0" w:color="000000"/>
            </w:tcBorders>
          </w:tcPr>
          <w:p>
            <w:pPr/>
          </w:p>
        </w:tc>
        <w:tc>
          <w:tcPr>
            <w:tcW w:w="1576" w:type="dxa"/>
            <w:vMerge/>
            <w:tcBorders>
              <w:left w:val="single" w:sz="6" w:space="0" w:color="000000"/>
              <w:bottom w:val="single" w:sz="12" w:space="0" w:color="000000"/>
              <w:right w:val="single" w:sz="6" w:space="0" w:color="000000"/>
            </w:tcBorders>
          </w:tcPr>
          <w:p>
            <w:pP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230" w:right="233"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p>
            <w:pPr>
              <w:pStyle w:val="TableParagraph"/>
              <w:spacing w:line="240" w:lineRule="auto" w:before="7"/>
              <w:ind w:left="268" w:right="0"/>
              <w:jc w:val="left"/>
              <w:rPr>
                <w:rFonts w:ascii="宋体" w:hAnsi="宋体" w:cs="宋体" w:eastAsia="宋体" w:hint="default"/>
                <w:sz w:val="19"/>
                <w:szCs w:val="19"/>
              </w:rPr>
            </w:pPr>
            <w:r>
              <w:rPr>
                <w:rFonts w:ascii="宋体" w:hAnsi="宋体" w:cs="宋体" w:eastAsia="宋体" w:hint="default"/>
                <w:i/>
                <w:spacing w:val="-47"/>
                <w:sz w:val="19"/>
                <w:szCs w:val="19"/>
              </w:rPr>
              <w:t>（注1）</w:t>
            </w:r>
            <w:r>
              <w:rPr>
                <w:rFonts w:ascii="宋体" w:hAnsi="宋体" w:cs="宋体" w:eastAsia="宋体" w:hint="default"/>
                <w:spacing w:val="-47"/>
                <w:sz w:val="19"/>
                <w:szCs w:val="19"/>
              </w:rPr>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229" w:right="228"/>
              <w:jc w:val="left"/>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7"/>
              <w:ind w:left="266" w:right="0"/>
              <w:jc w:val="left"/>
              <w:rPr>
                <w:rFonts w:ascii="宋体" w:hAnsi="宋体" w:cs="宋体" w:eastAsia="宋体" w:hint="default"/>
                <w:sz w:val="19"/>
                <w:szCs w:val="19"/>
              </w:rPr>
            </w:pPr>
            <w:r>
              <w:rPr>
                <w:rFonts w:ascii="宋体" w:hAnsi="宋体" w:cs="宋体" w:eastAsia="宋体" w:hint="default"/>
                <w:i/>
                <w:spacing w:val="-47"/>
                <w:sz w:val="19"/>
                <w:szCs w:val="19"/>
              </w:rPr>
              <w:t>（注2）</w:t>
            </w:r>
            <w:r>
              <w:rPr>
                <w:rFonts w:ascii="宋体" w:hAnsi="宋体" w:cs="宋体" w:eastAsia="宋体" w:hint="default"/>
                <w:spacing w:val="-47"/>
                <w:sz w:val="19"/>
                <w:szCs w:val="19"/>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tcBorders>
              <w:left w:val="single" w:sz="6" w:space="0" w:color="000000"/>
              <w:bottom w:val="single" w:sz="12" w:space="0" w:color="000000"/>
              <w:right w:val="nil" w:sz="6" w:space="0" w:color="auto"/>
            </w:tcBorders>
          </w:tcPr>
          <w:p>
            <w:pPr/>
          </w:p>
        </w:tc>
      </w:tr>
      <w:tr>
        <w:trPr>
          <w:trHeight w:val="674"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545,859,103.03</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-13,107,795.4</w:t>
            </w:r>
          </w:p>
          <w:p>
            <w:pPr>
              <w:pStyle w:val="TableParagraph"/>
              <w:spacing w:line="240" w:lineRule="auto" w:before="76"/>
              <w:ind w:right="1"/>
              <w:jc w:val="right"/>
              <w:rPr>
                <w:rFonts w:ascii="宋体" w:hAnsi="宋体" w:cs="宋体" w:eastAsia="宋体" w:hint="default"/>
                <w:sz w:val="18"/>
                <w:szCs w:val="18"/>
              </w:rPr>
            </w:pPr>
            <w:r>
              <w:rPr>
                <w:rFonts w:ascii="宋体"/>
                <w:sz w:val="18"/>
              </w:rPr>
              <w:t>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-13,107,795.4</w:t>
            </w:r>
          </w:p>
          <w:p>
            <w:pPr>
              <w:pStyle w:val="TableParagraph"/>
              <w:spacing w:line="240" w:lineRule="auto" w:before="76"/>
              <w:ind w:right="0"/>
              <w:jc w:val="right"/>
              <w:rPr>
                <w:rFonts w:ascii="宋体" w:hAnsi="宋体" w:cs="宋体" w:eastAsia="宋体" w:hint="default"/>
                <w:sz w:val="18"/>
                <w:szCs w:val="18"/>
              </w:rPr>
            </w:pPr>
            <w:r>
              <w:rPr>
                <w:rFonts w:ascii="宋体"/>
                <w:sz w:val="18"/>
              </w:rPr>
              <w:t>7</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532,751,307.5</w:t>
            </w:r>
          </w:p>
          <w:p>
            <w:pPr>
              <w:pStyle w:val="TableParagraph"/>
              <w:spacing w:line="240" w:lineRule="auto" w:before="76"/>
              <w:ind w:right="7"/>
              <w:jc w:val="right"/>
              <w:rPr>
                <w:rFonts w:ascii="宋体" w:hAnsi="宋体" w:cs="宋体" w:eastAsia="宋体" w:hint="default"/>
                <w:sz w:val="18"/>
                <w:szCs w:val="18"/>
              </w:rPr>
            </w:pPr>
            <w:r>
              <w:rPr>
                <w:rFonts w:ascii="宋体"/>
                <w:sz w:val="18"/>
              </w:rPr>
              <w:t>6</w:t>
            </w:r>
          </w:p>
        </w:tc>
      </w:tr>
      <w:tr>
        <w:trPr>
          <w:trHeight w:val="674"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18,736,663.82</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-120,923.10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-120,923.10</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18,615,740.72</w:t>
            </w:r>
          </w:p>
        </w:tc>
      </w:tr>
      <w:tr>
        <w:trPr>
          <w:trHeight w:val="362"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65,378,716.20</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120,923.10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120,923.10</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65,499,639.30</w:t>
            </w:r>
          </w:p>
        </w:tc>
      </w:tr>
      <w:tr>
        <w:trPr>
          <w:trHeight w:val="674"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28,472,058.60</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-28,472,058.6</w:t>
            </w:r>
          </w:p>
          <w:p>
            <w:pPr>
              <w:pStyle w:val="TableParagraph"/>
              <w:spacing w:line="240" w:lineRule="auto" w:before="76"/>
              <w:ind w:right="0"/>
              <w:jc w:val="right"/>
              <w:rPr>
                <w:rFonts w:ascii="宋体" w:hAnsi="宋体" w:cs="宋体" w:eastAsia="宋体" w:hint="default"/>
                <w:sz w:val="18"/>
                <w:szCs w:val="18"/>
              </w:rPr>
            </w:pPr>
            <w:r>
              <w:rPr>
                <w:rFonts w:ascii="宋体"/>
                <w:sz w:val="18"/>
              </w:rPr>
              <w:t>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-28,472,058.6</w:t>
            </w:r>
          </w:p>
          <w:p>
            <w:pPr>
              <w:pStyle w:val="TableParagraph"/>
              <w:spacing w:line="240" w:lineRule="auto" w:before="76"/>
              <w:ind w:right="0"/>
              <w:jc w:val="right"/>
              <w:rPr>
                <w:rFonts w:ascii="宋体" w:hAnsi="宋体" w:cs="宋体" w:eastAsia="宋体" w:hint="default"/>
                <w:sz w:val="18"/>
                <w:szCs w:val="18"/>
              </w:rPr>
            </w:pPr>
            <w:r>
              <w:rPr>
                <w:rFonts w:ascii="宋体"/>
                <w:sz w:val="18"/>
              </w:rPr>
              <w:t>0</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w:t>
            </w:r>
          </w:p>
        </w:tc>
      </w:tr>
      <w:tr>
        <w:trPr>
          <w:trHeight w:val="362"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28,472,058.60</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28,472,058.60</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28,472,058.60</w:t>
            </w:r>
          </w:p>
        </w:tc>
      </w:tr>
      <w:tr>
        <w:trPr>
          <w:trHeight w:val="362"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18,626,654.85</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1,966,190.81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1,966,190.81</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20,592,845.66</w:t>
            </w:r>
          </w:p>
        </w:tc>
      </w:tr>
      <w:tr>
        <w:trPr>
          <w:trHeight w:val="674"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319,671,000.00</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2,182,365.61</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2,182,365.61</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321,853,365.6</w:t>
            </w:r>
          </w:p>
          <w:p>
            <w:pPr>
              <w:pStyle w:val="TableParagraph"/>
              <w:spacing w:line="240" w:lineRule="auto" w:before="76"/>
              <w:ind w:right="7"/>
              <w:jc w:val="right"/>
              <w:rPr>
                <w:rFonts w:ascii="宋体" w:hAnsi="宋体" w:cs="宋体" w:eastAsia="宋体" w:hint="default"/>
                <w:sz w:val="18"/>
                <w:szCs w:val="18"/>
              </w:rPr>
            </w:pPr>
            <w:r>
              <w:rPr>
                <w:rFonts w:ascii="宋体"/>
                <w:sz w:val="18"/>
              </w:rPr>
              <w:t>1</w:t>
            </w:r>
          </w:p>
        </w:tc>
      </w:tr>
      <w:tr>
        <w:trPr>
          <w:trHeight w:val="674"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52,332,469.02</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-2,182,365.61</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-2,182,365.61</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50,150,103.41</w:t>
            </w:r>
          </w:p>
        </w:tc>
      </w:tr>
      <w:tr>
        <w:trPr>
          <w:trHeight w:val="674" w:hRule="exact"/>
        </w:trPr>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186,810,343.76</w:t>
            </w:r>
          </w:p>
        </w:tc>
        <w:tc>
          <w:tcPr>
            <w:tcW w:w="11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1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-11,137,009.9</w:t>
            </w:r>
          </w:p>
          <w:p>
            <w:pPr>
              <w:pStyle w:val="TableParagraph"/>
              <w:spacing w:line="240" w:lineRule="auto" w:before="76"/>
              <w:ind w:right="1"/>
              <w:jc w:val="right"/>
              <w:rPr>
                <w:rFonts w:ascii="宋体" w:hAnsi="宋体" w:cs="宋体" w:eastAsia="宋体" w:hint="default"/>
                <w:sz w:val="18"/>
                <w:szCs w:val="18"/>
              </w:rPr>
            </w:pPr>
            <w:r>
              <w:rPr>
                <w:rFonts w:ascii="宋体"/>
                <w:sz w:val="18"/>
              </w:rPr>
              <w:t>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-11,137,009.9</w:t>
            </w:r>
          </w:p>
          <w:p>
            <w:pPr>
              <w:pStyle w:val="TableParagraph"/>
              <w:spacing w:line="240" w:lineRule="auto" w:before="76"/>
              <w:ind w:right="0"/>
              <w:jc w:val="right"/>
              <w:rPr>
                <w:rFonts w:ascii="宋体" w:hAnsi="宋体" w:cs="宋体" w:eastAsia="宋体" w:hint="default"/>
                <w:sz w:val="18"/>
                <w:szCs w:val="18"/>
              </w:rPr>
            </w:pPr>
            <w:r>
              <w:rPr>
                <w:rFonts w:ascii="宋体"/>
                <w:sz w:val="18"/>
              </w:rPr>
              <w:t>6</w:t>
            </w:r>
          </w:p>
        </w:tc>
        <w:tc>
          <w:tcPr>
            <w:tcW w:w="12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175,673,333.8</w:t>
            </w:r>
          </w:p>
          <w:p>
            <w:pPr>
              <w:pStyle w:val="TableParagraph"/>
              <w:spacing w:line="240" w:lineRule="auto" w:before="76"/>
              <w:ind w:right="7"/>
              <w:jc w:val="right"/>
              <w:rPr>
                <w:rFonts w:ascii="宋体" w:hAnsi="宋体" w:cs="宋体" w:eastAsia="宋体" w:hint="default"/>
                <w:sz w:val="18"/>
                <w:szCs w:val="18"/>
              </w:rPr>
            </w:pPr>
            <w:r>
              <w:rPr>
                <w:rFonts w:ascii="宋体"/>
                <w:sz w:val="18"/>
              </w:rPr>
              <w:t>0</w:t>
            </w:r>
          </w:p>
        </w:tc>
      </w:tr>
    </w:tbl>
    <w:p>
      <w:pPr>
        <w:pStyle w:val="BodyText"/>
        <w:spacing w:line="273" w:lineRule="auto" w:before="8"/>
        <w:ind w:left="532" w:right="0"/>
        <w:jc w:val="left"/>
      </w:pPr>
      <w:r>
        <w:rPr/>
        <w:t>注：上表仅呈列受影响的财务报表项目，不受影响的财务报表项目不包括在内。</w:t>
      </w:r>
      <w:r>
        <w:rPr>
          <w:w w:val="99"/>
        </w:rPr>
        <w:t> </w:t>
      </w:r>
      <w:r>
        <w:rPr>
          <w:spacing w:val="2"/>
          <w:w w:val="95"/>
        </w:rPr>
        <w:t>注1：原在可供出售金融资产核算的权益工具投资，因管理层持有该金融资产不以出售为目的，应分</w:t>
      </w:r>
      <w:r>
        <w:rPr>
          <w:spacing w:val="2"/>
        </w:rPr>
      </w:r>
    </w:p>
    <w:p>
      <w:pPr>
        <w:pStyle w:val="BodyText"/>
        <w:spacing w:line="273" w:lineRule="auto"/>
        <w:ind w:right="0"/>
        <w:jc w:val="left"/>
      </w:pPr>
      <w:r>
        <w:rPr>
          <w:w w:val="95"/>
        </w:rPr>
        <w:t>类为以公允价值计量且其变动计入其他综合收益的金融资产，故2019年1月1日可供出售金融资产余额重分</w:t>
      </w:r>
      <w:r>
        <w:rPr>
          <w:spacing w:val="39"/>
          <w:w w:val="95"/>
        </w:rPr>
        <w:t> </w:t>
      </w:r>
      <w:r>
        <w:rPr>
          <w:spacing w:val="39"/>
          <w:w w:val="95"/>
        </w:rPr>
      </w:r>
      <w:r>
        <w:rPr/>
        <w:t>类至其他权益工具投资。</w:t>
      </w:r>
    </w:p>
    <w:p>
      <w:pPr>
        <w:pStyle w:val="BodyText"/>
        <w:spacing w:line="273" w:lineRule="auto" w:before="8"/>
        <w:ind w:right="1130" w:firstLine="420"/>
        <w:jc w:val="both"/>
      </w:pPr>
      <w:r>
        <w:rPr>
          <w:spacing w:val="2"/>
          <w:w w:val="95"/>
        </w:rPr>
        <w:t>注2：执行新金融工具准则于首次执行日对相应金融工具按预期信用损失重新计量的减值准备，高于</w:t>
      </w:r>
      <w:r>
        <w:rPr>
          <w:spacing w:val="-84"/>
          <w:w w:val="95"/>
        </w:rPr>
        <w:t> </w:t>
      </w:r>
      <w:r>
        <w:rPr>
          <w:spacing w:val="-84"/>
          <w:w w:val="95"/>
        </w:rPr>
      </w:r>
      <w:r>
        <w:rPr>
          <w:w w:val="95"/>
        </w:rPr>
        <w:t>与执行原金融工具准则下计提的减值准备金额，根据衔接规定，应计入2019年1月1日留存收益，相应调增</w:t>
      </w:r>
      <w:r>
        <w:rPr>
          <w:spacing w:val="43"/>
          <w:w w:val="95"/>
        </w:rPr>
        <w:t> </w:t>
      </w:r>
      <w:r>
        <w:rPr>
          <w:spacing w:val="43"/>
          <w:w w:val="95"/>
        </w:rPr>
      </w:r>
      <w:r>
        <w:rPr/>
        <w:t>2019年1月1日应收账款预期信用损失13,107,795.47元，调增递延所得税资产1,966,190.81元，调减未分</w:t>
      </w:r>
      <w:r>
        <w:rPr>
          <w:spacing w:val="-41"/>
        </w:rPr>
        <w:t> </w:t>
      </w:r>
      <w:r>
        <w:rPr>
          <w:spacing w:val="-41"/>
        </w:rPr>
      </w:r>
      <w:r>
        <w:rPr/>
        <w:t>配利润11,137,009.96元。</w:t>
      </w:r>
    </w:p>
    <w:p>
      <w:pPr>
        <w:spacing w:line="240" w:lineRule="auto" w:before="6"/>
        <w:rPr>
          <w:rFonts w:ascii="宋体" w:hAnsi="宋体" w:cs="宋体" w:eastAsia="宋体" w:hint="default"/>
          <w:sz w:val="24"/>
          <w:szCs w:val="24"/>
        </w:rPr>
      </w:pPr>
    </w:p>
    <w:p>
      <w:pPr>
        <w:pStyle w:val="BodyText"/>
        <w:spacing w:line="240" w:lineRule="auto" w:before="0"/>
        <w:ind w:left="532" w:right="0"/>
        <w:jc w:val="left"/>
      </w:pPr>
      <w:r>
        <w:rPr/>
        <w:t>（2）执行新债务重组及非货币性资产交换准则</w:t>
      </w:r>
    </w:p>
    <w:p>
      <w:pPr>
        <w:pStyle w:val="BodyText"/>
        <w:spacing w:line="273" w:lineRule="auto" w:before="37"/>
        <w:ind w:right="1132" w:firstLine="420"/>
        <w:jc w:val="both"/>
      </w:pPr>
      <w:r>
        <w:rPr>
          <w:spacing w:val="3"/>
        </w:rPr>
        <w:t>本公司自2019 </w:t>
      </w:r>
      <w:r>
        <w:rPr/>
        <w:t>年6 </w:t>
      </w:r>
      <w:r>
        <w:rPr>
          <w:spacing w:val="2"/>
        </w:rPr>
        <w:t>月10 </w:t>
      </w:r>
      <w:r>
        <w:rPr>
          <w:spacing w:val="4"/>
        </w:rPr>
        <w:t>日起执行财政部2019年修订的《企业会计准则第7</w:t>
      </w:r>
      <w:r>
        <w:rPr>
          <w:spacing w:val="-5"/>
        </w:rPr>
        <w:t> </w:t>
      </w:r>
      <w:r>
        <w:rPr>
          <w:spacing w:val="5"/>
        </w:rPr>
        <w:t>号——非货币性资产交</w:t>
      </w:r>
      <w:r>
        <w:rPr>
          <w:w w:val="99"/>
        </w:rPr>
        <w:t> </w:t>
      </w:r>
      <w:r>
        <w:rPr>
          <w:spacing w:val="-12"/>
          <w:w w:val="99"/>
        </w:rPr>
        <w:t>换》，自2019</w:t>
      </w:r>
      <w:r>
        <w:rPr>
          <w:w w:val="99"/>
        </w:rPr>
        <w:t> </w:t>
      </w:r>
      <w:r>
        <w:rPr>
          <w:spacing w:val="2"/>
          <w:w w:val="99"/>
        </w:rPr>
        <w:t>年6</w:t>
      </w:r>
      <w:r>
        <w:rPr>
          <w:w w:val="99"/>
        </w:rPr>
        <w:t> </w:t>
      </w:r>
      <w:r>
        <w:rPr>
          <w:spacing w:val="1"/>
          <w:w w:val="99"/>
        </w:rPr>
        <w:t>月17</w:t>
      </w:r>
      <w:r>
        <w:rPr>
          <w:w w:val="99"/>
        </w:rPr>
        <w:t> </w:t>
      </w:r>
      <w:r>
        <w:rPr>
          <w:spacing w:val="2"/>
          <w:w w:val="99"/>
        </w:rPr>
        <w:t>日起执行财政部2019年修订的《企业会计准则第12</w:t>
      </w:r>
      <w:r>
        <w:rPr>
          <w:spacing w:val="17"/>
          <w:w w:val="99"/>
        </w:rPr>
        <w:t> </w:t>
      </w:r>
      <w:r>
        <w:rPr>
          <w:spacing w:val="-6"/>
          <w:w w:val="99"/>
        </w:rPr>
        <w:t>号——债务重组》。该项会计</w:t>
      </w:r>
      <w:r>
        <w:rPr>
          <w:w w:val="99"/>
        </w:rPr>
        <w:t> </w:t>
      </w:r>
      <w:r>
        <w:rPr>
          <w:w w:val="95"/>
        </w:rPr>
        <w:t>政策变更采用未来适用法处理，并根据准则的规定对于2019年1月1日至准则实施日之间发生的非货币性资</w:t>
      </w:r>
      <w:r>
        <w:rPr>
          <w:spacing w:val="40"/>
          <w:w w:val="95"/>
        </w:rPr>
        <w:t> </w:t>
      </w:r>
      <w:r>
        <w:rPr>
          <w:spacing w:val="40"/>
          <w:w w:val="95"/>
        </w:rPr>
      </w:r>
      <w:r>
        <w:rPr/>
        <w:t>产交换和债务重组进行调整。</w:t>
      </w:r>
    </w:p>
    <w:p>
      <w:pPr>
        <w:pStyle w:val="BodyText"/>
        <w:spacing w:line="273" w:lineRule="auto"/>
        <w:ind w:left="530" w:right="2654" w:firstLine="2"/>
        <w:jc w:val="left"/>
        <w:rPr>
          <w:rFonts w:ascii="宋体" w:hAnsi="宋体" w:cs="宋体" w:eastAsia="宋体" w:hint="default"/>
        </w:rPr>
      </w:pPr>
      <w:r>
        <w:rPr>
          <w:w w:val="95"/>
        </w:rPr>
        <w:t>本公司执行新债务重组及非货币性资产交换准则对本报告期内财务报表无影响。</w:t>
      </w:r>
      <w:r>
        <w:rPr>
          <w:spacing w:val="48"/>
          <w:w w:val="95"/>
        </w:rPr>
        <w:t> </w:t>
      </w:r>
      <w:r>
        <w:rPr>
          <w:spacing w:val="48"/>
          <w:w w:val="95"/>
        </w:rPr>
      </w:r>
      <w:r>
        <w:rPr>
          <w:rFonts w:ascii="宋体" w:hAnsi="宋体" w:cs="宋体" w:eastAsia="宋体" w:hint="default"/>
          <w:b/>
          <w:bCs/>
        </w:rPr>
        <w:t>会计估计变更</w:t>
      </w:r>
      <w:r>
        <w:rPr>
          <w:rFonts w:ascii="宋体" w:hAnsi="宋体" w:cs="宋体" w:eastAsia="宋体" w:hint="default"/>
        </w:rPr>
      </w:r>
    </w:p>
    <w:p>
      <w:pPr>
        <w:pStyle w:val="BodyText"/>
        <w:spacing w:line="273" w:lineRule="auto"/>
        <w:ind w:right="1130" w:firstLine="420"/>
        <w:jc w:val="both"/>
      </w:pPr>
      <w:r>
        <w:rPr>
          <w:spacing w:val="2"/>
          <w:w w:val="95"/>
        </w:rPr>
        <w:t>公司于2019年8月取得位于苏州的建设用地所有权，鉴于公司业务不断拓展，购置建设用地所有权有</w:t>
      </w:r>
      <w:r>
        <w:rPr>
          <w:spacing w:val="-86"/>
          <w:w w:val="95"/>
        </w:rPr>
        <w:t> </w:t>
      </w:r>
      <w:r>
        <w:rPr>
          <w:spacing w:val="-86"/>
          <w:w w:val="95"/>
        </w:rPr>
      </w:r>
      <w:r>
        <w:rPr>
          <w:w w:val="95"/>
        </w:rPr>
        <w:t>较高的价值，预计可使用年限较长。公司原会计估计未体现上述无形资产的摊销期限。为了适应公司实际</w:t>
      </w:r>
      <w:r>
        <w:rPr>
          <w:spacing w:val="43"/>
          <w:w w:val="95"/>
        </w:rPr>
        <w:t> </w:t>
      </w:r>
      <w:r>
        <w:rPr>
          <w:spacing w:val="43"/>
          <w:w w:val="95"/>
        </w:rPr>
      </w:r>
      <w:r>
        <w:rPr>
          <w:w w:val="95"/>
        </w:rPr>
        <w:t>情况，更加公允、客观地反映公司的财务状况和经营成果，提供更加可靠的会计信息，依照《企业会计准</w:t>
      </w:r>
      <w:r>
        <w:rPr>
          <w:spacing w:val="43"/>
          <w:w w:val="95"/>
        </w:rPr>
        <w:t> </w:t>
      </w:r>
      <w:r>
        <w:rPr>
          <w:spacing w:val="43"/>
          <w:w w:val="95"/>
        </w:rPr>
      </w:r>
      <w:r>
        <w:rPr>
          <w:spacing w:val="2"/>
          <w:w w:val="95"/>
        </w:rPr>
        <w:t>则》相关规定，公司对无形资产摊销方法进行会计估计变更。2019年8月29日，本公司第二届董事会第二</w:t>
      </w:r>
      <w:r>
        <w:rPr>
          <w:spacing w:val="41"/>
          <w:w w:val="95"/>
        </w:rPr>
        <w:t> </w:t>
      </w:r>
      <w:r>
        <w:rPr>
          <w:spacing w:val="41"/>
          <w:w w:val="95"/>
        </w:rPr>
      </w:r>
      <w:r>
        <w:rPr>
          <w:w w:val="99"/>
        </w:rPr>
        <w:t>十九次会议和第二届监事会第二十四次会议审议通过了《关于公司会计政策及会计估计变更的议案》。公</w:t>
      </w:r>
      <w:r>
        <w:rPr/>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532" w:right="1019" w:hanging="420"/>
        <w:jc w:val="left"/>
      </w:pPr>
      <w:r>
        <w:rPr/>
        <w:t>司本次会计估计变更从董事会决议作出日期开始适用。</w:t>
      </w:r>
      <w:r>
        <w:rPr>
          <w:w w:val="99"/>
        </w:rPr>
        <w:t> </w:t>
      </w:r>
      <w:r>
        <w:rPr>
          <w:spacing w:val="-3"/>
        </w:rPr>
        <w:t>本次会计估计变更后，原有无形资产的摊销年限保持不变，本次会计估计变更不会对公司所有者权益、</w:t>
      </w:r>
    </w:p>
    <w:p>
      <w:pPr>
        <w:pStyle w:val="BodyText"/>
        <w:spacing w:line="273" w:lineRule="auto"/>
        <w:ind w:right="1130"/>
        <w:jc w:val="both"/>
      </w:pPr>
      <w:r>
        <w:rPr>
          <w:spacing w:val="2"/>
        </w:rPr>
        <w:t>净利润等指标产生实质性影响。根据《企业会计准则第28</w:t>
      </w:r>
      <w:r>
        <w:rPr>
          <w:spacing w:val="-21"/>
        </w:rPr>
        <w:t> </w:t>
      </w:r>
      <w:r>
        <w:rPr>
          <w:spacing w:val="2"/>
        </w:rPr>
        <w:t>号--会计政策、会计估计变更和差错更正》的</w:t>
      </w:r>
      <w:r>
        <w:rPr>
          <w:w w:val="99"/>
        </w:rPr>
        <w:t> </w:t>
      </w:r>
      <w:r>
        <w:rPr>
          <w:w w:val="95"/>
        </w:rPr>
        <w:t>相关规定，本次会计估计变更采用未来适用法进行会计处理，不需追溯调整，本次变更前已有无形资产的</w:t>
      </w:r>
      <w:r>
        <w:rPr>
          <w:spacing w:val="43"/>
          <w:w w:val="95"/>
        </w:rPr>
        <w:t> </w:t>
      </w:r>
      <w:r>
        <w:rPr>
          <w:spacing w:val="43"/>
          <w:w w:val="95"/>
        </w:rPr>
      </w:r>
      <w:r>
        <w:rPr/>
        <w:t>摊销年限保持不变，不会对当期及以前年度财务状况和经营成果产生影响。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0"/>
        <w:jc w:val="both"/>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spacing w:line="273" w:lineRule="auto" w:before="0"/>
        <w:ind w:left="532" w:right="1185"/>
        <w:jc w:val="left"/>
      </w:pPr>
      <w:r>
        <w:rPr/>
        <w:t>新设子公司：</w:t>
      </w:r>
      <w:r>
        <w:rPr>
          <w:w w:val="99"/>
        </w:rPr>
        <w:t> </w:t>
      </w:r>
      <w:r>
        <w:rPr>
          <w:spacing w:val="2"/>
          <w:w w:val="95"/>
        </w:rPr>
        <w:t>2019年3月5日，公司第二届董事会第二十一此会议决议，以自有资金1,000万人民币设立全资子公司</w:t>
      </w:r>
      <w:r>
        <w:rPr>
          <w:spacing w:val="2"/>
        </w:rPr>
      </w:r>
    </w:p>
    <w:p>
      <w:pPr>
        <w:pStyle w:val="BodyText"/>
        <w:spacing w:line="273" w:lineRule="auto"/>
        <w:ind w:right="1130"/>
        <w:jc w:val="both"/>
      </w:pPr>
      <w:r>
        <w:rPr>
          <w:spacing w:val="-2"/>
          <w:w w:val="99"/>
        </w:rPr>
        <w:t>北京科蓝软件系统（苏州）有限公司（以下简称苏州子公司）。2019年3月13日，苏州子公司获得了由苏州</w:t>
      </w:r>
      <w:r>
        <w:rPr>
          <w:w w:val="99"/>
        </w:rPr>
        <w:t> </w:t>
      </w:r>
      <w:r>
        <w:rPr>
          <w:spacing w:val="-4"/>
          <w:w w:val="99"/>
        </w:rPr>
        <w:t>市相城区行政审批局核发的《营业执照》，统一社会信用代码91320507MA1Y22MT3Y（1/1），注册资本100万</w:t>
      </w:r>
      <w:r>
        <w:rPr>
          <w:spacing w:val="-74"/>
          <w:w w:val="99"/>
        </w:rPr>
        <w:t> </w:t>
      </w:r>
      <w:r>
        <w:rPr>
          <w:spacing w:val="-74"/>
          <w:w w:val="99"/>
        </w:rPr>
      </w:r>
      <w:r>
        <w:rPr>
          <w:spacing w:val="2"/>
          <w:w w:val="95"/>
        </w:rPr>
        <w:t>元，法定代表人：王安京。苏州子公司章程规定，股东出资时间为2039年2月18日前，截至2019年12月31</w:t>
      </w:r>
      <w:r>
        <w:rPr>
          <w:spacing w:val="36"/>
          <w:w w:val="95"/>
        </w:rPr>
        <w:t> </w:t>
      </w:r>
      <w:r>
        <w:rPr>
          <w:spacing w:val="36"/>
          <w:w w:val="95"/>
        </w:rPr>
      </w:r>
      <w:r>
        <w:rPr/>
        <w:t>日止，母公司尚未缴纳认缴出资款。</w:t>
      </w:r>
    </w:p>
    <w:p>
      <w:pPr>
        <w:pStyle w:val="BodyText"/>
        <w:spacing w:line="273" w:lineRule="auto"/>
        <w:ind w:right="0" w:firstLine="420"/>
        <w:jc w:val="left"/>
      </w:pPr>
      <w:r>
        <w:rPr>
          <w:w w:val="95"/>
        </w:rPr>
        <w:t>2019年4月22日，公司子公司大陆云盾电子认证服务有限公司（以下简称大陆云盾公司）董事会决议，</w:t>
      </w:r>
      <w:r>
        <w:rPr>
          <w:spacing w:val="-95"/>
          <w:w w:val="95"/>
        </w:rPr>
        <w:t> </w:t>
      </w:r>
      <w:r>
        <w:rPr>
          <w:spacing w:val="-95"/>
          <w:w w:val="95"/>
        </w:rPr>
      </w:r>
      <w:r>
        <w:rPr/>
        <w:t>以货币资金2500万元设立其全资子公司大陆云盾（重庆）信息安全技术研究院有限公司（以下简称云盾研</w:t>
      </w:r>
      <w:r>
        <w:rPr>
          <w:w w:val="99"/>
        </w:rPr>
        <w:t> </w:t>
      </w:r>
      <w:r>
        <w:rPr>
          <w:spacing w:val="-2"/>
          <w:w w:val="99"/>
        </w:rPr>
        <w:t>究院）。2019年6月12日，云盾研究院获得了由重庆两江新区市场和质量监督管理局核发的《营业执照》，</w:t>
      </w:r>
      <w:r>
        <w:rPr>
          <w:spacing w:val="-100"/>
          <w:w w:val="99"/>
        </w:rPr>
        <w:t> </w:t>
      </w:r>
      <w:r>
        <w:rPr>
          <w:spacing w:val="-100"/>
          <w:w w:val="99"/>
        </w:rPr>
      </w:r>
      <w:r>
        <w:rPr>
          <w:spacing w:val="-2"/>
          <w:w w:val="95"/>
        </w:rPr>
        <w:t>统一社会信用代码91500000MA60E2Y81X，注册资本2500万元，法定代表人：姜晓崑。云盾研究院章程规定，</w:t>
      </w:r>
      <w:r>
        <w:rPr>
          <w:spacing w:val="62"/>
          <w:w w:val="95"/>
        </w:rPr>
        <w:t> </w:t>
      </w:r>
      <w:r>
        <w:rPr>
          <w:spacing w:val="62"/>
          <w:w w:val="95"/>
        </w:rPr>
      </w:r>
      <w:r>
        <w:rPr/>
        <w:t>股东出资时间为2069年12月31日前，截至2019年12月31日止，大陆云盾公司实缴出资495.40万元。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0"/>
        <w:jc w:val="both"/>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李峰、刘黎</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60" w:lineRule="auto" w:before="117"/>
        <w:ind w:left="112" w:right="625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both"/>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本年度公司无重大诉讼、仲裁事项。</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十二、处罚及整改情况" w:id="75"/>
      <w:bookmarkEnd w:id="75"/>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652" w:right="0"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宋体" w:hAnsi="宋体" w:cs="宋体" w:eastAsia="宋体" w:hint="default"/>
          <w:sz w:val="18"/>
          <w:szCs w:val="18"/>
        </w:rPr>
        <w:t>4</w:t>
      </w:r>
      <w:r>
        <w:rPr>
          <w:rFonts w:ascii="宋体" w:hAnsi="宋体" w:cs="宋体" w:eastAsia="宋体"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宋体" w:hAnsi="宋体" w:cs="宋体" w:eastAsia="宋体" w:hint="default"/>
          <w:sz w:val="18"/>
          <w:szCs w:val="18"/>
        </w:rPr>
        <w:t>23</w:t>
      </w:r>
      <w:r>
        <w:rPr>
          <w:rFonts w:ascii="宋体" w:hAnsi="宋体" w:cs="宋体" w:eastAsia="宋体" w:hint="default"/>
          <w:spacing w:val="-19"/>
          <w:sz w:val="18"/>
          <w:szCs w:val="18"/>
        </w:rPr>
        <w:t> </w:t>
      </w:r>
      <w:r>
        <w:rPr>
          <w:rFonts w:ascii="宋体" w:hAnsi="宋体" w:cs="宋体" w:eastAsia="宋体" w:hint="default"/>
          <w:sz w:val="18"/>
          <w:szCs w:val="18"/>
        </w:rPr>
        <w:t>日，公司召开第二届董事会第二十四次会议和第二届监事会第十九次会议，会议审议通过了《关于</w:t>
      </w:r>
    </w:p>
    <w:p>
      <w:pPr>
        <w:spacing w:before="76"/>
        <w:ind w:left="112" w:right="0" w:firstLine="0"/>
        <w:jc w:val="both"/>
        <w:rPr>
          <w:rFonts w:ascii="宋体" w:hAnsi="宋体" w:cs="宋体" w:eastAsia="宋体" w:hint="default"/>
          <w:sz w:val="18"/>
          <w:szCs w:val="18"/>
        </w:rPr>
      </w:pPr>
      <w:r>
        <w:rPr>
          <w:rFonts w:ascii="宋体" w:hAnsi="宋体" w:cs="宋体" w:eastAsia="宋体" w:hint="default"/>
          <w:sz w:val="18"/>
          <w:szCs w:val="18"/>
        </w:rPr>
        <w:t>回购注销</w:t>
      </w:r>
      <w:r>
        <w:rPr>
          <w:rFonts w:ascii="宋体" w:hAnsi="宋体" w:cs="宋体" w:eastAsia="宋体" w:hint="default"/>
          <w:spacing w:val="1"/>
          <w:sz w:val="18"/>
          <w:szCs w:val="18"/>
        </w:rPr>
        <w:t> 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3"/>
          <w:sz w:val="18"/>
          <w:szCs w:val="18"/>
        </w:rPr>
        <w:t> </w:t>
      </w:r>
      <w:r>
        <w:rPr>
          <w:rFonts w:ascii="宋体" w:hAnsi="宋体" w:cs="宋体" w:eastAsia="宋体" w:hint="default"/>
          <w:sz w:val="18"/>
          <w:szCs w:val="18"/>
        </w:rPr>
        <w:t>年股权激励计划部</w:t>
      </w:r>
      <w:r>
        <w:rPr>
          <w:rFonts w:ascii="宋体" w:hAnsi="宋体" w:cs="宋体" w:eastAsia="宋体" w:hint="default"/>
          <w:spacing w:val="1"/>
          <w:sz w:val="18"/>
          <w:szCs w:val="18"/>
        </w:rPr>
        <w:t>4</w:t>
      </w:r>
      <w:r>
        <w:rPr>
          <w:rFonts w:ascii="宋体" w:hAnsi="宋体" w:cs="宋体" w:eastAsia="宋体" w:hint="default"/>
          <w:sz w:val="18"/>
          <w:szCs w:val="18"/>
        </w:rPr>
        <w:t>分限制性股票及调整回购数量</w:t>
      </w:r>
      <w:r>
        <w:rPr>
          <w:rFonts w:ascii="宋体" w:hAnsi="宋体" w:cs="宋体" w:eastAsia="宋体" w:hint="default"/>
          <w:spacing w:val="-29"/>
          <w:sz w:val="18"/>
          <w:szCs w:val="18"/>
        </w:rPr>
        <w:t>、</w:t>
      </w:r>
      <w:r>
        <w:rPr>
          <w:rFonts w:ascii="宋体" w:hAnsi="宋体" w:cs="宋体" w:eastAsia="宋体" w:hint="default"/>
          <w:sz w:val="18"/>
          <w:szCs w:val="18"/>
        </w:rPr>
        <w:t>回购价格的议案</w:t>
      </w:r>
      <w:r>
        <w:rPr>
          <w:rFonts w:ascii="宋体" w:hAnsi="宋体" w:cs="宋体" w:eastAsia="宋体" w:hint="default"/>
          <w:spacing w:val="-89"/>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因实施了</w:t>
      </w:r>
      <w:r>
        <w:rPr>
          <w:rFonts w:ascii="宋体" w:hAnsi="宋体" w:cs="宋体" w:eastAsia="宋体" w:hint="default"/>
          <w:spacing w:val="-2"/>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 年度权益分派</w:t>
      </w:r>
      <w:r>
        <w:rPr>
          <w:rFonts w:ascii="宋体" w:hAnsi="宋体" w:cs="宋体" w:eastAsia="宋体" w:hint="default"/>
          <w:spacing w:val="-29"/>
          <w:sz w:val="18"/>
          <w:szCs w:val="18"/>
        </w:rPr>
        <w:t>，</w:t>
      </w:r>
      <w:r>
        <w:rPr>
          <w:rFonts w:ascii="宋体" w:hAnsi="宋体" w:cs="宋体" w:eastAsia="宋体" w:hint="default"/>
          <w:sz w:val="18"/>
          <w:szCs w:val="18"/>
        </w:rPr>
        <w:t>公司</w:t>
      </w:r>
    </w:p>
    <w:p>
      <w:pPr>
        <w:spacing w:before="76"/>
        <w:ind w:left="112" w:right="0" w:firstLine="0"/>
        <w:jc w:val="both"/>
        <w:rPr>
          <w:rFonts w:ascii="宋体" w:hAnsi="宋体" w:cs="宋体" w:eastAsia="宋体" w:hint="default"/>
          <w:sz w:val="18"/>
          <w:szCs w:val="18"/>
        </w:rPr>
      </w:pPr>
      <w:r>
        <w:rPr>
          <w:rFonts w:ascii="宋体" w:hAnsi="宋体" w:cs="宋体" w:eastAsia="宋体" w:hint="default"/>
          <w:spacing w:val="-3"/>
          <w:sz w:val="18"/>
          <w:szCs w:val="18"/>
        </w:rPr>
        <w:t>对限制性股票回购数量及价格进行调整。公司 </w:t>
      </w:r>
      <w:r>
        <w:rPr>
          <w:rFonts w:ascii="宋体" w:hAnsi="宋体" w:cs="宋体" w:eastAsia="宋体" w:hint="default"/>
          <w:sz w:val="18"/>
          <w:szCs w:val="18"/>
        </w:rPr>
        <w:t>2017 年限制性股票激励计划激励对象中 39</w:t>
      </w:r>
      <w:r>
        <w:rPr>
          <w:rFonts w:ascii="宋体" w:hAnsi="宋体" w:cs="宋体" w:eastAsia="宋体" w:hint="default"/>
          <w:spacing w:val="20"/>
          <w:sz w:val="18"/>
          <w:szCs w:val="18"/>
        </w:rPr>
        <w:t> </w:t>
      </w:r>
      <w:r>
        <w:rPr>
          <w:rFonts w:ascii="宋体" w:hAnsi="宋体" w:cs="宋体" w:eastAsia="宋体" w:hint="default"/>
          <w:spacing w:val="-3"/>
          <w:sz w:val="18"/>
          <w:szCs w:val="18"/>
        </w:rPr>
        <w:t>人因个人原因已离职，公司回购</w:t>
      </w:r>
    </w:p>
    <w:p>
      <w:pPr>
        <w:spacing w:before="76"/>
        <w:ind w:left="112" w:right="0" w:firstLine="0"/>
        <w:jc w:val="both"/>
        <w:rPr>
          <w:rFonts w:ascii="宋体" w:hAnsi="宋体" w:cs="宋体" w:eastAsia="宋体" w:hint="default"/>
          <w:sz w:val="18"/>
          <w:szCs w:val="18"/>
        </w:rPr>
      </w:pPr>
      <w:r>
        <w:rPr>
          <w:rFonts w:ascii="宋体" w:hAnsi="宋体" w:cs="宋体" w:eastAsia="宋体" w:hint="default"/>
          <w:sz w:val="18"/>
          <w:szCs w:val="18"/>
        </w:rPr>
        <w:t>注销其持有的已获授但尚未解除限售的共计 278,978</w:t>
      </w:r>
      <w:r>
        <w:rPr>
          <w:rFonts w:ascii="宋体" w:hAnsi="宋体" w:cs="宋体" w:eastAsia="宋体" w:hint="default"/>
          <w:spacing w:val="-2"/>
          <w:sz w:val="18"/>
          <w:szCs w:val="18"/>
        </w:rPr>
        <w:t> </w:t>
      </w:r>
      <w:r>
        <w:rPr>
          <w:rFonts w:ascii="宋体" w:hAnsi="宋体" w:cs="宋体" w:eastAsia="宋体" w:hint="default"/>
          <w:sz w:val="18"/>
          <w:szCs w:val="18"/>
        </w:rPr>
        <w:t>股限制性股票。其中回购注销首次授予第二期尚未解除限售的部分限</w:t>
      </w:r>
    </w:p>
    <w:p>
      <w:pPr>
        <w:spacing w:line="316" w:lineRule="auto" w:before="76"/>
        <w:ind w:left="112" w:right="1132" w:firstLine="0"/>
        <w:jc w:val="both"/>
        <w:rPr>
          <w:rFonts w:ascii="宋体" w:hAnsi="宋体" w:cs="宋体" w:eastAsia="宋体" w:hint="default"/>
          <w:sz w:val="18"/>
          <w:szCs w:val="18"/>
        </w:rPr>
      </w:pPr>
      <w:r>
        <w:rPr>
          <w:rFonts w:ascii="宋体" w:hAnsi="宋体" w:cs="宋体" w:eastAsia="宋体" w:hint="default"/>
          <w:sz w:val="18"/>
          <w:szCs w:val="18"/>
        </w:rPr>
        <w:t>制性股票 276,734 股；回购注销预留授予第一期尚未解除限售的部分限制性股票 2,244 </w:t>
      </w:r>
      <w:r>
        <w:rPr>
          <w:rFonts w:ascii="宋体" w:hAnsi="宋体" w:cs="宋体" w:eastAsia="宋体" w:hint="default"/>
          <w:spacing w:val="-6"/>
          <w:sz w:val="18"/>
          <w:szCs w:val="18"/>
        </w:rPr>
        <w:t>股。同时由于公司 </w:t>
      </w:r>
      <w:r>
        <w:rPr>
          <w:rFonts w:ascii="宋体" w:hAnsi="宋体" w:cs="宋体" w:eastAsia="宋体" w:hint="default"/>
          <w:sz w:val="18"/>
          <w:szCs w:val="18"/>
        </w:rPr>
        <w:t>2018</w:t>
      </w:r>
      <w:r>
        <w:rPr>
          <w:rFonts w:ascii="宋体" w:hAnsi="宋体" w:cs="宋体" w:eastAsia="宋体" w:hint="default"/>
          <w:spacing w:val="-35"/>
          <w:sz w:val="18"/>
          <w:szCs w:val="18"/>
        </w:rPr>
        <w:t> </w:t>
      </w:r>
      <w:r>
        <w:rPr>
          <w:rFonts w:ascii="宋体" w:hAnsi="宋体" w:cs="宋体" w:eastAsia="宋体" w:hint="default"/>
          <w:sz w:val="18"/>
          <w:szCs w:val="18"/>
        </w:rPr>
        <w:t>年度业绩</w:t>
      </w:r>
      <w:r>
        <w:rPr>
          <w:rFonts w:ascii="宋体" w:hAnsi="宋体" w:cs="宋体" w:eastAsia="宋体" w:hint="default"/>
          <w:sz w:val="18"/>
          <w:szCs w:val="18"/>
        </w:rPr>
        <w:t> </w:t>
      </w:r>
      <w:r>
        <w:rPr>
          <w:rFonts w:ascii="宋体" w:hAnsi="宋体" w:cs="宋体" w:eastAsia="宋体" w:hint="default"/>
          <w:spacing w:val="-2"/>
          <w:sz w:val="18"/>
          <w:szCs w:val="18"/>
        </w:rPr>
        <w:t>未达到限制性股票激励计划首次授予的第二期与预留授予第一期的解除限售条件，公司回购注销首次授予第二期部分限制性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股票 1,043,359 股；回购注销预留授予第一期部分限制性股票 448,442 股；回购限制性股票数量共计 1,491,801</w:t>
      </w:r>
      <w:r>
        <w:rPr>
          <w:rFonts w:ascii="宋体" w:hAnsi="宋体" w:cs="宋体" w:eastAsia="宋体" w:hint="default"/>
          <w:spacing w:val="-11"/>
          <w:sz w:val="18"/>
          <w:szCs w:val="18"/>
        </w:rPr>
        <w:t> </w:t>
      </w:r>
      <w:r>
        <w:rPr>
          <w:rFonts w:ascii="宋体" w:hAnsi="宋体" w:cs="宋体" w:eastAsia="宋体" w:hint="default"/>
          <w:sz w:val="18"/>
          <w:szCs w:val="18"/>
        </w:rPr>
        <w:t>股。公</w:t>
      </w:r>
    </w:p>
    <w:p>
      <w:pPr>
        <w:spacing w:before="19"/>
        <w:ind w:left="112" w:right="0" w:firstLine="0"/>
        <w:jc w:val="both"/>
        <w:rPr>
          <w:rFonts w:ascii="宋体" w:hAnsi="宋体" w:cs="宋体" w:eastAsia="宋体" w:hint="default"/>
          <w:sz w:val="18"/>
          <w:szCs w:val="18"/>
        </w:rPr>
      </w:pPr>
      <w:r>
        <w:rPr>
          <w:rFonts w:ascii="宋体" w:hAnsi="宋体" w:cs="宋体" w:eastAsia="宋体" w:hint="default"/>
          <w:sz w:val="18"/>
          <w:szCs w:val="18"/>
        </w:rPr>
        <w:t>司本次回购注销共涉及 306 </w:t>
      </w:r>
      <w:r>
        <w:rPr>
          <w:rFonts w:ascii="宋体" w:hAnsi="宋体" w:cs="宋体" w:eastAsia="宋体" w:hint="default"/>
          <w:spacing w:val="-4"/>
          <w:sz w:val="18"/>
          <w:szCs w:val="18"/>
        </w:rPr>
        <w:t>人，回购注销的股份总数为 </w:t>
      </w:r>
      <w:r>
        <w:rPr>
          <w:rFonts w:ascii="宋体" w:hAnsi="宋体" w:cs="宋体" w:eastAsia="宋体" w:hint="default"/>
          <w:sz w:val="18"/>
          <w:szCs w:val="18"/>
        </w:rPr>
        <w:t>1,770,779 </w:t>
      </w:r>
      <w:r>
        <w:rPr>
          <w:rFonts w:ascii="宋体" w:hAnsi="宋体" w:cs="宋体" w:eastAsia="宋体" w:hint="default"/>
          <w:spacing w:val="-3"/>
          <w:sz w:val="18"/>
          <w:szCs w:val="18"/>
        </w:rPr>
        <w:t>股。首次授予部分限制性股票的回购价格由 </w:t>
      </w:r>
      <w:r>
        <w:rPr>
          <w:rFonts w:ascii="宋体" w:hAnsi="宋体" w:cs="宋体" w:eastAsia="宋体" w:hint="default"/>
          <w:sz w:val="18"/>
          <w:szCs w:val="18"/>
        </w:rPr>
        <w:t>9.2364</w:t>
      </w:r>
      <w:r>
        <w:rPr>
          <w:rFonts w:ascii="宋体" w:hAnsi="宋体" w:cs="宋体" w:eastAsia="宋体" w:hint="default"/>
          <w:spacing w:val="21"/>
          <w:sz w:val="18"/>
          <w:szCs w:val="18"/>
        </w:rPr>
        <w:t> </w:t>
      </w:r>
      <w:r>
        <w:rPr>
          <w:rFonts w:ascii="宋体" w:hAnsi="宋体" w:cs="宋体" w:eastAsia="宋体" w:hint="default"/>
          <w:sz w:val="18"/>
          <w:szCs w:val="18"/>
        </w:rPr>
        <w:t>元</w:t>
      </w:r>
    </w:p>
    <w:p>
      <w:pPr>
        <w:spacing w:before="76"/>
        <w:ind w:left="112" w:right="0" w:firstLine="0"/>
        <w:jc w:val="both"/>
        <w:rPr>
          <w:rFonts w:ascii="宋体" w:hAnsi="宋体" w:cs="宋体" w:eastAsia="宋体" w:hint="default"/>
          <w:sz w:val="18"/>
          <w:szCs w:val="18"/>
        </w:rPr>
      </w:pPr>
      <w:r>
        <w:rPr>
          <w:rFonts w:ascii="宋体" w:hAnsi="宋体" w:cs="宋体" w:eastAsia="宋体" w:hint="default"/>
          <w:sz w:val="18"/>
          <w:szCs w:val="18"/>
        </w:rPr>
        <w:t>/股调整为 6.1343 </w:t>
      </w:r>
      <w:r>
        <w:rPr>
          <w:rFonts w:ascii="宋体" w:hAnsi="宋体" w:cs="宋体" w:eastAsia="宋体" w:hint="default"/>
          <w:spacing w:val="-3"/>
          <w:sz w:val="18"/>
          <w:szCs w:val="18"/>
        </w:rPr>
        <w:t>元/股，预留部分限制性股票回购价格由 </w:t>
      </w:r>
      <w:r>
        <w:rPr>
          <w:rFonts w:ascii="宋体" w:hAnsi="宋体" w:cs="宋体" w:eastAsia="宋体" w:hint="default"/>
          <w:sz w:val="18"/>
          <w:szCs w:val="18"/>
        </w:rPr>
        <w:t>9.2564 元/股调整为 6.1476 </w:t>
      </w:r>
      <w:r>
        <w:rPr>
          <w:rFonts w:ascii="宋体" w:hAnsi="宋体" w:cs="宋体" w:eastAsia="宋体" w:hint="default"/>
          <w:spacing w:val="-7"/>
          <w:sz w:val="18"/>
          <w:szCs w:val="18"/>
        </w:rPr>
        <w:t>元/股。公司于 </w:t>
      </w:r>
      <w:r>
        <w:rPr>
          <w:rFonts w:ascii="宋体" w:hAnsi="宋体" w:cs="宋体" w:eastAsia="宋体" w:hint="default"/>
          <w:sz w:val="18"/>
          <w:szCs w:val="18"/>
        </w:rPr>
        <w:t>2020 年 1 月</w:t>
      </w:r>
      <w:r>
        <w:rPr>
          <w:rFonts w:ascii="宋体" w:hAnsi="宋体" w:cs="宋体" w:eastAsia="宋体" w:hint="default"/>
          <w:spacing w:val="18"/>
          <w:sz w:val="18"/>
          <w:szCs w:val="18"/>
        </w:rPr>
        <w:t> </w:t>
      </w:r>
      <w:r>
        <w:rPr>
          <w:rFonts w:ascii="宋体" w:hAnsi="宋体" w:cs="宋体" w:eastAsia="宋体" w:hint="default"/>
          <w:sz w:val="18"/>
          <w:szCs w:val="18"/>
        </w:rPr>
        <w:t>17</w:t>
      </w:r>
    </w:p>
    <w:p>
      <w:pPr>
        <w:spacing w:line="316" w:lineRule="auto" w:before="76"/>
        <w:ind w:left="112" w:right="1218" w:firstLine="0"/>
        <w:jc w:val="left"/>
        <w:rPr>
          <w:rFonts w:ascii="宋体" w:hAnsi="宋体" w:cs="宋体" w:eastAsia="宋体" w:hint="default"/>
          <w:sz w:val="18"/>
          <w:szCs w:val="18"/>
        </w:rPr>
      </w:pPr>
      <w:r>
        <w:rPr>
          <w:rFonts w:ascii="宋体" w:hAnsi="宋体" w:cs="宋体" w:eastAsia="宋体" w:hint="default"/>
          <w:sz w:val="18"/>
          <w:szCs w:val="18"/>
        </w:rPr>
        <w:t>日在中国证券登记结算有限责任公司深圳分公司完成回购注销手续。本次回购注销完成后公司总股本变更为</w:t>
      </w:r>
      <w:r>
        <w:rPr>
          <w:rFonts w:ascii="宋体" w:hAnsi="宋体" w:cs="宋体" w:eastAsia="宋体" w:hint="default"/>
          <w:spacing w:val="-4"/>
          <w:sz w:val="18"/>
          <w:szCs w:val="18"/>
        </w:rPr>
        <w:t> </w:t>
      </w:r>
      <w:r>
        <w:rPr>
          <w:rFonts w:ascii="宋体" w:hAnsi="宋体" w:cs="宋体" w:eastAsia="宋体" w:hint="default"/>
          <w:sz w:val="18"/>
          <w:szCs w:val="18"/>
        </w:rPr>
        <w:t>300,425,156</w:t>
      </w:r>
      <w:r>
        <w:rPr>
          <w:rFonts w:ascii="宋体" w:hAnsi="宋体" w:cs="宋体" w:eastAsia="宋体" w:hint="default"/>
          <w:sz w:val="18"/>
          <w:szCs w:val="18"/>
        </w:rPr>
        <w:t> 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
        <w:rPr>
          <w:rFonts w:ascii="宋体" w:hAnsi="宋体" w:cs="宋体" w:eastAsia="宋体" w:hint="default"/>
          <w:sz w:val="23"/>
          <w:szCs w:val="23"/>
        </w:rPr>
      </w:pPr>
    </w:p>
    <w:p>
      <w:pPr>
        <w:spacing w:line="360" w:lineRule="auto" w:before="44"/>
        <w:ind w:left="112" w:right="6434" w:firstLine="0"/>
        <w:jc w:val="left"/>
        <w:rPr>
          <w:rFonts w:ascii="宋体" w:hAnsi="宋体" w:cs="宋体" w:eastAsia="宋体" w:hint="default"/>
          <w:sz w:val="18"/>
          <w:szCs w:val="18"/>
        </w:rPr>
      </w:pPr>
      <w:bookmarkStart w:name="2、资产或股权收购、出售发生的关联交易" w:id="80"/>
      <w:bookmarkEnd w:id="80"/>
      <w:r>
        <w:rPr/>
      </w:r>
      <w:r>
        <w:rPr>
          <w:rFonts w:ascii="宋体" w:hAnsi="宋体" w:cs="宋体" w:eastAsia="宋体" w:hint="default"/>
          <w:sz w:val="18"/>
          <w:szCs w:val="18"/>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租赁情况说明</w:t>
      </w:r>
    </w:p>
    <w:p>
      <w:pPr>
        <w:pStyle w:val="BodyText"/>
        <w:spacing w:line="240" w:lineRule="auto" w:before="2"/>
        <w:ind w:right="0"/>
        <w:jc w:val="left"/>
      </w:pPr>
      <w:r>
        <w:rPr/>
        <w:t>（1）本公司自2018年2月1日至2020年1月31日租赁丰联广场1601-03/1612单元，月租金133,319.00元。</w:t>
      </w:r>
    </w:p>
    <w:p>
      <w:pPr>
        <w:pStyle w:val="BodyText"/>
        <w:spacing w:line="240" w:lineRule="auto" w:before="37"/>
        <w:ind w:right="0"/>
        <w:jc w:val="left"/>
      </w:pPr>
      <w:r>
        <w:rPr/>
        <w:t>（2）本公司自2018年8月1日至2021年7月31日租赁中国人寿大厦401-403单元，月租金335,585.01元。</w:t>
      </w:r>
    </w:p>
    <w:p>
      <w:pPr>
        <w:pStyle w:val="BodyText"/>
        <w:spacing w:line="240" w:lineRule="auto" w:before="37"/>
        <w:ind w:right="0"/>
        <w:jc w:val="left"/>
      </w:pPr>
      <w:r>
        <w:rPr/>
        <w:t>（3）本公司自2019年1月1日至2021年5月9日租赁中国人寿大厦305-306单元，月租金72,799.57元。</w:t>
      </w:r>
    </w:p>
    <w:p>
      <w:pPr>
        <w:pStyle w:val="BodyText"/>
        <w:spacing w:line="273" w:lineRule="auto" w:before="37"/>
        <w:ind w:right="1121"/>
        <w:jc w:val="left"/>
      </w:pPr>
      <w:r>
        <w:rPr>
          <w:spacing w:val="-2"/>
        </w:rPr>
        <w:t>（4）本公司自2018年5月10日至2021年5月9日租赁中国人寿大厦302.303.304.307单元，月租金173,590.93</w:t>
      </w:r>
      <w:r>
        <w:rPr>
          <w:w w:val="99"/>
        </w:rPr>
        <w:t> </w:t>
      </w:r>
      <w:r>
        <w:rPr/>
        <w:t>元。</w:t>
      </w:r>
    </w:p>
    <w:p>
      <w:pPr>
        <w:pStyle w:val="BodyText"/>
        <w:spacing w:line="240" w:lineRule="auto"/>
        <w:ind w:right="0"/>
        <w:jc w:val="left"/>
      </w:pPr>
      <w:r>
        <w:rPr>
          <w:spacing w:val="11"/>
          <w:w w:val="95"/>
        </w:rPr>
        <w:t>（5）本公司自2019年1月    1日至2021年12月31日租赁上海市浦东新区浦东南路256号1802室，月租金</w:t>
      </w:r>
      <w:r>
        <w:rPr>
          <w:spacing w:val="11"/>
        </w:rPr>
      </w:r>
    </w:p>
    <w:p>
      <w:pPr>
        <w:spacing w:after="0" w:line="240" w:lineRule="auto"/>
        <w:jc w:val="left"/>
        <w:sectPr>
          <w:headerReference w:type="default" r:id="rId22"/>
          <w:pgSz w:w="11910" w:h="16840"/>
          <w:pgMar w:header="919" w:footer="1016" w:top="1700" w:bottom="1200" w:left="1020" w:right="0"/>
        </w:sectPr>
      </w:pPr>
    </w:p>
    <w:p>
      <w:pPr>
        <w:spacing w:line="240" w:lineRule="auto" w:before="10"/>
        <w:rPr>
          <w:rFonts w:ascii="宋体" w:hAnsi="宋体" w:cs="宋体" w:eastAsia="宋体" w:hint="default"/>
          <w:sz w:val="21"/>
          <w:szCs w:val="21"/>
        </w:rPr>
      </w:pPr>
    </w:p>
    <w:p>
      <w:pPr>
        <w:pStyle w:val="BodyText"/>
        <w:spacing w:line="240" w:lineRule="auto" w:before="34"/>
        <w:ind w:right="0"/>
        <w:jc w:val="left"/>
      </w:pPr>
      <w:r>
        <w:rPr/>
        <w:t>59,916.00元。</w:t>
      </w:r>
    </w:p>
    <w:p>
      <w:pPr>
        <w:pStyle w:val="BodyText"/>
        <w:spacing w:line="273" w:lineRule="auto" w:before="37"/>
        <w:ind w:right="0"/>
        <w:jc w:val="left"/>
      </w:pPr>
      <w:r>
        <w:rPr>
          <w:spacing w:val="3"/>
        </w:rPr>
        <w:t>（6）本公司租赁上海市淞虹路207号明基商务广场C楼4楼A单元，2019年1月1日至2019年9月30日月租金</w:t>
      </w:r>
      <w:r>
        <w:rPr>
          <w:w w:val="99"/>
        </w:rPr>
        <w:t> </w:t>
      </w:r>
      <w:r>
        <w:rPr/>
        <w:t>83,045.10元，2019年10月1日至2022年9月30日月租金95,994.76元。</w:t>
      </w:r>
    </w:p>
    <w:p>
      <w:pPr>
        <w:pStyle w:val="BodyText"/>
        <w:spacing w:line="273" w:lineRule="auto"/>
        <w:ind w:right="0"/>
        <w:jc w:val="left"/>
      </w:pPr>
      <w:r>
        <w:rPr>
          <w:spacing w:val="5"/>
        </w:rPr>
        <w:t>（7）本公司租赁成都市武侯区领事馆路7号1栋2单元5层507号，2019年1月1日至2019年3月10日月租金</w:t>
      </w:r>
      <w:r>
        <w:rPr>
          <w:spacing w:val="-99"/>
        </w:rPr>
        <w:t> </w:t>
      </w:r>
      <w:r>
        <w:rPr>
          <w:spacing w:val="-99"/>
        </w:rPr>
      </w:r>
      <w:r>
        <w:rPr/>
        <w:t>24,717元，2019年3月11日起至2020年3月10日月租金31,308.20元。</w:t>
      </w:r>
    </w:p>
    <w:p>
      <w:pPr>
        <w:pStyle w:val="BodyText"/>
        <w:spacing w:line="273" w:lineRule="auto"/>
        <w:ind w:right="0"/>
        <w:jc w:val="left"/>
      </w:pPr>
      <w:r>
        <w:rPr>
          <w:spacing w:val="-4"/>
          <w:w w:val="95"/>
        </w:rPr>
        <w:t>（8）本公司租赁广东省深圳市南山区科技南路18号深圳湾科技生态园12栋7层01-04、12-13、39号房，2018</w:t>
      </w:r>
      <w:r>
        <w:rPr>
          <w:spacing w:val="87"/>
          <w:w w:val="95"/>
        </w:rPr>
        <w:t> </w:t>
      </w:r>
      <w:r>
        <w:rPr>
          <w:spacing w:val="87"/>
          <w:w w:val="95"/>
        </w:rPr>
      </w:r>
      <w:r>
        <w:rPr/>
        <w:t>年12月28日起至2019年12月27日,月租金338,076.74元。</w:t>
      </w:r>
    </w:p>
    <w:p>
      <w:pPr>
        <w:pStyle w:val="BodyText"/>
        <w:spacing w:line="273" w:lineRule="auto"/>
        <w:ind w:right="0"/>
        <w:jc w:val="left"/>
      </w:pPr>
      <w:r>
        <w:rPr>
          <w:spacing w:val="4"/>
          <w:w w:val="95"/>
        </w:rPr>
        <w:t>（9）本公司租赁南京市建邺区富春江东街69号方中大厦8楼南，2019年1月1日至2019年3月9日，月租金</w:t>
      </w:r>
      <w:r>
        <w:rPr>
          <w:spacing w:val="14"/>
          <w:w w:val="95"/>
        </w:rPr>
        <w:t> </w:t>
      </w:r>
      <w:r>
        <w:rPr>
          <w:spacing w:val="14"/>
          <w:w w:val="95"/>
        </w:rPr>
      </w:r>
      <w:r>
        <w:rPr/>
        <w:t>37,865.16元，2019年3月10日至2020年3月9日月租金36,062元。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3"/>
          <w:footerReference w:type="default" r:id="rId24"/>
          <w:pgSz w:w="11910" w:h="16840"/>
          <w:pgMar w:header="907" w:footer="1016" w:top="1100" w:bottom="1200" w:left="1020" w:right="0"/>
          <w:pgNumType w:start="8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825"/>
            <w:col w:w="21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10,900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57" w:lineRule="auto" w:before="117"/>
        <w:ind w:left="112" w:right="5714" w:firstLine="0"/>
        <w:jc w:val="left"/>
        <w:rPr>
          <w:rFonts w:ascii="宋体" w:hAnsi="宋体" w:cs="宋体" w:eastAsia="宋体" w:hint="default"/>
          <w:sz w:val="18"/>
          <w:szCs w:val="18"/>
        </w:rPr>
      </w:pPr>
      <w:r>
        <w:rPr>
          <w:rFonts w:ascii="宋体" w:hAnsi="宋体" w:cs="宋体" w:eastAsia="宋体" w:hint="default"/>
          <w:sz w:val="18"/>
          <w:szCs w:val="18"/>
        </w:rPr>
        <w:t>□ 适用 √ 不适用 委托理财出现预期无法收回本金或存在其他可能导致减值的情形</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after="0" w:line="357" w:lineRule="auto"/>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6"/>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6"/>
        <w:spacing w:line="240" w:lineRule="auto" w:before="34"/>
        <w:ind w:right="0"/>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7"/>
        <w:ind w:left="112" w:right="0" w:firstLine="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公司于</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z w:val="18"/>
          <w:szCs w:val="18"/>
        </w:rPr>
        <w:t>年</w:t>
      </w:r>
      <w:r>
        <w:rPr>
          <w:rFonts w:ascii="宋体" w:hAnsi="宋体" w:cs="宋体" w:eastAsia="宋体" w:hint="default"/>
          <w:spacing w:val="1"/>
          <w:sz w:val="18"/>
          <w:szCs w:val="18"/>
        </w:rPr>
        <w:t>4</w:t>
      </w:r>
      <w:r>
        <w:rPr>
          <w:rFonts w:ascii="宋体" w:hAnsi="宋体" w:cs="宋体" w:eastAsia="宋体" w:hint="default"/>
          <w:sz w:val="18"/>
          <w:szCs w:val="18"/>
        </w:rPr>
        <w:t>月</w:t>
      </w:r>
      <w:r>
        <w:rPr>
          <w:rFonts w:ascii="宋体" w:hAnsi="宋体" w:cs="宋体" w:eastAsia="宋体" w:hint="default"/>
          <w:spacing w:val="1"/>
          <w:sz w:val="18"/>
          <w:szCs w:val="18"/>
        </w:rPr>
        <w:t>2</w:t>
      </w:r>
      <w:r>
        <w:rPr>
          <w:rFonts w:ascii="宋体" w:hAnsi="宋体" w:cs="宋体" w:eastAsia="宋体" w:hint="default"/>
          <w:spacing w:val="-2"/>
          <w:sz w:val="18"/>
          <w:szCs w:val="18"/>
        </w:rPr>
        <w:t>4</w:t>
      </w:r>
      <w:r>
        <w:rPr>
          <w:rFonts w:ascii="宋体" w:hAnsi="宋体" w:cs="宋体" w:eastAsia="宋体" w:hint="default"/>
          <w:sz w:val="18"/>
          <w:szCs w:val="18"/>
        </w:rPr>
        <w:t>日召开第二届董事会第二十四次会议</w:t>
      </w:r>
      <w:r>
        <w:rPr>
          <w:rFonts w:ascii="宋体" w:hAnsi="宋体" w:cs="宋体" w:eastAsia="宋体" w:hint="default"/>
          <w:spacing w:val="-58"/>
          <w:sz w:val="18"/>
          <w:szCs w:val="18"/>
        </w:rPr>
        <w:t>，</w:t>
      </w:r>
      <w:r>
        <w:rPr>
          <w:rFonts w:ascii="宋体" w:hAnsi="宋体" w:cs="宋体" w:eastAsia="宋体" w:hint="default"/>
          <w:sz w:val="18"/>
          <w:szCs w:val="18"/>
        </w:rPr>
        <w:t>审议通</w:t>
      </w:r>
      <w:r>
        <w:rPr>
          <w:rFonts w:ascii="宋体" w:hAnsi="宋体" w:cs="宋体" w:eastAsia="宋体" w:hint="default"/>
          <w:spacing w:val="-58"/>
          <w:sz w:val="18"/>
          <w:szCs w:val="18"/>
        </w:rPr>
        <w:t>过</w:t>
      </w:r>
      <w:r>
        <w:rPr>
          <w:rFonts w:ascii="宋体" w:hAnsi="宋体" w:cs="宋体" w:eastAsia="宋体" w:hint="default"/>
          <w:sz w:val="18"/>
          <w:szCs w:val="18"/>
        </w:rPr>
        <w:t>《关于公司非公开发行</w:t>
      </w:r>
      <w:r>
        <w:rPr>
          <w:rFonts w:ascii="宋体" w:hAnsi="宋体" w:cs="宋体" w:eastAsia="宋体" w:hint="default"/>
          <w:spacing w:val="1"/>
          <w:sz w:val="18"/>
          <w:szCs w:val="18"/>
        </w:rPr>
        <w:t> </w:t>
      </w:r>
      <w:r>
        <w:rPr>
          <w:rFonts w:ascii="宋体" w:hAnsi="宋体" w:cs="宋体" w:eastAsia="宋体" w:hint="default"/>
          <w:sz w:val="18"/>
          <w:szCs w:val="18"/>
        </w:rPr>
        <w:t>A 股股票预案的议案</w:t>
      </w:r>
      <w:r>
        <w:rPr>
          <w:rFonts w:ascii="宋体" w:hAnsi="宋体" w:cs="宋体" w:eastAsia="宋体" w:hint="default"/>
          <w:spacing w:val="-92"/>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于</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z w:val="18"/>
          <w:szCs w:val="18"/>
        </w:rPr>
        <w:t> 年</w:t>
      </w:r>
      <w:r>
        <w:rPr>
          <w:rFonts w:ascii="宋体" w:hAnsi="宋体" w:cs="宋体" w:eastAsia="宋体" w:hint="default"/>
          <w:spacing w:val="1"/>
          <w:sz w:val="18"/>
          <w:szCs w:val="18"/>
        </w:rPr>
        <w:t>5</w:t>
      </w:r>
      <w:r>
        <w:rPr>
          <w:rFonts w:ascii="宋体" w:hAnsi="宋体" w:cs="宋体" w:eastAsia="宋体" w:hint="default"/>
          <w:sz w:val="18"/>
          <w:szCs w:val="18"/>
        </w:rPr>
        <w:t>月</w:t>
      </w:r>
      <w:r>
        <w:rPr>
          <w:rFonts w:ascii="宋体" w:hAnsi="宋体" w:cs="宋体" w:eastAsia="宋体" w:hint="default"/>
          <w:spacing w:val="1"/>
          <w:sz w:val="18"/>
          <w:szCs w:val="18"/>
        </w:rPr>
        <w:t>1</w:t>
      </w:r>
      <w:r>
        <w:rPr>
          <w:rFonts w:ascii="宋体" w:hAnsi="宋体" w:cs="宋体" w:eastAsia="宋体" w:hint="default"/>
          <w:spacing w:val="-2"/>
          <w:sz w:val="18"/>
          <w:szCs w:val="18"/>
        </w:rPr>
        <w:t>6</w:t>
      </w:r>
      <w:r>
        <w:rPr>
          <w:rFonts w:ascii="宋体" w:hAnsi="宋体" w:cs="宋体" w:eastAsia="宋体" w:hint="default"/>
          <w:sz w:val="18"/>
          <w:szCs w:val="18"/>
        </w:rPr>
        <w:t>日召开</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8</w:t>
      </w:r>
      <w:r>
        <w:rPr>
          <w:rFonts w:ascii="宋体" w:hAnsi="宋体" w:cs="宋体" w:eastAsia="宋体" w:hint="default"/>
          <w:sz w:val="18"/>
          <w:szCs w:val="18"/>
        </w:rPr>
        <w:t>年年度股东大会，审议通过《关于公司非公开发行</w:t>
      </w:r>
      <w:r>
        <w:rPr>
          <w:rFonts w:ascii="宋体" w:hAnsi="宋体" w:cs="宋体" w:eastAsia="宋体" w:hint="default"/>
          <w:spacing w:val="-2"/>
          <w:sz w:val="18"/>
          <w:szCs w:val="18"/>
        </w:rPr>
        <w:t> </w:t>
      </w:r>
      <w:r>
        <w:rPr>
          <w:rFonts w:ascii="宋体" w:hAnsi="宋体" w:cs="宋体" w:eastAsia="宋体" w:hint="default"/>
          <w:sz w:val="18"/>
          <w:szCs w:val="18"/>
        </w:rPr>
        <w:t>A 股股票预案的议案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9 月</w:t>
      </w:r>
      <w:r>
        <w:rPr>
          <w:rFonts w:ascii="宋体" w:hAnsi="宋体" w:cs="宋体" w:eastAsia="宋体" w:hint="default"/>
          <w:spacing w:val="-2"/>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7 日，公司</w:t>
      </w:r>
      <w:r>
        <w:rPr>
          <w:rFonts w:ascii="宋体" w:hAnsi="宋体" w:cs="宋体" w:eastAsia="宋体" w:hint="default"/>
          <w:sz w:val="18"/>
          <w:szCs w:val="18"/>
        </w:rPr>
        <w:t> 收到中国证券监督管理委员</w:t>
      </w:r>
      <w:r>
        <w:rPr>
          <w:rFonts w:ascii="宋体" w:hAnsi="宋体" w:cs="宋体" w:eastAsia="宋体" w:hint="default"/>
          <w:spacing w:val="-56"/>
          <w:sz w:val="18"/>
          <w:szCs w:val="18"/>
        </w:rPr>
        <w:t>会</w:t>
      </w:r>
      <w:r>
        <w:rPr>
          <w:rFonts w:ascii="宋体" w:hAnsi="宋体" w:cs="宋体" w:eastAsia="宋体" w:hint="default"/>
          <w:spacing w:val="-3"/>
          <w:sz w:val="18"/>
          <w:szCs w:val="18"/>
        </w:rPr>
        <w:t>（</w:t>
      </w:r>
      <w:r>
        <w:rPr>
          <w:rFonts w:ascii="宋体" w:hAnsi="宋体" w:cs="宋体" w:eastAsia="宋体" w:hint="default"/>
          <w:sz w:val="18"/>
          <w:szCs w:val="18"/>
        </w:rPr>
        <w:t>以下简</w:t>
      </w:r>
      <w:r>
        <w:rPr>
          <w:rFonts w:ascii="宋体" w:hAnsi="宋体" w:cs="宋体" w:eastAsia="宋体" w:hint="default"/>
          <w:spacing w:val="-56"/>
          <w:sz w:val="18"/>
          <w:szCs w:val="18"/>
        </w:rPr>
        <w:t>称</w:t>
      </w:r>
      <w:r>
        <w:rPr>
          <w:rFonts w:ascii="宋体" w:hAnsi="宋体" w:cs="宋体" w:eastAsia="宋体" w:hint="default"/>
          <w:spacing w:val="-5"/>
          <w:sz w:val="18"/>
          <w:szCs w:val="18"/>
        </w:rPr>
        <w:t>“</w:t>
      </w:r>
      <w:r>
        <w:rPr>
          <w:rFonts w:ascii="宋体" w:hAnsi="宋体" w:cs="宋体" w:eastAsia="宋体" w:hint="default"/>
          <w:sz w:val="18"/>
          <w:szCs w:val="18"/>
        </w:rPr>
        <w:t>中国证监会</w:t>
      </w:r>
      <w:r>
        <w:rPr>
          <w:rFonts w:ascii="宋体" w:hAnsi="宋体" w:cs="宋体" w:eastAsia="宋体" w:hint="default"/>
          <w:spacing w:val="-89"/>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出具</w:t>
      </w:r>
      <w:r>
        <w:rPr>
          <w:rFonts w:ascii="宋体" w:hAnsi="宋体" w:cs="宋体" w:eastAsia="宋体" w:hint="default"/>
          <w:spacing w:val="-58"/>
          <w:sz w:val="18"/>
          <w:szCs w:val="18"/>
        </w:rPr>
        <w:t>的</w:t>
      </w:r>
      <w:r>
        <w:rPr>
          <w:rFonts w:ascii="宋体" w:hAnsi="宋体" w:cs="宋体" w:eastAsia="宋体" w:hint="default"/>
          <w:spacing w:val="-3"/>
          <w:sz w:val="18"/>
          <w:szCs w:val="18"/>
        </w:rPr>
        <w:t>《</w:t>
      </w:r>
      <w:r>
        <w:rPr>
          <w:rFonts w:ascii="宋体" w:hAnsi="宋体" w:cs="宋体" w:eastAsia="宋体" w:hint="default"/>
          <w:sz w:val="18"/>
          <w:szCs w:val="18"/>
        </w:rPr>
        <w:t>中国证监会行政许可申请受理单</w:t>
      </w:r>
      <w:r>
        <w:rPr>
          <w:rFonts w:ascii="宋体" w:hAnsi="宋体" w:cs="宋体" w:eastAsia="宋体" w:hint="default"/>
          <w:spacing w:val="-147"/>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受理序号</w:t>
      </w:r>
      <w:r>
        <w:rPr>
          <w:rFonts w:ascii="宋体" w:hAnsi="宋体" w:cs="宋体" w:eastAsia="宋体" w:hint="default"/>
          <w:spacing w:val="-58"/>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2</w:t>
      </w:r>
      <w:r>
        <w:rPr>
          <w:rFonts w:ascii="宋体" w:hAnsi="宋体" w:cs="宋体" w:eastAsia="宋体" w:hint="default"/>
          <w:spacing w:val="-2"/>
          <w:sz w:val="18"/>
          <w:szCs w:val="18"/>
        </w:rPr>
        <w:t>4</w:t>
      </w:r>
      <w:r>
        <w:rPr>
          <w:rFonts w:ascii="宋体" w:hAnsi="宋体" w:cs="宋体" w:eastAsia="宋体" w:hint="default"/>
          <w:spacing w:val="1"/>
          <w:sz w:val="18"/>
          <w:szCs w:val="18"/>
        </w:rPr>
        <w:t>9</w:t>
      </w:r>
      <w:r>
        <w:rPr>
          <w:rFonts w:ascii="宋体" w:hAnsi="宋体" w:cs="宋体" w:eastAsia="宋体" w:hint="default"/>
          <w:sz w:val="18"/>
          <w:szCs w:val="18"/>
        </w:rPr>
        <w:t>6</w:t>
      </w:r>
      <w:r>
        <w:rPr>
          <w:rFonts w:ascii="宋体" w:hAnsi="宋体" w:cs="宋体" w:eastAsia="宋体"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w:t>
      </w:r>
    </w:p>
    <w:p>
      <w:pPr>
        <w:spacing w:line="283" w:lineRule="exact" w:before="0"/>
        <w:ind w:left="112" w:right="0" w:firstLine="0"/>
        <w:jc w:val="left"/>
        <w:rPr>
          <w:rFonts w:ascii="宋体" w:hAnsi="宋体" w:cs="宋体" w:eastAsia="宋体" w:hint="default"/>
          <w:sz w:val="24"/>
          <w:szCs w:val="24"/>
        </w:rPr>
      </w:pPr>
      <w:r>
        <w:rPr>
          <w:rFonts w:ascii="宋体" w:hAnsi="宋体" w:cs="宋体" w:eastAsia="宋体" w:hint="default"/>
          <w:sz w:val="18"/>
          <w:szCs w:val="18"/>
        </w:rPr>
        <w:t>2019年11月13日，公司收到</w:t>
      </w:r>
      <w:r>
        <w:rPr>
          <w:rFonts w:ascii="宋体" w:hAnsi="宋体" w:cs="宋体" w:eastAsia="宋体" w:hint="default"/>
          <w:sz w:val="24"/>
          <w:szCs w:val="24"/>
        </w:rPr>
        <w:t>中国证监会出具的《中国证监会行政许可项目审查一次反馈意见通知书》</w:t>
      </w:r>
    </w:p>
    <w:p>
      <w:pPr>
        <w:pStyle w:val="Heading5"/>
        <w:spacing w:line="312" w:lineRule="exact" w:before="29"/>
        <w:ind w:right="1116"/>
        <w:jc w:val="left"/>
      </w:pPr>
      <w:r>
        <w:rPr>
          <w:spacing w:val="-10"/>
        </w:rPr>
        <w:t>（以下简称“反馈意见”）（192496号），根据《反馈意见》的相关要求，公司及相关中介机构</w:t>
      </w:r>
      <w:r>
        <w:rPr>
          <w:spacing w:val="-114"/>
        </w:rPr>
        <w:t> </w:t>
      </w:r>
      <w:r>
        <w:rPr>
          <w:spacing w:val="-114"/>
        </w:rPr>
      </w:r>
      <w:r>
        <w:rPr/>
        <w:t>就《反馈意见》所列问题进行了认真研究和逐项落实，并作出了书面说明和解释；2020年4 </w:t>
      </w:r>
      <w:r>
        <w:rPr>
          <w:spacing w:val="-2"/>
        </w:rPr>
        <w:t>月9日，公司收到中国证监会出具的《关于请做好科蓝软件非公开发行股票发审委会议准备工</w:t>
      </w:r>
      <w:r>
        <w:rPr/>
        <w:t> </w:t>
      </w:r>
      <w:r>
        <w:rPr>
          <w:spacing w:val="-4"/>
        </w:rPr>
        <w:t>作的函》，并于2020年4月20日完成了对《告知函》中所列问题的回复并披露。</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1030" w:firstLine="0"/>
        <w:jc w:val="left"/>
        <w:rPr>
          <w:rFonts w:ascii="宋体" w:hAnsi="宋体" w:cs="宋体" w:eastAsia="宋体" w:hint="default"/>
          <w:sz w:val="18"/>
          <w:szCs w:val="18"/>
        </w:rPr>
      </w:pPr>
      <w:r>
        <w:rPr>
          <w:rFonts w:ascii="宋体" w:hAnsi="宋体" w:cs="宋体" w:eastAsia="宋体" w:hint="default"/>
          <w:sz w:val="18"/>
          <w:szCs w:val="18"/>
        </w:rPr>
        <w:t>√ 适用 □ 不适用 1、公司全资子公司北京科蓝软件系统（苏州）有限公司通过苏州市国有建设用地使用权网上出让系统，以 57,226,000</w:t>
      </w:r>
      <w:r>
        <w:rPr>
          <w:rFonts w:ascii="宋体" w:hAnsi="宋体" w:cs="宋体" w:eastAsia="宋体" w:hint="default"/>
          <w:spacing w:val="-4"/>
          <w:sz w:val="18"/>
          <w:szCs w:val="18"/>
        </w:rPr>
        <w:t> </w:t>
      </w:r>
      <w:r>
        <w:rPr>
          <w:rFonts w:ascii="宋体" w:hAnsi="宋体" w:cs="宋体" w:eastAsia="宋体" w:hint="default"/>
          <w:sz w:val="18"/>
          <w:szCs w:val="18"/>
        </w:rPr>
        <w:t>元</w:t>
      </w:r>
      <w:r>
        <w:rPr>
          <w:rFonts w:ascii="宋体" w:hAnsi="宋体" w:cs="宋体" w:eastAsia="宋体" w:hint="default"/>
          <w:sz w:val="18"/>
          <w:szCs w:val="18"/>
        </w:rPr>
        <w:t> 人民币竞得位于苏州市相城区范围内面积约</w:t>
      </w:r>
      <w:r>
        <w:rPr>
          <w:rFonts w:ascii="宋体" w:hAnsi="宋体" w:cs="宋体" w:eastAsia="宋体" w:hint="default"/>
          <w:spacing w:val="28"/>
          <w:sz w:val="18"/>
          <w:szCs w:val="18"/>
        </w:rPr>
        <w:t> </w:t>
      </w:r>
      <w:r>
        <w:rPr>
          <w:rFonts w:ascii="宋体" w:hAnsi="宋体" w:cs="宋体" w:eastAsia="宋体" w:hint="default"/>
          <w:spacing w:val="-3"/>
          <w:sz w:val="18"/>
          <w:szCs w:val="18"/>
        </w:rPr>
        <w:t>28,613平方米科教（研发）用地的使用权，建设科蓝公司长三角科技研发中心，</w:t>
      </w:r>
    </w:p>
    <w:p>
      <w:pPr>
        <w:spacing w:line="316" w:lineRule="auto" w:before="2"/>
        <w:ind w:left="112" w:right="1118" w:firstLine="0"/>
        <w:jc w:val="left"/>
        <w:rPr>
          <w:rFonts w:ascii="宋体" w:hAnsi="宋体" w:cs="宋体" w:eastAsia="宋体" w:hint="default"/>
          <w:sz w:val="18"/>
          <w:szCs w:val="18"/>
        </w:rPr>
      </w:pPr>
      <w:r>
        <w:rPr>
          <w:rFonts w:ascii="宋体" w:hAnsi="宋体" w:cs="宋体" w:eastAsia="宋体" w:hint="default"/>
          <w:spacing w:val="-3"/>
          <w:sz w:val="18"/>
          <w:szCs w:val="18"/>
        </w:rPr>
        <w:t>土地编号为：苏相国土 </w:t>
      </w:r>
      <w:r>
        <w:rPr>
          <w:rFonts w:ascii="宋体" w:hAnsi="宋体" w:cs="宋体" w:eastAsia="宋体" w:hint="default"/>
          <w:sz w:val="18"/>
          <w:szCs w:val="18"/>
        </w:rPr>
        <w:t>2019-WG-22</w:t>
      </w:r>
      <w:r>
        <w:rPr>
          <w:rFonts w:ascii="宋体" w:hAnsi="宋体" w:cs="宋体" w:eastAsia="宋体" w:hint="default"/>
          <w:spacing w:val="-51"/>
          <w:sz w:val="18"/>
          <w:szCs w:val="18"/>
        </w:rPr>
        <w:t> </w:t>
      </w:r>
      <w:r>
        <w:rPr>
          <w:rFonts w:ascii="宋体" w:hAnsi="宋体" w:cs="宋体" w:eastAsia="宋体" w:hint="default"/>
          <w:sz w:val="18"/>
          <w:szCs w:val="18"/>
        </w:rPr>
        <w:t>的建设用地使用权，苏州子公司与苏州市自然资源和规划局签署《国有建设用地使用权</w:t>
      </w:r>
      <w:r>
        <w:rPr>
          <w:rFonts w:ascii="宋体" w:hAnsi="宋体" w:cs="宋体" w:eastAsia="宋体" w:hint="default"/>
          <w:sz w:val="18"/>
          <w:szCs w:val="18"/>
        </w:rPr>
        <w:t> </w:t>
      </w:r>
      <w:r>
        <w:rPr>
          <w:rFonts w:ascii="宋体" w:hAnsi="宋体" w:cs="宋体" w:eastAsia="宋体" w:hint="default"/>
          <w:spacing w:val="-12"/>
          <w:sz w:val="18"/>
          <w:szCs w:val="18"/>
        </w:rPr>
        <w:t>出让合同》，并于</w:t>
      </w:r>
      <w:r>
        <w:rPr>
          <w:rFonts w:ascii="宋体" w:hAnsi="宋体" w:cs="宋体" w:eastAsia="宋体" w:hint="default"/>
          <w:sz w:val="18"/>
          <w:szCs w:val="18"/>
        </w:rPr>
        <w:t> 2019 年 8 月 15</w:t>
      </w:r>
      <w:r>
        <w:rPr>
          <w:rFonts w:ascii="宋体" w:hAnsi="宋体" w:cs="宋体" w:eastAsia="宋体" w:hint="default"/>
          <w:spacing w:val="31"/>
          <w:sz w:val="18"/>
          <w:szCs w:val="18"/>
        </w:rPr>
        <w:t> </w:t>
      </w:r>
      <w:r>
        <w:rPr>
          <w:rFonts w:ascii="宋体" w:hAnsi="宋体" w:cs="宋体" w:eastAsia="宋体" w:hint="default"/>
          <w:spacing w:val="-3"/>
          <w:sz w:val="18"/>
          <w:szCs w:val="18"/>
        </w:rPr>
        <w:t>日取得苏州市自然资源和规划局颁发的《不动产权证书》（苏（2019）苏州市不动产权</w:t>
      </w:r>
    </w:p>
    <w:p>
      <w:pPr>
        <w:spacing w:before="19"/>
        <w:ind w:left="112"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1"/>
          <w:sz w:val="18"/>
          <w:szCs w:val="18"/>
        </w:rPr>
        <w:t> 7</w:t>
      </w:r>
      <w:r>
        <w:rPr>
          <w:rFonts w:ascii="宋体" w:hAnsi="宋体" w:cs="宋体" w:eastAsia="宋体" w:hint="default"/>
          <w:spacing w:val="-2"/>
          <w:sz w:val="18"/>
          <w:szCs w:val="18"/>
        </w:rPr>
        <w:t>0</w:t>
      </w:r>
      <w:r>
        <w:rPr>
          <w:rFonts w:ascii="宋体" w:hAnsi="宋体" w:cs="宋体" w:eastAsia="宋体" w:hint="default"/>
          <w:spacing w:val="1"/>
          <w:sz w:val="18"/>
          <w:szCs w:val="18"/>
        </w:rPr>
        <w:t>2</w:t>
      </w:r>
      <w:r>
        <w:rPr>
          <w:rFonts w:ascii="宋体" w:hAnsi="宋体" w:cs="宋体" w:eastAsia="宋体" w:hint="default"/>
          <w:spacing w:val="-2"/>
          <w:sz w:val="18"/>
          <w:szCs w:val="18"/>
        </w:rPr>
        <w:t>6</w:t>
      </w:r>
      <w:r>
        <w:rPr>
          <w:rFonts w:ascii="宋体" w:hAnsi="宋体" w:cs="宋体" w:eastAsia="宋体" w:hint="default"/>
          <w:spacing w:val="1"/>
          <w:sz w:val="18"/>
          <w:szCs w:val="18"/>
        </w:rPr>
        <w:t>6</w:t>
      </w:r>
      <w:r>
        <w:rPr>
          <w:rFonts w:ascii="宋体" w:hAnsi="宋体" w:cs="宋体" w:eastAsia="宋体" w:hint="default"/>
          <w:spacing w:val="-2"/>
          <w:sz w:val="18"/>
          <w:szCs w:val="18"/>
        </w:rPr>
        <w:t>7</w:t>
      </w:r>
      <w:r>
        <w:rPr>
          <w:rFonts w:ascii="宋体" w:hAnsi="宋体" w:cs="宋体" w:eastAsia="宋体" w:hint="default"/>
          <w:sz w:val="18"/>
          <w:szCs w:val="18"/>
        </w:rPr>
        <w:t>6 号</w:t>
      </w:r>
      <w:r>
        <w:rPr>
          <w:rFonts w:ascii="宋体" w:hAnsi="宋体" w:cs="宋体" w:eastAsia="宋体" w:hint="default"/>
          <w:spacing w:val="-92"/>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headerReference w:type="default" r:id="rId25"/>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3007" w:right="0"/>
        <w:jc w:val="left"/>
        <w:rPr>
          <w:b w:val="0"/>
          <w:bCs w:val="0"/>
        </w:rPr>
      </w:pPr>
      <w:bookmarkStart w:name="第六节股份变动及股东情况" w:id="104"/>
      <w:bookmarkEnd w:id="104"/>
      <w:r>
        <w:rPr>
          <w:b w:val="0"/>
          <w:bCs w:val="0"/>
        </w:rPr>
      </w:r>
      <w:bookmarkStart w:name="_bookmark4"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78,329,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39,164,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532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39,164,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 w:right="0"/>
              <w:jc w:val="left"/>
              <w:rPr>
                <w:rFonts w:ascii="Times New Roman" w:hAnsi="Times New Roman" w:cs="Times New Roman" w:eastAsia="Times New Roman" w:hint="default"/>
                <w:sz w:val="18"/>
                <w:szCs w:val="18"/>
              </w:rPr>
            </w:pPr>
            <w:r>
              <w:rPr>
                <w:rFonts w:ascii="Times New Roman"/>
                <w:sz w:val="18"/>
              </w:rPr>
              <w:t>117,49</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3,597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38.88%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9" w:right="0"/>
              <w:jc w:val="left"/>
              <w:rPr>
                <w:rFonts w:ascii="Times New Roman" w:hAnsi="Times New Roman" w:cs="Times New Roman" w:eastAsia="Times New Roman" w:hint="default"/>
                <w:sz w:val="18"/>
                <w:szCs w:val="18"/>
              </w:rPr>
            </w:pPr>
            <w:r>
              <w:rPr>
                <w:rFonts w:ascii="Times New Roman"/>
                <w:sz w:val="18"/>
              </w:rPr>
              <w:t>78,329,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065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39,164,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532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39,164,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Times New Roman" w:hAnsi="Times New Roman" w:cs="Times New Roman" w:eastAsia="Times New Roman" w:hint="default"/>
                <w:sz w:val="18"/>
                <w:szCs w:val="18"/>
              </w:rPr>
            </w:pPr>
            <w:r>
              <w:rPr>
                <w:rFonts w:ascii="Times New Roman"/>
                <w:sz w:val="18"/>
              </w:rPr>
              <w:t>117,49</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3,597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38.88%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13,098,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135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6,549,0</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67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6,549,0</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19,647,</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6.50%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9" w:right="0"/>
              <w:jc w:val="left"/>
              <w:rPr>
                <w:rFonts w:ascii="Times New Roman" w:hAnsi="Times New Roman" w:cs="Times New Roman" w:eastAsia="Times New Roman" w:hint="default"/>
                <w:sz w:val="18"/>
                <w:szCs w:val="18"/>
              </w:rPr>
            </w:pPr>
            <w:r>
              <w:rPr>
                <w:rFonts w:ascii="Times New Roman"/>
                <w:sz w:val="18"/>
              </w:rPr>
              <w:t>65,230,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930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32.38%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32,615,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465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32,615,</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97,846,</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32.38%</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 w:right="0"/>
              <w:jc w:val="left"/>
              <w:rPr>
                <w:rFonts w:ascii="Times New Roman" w:hAnsi="Times New Roman" w:cs="Times New Roman" w:eastAsia="Times New Roman" w:hint="default"/>
                <w:sz w:val="18"/>
                <w:szCs w:val="18"/>
              </w:rPr>
            </w:pPr>
            <w:r>
              <w:rPr>
                <w:rFonts w:ascii="Times New Roman"/>
                <w:sz w:val="18"/>
              </w:rPr>
              <w:t>123,134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61,567,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left"/>
              <w:rPr>
                <w:rFonts w:ascii="Times New Roman" w:hAnsi="Times New Roman" w:cs="Times New Roman" w:eastAsia="Times New Roman" w:hint="default"/>
                <w:sz w:val="18"/>
                <w:szCs w:val="18"/>
              </w:rPr>
            </w:pPr>
            <w:r>
              <w:rPr>
                <w:rFonts w:ascii="Times New Roman"/>
                <w:sz w:val="18"/>
              </w:rPr>
              <w:t>61,567,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446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left"/>
              <w:rPr>
                <w:rFonts w:ascii="Times New Roman" w:hAnsi="Times New Roman" w:cs="Times New Roman" w:eastAsia="Times New Roman" w:hint="default"/>
                <w:sz w:val="18"/>
                <w:szCs w:val="18"/>
              </w:rPr>
            </w:pPr>
            <w:r>
              <w:rPr>
                <w:rFonts w:ascii="Times New Roman"/>
                <w:sz w:val="18"/>
              </w:rPr>
              <w:t>184,70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2,338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61.12%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123,134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,892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61,567,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61,567,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446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184,70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2,338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61.12%</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201,463</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,957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100,731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,978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100,731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302,19</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5,935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12" w:right="0" w:firstLine="360"/>
        <w:jc w:val="left"/>
        <w:rPr>
          <w:rFonts w:ascii="宋体" w:hAnsi="宋体" w:cs="宋体" w:eastAsia="宋体" w:hint="default"/>
          <w:sz w:val="18"/>
          <w:szCs w:val="18"/>
        </w:rPr>
      </w:pP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年度权益分派方案，公司以</w:t>
      </w:r>
      <w:r>
        <w:rPr>
          <w:rFonts w:ascii="Times New Roman" w:hAnsi="Times New Roman" w:cs="Times New Roman" w:eastAsia="Times New Roman" w:hint="default"/>
          <w:sz w:val="18"/>
          <w:szCs w:val="18"/>
        </w:rPr>
        <w:t>201,463,957 </w:t>
      </w:r>
      <w:r>
        <w:rPr>
          <w:rFonts w:ascii="宋体" w:hAnsi="宋体" w:cs="宋体" w:eastAsia="宋体" w:hint="default"/>
          <w:sz w:val="18"/>
          <w:szCs w:val="18"/>
        </w:rPr>
        <w:t>股为基数，以资本公积金向全体股东每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股。权益分</w:t>
      </w:r>
      <w:r>
        <w:rPr>
          <w:rFonts w:ascii="宋体" w:hAnsi="宋体" w:cs="宋体" w:eastAsia="宋体" w:hint="default"/>
          <w:sz w:val="18"/>
          <w:szCs w:val="18"/>
        </w:rPr>
        <w:t> 派前公司总股本为 </w:t>
      </w:r>
      <w:r>
        <w:rPr>
          <w:rFonts w:ascii="Times New Roman" w:hAnsi="Times New Roman" w:cs="Times New Roman" w:eastAsia="Times New Roman" w:hint="default"/>
          <w:sz w:val="18"/>
          <w:szCs w:val="18"/>
        </w:rPr>
        <w:t>201,463,957  </w:t>
      </w:r>
      <w:r>
        <w:rPr>
          <w:rFonts w:ascii="宋体" w:hAnsi="宋体" w:cs="宋体" w:eastAsia="宋体" w:hint="default"/>
          <w:sz w:val="18"/>
          <w:szCs w:val="18"/>
        </w:rPr>
        <w:t>股，权益分派后总股本增至</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302,195,935</w:t>
      </w:r>
      <w:r>
        <w:rPr>
          <w:rFonts w:ascii="宋体" w:hAnsi="宋体" w:cs="宋体" w:eastAsia="宋体" w:hint="default"/>
          <w:sz w:val="18"/>
          <w:szCs w:val="18"/>
        </w:rPr>
        <w:t>股。</w:t>
      </w:r>
    </w:p>
    <w:p>
      <w:pPr>
        <w:spacing w:after="0" w:line="30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1141" w:firstLine="360"/>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日召开的第二届董事会第二十四次会议及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宋体" w:hAnsi="宋体" w:cs="宋体" w:eastAsia="宋体" w:hint="default"/>
          <w:sz w:val="18"/>
          <w:szCs w:val="18"/>
        </w:rPr>
        <w:t>日召开的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年年度股东大会审 议通过 了《关于公司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年度利润分配及资本公积金转增股本预案的议案》，审议通过公司以</w:t>
      </w:r>
      <w:r>
        <w:rPr>
          <w:rFonts w:ascii="Times New Roman" w:hAnsi="Times New Roman" w:cs="Times New Roman" w:eastAsia="Times New Roman" w:hint="default"/>
          <w:spacing w:val="-3"/>
          <w:sz w:val="18"/>
          <w:szCs w:val="18"/>
        </w:rPr>
        <w:t>201,463,957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股为基数，以 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股的权益分派方案，并于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日实施完成。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3"/>
          <w:w w:val="99"/>
          <w:sz w:val="18"/>
          <w:szCs w:val="18"/>
        </w:rPr>
        <w:t>2019</w:t>
      </w:r>
      <w:r>
        <w:rPr>
          <w:rFonts w:ascii="宋体" w:hAnsi="宋体" w:cs="宋体" w:eastAsia="宋体" w:hint="default"/>
          <w:spacing w:val="-3"/>
          <w:w w:val="99"/>
          <w:sz w:val="18"/>
          <w:szCs w:val="18"/>
        </w:rPr>
        <w:t>年</w:t>
      </w:r>
      <w:r>
        <w:rPr>
          <w:rFonts w:ascii="Times New Roman" w:hAnsi="Times New Roman" w:cs="Times New Roman" w:eastAsia="Times New Roman" w:hint="default"/>
          <w:spacing w:val="-3"/>
          <w:w w:val="99"/>
          <w:sz w:val="18"/>
          <w:szCs w:val="18"/>
        </w:rPr>
        <w:t>5</w:t>
      </w:r>
      <w:r>
        <w:rPr>
          <w:rFonts w:ascii="宋体" w:hAnsi="宋体" w:cs="宋体" w:eastAsia="宋体" w:hint="default"/>
          <w:spacing w:val="-3"/>
          <w:w w:val="99"/>
          <w:sz w:val="18"/>
          <w:szCs w:val="18"/>
        </w:rPr>
        <w:t>月</w:t>
      </w:r>
      <w:r>
        <w:rPr>
          <w:rFonts w:ascii="Times New Roman" w:hAnsi="Times New Roman" w:cs="Times New Roman" w:eastAsia="Times New Roman" w:hint="default"/>
          <w:spacing w:val="-3"/>
          <w:w w:val="99"/>
          <w:sz w:val="18"/>
          <w:szCs w:val="18"/>
        </w:rPr>
        <w:t>27</w:t>
      </w:r>
      <w:r>
        <w:rPr>
          <w:rFonts w:ascii="宋体" w:hAnsi="宋体" w:cs="宋体" w:eastAsia="宋体" w:hint="default"/>
          <w:spacing w:val="-3"/>
          <w:w w:val="99"/>
          <w:sz w:val="18"/>
          <w:szCs w:val="18"/>
        </w:rPr>
        <w:t>日公司收到中国证券登记结算有限责任公司深圳分公司《</w:t>
      </w:r>
      <w:r>
        <w:rPr>
          <w:rFonts w:ascii="Times New Roman" w:hAnsi="Times New Roman" w:cs="Times New Roman" w:eastAsia="Times New Roman" w:hint="default"/>
          <w:spacing w:val="-3"/>
          <w:w w:val="99"/>
          <w:sz w:val="18"/>
          <w:szCs w:val="18"/>
        </w:rPr>
        <w:t>A</w:t>
      </w:r>
      <w:r>
        <w:rPr>
          <w:rFonts w:ascii="宋体" w:hAnsi="宋体" w:cs="宋体" w:eastAsia="宋体" w:hint="default"/>
          <w:spacing w:val="-3"/>
          <w:w w:val="99"/>
          <w:sz w:val="18"/>
          <w:szCs w:val="18"/>
        </w:rPr>
        <w:t>股权益分派结果反馈表》，以资本公积金转增股</w:t>
      </w:r>
      <w:r>
        <w:rPr>
          <w:rFonts w:ascii="宋体" w:hAnsi="宋体" w:cs="宋体" w:eastAsia="宋体" w:hint="default"/>
          <w:sz w:val="18"/>
          <w:szCs w:val="18"/>
        </w:rPr>
        <w:t> 本股份及现金红利到账日为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360" w:lineRule="auto" w:before="117"/>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采用集中竞价方式减持回购股份的实施进展情况</w:t>
      </w:r>
    </w:p>
    <w:p>
      <w:pPr>
        <w:spacing w:line="360" w:lineRule="auto" w:before="25"/>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472" w:right="0" w:firstLine="0"/>
        <w:jc w:val="left"/>
        <w:rPr>
          <w:rFonts w:ascii="宋体" w:hAnsi="宋体" w:cs="宋体" w:eastAsia="宋体" w:hint="default"/>
          <w:sz w:val="18"/>
          <w:szCs w:val="18"/>
        </w:rPr>
      </w:pPr>
      <w:r>
        <w:rPr>
          <w:rFonts w:ascii="宋体" w:hAnsi="宋体" w:cs="宋体" w:eastAsia="宋体" w:hint="default"/>
          <w:sz w:val="18"/>
          <w:szCs w:val="18"/>
        </w:rPr>
        <w:t>实施</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年度权益分派后，按新股本 </w:t>
      </w:r>
      <w:r>
        <w:rPr>
          <w:rFonts w:ascii="Times New Roman" w:hAnsi="Times New Roman" w:cs="Times New Roman" w:eastAsia="Times New Roman" w:hint="default"/>
          <w:sz w:val="18"/>
          <w:szCs w:val="18"/>
        </w:rPr>
        <w:t>302,195,935  </w:t>
      </w:r>
      <w:r>
        <w:rPr>
          <w:rFonts w:ascii="宋体" w:hAnsi="宋体" w:cs="宋体" w:eastAsia="宋体" w:hint="default"/>
          <w:sz w:val="18"/>
          <w:szCs w:val="18"/>
        </w:rPr>
        <w:t>股摊薄计算，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年年度，公司每股净收益为 </w:t>
      </w:r>
      <w:r>
        <w:rPr>
          <w:rFonts w:ascii="Times New Roman" w:hAnsi="Times New Roman" w:cs="Times New Roman" w:eastAsia="Times New Roman" w:hint="default"/>
          <w:sz w:val="18"/>
          <w:szCs w:val="18"/>
        </w:rPr>
        <w:t>0.1392</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5" w:right="145" w:hanging="269"/>
              <w:jc w:val="left"/>
              <w:rPr>
                <w:rFonts w:ascii="宋体" w:hAnsi="宋体" w:cs="宋体" w:eastAsia="宋体" w:hint="default"/>
                <w:sz w:val="18"/>
                <w:szCs w:val="18"/>
              </w:rPr>
            </w:pPr>
            <w:r>
              <w:rPr>
                <w:rFonts w:ascii="宋体" w:hAnsi="宋体" w:cs="宋体" w:eastAsia="宋体" w:hint="default"/>
                <w:sz w:val="18"/>
                <w:szCs w:val="18"/>
              </w:rPr>
              <w:t>拟解除限售 日期</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王安京作为</w:t>
            </w:r>
          </w:p>
        </w:tc>
      </w:tr>
      <w:tr>
        <w:trPr>
          <w:trHeight w:val="301"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承诺自公司</w:t>
            </w:r>
          </w:p>
        </w:tc>
      </w:tr>
      <w:tr>
        <w:trPr>
          <w:trHeight w:val="628"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60,420,089</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30,210,045</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90,630,134</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股及对应的 资本公积金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3" w:right="102"/>
              <w:jc w:val="left"/>
              <w:rPr>
                <w:rFonts w:ascii="宋体" w:hAnsi="宋体" w:cs="宋体" w:eastAsia="宋体" w:hint="default"/>
                <w:sz w:val="18"/>
                <w:szCs w:val="18"/>
              </w:rPr>
            </w:pPr>
            <w:r>
              <w:rPr>
                <w:rFonts w:ascii="宋体" w:hAnsi="宋体" w:cs="宋体" w:eastAsia="宋体" w:hint="default"/>
                <w:sz w:val="18"/>
                <w:szCs w:val="18"/>
              </w:rPr>
              <w:t>股票上市之 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319"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内，不转让</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或者委托他</w:t>
            </w:r>
          </w:p>
        </w:tc>
      </w:tr>
      <w:tr>
        <w:trPr>
          <w:trHeight w:val="314"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人管理本人</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18" w:hRule="exact"/>
        </w:trPr>
        <w:tc>
          <w:tcPr>
            <w:tcW w:w="1206"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（本企业）</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持有的公司</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上市前已发</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行的股份。</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首发限售股</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拟解除限售</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日期为</w:t>
            </w:r>
          </w:p>
        </w:tc>
      </w:tr>
      <w:tr>
        <w:trPr>
          <w:trHeight w:val="316"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52" w:hRule="exact"/>
        </w:trPr>
        <w:tc>
          <w:tcPr>
            <w:tcW w:w="1206"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王安京作为</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科蓝盛合的</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普通合伙</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人，自公司</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股票上市之</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1555"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1" w:right="101"/>
              <w:jc w:val="left"/>
              <w:rPr>
                <w:rFonts w:ascii="宋体" w:hAnsi="宋体" w:cs="宋体" w:eastAsia="宋体" w:hint="default"/>
                <w:sz w:val="18"/>
                <w:szCs w:val="18"/>
              </w:rPr>
            </w:pPr>
            <w:r>
              <w:rPr>
                <w:rFonts w:ascii="宋体" w:hAnsi="宋体" w:cs="宋体" w:eastAsia="宋体" w:hint="default"/>
                <w:sz w:val="18"/>
                <w:szCs w:val="18"/>
              </w:rPr>
              <w:t>宁波科蓝盛 合投资管理 </w:t>
            </w:r>
            <w:r>
              <w:rPr>
                <w:rFonts w:ascii="宋体" w:hAnsi="宋体" w:cs="宋体" w:eastAsia="宋体" w:hint="default"/>
                <w:spacing w:val="-15"/>
                <w:sz w:val="18"/>
                <w:szCs w:val="18"/>
              </w:rPr>
              <w:t>合伙企业（有</w:t>
            </w:r>
            <w:r>
              <w:rPr>
                <w:rFonts w:ascii="宋体" w:hAnsi="宋体" w:cs="宋体" w:eastAsia="宋体" w:hint="default"/>
                <w:sz w:val="18"/>
                <w:szCs w:val="18"/>
              </w:rPr>
              <w:t> 限合伙）</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13,098,135</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6,549,067</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19,647,202</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189"/>
              <w:jc w:val="both"/>
              <w:rPr>
                <w:rFonts w:ascii="宋体" w:hAnsi="宋体" w:cs="宋体" w:eastAsia="宋体" w:hint="default"/>
                <w:sz w:val="18"/>
                <w:szCs w:val="18"/>
              </w:rPr>
            </w:pPr>
            <w:r>
              <w:rPr>
                <w:rFonts w:ascii="宋体" w:hAnsi="宋体" w:cs="宋体" w:eastAsia="宋体" w:hint="default"/>
                <w:sz w:val="18"/>
                <w:szCs w:val="18"/>
              </w:rPr>
              <w:t>首发前限售 股及对应的 资本公积金 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88"/>
              <w:jc w:val="both"/>
              <w:rPr>
                <w:rFonts w:ascii="宋体" w:hAnsi="宋体" w:cs="宋体" w:eastAsia="宋体" w:hint="default"/>
                <w:sz w:val="18"/>
                <w:szCs w:val="18"/>
              </w:rPr>
            </w:pPr>
            <w:r>
              <w:rPr>
                <w:rFonts w:ascii="宋体" w:hAnsi="宋体" w:cs="宋体" w:eastAsia="宋体" w:hint="default"/>
                <w:sz w:val="18"/>
                <w:szCs w:val="18"/>
              </w:rPr>
              <w:t>内，不转让 其所持有的 出资份额。 科蓝盛合与 王安京为一</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致行动人。</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首发限售股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拟解除限售</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日期为</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52"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日起，满</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12</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个月后，满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足解锁条件</w:t>
            </w:r>
          </w:p>
        </w:tc>
      </w:tr>
      <w:tr>
        <w:trPr>
          <w:trHeight w:val="156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949,399</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474,700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1,424,099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89"/>
              <w:jc w:val="both"/>
              <w:rPr>
                <w:rFonts w:ascii="宋体" w:hAnsi="宋体" w:cs="宋体" w:eastAsia="宋体" w:hint="default"/>
                <w:sz w:val="18"/>
                <w:szCs w:val="18"/>
              </w:rPr>
            </w:pPr>
            <w:r>
              <w:rPr>
                <w:rFonts w:ascii="宋体" w:hAnsi="宋体" w:cs="宋体" w:eastAsia="宋体" w:hint="default"/>
                <w:sz w:val="18"/>
                <w:szCs w:val="18"/>
              </w:rPr>
              <w:t>股权激励限 售股及对应 的资本公积 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103" w:right="70"/>
              <w:jc w:val="left"/>
              <w:rPr>
                <w:rFonts w:ascii="宋体" w:hAnsi="宋体" w:cs="宋体" w:eastAsia="宋体" w:hint="default"/>
                <w:sz w:val="18"/>
                <w:szCs w:val="18"/>
              </w:rPr>
            </w:pPr>
            <w:r>
              <w:rPr>
                <w:rFonts w:ascii="宋体" w:hAnsi="宋体" w:cs="宋体" w:eastAsia="宋体" w:hint="default"/>
                <w:sz w:val="18"/>
                <w:szCs w:val="18"/>
              </w:rPr>
              <w:t>的可以在未 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 按</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分四期解</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锁。解锁后</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的股份再按</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照高管锁定</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股的规定解</w:t>
            </w:r>
          </w:p>
        </w:tc>
      </w:tr>
      <w:tr>
        <w:trPr>
          <w:trHeight w:val="354"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除限售。</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56"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起，满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月后，满足</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李焕楠</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299,259</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149,630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448,889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售股及对应 的资本公积</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解锁条件的 可以在未来</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分三期解</w:t>
            </w:r>
          </w:p>
        </w:tc>
      </w:tr>
      <w:tr>
        <w:trPr>
          <w:trHeight w:val="358"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起，满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月后，满足</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魏祥</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299,259</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149,630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448,889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售股及对应 的资本公积</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解锁条件的 可以在未来</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分三期解</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6"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售股中，首</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次授予的限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制性股票自</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个月后，</w:t>
            </w:r>
          </w:p>
        </w:tc>
      </w:tr>
      <w:tr>
        <w:trPr>
          <w:trHeight w:val="1560"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吕方</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297,763</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148,881</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446,644</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103" w:right="189"/>
              <w:jc w:val="both"/>
              <w:rPr>
                <w:rFonts w:ascii="宋体" w:hAnsi="宋体" w:cs="宋体" w:eastAsia="宋体" w:hint="default"/>
                <w:sz w:val="18"/>
                <w:szCs w:val="18"/>
              </w:rPr>
            </w:pPr>
            <w:r>
              <w:rPr>
                <w:rFonts w:ascii="宋体" w:hAnsi="宋体" w:cs="宋体" w:eastAsia="宋体" w:hint="default"/>
                <w:sz w:val="18"/>
                <w:szCs w:val="18"/>
              </w:rPr>
              <w:t>股权激励限 售股及对应 的资本公积 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3" w:right="70"/>
              <w:jc w:val="left"/>
              <w:rPr>
                <w:rFonts w:ascii="宋体" w:hAnsi="宋体" w:cs="宋体" w:eastAsia="宋体" w:hint="default"/>
                <w:sz w:val="18"/>
                <w:szCs w:val="18"/>
              </w:rPr>
            </w:pPr>
            <w:r>
              <w:rPr>
                <w:rFonts w:ascii="宋体" w:hAnsi="宋体" w:cs="宋体" w:eastAsia="宋体" w:hint="default"/>
                <w:sz w:val="18"/>
                <w:szCs w:val="18"/>
              </w:rPr>
              <w:t>满足解锁条 件的可以在 未来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内按</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分四期解</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锁；预留部</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分限制性股</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日起，</w:t>
            </w:r>
          </w:p>
        </w:tc>
      </w:tr>
      <w:tr>
        <w:trPr>
          <w:trHeight w:val="311"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18" w:hRule="exact"/>
        </w:trPr>
        <w:tc>
          <w:tcPr>
            <w:tcW w:w="1206"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后，满足解</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锁条件的可</w:t>
            </w:r>
          </w:p>
        </w:tc>
      </w:tr>
      <w:tr>
        <w:trPr>
          <w:trHeight w:val="316"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r>
      <w:tr>
        <w:trPr>
          <w:trHeight w:val="308"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个月内按</w:t>
            </w:r>
          </w:p>
        </w:tc>
      </w:tr>
      <w:tr>
        <w:trPr>
          <w:trHeight w:val="316"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w:t>
            </w:r>
          </w:p>
        </w:tc>
      </w:tr>
      <w:tr>
        <w:trPr>
          <w:trHeight w:val="308"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分三期解</w:t>
            </w:r>
          </w:p>
        </w:tc>
      </w:tr>
      <w:tr>
        <w:trPr>
          <w:trHeight w:val="356" w:hRule="exact"/>
        </w:trPr>
        <w:tc>
          <w:tcPr>
            <w:tcW w:w="1206"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起，满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月后，满足</w:t>
            </w:r>
          </w:p>
        </w:tc>
      </w:tr>
      <w:tr>
        <w:trPr>
          <w:trHeight w:val="624"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王双利</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188,533</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94,267</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282,800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9"/>
              <w:jc w:val="left"/>
              <w:rPr>
                <w:rFonts w:ascii="宋体" w:hAnsi="宋体" w:cs="宋体" w:eastAsia="宋体" w:hint="default"/>
                <w:sz w:val="18"/>
                <w:szCs w:val="18"/>
              </w:rPr>
            </w:pPr>
            <w:r>
              <w:rPr>
                <w:rFonts w:ascii="宋体" w:hAnsi="宋体" w:cs="宋体" w:eastAsia="宋体" w:hint="default"/>
                <w:sz w:val="18"/>
                <w:szCs w:val="18"/>
              </w:rPr>
              <w:t>售股及对应 的资本公积</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8"/>
              <w:jc w:val="left"/>
              <w:rPr>
                <w:rFonts w:ascii="宋体" w:hAnsi="宋体" w:cs="宋体" w:eastAsia="宋体" w:hint="default"/>
                <w:sz w:val="18"/>
                <w:szCs w:val="18"/>
              </w:rPr>
            </w:pPr>
            <w:r>
              <w:rPr>
                <w:rFonts w:ascii="宋体" w:hAnsi="宋体" w:cs="宋体" w:eastAsia="宋体" w:hint="default"/>
                <w:sz w:val="18"/>
                <w:szCs w:val="18"/>
              </w:rPr>
              <w:t>解锁条件的 可以在未来</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分三期解</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1560"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傅斌</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175,066</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87,533</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262,599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89"/>
              <w:jc w:val="both"/>
              <w:rPr>
                <w:rFonts w:ascii="宋体" w:hAnsi="宋体" w:cs="宋体" w:eastAsia="宋体" w:hint="default"/>
                <w:sz w:val="18"/>
                <w:szCs w:val="18"/>
              </w:rPr>
            </w:pPr>
            <w:r>
              <w:rPr>
                <w:rFonts w:ascii="宋体" w:hAnsi="宋体" w:cs="宋体" w:eastAsia="宋体" w:hint="default"/>
                <w:sz w:val="18"/>
                <w:szCs w:val="18"/>
              </w:rPr>
              <w:t>股权激励限 售股及对应 的资本公积 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103" w:right="102"/>
              <w:jc w:val="left"/>
              <w:rPr>
                <w:rFonts w:ascii="宋体" w:hAnsi="宋体" w:cs="宋体" w:eastAsia="宋体" w:hint="default"/>
                <w:sz w:val="18"/>
                <w:szCs w:val="18"/>
              </w:rPr>
            </w:pPr>
            <w:r>
              <w:rPr>
                <w:rFonts w:ascii="宋体" w:hAnsi="宋体" w:cs="宋体" w:eastAsia="宋体" w:hint="default"/>
                <w:sz w:val="18"/>
                <w:szCs w:val="18"/>
              </w:rPr>
              <w:t>个月后，满 足解锁条件 的可以在未 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 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w:t>
            </w:r>
          </w:p>
        </w:tc>
      </w:tr>
      <w:tr>
        <w:trPr>
          <w:trHeight w:val="308"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分四期解</w:t>
            </w:r>
          </w:p>
        </w:tc>
      </w:tr>
      <w:tr>
        <w:trPr>
          <w:trHeight w:val="356"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tc>
      </w:tr>
      <w:tr>
        <w:trPr>
          <w:trHeight w:val="30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619"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1" w:right="0"/>
              <w:jc w:val="left"/>
              <w:rPr>
                <w:rFonts w:ascii="宋体" w:hAnsi="宋体" w:cs="宋体" w:eastAsia="宋体" w:hint="default"/>
                <w:sz w:val="18"/>
                <w:szCs w:val="18"/>
              </w:rPr>
            </w:pPr>
            <w:r>
              <w:rPr>
                <w:rFonts w:ascii="宋体" w:hAnsi="宋体" w:cs="宋体" w:eastAsia="宋体" w:hint="default"/>
                <w:sz w:val="18"/>
                <w:szCs w:val="18"/>
              </w:rPr>
              <w:t>刘先庆</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181,800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售股及对应 的资本公积</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103" w:right="188"/>
              <w:jc w:val="left"/>
              <w:rPr>
                <w:rFonts w:ascii="宋体" w:hAnsi="宋体" w:cs="宋体" w:eastAsia="宋体" w:hint="default"/>
                <w:sz w:val="18"/>
                <w:szCs w:val="18"/>
              </w:rPr>
            </w:pPr>
            <w:r>
              <w:rPr>
                <w:rFonts w:ascii="宋体" w:hAnsi="宋体" w:cs="宋体" w:eastAsia="宋体" w:hint="default"/>
                <w:sz w:val="18"/>
                <w:szCs w:val="18"/>
              </w:rPr>
              <w:t>个月后，满 足解锁条件</w:t>
            </w:r>
          </w:p>
        </w:tc>
      </w:tr>
      <w:tr>
        <w:trPr>
          <w:trHeight w:val="32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的可以在未</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10"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986" w:hRule="exact"/>
        </w:trPr>
        <w:tc>
          <w:tcPr>
            <w:tcW w:w="120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19"/>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 分四期解 锁。</w:t>
            </w:r>
          </w:p>
        </w:tc>
      </w:tr>
      <w:tr>
        <w:trPr>
          <w:trHeight w:val="357"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售股中，首</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次授予的限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制性股票自</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个月后，</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满足解锁条</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件的可以在</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1555"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段鹏宇</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101,748</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50,874</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152,622</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189"/>
              <w:jc w:val="both"/>
              <w:rPr>
                <w:rFonts w:ascii="宋体" w:hAnsi="宋体" w:cs="宋体" w:eastAsia="宋体" w:hint="default"/>
                <w:sz w:val="18"/>
                <w:szCs w:val="18"/>
              </w:rPr>
            </w:pPr>
            <w:r>
              <w:rPr>
                <w:rFonts w:ascii="宋体" w:hAnsi="宋体" w:cs="宋体" w:eastAsia="宋体" w:hint="default"/>
                <w:sz w:val="18"/>
                <w:szCs w:val="18"/>
              </w:rPr>
              <w:t>股权激励限 售股及对应 的资本公积 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312" w:lineRule="auto" w:before="63"/>
              <w:ind w:left="103" w:right="188"/>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 分四期解 锁；预留部 分限制性股</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日起，</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后，满足解</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锁条件的可</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个月内按</w:t>
            </w:r>
          </w:p>
        </w:tc>
      </w:tr>
      <w:tr>
        <w:trPr>
          <w:trHeight w:val="31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w:t>
            </w:r>
          </w:p>
        </w:tc>
      </w:tr>
      <w:tr>
        <w:trPr>
          <w:trHeight w:val="307"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分三期解</w:t>
            </w:r>
          </w:p>
        </w:tc>
      </w:tr>
      <w:tr>
        <w:trPr>
          <w:trHeight w:val="357"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8" w:hRule="exact"/>
        </w:trPr>
        <w:tc>
          <w:tcPr>
            <w:tcW w:w="1206"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售股中，首</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次授予的限</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制性股票自</w:t>
            </w:r>
          </w:p>
        </w:tc>
      </w:tr>
      <w:tr>
        <w:trPr>
          <w:trHeight w:val="305"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股权激励限</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日起，满</w:t>
            </w:r>
          </w:p>
        </w:tc>
      </w:tr>
      <w:tr>
        <w:trPr>
          <w:trHeight w:val="620" w:hRule="exact"/>
        </w:trPr>
        <w:tc>
          <w:tcPr>
            <w:tcW w:w="120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1" w:right="192"/>
              <w:jc w:val="left"/>
              <w:rPr>
                <w:rFonts w:ascii="宋体" w:hAnsi="宋体" w:cs="宋体" w:eastAsia="宋体" w:hint="default"/>
                <w:sz w:val="18"/>
                <w:szCs w:val="18"/>
              </w:rPr>
            </w:pPr>
            <w:r>
              <w:rPr>
                <w:rFonts w:ascii="宋体" w:hAnsi="宋体" w:cs="宋体" w:eastAsia="宋体" w:hint="default"/>
                <w:sz w:val="18"/>
                <w:szCs w:val="18"/>
              </w:rPr>
              <w:t>其他限售股 股东</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2,378,614</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1,189,305</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3,567,919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售股及对应 的资本公积</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300" w:lineRule="auto" w:before="17"/>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个月后， 满足解锁条</w:t>
            </w:r>
          </w:p>
        </w:tc>
      </w:tr>
      <w:tr>
        <w:trPr>
          <w:trHeight w:val="323"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金转股</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件的可以在</w:t>
            </w:r>
          </w:p>
        </w:tc>
      </w:tr>
      <w:tr>
        <w:trPr>
          <w:trHeight w:val="316"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内按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的比例</w:t>
            </w:r>
          </w:p>
        </w:tc>
      </w:tr>
      <w:tr>
        <w:trPr>
          <w:trHeight w:val="310" w:hRule="exact"/>
        </w:trPr>
        <w:tc>
          <w:tcPr>
            <w:tcW w:w="1206"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分四期解</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6"/>
        <w:gridCol w:w="1488"/>
        <w:gridCol w:w="1488"/>
        <w:gridCol w:w="1488"/>
        <w:gridCol w:w="1488"/>
        <w:gridCol w:w="1204"/>
        <w:gridCol w:w="1204"/>
      </w:tblGrid>
      <w:tr>
        <w:trPr>
          <w:trHeight w:val="318" w:hRule="exact"/>
        </w:trPr>
        <w:tc>
          <w:tcPr>
            <w:tcW w:w="1206"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204" w:type="dxa"/>
            <w:vMerge w:val="restart"/>
            <w:tcBorders>
              <w:top w:val="single" w:sz="4" w:space="0" w:color="000000"/>
              <w:left w:val="single" w:sz="4" w:space="0" w:color="000000"/>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锁；预留部</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分限制性股</w:t>
            </w:r>
          </w:p>
        </w:tc>
      </w:tr>
      <w:tr>
        <w:trPr>
          <w:trHeight w:val="316"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日起，</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308"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后，满足解</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锁条件的可</w:t>
            </w:r>
          </w:p>
        </w:tc>
      </w:tr>
      <w:tr>
        <w:trPr>
          <w:trHeight w:val="316"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r>
      <w:tr>
        <w:trPr>
          <w:trHeight w:val="308"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个月内按</w:t>
            </w:r>
          </w:p>
        </w:tc>
      </w:tr>
      <w:tr>
        <w:trPr>
          <w:trHeight w:val="316"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12"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的比例</w:t>
            </w:r>
          </w:p>
        </w:tc>
      </w:tr>
      <w:tr>
        <w:trPr>
          <w:trHeight w:val="308" w:hRule="exact"/>
        </w:trPr>
        <w:tc>
          <w:tcPr>
            <w:tcW w:w="1206"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分三期解</w:t>
            </w:r>
          </w:p>
        </w:tc>
      </w:tr>
      <w:tr>
        <w:trPr>
          <w:trHeight w:val="356" w:hRule="exact"/>
        </w:trPr>
        <w:tc>
          <w:tcPr>
            <w:tcW w:w="1206"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4" w:right="0"/>
              <w:jc w:val="left"/>
              <w:rPr>
                <w:rFonts w:ascii="Times New Roman" w:hAnsi="Times New Roman" w:cs="Times New Roman" w:eastAsia="Times New Roman" w:hint="default"/>
                <w:sz w:val="18"/>
                <w:szCs w:val="18"/>
              </w:rPr>
            </w:pPr>
            <w:r>
              <w:rPr>
                <w:rFonts w:ascii="Times New Roman"/>
                <w:sz w:val="18"/>
              </w:rPr>
              <w:t>78,329,065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3" w:right="0"/>
              <w:jc w:val="left"/>
              <w:rPr>
                <w:rFonts w:ascii="Times New Roman" w:hAnsi="Times New Roman" w:cs="Times New Roman" w:eastAsia="Times New Roman" w:hint="default"/>
                <w:sz w:val="18"/>
                <w:szCs w:val="18"/>
              </w:rPr>
            </w:pPr>
            <w:r>
              <w:rPr>
                <w:rFonts w:ascii="Times New Roman"/>
                <w:sz w:val="18"/>
              </w:rPr>
              <w:t>39,164,532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2" w:right="0"/>
              <w:jc w:val="left"/>
              <w:rPr>
                <w:rFonts w:ascii="Times New Roman" w:hAnsi="Times New Roman" w:cs="Times New Roman" w:eastAsia="Times New Roman" w:hint="default"/>
                <w:sz w:val="18"/>
                <w:szCs w:val="18"/>
              </w:rPr>
            </w:pPr>
            <w:r>
              <w:rPr>
                <w:rFonts w:ascii="Times New Roman"/>
                <w:sz w:val="18"/>
              </w:rPr>
              <w:t>117,493,597</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41" w:firstLine="0"/>
        <w:jc w:val="right"/>
        <w:rPr>
          <w:rFonts w:ascii="宋体" w:hAnsi="宋体" w:cs="宋体" w:eastAsia="宋体" w:hint="default"/>
          <w:sz w:val="18"/>
          <w:szCs w:val="18"/>
        </w:rPr>
      </w:pPr>
      <w:r>
        <w:rPr>
          <w:rFonts w:ascii="宋体" w:hAnsi="宋体" w:cs="宋体" w:eastAsia="宋体" w:hint="default"/>
          <w:sz w:val="18"/>
          <w:szCs w:val="18"/>
        </w:rPr>
        <w:t>根据公司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年度权益分派方案，公司以</w:t>
      </w:r>
      <w:r>
        <w:rPr>
          <w:rFonts w:ascii="Times New Roman" w:hAnsi="Times New Roman" w:cs="Times New Roman" w:eastAsia="Times New Roman" w:hint="default"/>
          <w:sz w:val="18"/>
          <w:szCs w:val="18"/>
        </w:rPr>
        <w:t>201,463,957  </w:t>
      </w:r>
      <w:r>
        <w:rPr>
          <w:rFonts w:ascii="宋体" w:hAnsi="宋体" w:cs="宋体" w:eastAsia="宋体" w:hint="default"/>
          <w:sz w:val="18"/>
          <w:szCs w:val="18"/>
        </w:rPr>
        <w:t>股为基数，以资本公积金向全体股东每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股。权益分</w:t>
      </w:r>
    </w:p>
    <w:p>
      <w:pPr>
        <w:spacing w:before="63"/>
        <w:ind w:left="112" w:right="0" w:firstLine="0"/>
        <w:jc w:val="left"/>
        <w:rPr>
          <w:rFonts w:ascii="MS PGothic" w:hAnsi="MS PGothic" w:cs="MS PGothic" w:eastAsia="MS PGothic" w:hint="default"/>
          <w:sz w:val="18"/>
          <w:szCs w:val="18"/>
        </w:rPr>
      </w:pPr>
      <w:r>
        <w:rPr>
          <w:rFonts w:ascii="宋体" w:hAnsi="宋体" w:cs="宋体" w:eastAsia="宋体" w:hint="default"/>
          <w:sz w:val="18"/>
          <w:szCs w:val="18"/>
        </w:rPr>
        <w:t>派前公司总股本为 </w:t>
      </w:r>
      <w:r>
        <w:rPr>
          <w:rFonts w:ascii="Times New Roman" w:hAnsi="Times New Roman" w:cs="Times New Roman" w:eastAsia="Times New Roman" w:hint="default"/>
          <w:sz w:val="18"/>
          <w:szCs w:val="18"/>
        </w:rPr>
        <w:t>201,463,957  </w:t>
      </w:r>
      <w:r>
        <w:rPr>
          <w:rFonts w:ascii="宋体" w:hAnsi="宋体" w:cs="宋体" w:eastAsia="宋体" w:hint="default"/>
          <w:sz w:val="18"/>
          <w:szCs w:val="18"/>
        </w:rPr>
        <w:t>股，权益分派后总股本增至 </w:t>
      </w:r>
      <w:r>
        <w:rPr>
          <w:rFonts w:ascii="Times New Roman" w:hAnsi="Times New Roman" w:cs="Times New Roman" w:eastAsia="Times New Roman" w:hint="default"/>
          <w:sz w:val="18"/>
          <w:szCs w:val="18"/>
        </w:rPr>
        <w:t>302,195,935</w:t>
      </w:r>
      <w:r>
        <w:rPr>
          <w:rFonts w:ascii="宋体" w:hAnsi="宋体" w:cs="宋体" w:eastAsia="宋体" w:hint="default"/>
          <w:sz w:val="18"/>
          <w:szCs w:val="18"/>
        </w:rPr>
        <w:t>股。</w:t>
      </w:r>
      <w:r>
        <w:rPr>
          <w:rFonts w:ascii="MS PGothic" w:hAnsi="MS PGothic" w:cs="MS PGothic" w:eastAsia="MS PGothic" w:hint="default"/>
          <w:sz w:val="18"/>
          <w:szCs w:val="18"/>
        </w:rPr>
        <w:t>ｹﾋｱｴｻｹﾗﾏｹﾉｼ  </w:t>
      </w:r>
      <w:r>
        <w:rPr>
          <w:rFonts w:ascii="宋体" w:hAnsi="宋体" w:cs="宋体" w:eastAsia="宋体" w:hint="default"/>
          <w:sz w:val="18"/>
          <w:szCs w:val="18"/>
        </w:rPr>
        <w:t>306</w:t>
      </w:r>
      <w:r>
        <w:rPr>
          <w:rFonts w:ascii="宋体" w:hAnsi="宋体" w:cs="宋体" w:eastAsia="宋体" w:hint="default"/>
          <w:spacing w:val="-42"/>
          <w:sz w:val="18"/>
          <w:szCs w:val="18"/>
        </w:rPr>
        <w:t> </w:t>
      </w:r>
      <w:r>
        <w:rPr>
          <w:rFonts w:ascii="MS PGothic" w:hAnsi="MS PGothic" w:cs="MS PGothic" w:eastAsia="MS PGothic" w:hint="default"/>
          <w:sz w:val="18"/>
          <w:szCs w:val="18"/>
        </w:rPr>
        <w:t>ﾈ｣ｻｹﾗﾏｵｹｷﾗﾊﾎ</w:t>
      </w:r>
    </w:p>
    <w:p>
      <w:pPr>
        <w:spacing w:line="316" w:lineRule="auto" w:before="63"/>
        <w:ind w:left="112" w:right="0" w:firstLine="0"/>
        <w:jc w:val="left"/>
        <w:rPr>
          <w:rFonts w:ascii="MS PGothic" w:hAnsi="MS PGothic" w:cs="MS PGothic" w:eastAsia="MS PGothic" w:hint="default"/>
          <w:sz w:val="18"/>
          <w:szCs w:val="18"/>
        </w:rPr>
      </w:pPr>
      <w:r>
        <w:rPr>
          <w:rFonts w:ascii="宋体" w:hAnsi="宋体" w:cs="宋体" w:eastAsia="宋体" w:hint="default"/>
          <w:sz w:val="18"/>
          <w:szCs w:val="18"/>
        </w:rPr>
        <w:t>1,770,779 </w:t>
      </w:r>
      <w:r>
        <w:rPr>
          <w:rFonts w:ascii="MS PGothic" w:hAnsi="MS PGothic" w:cs="MS PGothic" w:eastAsia="MS PGothic" w:hint="default"/>
          <w:sz w:val="18"/>
          <w:szCs w:val="18"/>
        </w:rPr>
        <w:t>ｹ｡ｹﾋﾓ </w:t>
      </w:r>
      <w:r>
        <w:rPr>
          <w:rFonts w:ascii="宋体" w:hAnsi="宋体" w:cs="宋体" w:eastAsia="宋体" w:hint="default"/>
          <w:sz w:val="18"/>
          <w:szCs w:val="18"/>
        </w:rPr>
        <w:t>2020 </w:t>
      </w:r>
      <w:r>
        <w:rPr>
          <w:rFonts w:ascii="MS PGothic" w:hAnsi="MS PGothic" w:cs="MS PGothic" w:eastAsia="MS PGothic" w:hint="default"/>
          <w:sz w:val="18"/>
          <w:szCs w:val="18"/>
        </w:rPr>
        <w:t>ﾄ </w:t>
      </w:r>
      <w:r>
        <w:rPr>
          <w:rFonts w:ascii="宋体" w:hAnsi="宋体" w:cs="宋体" w:eastAsia="宋体" w:hint="default"/>
          <w:sz w:val="18"/>
          <w:szCs w:val="18"/>
        </w:rPr>
        <w:t>1 </w:t>
      </w:r>
      <w:r>
        <w:rPr>
          <w:rFonts w:ascii="MS PGothic" w:hAnsi="MS PGothic" w:cs="MS PGothic" w:eastAsia="MS PGothic" w:hint="default"/>
          <w:sz w:val="18"/>
          <w:szCs w:val="18"/>
        </w:rPr>
        <w:t>ﾔ </w:t>
      </w:r>
      <w:r>
        <w:rPr>
          <w:rFonts w:ascii="宋体" w:hAnsi="宋体" w:cs="宋体" w:eastAsia="宋体" w:hint="default"/>
          <w:sz w:val="18"/>
          <w:szCs w:val="18"/>
        </w:rPr>
        <w:t>17 </w:t>
      </w:r>
      <w:r>
        <w:rPr>
          <w:rFonts w:ascii="MS PGothic" w:hAnsi="MS PGothic" w:cs="MS PGothic" w:eastAsia="MS PGothic" w:hint="default"/>
          <w:sz w:val="18"/>
          <w:szCs w:val="18"/>
        </w:rPr>
        <w:t>ﾈﾔﾖｹﾖﾈｵｼｽﾋﾓﾏﾔﾈｹﾋﾉﾛｷｹﾋﾍｳｻｹﾗﾏﾊﾐ｣ｹﾋｻｹﾗﾏｵｹｷﾗﾊﾎ </w:t>
      </w:r>
      <w:r>
        <w:rPr>
          <w:rFonts w:ascii="宋体" w:hAnsi="宋体" w:cs="宋体" w:eastAsia="宋体" w:hint="default"/>
          <w:sz w:val="18"/>
          <w:szCs w:val="18"/>
        </w:rPr>
        <w:t>1,770,779</w:t>
      </w:r>
      <w:r>
        <w:rPr>
          <w:rFonts w:ascii="宋体" w:hAnsi="宋体" w:cs="宋体" w:eastAsia="宋体" w:hint="default"/>
          <w:spacing w:val="16"/>
          <w:sz w:val="18"/>
          <w:szCs w:val="18"/>
        </w:rPr>
        <w:t> </w:t>
      </w:r>
      <w:r>
        <w:rPr>
          <w:rFonts w:ascii="MS PGothic" w:hAnsi="MS PGothic" w:cs="MS PGothic" w:eastAsia="MS PGothic" w:hint="default"/>
          <w:sz w:val="18"/>
          <w:szCs w:val="18"/>
        </w:rPr>
        <w:t>ｹ｣ｻｹﾗﾏﾍｳｺｹﾋﾗ</w:t>
      </w:r>
      <w:r>
        <w:rPr>
          <w:rFonts w:ascii="MS PGothic" w:hAnsi="MS PGothic" w:cs="MS PGothic" w:eastAsia="MS PGothic" w:hint="default"/>
          <w:w w:val="99"/>
          <w:sz w:val="18"/>
          <w:szCs w:val="18"/>
        </w:rPr>
        <w:t> </w:t>
      </w:r>
      <w:r>
        <w:rPr>
          <w:rFonts w:ascii="MS PGothic" w:hAnsi="MS PGothic" w:cs="MS PGothic" w:eastAsia="MS PGothic" w:hint="default"/>
          <w:sz w:val="18"/>
          <w:szCs w:val="18"/>
        </w:rPr>
        <w:t>ｹｱﾓ</w:t>
      </w:r>
      <w:r>
        <w:rPr>
          <w:rFonts w:ascii="Times New Roman" w:hAnsi="Times New Roman" w:cs="Times New Roman" w:eastAsia="Times New Roman" w:hint="default"/>
          <w:sz w:val="18"/>
          <w:szCs w:val="18"/>
        </w:rPr>
        <w:t>302,195,935</w:t>
      </w:r>
      <w:r>
        <w:rPr>
          <w:rFonts w:ascii="宋体" w:hAnsi="宋体" w:cs="宋体" w:eastAsia="宋体" w:hint="default"/>
          <w:sz w:val="18"/>
          <w:szCs w:val="18"/>
        </w:rPr>
        <w:t>股</w:t>
      </w:r>
      <w:r>
        <w:rPr>
          <w:rFonts w:ascii="宋体" w:hAnsi="宋体" w:cs="宋体" w:eastAsia="宋体" w:hint="default"/>
          <w:spacing w:val="-12"/>
          <w:sz w:val="18"/>
          <w:szCs w:val="18"/>
        </w:rPr>
        <w:t> </w:t>
      </w:r>
      <w:r>
        <w:rPr>
          <w:rFonts w:ascii="MS PGothic" w:hAnsi="MS PGothic" w:cs="MS PGothic" w:eastAsia="MS PGothic" w:hint="default"/>
          <w:sz w:val="18"/>
          <w:szCs w:val="18"/>
        </w:rPr>
        <w:t>ｱｸﾎ</w:t>
      </w:r>
      <w:r>
        <w:rPr>
          <w:rFonts w:ascii="宋体" w:hAnsi="宋体" w:cs="宋体" w:eastAsia="宋体" w:hint="default"/>
          <w:sz w:val="18"/>
          <w:szCs w:val="18"/>
        </w:rPr>
        <w:t>300,425,156</w:t>
      </w:r>
      <w:r>
        <w:rPr>
          <w:rFonts w:ascii="MS PGothic" w:hAnsi="MS PGothic" w:cs="MS PGothic" w:eastAsia="MS PGothic" w:hint="default"/>
          <w:sz w:val="18"/>
          <w:szCs w:val="18"/>
        </w:rPr>
        <w:t>ｹ｡</w:t>
      </w:r>
    </w:p>
    <w:p>
      <w:pPr>
        <w:spacing w:line="240" w:lineRule="auto" w:before="1"/>
        <w:rPr>
          <w:rFonts w:ascii="MS PGothic" w:hAnsi="MS PGothic" w:cs="MS PGothic" w:eastAsia="MS PGothic" w:hint="default"/>
          <w:sz w:val="21"/>
          <w:szCs w:val="21"/>
        </w:rPr>
      </w:pPr>
    </w:p>
    <w:p>
      <w:pPr>
        <w:pStyle w:val="Heading6"/>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1994"/>
        <w:gridCol w:w="1059"/>
      </w:tblGrid>
      <w:tr>
        <w:trPr>
          <w:trHeight w:val="346" w:hRule="exact"/>
        </w:trPr>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年度报</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1063" w:type="dxa"/>
            <w:tcBorders>
              <w:top w:val="single" w:sz="4" w:space="0" w:color="000000"/>
              <w:left w:val="single" w:sz="4" w:space="0" w:color="000000"/>
              <w:bottom w:val="nil" w:sz="6" w:space="0" w:color="auto"/>
              <w:right w:val="single" w:sz="4" w:space="0" w:color="000000"/>
            </w:tcBorders>
          </w:tcPr>
          <w:p>
            <w:pPr/>
          </w:p>
        </w:tc>
        <w:tc>
          <w:tcPr>
            <w:tcW w:w="1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1258"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57"/>
              <w:ind w:left="101" w:right="187"/>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35,880</w:t>
            </w:r>
          </w:p>
        </w:tc>
        <w:tc>
          <w:tcPr>
            <w:tcW w:w="9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20"/>
              <w:ind w:left="102" w:right="275"/>
              <w:jc w:val="both"/>
              <w:rPr>
                <w:rFonts w:ascii="宋体" w:hAnsi="宋体" w:cs="宋体" w:eastAsia="宋体" w:hint="default"/>
                <w:sz w:val="18"/>
                <w:szCs w:val="18"/>
              </w:rPr>
            </w:pPr>
            <w:r>
              <w:rPr>
                <w:rFonts w:ascii="宋体" w:hAnsi="宋体" w:cs="宋体" w:eastAsia="宋体" w:hint="default"/>
                <w:sz w:val="18"/>
                <w:szCs w:val="18"/>
              </w:rPr>
              <w:t>告披露 日前上 一月末 普通股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33,819</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20"/>
              <w:ind w:left="103" w:right="47"/>
              <w:jc w:val="left"/>
              <w:rPr>
                <w:rFonts w:ascii="宋体" w:hAnsi="宋体" w:cs="宋体" w:eastAsia="宋体" w:hint="default"/>
                <w:sz w:val="18"/>
                <w:szCs w:val="18"/>
              </w:rPr>
            </w:pPr>
            <w:r>
              <w:rPr>
                <w:rFonts w:ascii="宋体" w:hAnsi="宋体" w:cs="宋体" w:eastAsia="宋体" w:hint="default"/>
                <w:sz w:val="18"/>
                <w:szCs w:val="18"/>
              </w:rPr>
              <w:t>表决权恢 复的优先 股股东总 数（如有）</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
              <w:ind w:left="101" w:right="26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16" w:hRule="exact"/>
        </w:trPr>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股东总</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（参见注</w:t>
            </w:r>
          </w:p>
        </w:tc>
        <w:tc>
          <w:tcPr>
            <w:tcW w:w="1063" w:type="dxa"/>
            <w:tcBorders>
              <w:top w:val="nil" w:sz="6" w:space="0" w:color="auto"/>
              <w:left w:val="single" w:sz="4" w:space="0" w:color="000000"/>
              <w:bottom w:val="single" w:sz="4" w:space="0" w:color="000000"/>
              <w:right w:val="single" w:sz="4" w:space="0" w:color="000000"/>
            </w:tcBorders>
          </w:tcPr>
          <w:p>
            <w:pPr/>
          </w:p>
        </w:tc>
        <w:tc>
          <w:tcPr>
            <w:tcW w:w="1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068"/>
        <w:gridCol w:w="1059"/>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68" w:right="18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6" w:right="1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6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90,630,134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90,630,134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center"/>
              <w:rPr>
                <w:rFonts w:ascii="Times New Roman" w:hAnsi="Times New Roman" w:cs="Times New Roman" w:eastAsia="Times New Roman" w:hint="default"/>
                <w:sz w:val="18"/>
                <w:szCs w:val="18"/>
              </w:rPr>
            </w:pPr>
            <w:r>
              <w:rPr>
                <w:rFonts w:ascii="Times New Roman"/>
                <w:sz w:val="18"/>
              </w:rPr>
              <w:t>59,102,850</w:t>
            </w:r>
          </w:p>
        </w:tc>
      </w:tr>
      <w:tr>
        <w:trPr>
          <w:trHeight w:val="165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7"/>
              <w:jc w:val="both"/>
              <w:rPr>
                <w:rFonts w:ascii="宋体" w:hAnsi="宋体" w:cs="宋体" w:eastAsia="宋体" w:hint="default"/>
                <w:sz w:val="18"/>
                <w:szCs w:val="18"/>
              </w:rPr>
            </w:pPr>
            <w:r>
              <w:rPr>
                <w:rFonts w:ascii="宋体" w:hAnsi="宋体" w:cs="宋体" w:eastAsia="宋体" w:hint="default"/>
                <w:sz w:val="18"/>
                <w:szCs w:val="18"/>
              </w:rPr>
              <w:t>宁波科蓝盛 合投资管理 合伙企业</w:t>
            </w:r>
          </w:p>
          <w:p>
            <w:pPr>
              <w:pStyle w:val="TableParagraph"/>
              <w:spacing w:line="316" w:lineRule="auto" w:before="19"/>
              <w:ind w:left="101" w:right="3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19,647,202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19,647,202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10,000,000</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7"/>
              <w:jc w:val="both"/>
              <w:rPr>
                <w:rFonts w:ascii="宋体" w:hAnsi="宋体" w:cs="宋体" w:eastAsia="宋体" w:hint="default"/>
                <w:sz w:val="18"/>
                <w:szCs w:val="18"/>
              </w:rPr>
            </w:pPr>
            <w:r>
              <w:rPr>
                <w:rFonts w:ascii="宋体" w:hAnsi="宋体" w:cs="宋体" w:eastAsia="宋体" w:hint="default"/>
                <w:sz w:val="18"/>
                <w:szCs w:val="18"/>
              </w:rPr>
              <w:t>上海云鑫创 业投资有限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10,274,661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10,274,6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7"/>
              <w:jc w:val="left"/>
              <w:rPr>
                <w:rFonts w:ascii="宋体" w:hAnsi="宋体" w:cs="宋体" w:eastAsia="宋体" w:hint="default"/>
                <w:sz w:val="18"/>
                <w:szCs w:val="18"/>
              </w:rPr>
            </w:pPr>
            <w:r>
              <w:rPr>
                <w:rFonts w:ascii="宋体" w:hAnsi="宋体" w:cs="宋体" w:eastAsia="宋体" w:hint="default"/>
                <w:sz w:val="18"/>
                <w:szCs w:val="18"/>
              </w:rPr>
              <w:t>杭州兆富投 资合伙企业</w:t>
            </w:r>
          </w:p>
          <w:p>
            <w:pPr>
              <w:pStyle w:val="TableParagraph"/>
              <w:spacing w:line="316" w:lineRule="auto" w:before="19"/>
              <w:ind w:left="101" w:right="3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9,066,699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9,066,69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贺华强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7,742,790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7,742,79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7"/>
              <w:jc w:val="both"/>
              <w:rPr>
                <w:rFonts w:ascii="宋体" w:hAnsi="宋体" w:cs="宋体" w:eastAsia="宋体" w:hint="default"/>
                <w:sz w:val="18"/>
                <w:szCs w:val="18"/>
              </w:rPr>
            </w:pPr>
            <w:r>
              <w:rPr>
                <w:rFonts w:ascii="宋体" w:hAnsi="宋体" w:cs="宋体" w:eastAsia="宋体" w:hint="default"/>
                <w:sz w:val="18"/>
                <w:szCs w:val="18"/>
              </w:rPr>
              <w:t>宁波科蓝盈 众投资管理 合伙企业</w:t>
            </w:r>
          </w:p>
          <w:p>
            <w:pPr>
              <w:pStyle w:val="TableParagraph"/>
              <w:spacing w:line="316" w:lineRule="auto" w:before="19"/>
              <w:ind w:left="101" w:right="3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6,839,921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6,839,92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87"/>
              <w:jc w:val="both"/>
              <w:rPr>
                <w:rFonts w:ascii="宋体" w:hAnsi="宋体" w:cs="宋体" w:eastAsia="宋体" w:hint="default"/>
                <w:sz w:val="18"/>
                <w:szCs w:val="18"/>
              </w:rPr>
            </w:pPr>
            <w:r>
              <w:rPr>
                <w:rFonts w:ascii="宋体" w:hAnsi="宋体" w:cs="宋体" w:eastAsia="宋体" w:hint="default"/>
                <w:sz w:val="18"/>
                <w:szCs w:val="18"/>
              </w:rPr>
              <w:t>杭州太一天 择投资管理 合伙企业</w:t>
            </w:r>
          </w:p>
          <w:p>
            <w:pPr>
              <w:pStyle w:val="TableParagraph"/>
              <w:spacing w:line="316" w:lineRule="auto" w:before="19"/>
              <w:ind w:left="101" w:right="3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6,271,487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6,271,48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7"/>
              <w:jc w:val="both"/>
              <w:rPr>
                <w:rFonts w:ascii="宋体" w:hAnsi="宋体" w:cs="宋体" w:eastAsia="宋体" w:hint="default"/>
                <w:sz w:val="18"/>
                <w:szCs w:val="18"/>
              </w:rPr>
            </w:pPr>
            <w:r>
              <w:rPr>
                <w:rFonts w:ascii="宋体" w:hAnsi="宋体" w:cs="宋体" w:eastAsia="宋体" w:hint="default"/>
                <w:sz w:val="18"/>
                <w:szCs w:val="18"/>
              </w:rPr>
              <w:t>广州司浦林 信息产业创 业投资企业</w:t>
            </w:r>
          </w:p>
          <w:p>
            <w:pPr>
              <w:pStyle w:val="TableParagraph"/>
              <w:spacing w:line="316" w:lineRule="auto" w:before="19"/>
              <w:ind w:left="101" w:right="3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3,215,629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3,215,62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麻颖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2,817,537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2,817,53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7"/>
              <w:jc w:val="both"/>
              <w:rPr>
                <w:rFonts w:ascii="宋体" w:hAnsi="宋体" w:cs="宋体" w:eastAsia="宋体" w:hint="default"/>
                <w:sz w:val="18"/>
                <w:szCs w:val="18"/>
              </w:rPr>
            </w:pPr>
            <w:r>
              <w:rPr>
                <w:rFonts w:ascii="宋体" w:hAnsi="宋体" w:cs="宋体" w:eastAsia="宋体" w:hint="default"/>
                <w:sz w:val="18"/>
                <w:szCs w:val="18"/>
              </w:rPr>
              <w:t>宁波科蓝银 科投资管理 合伙企业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3" w:right="181"/>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2,641,754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2,641,75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1016" w:header="907" w:top="1100" w:bottom="1200" w:left="1020" w:right="0"/>
          <w:pgNumType w:start="9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068"/>
        <w:gridCol w:w="1059"/>
      </w:tblGrid>
      <w:tr>
        <w:trPr>
          <w:trHeight w:val="6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367"/>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w:t>
            </w:r>
            <w:r>
              <w:rPr>
                <w:rFonts w:ascii="宋体" w:hAnsi="宋体" w:cs="宋体" w:eastAsia="宋体" w:hint="default"/>
                <w:spacing w:val="-9"/>
                <w:sz w:val="18"/>
                <w:szCs w:val="18"/>
              </w:rPr>
              <w:t>情况（如有）（参见注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78"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101" w:right="1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、上述股东王安京为股东宁波科蓝盛合投资管理合伙企业（有限合伙）的普通合伙人、 执行事务合伙人，并持有科蓝盛合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98.81%</w:t>
            </w:r>
            <w:r>
              <w:rPr>
                <w:rFonts w:ascii="宋体" w:hAnsi="宋体" w:cs="宋体" w:eastAsia="宋体" w:hint="default"/>
                <w:sz w:val="18"/>
                <w:szCs w:val="18"/>
              </w:rPr>
              <w:t>的出资份额；科蓝盛合持有科蓝软件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的股 份，王安京与科蓝盛合为一致行动人。</w:t>
            </w:r>
          </w:p>
          <w:p>
            <w:pPr>
              <w:pStyle w:val="TableParagraph"/>
              <w:spacing w:line="312" w:lineRule="auto" w:before="70"/>
              <w:ind w:left="102" w:right="10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、上述股东杭州兆富投资合伙企业（有限合伙）、杭州太一天择投资管理合伙企业（有限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合伙）的普通合伙人均为杭州敦行投资管理合伙企业（有限合伙）与浙江国贸东方投资管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理有限公司，且杭州敦行投资管理合伙企业（有限合伙）为浙江国贸东方投资管理有限公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司的股东。</w:t>
            </w:r>
          </w:p>
          <w:p>
            <w:pPr>
              <w:pStyle w:val="TableParagraph"/>
              <w:spacing w:line="300" w:lineRule="auto" w:before="63"/>
              <w:ind w:left="102" w:right="12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、公司未知上述其他股东之间是否存在关联关系，也未知是否属于《上市公司股东持股 变动信息披露管理办法》规定的一致行动人。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3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7"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7" w:type="dxa"/>
            <w:gridSpan w:val="2"/>
            <w:vMerge/>
            <w:tcBorders>
              <w:left w:val="single" w:sz="4" w:space="0" w:color="000000"/>
              <w:bottom w:val="single" w:sz="4" w:space="0" w:color="000000"/>
              <w:right w:val="single" w:sz="4" w:space="0" w:color="000000"/>
            </w:tcBorders>
            <w:shd w:val="clear" w:color="auto" w:fill="D2D2D2"/>
          </w:tcPr>
          <w:p>
            <w:pPr/>
          </w:p>
        </w:tc>
        <w:tc>
          <w:tcPr>
            <w:tcW w:w="5045" w:type="dxa"/>
            <w:gridSpan w:val="5"/>
            <w:vMerge/>
            <w:tcBorders>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39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1"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5045" w:type="dxa"/>
            <w:gridSpan w:val="5"/>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10,274,661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10,274,661</w:t>
            </w:r>
          </w:p>
        </w:tc>
      </w:tr>
      <w:tr>
        <w:trPr>
          <w:trHeight w:val="714" w:hRule="exact"/>
        </w:trPr>
        <w:tc>
          <w:tcPr>
            <w:tcW w:w="2397" w:type="dxa"/>
            <w:gridSpan w:val="2"/>
            <w:vMerge/>
            <w:tcBorders>
              <w:left w:val="single" w:sz="4" w:space="0" w:color="000000"/>
              <w:bottom w:val="single" w:sz="4" w:space="0" w:color="000000"/>
              <w:right w:val="single" w:sz="4" w:space="0" w:color="000000"/>
            </w:tcBorders>
          </w:tcPr>
          <w:p>
            <w:pPr/>
          </w:p>
        </w:tc>
        <w:tc>
          <w:tcPr>
            <w:tcW w:w="5045" w:type="dxa"/>
            <w:gridSpan w:val="5"/>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杭州兆富投资合伙企业（有 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9,066,699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9,066,699</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贺华强</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7,742,790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7,742,790</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宁波科蓝盈众投资管理合伙 企业（有限合伙）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6,839,921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6,839,921</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23"/>
              <w:jc w:val="left"/>
              <w:rPr>
                <w:rFonts w:ascii="宋体" w:hAnsi="宋体" w:cs="宋体" w:eastAsia="宋体" w:hint="default"/>
                <w:sz w:val="18"/>
                <w:szCs w:val="18"/>
              </w:rPr>
            </w:pPr>
            <w:r>
              <w:rPr>
                <w:rFonts w:ascii="宋体" w:hAnsi="宋体" w:cs="宋体" w:eastAsia="宋体" w:hint="default"/>
                <w:sz w:val="18"/>
                <w:szCs w:val="18"/>
              </w:rPr>
              <w:t>杭州太一天择投资管理合伙 企业（有限合伙）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6,271,487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6,271,487</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广州司浦林信息产业创业投 资企业（有限合伙）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3,215,629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3,215,629</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麻颖</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2,817,537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2,817,537</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宁波科蓝银科投资管理合伙 企业（有限合伙）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2,641,754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2,641,754</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恒生电子股份有限公司</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2,498,378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2,498,378</w:t>
            </w:r>
          </w:p>
        </w:tc>
      </w:tr>
      <w:tr>
        <w:trPr>
          <w:trHeight w:val="712"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宁波科蓝融创投资管理合伙 企业（有限合伙）</w:t>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2,475,613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34"/>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2,475,613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7"/>
        <w:gridCol w:w="7172"/>
      </w:tblGrid>
      <w:tr>
        <w:trPr>
          <w:trHeight w:val="361" w:hRule="exact"/>
        </w:trPr>
        <w:tc>
          <w:tcPr>
            <w:tcW w:w="2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上述股东杭州兆富投资合伙企</w:t>
            </w:r>
            <w:r>
              <w:rPr>
                <w:rFonts w:ascii="宋体" w:hAnsi="宋体" w:cs="宋体" w:eastAsia="宋体" w:hint="default"/>
                <w:spacing w:val="-17"/>
                <w:sz w:val="18"/>
                <w:szCs w:val="18"/>
              </w:rPr>
              <w:t>业</w:t>
            </w:r>
            <w:r>
              <w:rPr>
                <w:rFonts w:ascii="宋体" w:hAnsi="宋体" w:cs="宋体" w:eastAsia="宋体" w:hint="default"/>
                <w:sz w:val="18"/>
                <w:szCs w:val="18"/>
              </w:rPr>
              <w:t>（有限合伙</w:t>
            </w:r>
            <w:r>
              <w:rPr>
                <w:rFonts w:ascii="宋体" w:hAnsi="宋体" w:cs="宋体" w:eastAsia="宋体" w:hint="default"/>
                <w:spacing w:val="-89"/>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杭州太一天择投资管理合伙企</w:t>
            </w:r>
            <w:r>
              <w:rPr>
                <w:rFonts w:ascii="宋体" w:hAnsi="宋体" w:cs="宋体" w:eastAsia="宋体" w:hint="default"/>
                <w:spacing w:val="-15"/>
                <w:sz w:val="18"/>
                <w:szCs w:val="18"/>
              </w:rPr>
              <w:t>业</w:t>
            </w:r>
            <w:r>
              <w:rPr>
                <w:rFonts w:ascii="宋体" w:hAnsi="宋体" w:cs="宋体" w:eastAsia="宋体" w:hint="default"/>
                <w:sz w:val="18"/>
                <w:szCs w:val="18"/>
              </w:rPr>
              <w:t>（有限</w:t>
            </w:r>
          </w:p>
        </w:tc>
      </w:tr>
      <w:tr>
        <w:trPr>
          <w:trHeight w:val="332"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合伙）的普通合伙人均为杭州敦行投资管理合伙企业（有限合伙）与浙江国贸东方投资管</w:t>
            </w:r>
          </w:p>
        </w:tc>
      </w:tr>
      <w:tr>
        <w:trPr>
          <w:trHeight w:val="312"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pacing w:val="-12"/>
                <w:sz w:val="18"/>
                <w:szCs w:val="18"/>
              </w:rPr>
              <w:t>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2" w:right="0"/>
              <w:jc w:val="left"/>
              <w:rPr>
                <w:rFonts w:ascii="宋体" w:hAnsi="宋体" w:cs="宋体" w:eastAsia="宋体" w:hint="default"/>
                <w:sz w:val="18"/>
                <w:szCs w:val="18"/>
              </w:rPr>
            </w:pPr>
            <w:r>
              <w:rPr>
                <w:rFonts w:ascii="宋体" w:hAnsi="宋体" w:cs="宋体" w:eastAsia="宋体" w:hint="default"/>
                <w:sz w:val="18"/>
                <w:szCs w:val="18"/>
              </w:rPr>
              <w:t>理有限公司，且杭州敦行投资管理合伙企业（有限合伙）为浙江国贸东方投资管理有限公</w:t>
            </w:r>
          </w:p>
        </w:tc>
      </w:tr>
      <w:tr>
        <w:trPr>
          <w:trHeight w:val="332"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2" w:right="0"/>
              <w:jc w:val="left"/>
              <w:rPr>
                <w:rFonts w:ascii="宋体" w:hAnsi="宋体" w:cs="宋体" w:eastAsia="宋体" w:hint="default"/>
                <w:sz w:val="18"/>
                <w:szCs w:val="18"/>
              </w:rPr>
            </w:pPr>
            <w:r>
              <w:rPr>
                <w:rFonts w:ascii="宋体" w:hAnsi="宋体" w:cs="宋体" w:eastAsia="宋体" w:hint="default"/>
                <w:sz w:val="18"/>
                <w:szCs w:val="18"/>
              </w:rPr>
              <w:t>司的股东。</w:t>
            </w:r>
          </w:p>
        </w:tc>
      </w:tr>
      <w:tr>
        <w:trPr>
          <w:trHeight w:val="312"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间关联关系或一致行动的说</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、上述股东上海云鑫创业投资有限公司、恒生电子股份有限公司为受同一控制的主体。</w:t>
            </w:r>
          </w:p>
        </w:tc>
      </w:tr>
      <w:tr>
        <w:trPr>
          <w:trHeight w:val="352"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明</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、公司未知上述其他股东之间是否存在关联关系，也未知是否属于《上市公司股东持股</w:t>
            </w:r>
          </w:p>
        </w:tc>
      </w:tr>
      <w:tr>
        <w:trPr>
          <w:trHeight w:val="352" w:hRule="exact"/>
        </w:trPr>
        <w:tc>
          <w:tcPr>
            <w:tcW w:w="2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变动信息披露管理办法》规定的一致行动人。</w:t>
            </w:r>
          </w:p>
        </w:tc>
      </w:tr>
      <w:tr>
        <w:trPr>
          <w:trHeight w:val="362" w:hRule="exact"/>
        </w:trPr>
        <w:tc>
          <w:tcPr>
            <w:tcW w:w="2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、股东贺华强通过普通证券账户持有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股，通过投资者信用担保证券账户持有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7,742,790</w:t>
            </w:r>
          </w:p>
        </w:tc>
      </w:tr>
      <w:tr>
        <w:trPr>
          <w:trHeight w:val="329"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101"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7,742,790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336"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说明（如有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c>
          <w:tcPr>
            <w:tcW w:w="717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、股东麻颖通过普通证券账户持有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958,851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股，通过投资者信用担保证券账户持有</w:t>
            </w:r>
          </w:p>
        </w:tc>
      </w:tr>
      <w:tr>
        <w:trPr>
          <w:trHeight w:val="352" w:hRule="exact"/>
        </w:trPr>
        <w:tc>
          <w:tcPr>
            <w:tcW w:w="2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1,858,686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2,817,537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7"/>
        <w:ind w:left="112" w:right="6659"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宁波科蓝盛合投资管理合伙 企业（有限合伙）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17"/>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
        <w:rPr>
          <w:rFonts w:ascii="宋体" w:hAnsi="宋体" w:cs="宋体" w:eastAsia="宋体" w:hint="default"/>
          <w:sz w:val="25"/>
          <w:szCs w:val="25"/>
        </w:rPr>
      </w:pPr>
    </w:p>
    <w:p>
      <w:pPr>
        <w:spacing w:line="37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18.850pt;mso-position-horizontal-relative:char;mso-position-vertical-relative:line" coordorigin="0,0" coordsize="9588,377">
            <v:group style="position:absolute;left:13;top:13;width:2387;height:357" coordorigin="13,13" coordsize="2387,357">
              <v:shape style="position:absolute;left:13;top:13;width:2387;height:357" coordorigin="13,13" coordsize="2387,357" path="m13,13l2400,13,2400,370,13,37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72;width:9578;height:2" coordorigin="5,372" coordsize="9578,2">
              <v:shape style="position:absolute;left:5;top:372;width:9578;height:2" coordorigin="5,372" coordsize="9578,0" path="m5,372l9582,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2402;top:5;width:2;height:362" coordorigin="2402,5" coordsize="2,362">
              <v:shape style="position:absolute;left:2402;top:5;width:2;height:362" coordorigin="2402,5" coordsize="0,362" path="m2402,5l2402,367e" filled="false" stroked="true" strokeweight=".48pt" strokecolor="#000000">
                <v:path arrowok="t"/>
              </v:shape>
            </v:group>
            <v:group style="position:absolute;left:9578;top:5;width:2;height:362" coordorigin="9578,5" coordsize="2,362">
              <v:shape style="position:absolute;left:9578;top:5;width:2;height:362" coordorigin="9578,5" coordsize="0,362" path="m9578,5l9578,367e" filled="false" stroked="true" strokeweight=".48pt" strokecolor="#000000">
                <v:path arrowok="t"/>
              </v:shape>
              <v:shape style="position:absolute;left:10;top:10;width:2392;height:362" type="#_x0000_t202" filled="false" stroked="false">
                <v:textbox inset="0,0,0,0">
                  <w:txbxContent>
                    <w:p>
                      <w:pPr>
                        <w:spacing w:before="16"/>
                        <w:ind w:left="106" w:right="0" w:firstLine="0"/>
                        <w:jc w:val="left"/>
                        <w:rPr>
                          <w:rFonts w:ascii="宋体" w:hAnsi="宋体" w:cs="宋体" w:eastAsia="宋体" w:hint="default"/>
                          <w:sz w:val="18"/>
                          <w:szCs w:val="18"/>
                        </w:rPr>
                      </w:pPr>
                      <w:r>
                        <w:rPr>
                          <w:rFonts w:ascii="宋体" w:hAnsi="宋体" w:cs="宋体" w:eastAsia="宋体" w:hint="default"/>
                          <w:sz w:val="18"/>
                          <w:szCs w:val="18"/>
                        </w:rPr>
                        <w:t>上市公司情况</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10"/>
        <w:rPr>
          <w:rFonts w:ascii="宋体" w:hAnsi="宋体" w:cs="宋体" w:eastAsia="宋体" w:hint="default"/>
          <w:sz w:val="18"/>
          <w:szCs w:val="18"/>
        </w:rPr>
      </w:pPr>
    </w:p>
    <w:p>
      <w:pPr>
        <w:spacing w:line="2364" w:lineRule="exact"/>
        <w:ind w:left="2040"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3672839" cy="150114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7" cstate="print"/>
                    <a:stretch>
                      <a:fillRect/>
                    </a:stretch>
                  </pic:blipFill>
                  <pic:spPr>
                    <a:xfrm>
                      <a:off x="0" y="0"/>
                      <a:ext cx="3672839" cy="1501140"/>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5"/>
        <w:rPr>
          <w:rFonts w:ascii="宋体" w:hAnsi="宋体" w:cs="宋体" w:eastAsia="宋体" w:hint="default"/>
          <w:sz w:val="17"/>
          <w:szCs w:val="17"/>
        </w:rPr>
      </w:pPr>
    </w:p>
    <w:p>
      <w:pPr>
        <w:pStyle w:val="Heading5"/>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8" w:right="0"/>
        <w:jc w:val="left"/>
        <w:rPr>
          <w:b w:val="0"/>
          <w:bCs w:val="0"/>
        </w:rPr>
      </w:pPr>
      <w:bookmarkStart w:name="第七节优先股相关情况" w:id="119"/>
      <w:bookmarkEnd w:id="119"/>
      <w:r>
        <w:rPr>
          <w:b w:val="0"/>
          <w:bCs w:val="0"/>
        </w:rPr>
      </w:r>
      <w:bookmarkStart w:name="_bookmark5"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5" w:right="0"/>
        <w:jc w:val="left"/>
        <w:rPr>
          <w:b w:val="0"/>
          <w:bCs w:val="0"/>
        </w:rPr>
      </w:pPr>
      <w:bookmarkStart w:name="第八节可转换公司债券相关情况" w:id="121"/>
      <w:bookmarkEnd w:id="121"/>
      <w:r>
        <w:rPr>
          <w:b w:val="0"/>
          <w:bCs w:val="0"/>
        </w:rPr>
      </w:r>
      <w:bookmarkStart w:name="_bookmark6" w:id="122"/>
      <w:bookmarkEnd w:id="122"/>
      <w:r>
        <w:rPr>
          <w:b w:val="0"/>
          <w:bCs w:val="0"/>
        </w:rPr>
      </w:r>
      <w:r>
        <w:rPr/>
        <w:t>第八节可转换公司债券相关情况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报告期公司不存在可转换公司债券。</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723" w:right="0"/>
        <w:jc w:val="left"/>
        <w:rPr>
          <w:b w:val="0"/>
          <w:bCs w:val="0"/>
        </w:rPr>
      </w:pPr>
      <w:bookmarkStart w:name="第九节董事、监事、高级管理人员和员工情况" w:id="123"/>
      <w:bookmarkEnd w:id="123"/>
      <w:r>
        <w:rPr>
          <w:b w:val="0"/>
          <w:bCs w:val="0"/>
        </w:rPr>
      </w:r>
      <w:bookmarkStart w:name="_bookmark7" w:id="124"/>
      <w:bookmarkEnd w:id="124"/>
      <w:r>
        <w:rPr>
          <w:b w:val="0"/>
          <w:bCs w:val="0"/>
        </w:rPr>
      </w:r>
      <w:r>
        <w:rPr/>
        <w:t>第九节董事、监事、高级管理人员和员工情况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2"/>
              <w:jc w:val="center"/>
              <w:rPr>
                <w:rFonts w:ascii="宋体" w:hAnsi="宋体" w:cs="宋体" w:eastAsia="宋体" w:hint="default"/>
                <w:sz w:val="18"/>
                <w:szCs w:val="18"/>
              </w:rPr>
            </w:pPr>
            <w:r>
              <w:rPr>
                <w:rFonts w:ascii="宋体" w:hAnsi="宋体" w:cs="宋体" w:eastAsia="宋体" w:hint="default"/>
                <w:sz w:val="18"/>
                <w:szCs w:val="18"/>
              </w:rPr>
              <w:t>王安京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董事长 兼总经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60,420,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30,210,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90,630,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134</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2"/>
              <w:jc w:val="center"/>
              <w:rPr>
                <w:rFonts w:ascii="宋体" w:hAnsi="宋体" w:cs="宋体" w:eastAsia="宋体" w:hint="default"/>
                <w:sz w:val="18"/>
                <w:szCs w:val="18"/>
              </w:rPr>
            </w:pPr>
            <w:r>
              <w:rPr>
                <w:rFonts w:ascii="宋体" w:hAnsi="宋体" w:cs="宋体" w:eastAsia="宋体" w:hint="default"/>
                <w:sz w:val="18"/>
                <w:szCs w:val="18"/>
              </w:rPr>
              <w:t>郑仁寰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2"/>
              <w:jc w:val="center"/>
              <w:rPr>
                <w:rFonts w:ascii="宋体" w:hAnsi="宋体" w:cs="宋体" w:eastAsia="宋体" w:hint="default"/>
                <w:sz w:val="18"/>
                <w:szCs w:val="18"/>
              </w:rPr>
            </w:pPr>
            <w:r>
              <w:rPr>
                <w:rFonts w:ascii="宋体" w:hAnsi="宋体" w:cs="宋体" w:eastAsia="宋体" w:hint="default"/>
                <w:sz w:val="18"/>
                <w:szCs w:val="18"/>
              </w:rPr>
              <w:t>杨栋锐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2"/>
              <w:jc w:val="center"/>
              <w:rPr>
                <w:rFonts w:ascii="宋体" w:hAnsi="宋体" w:cs="宋体" w:eastAsia="宋体" w:hint="default"/>
                <w:sz w:val="18"/>
                <w:szCs w:val="18"/>
              </w:rPr>
            </w:pPr>
            <w:r>
              <w:rPr>
                <w:rFonts w:ascii="宋体" w:hAnsi="宋体" w:cs="宋体" w:eastAsia="宋体" w:hint="default"/>
                <w:sz w:val="18"/>
                <w:szCs w:val="18"/>
              </w:rPr>
              <w:t>王方圆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2,011,7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1,005,8</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3,017,6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2"/>
              <w:jc w:val="center"/>
              <w:rPr>
                <w:rFonts w:ascii="宋体" w:hAnsi="宋体" w:cs="宋体" w:eastAsia="宋体" w:hint="default"/>
                <w:sz w:val="18"/>
                <w:szCs w:val="18"/>
              </w:rPr>
            </w:pPr>
            <w:r>
              <w:rPr>
                <w:rFonts w:ascii="宋体" w:hAnsi="宋体" w:cs="宋体" w:eastAsia="宋体" w:hint="default"/>
                <w:sz w:val="18"/>
                <w:szCs w:val="18"/>
              </w:rPr>
              <w:t>李国庆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437,02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52,178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489,19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2"/>
              <w:jc w:val="center"/>
              <w:rPr>
                <w:rFonts w:ascii="宋体" w:hAnsi="宋体" w:cs="宋体" w:eastAsia="宋体" w:hint="default"/>
                <w:sz w:val="18"/>
                <w:szCs w:val="18"/>
              </w:rPr>
            </w:pPr>
            <w:r>
              <w:rPr>
                <w:rFonts w:ascii="宋体" w:hAnsi="宋体" w:cs="宋体" w:eastAsia="宋体" w:hint="default"/>
                <w:sz w:val="18"/>
                <w:szCs w:val="18"/>
              </w:rPr>
              <w:t>王缉志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2"/>
              <w:jc w:val="center"/>
              <w:rPr>
                <w:rFonts w:ascii="宋体" w:hAnsi="宋体" w:cs="宋体" w:eastAsia="宋体" w:hint="default"/>
                <w:sz w:val="18"/>
                <w:szCs w:val="18"/>
              </w:rPr>
            </w:pPr>
            <w:r>
              <w:rPr>
                <w:rFonts w:ascii="宋体" w:hAnsi="宋体" w:cs="宋体" w:eastAsia="宋体" w:hint="default"/>
                <w:sz w:val="18"/>
                <w:szCs w:val="18"/>
              </w:rPr>
              <w:t>马朝松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2"/>
              <w:jc w:val="center"/>
              <w:rPr>
                <w:rFonts w:ascii="宋体" w:hAnsi="宋体" w:cs="宋体" w:eastAsia="宋体" w:hint="default"/>
                <w:sz w:val="18"/>
                <w:szCs w:val="18"/>
              </w:rPr>
            </w:pPr>
            <w:r>
              <w:rPr>
                <w:rFonts w:ascii="宋体" w:hAnsi="宋体" w:cs="宋体" w:eastAsia="宋体" w:hint="default"/>
                <w:sz w:val="18"/>
                <w:szCs w:val="18"/>
              </w:rPr>
              <w:t>郑晓武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2"/>
              <w:jc w:val="center"/>
              <w:rPr>
                <w:rFonts w:ascii="宋体" w:hAnsi="宋体" w:cs="宋体" w:eastAsia="宋体" w:hint="default"/>
                <w:sz w:val="18"/>
                <w:szCs w:val="18"/>
              </w:rPr>
            </w:pPr>
            <w:r>
              <w:rPr>
                <w:rFonts w:ascii="宋体" w:hAnsi="宋体" w:cs="宋体" w:eastAsia="宋体" w:hint="default"/>
                <w:sz w:val="18"/>
                <w:szCs w:val="18"/>
              </w:rPr>
              <w:t>周海朗</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2"/>
              <w:jc w:val="center"/>
              <w:rPr>
                <w:rFonts w:ascii="宋体" w:hAnsi="宋体" w:cs="宋体" w:eastAsia="宋体" w:hint="default"/>
                <w:sz w:val="18"/>
                <w:szCs w:val="18"/>
              </w:rPr>
            </w:pPr>
            <w:r>
              <w:rPr>
                <w:rFonts w:ascii="宋体" w:hAnsi="宋体" w:cs="宋体" w:eastAsia="宋体" w:hint="default"/>
                <w:sz w:val="18"/>
                <w:szCs w:val="18"/>
              </w:rPr>
              <w:t>宋建彪</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2"/>
              <w:jc w:val="both"/>
              <w:rPr>
                <w:rFonts w:ascii="宋体" w:hAnsi="宋体" w:cs="宋体" w:eastAsia="宋体" w:hint="default"/>
                <w:sz w:val="18"/>
                <w:szCs w:val="18"/>
              </w:rPr>
            </w:pPr>
            <w:r>
              <w:rPr>
                <w:rFonts w:ascii="宋体" w:hAnsi="宋体" w:cs="宋体" w:eastAsia="宋体" w:hint="default"/>
                <w:sz w:val="18"/>
                <w:szCs w:val="18"/>
              </w:rPr>
              <w:t>财务总 监兼董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1,232,8</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1,387,0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511,253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572,70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首席运 营官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949,39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474,70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1,424,0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99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国明星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472,08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531,57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66,034,</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32,017,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98,052,</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415</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工作变动，申请辞去公司董事职务</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300" w:lineRule="auto" w:before="117"/>
        <w:ind w:left="112" w:right="0"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、王安京先生，</w:t>
      </w:r>
      <w:r>
        <w:rPr>
          <w:rFonts w:ascii="Times New Roman" w:hAnsi="Times New Roman" w:cs="Times New Roman" w:eastAsia="Times New Roman" w:hint="default"/>
          <w:sz w:val="18"/>
          <w:szCs w:val="18"/>
        </w:rPr>
        <w:t>67</w:t>
      </w:r>
      <w:r>
        <w:rPr>
          <w:rFonts w:ascii="宋体" w:hAnsi="宋体" w:cs="宋体" w:eastAsia="宋体" w:hint="default"/>
          <w:sz w:val="18"/>
          <w:szCs w:val="18"/>
        </w:rPr>
        <w:t>岁，中国国籍本公司创始人，毕业于美国纽约州立大学，获信息技术与管理科学双硕士学位。</w:t>
      </w:r>
      <w:r>
        <w:rPr>
          <w:rFonts w:ascii="Times New Roman" w:hAnsi="Times New Roman" w:cs="Times New Roman" w:eastAsia="Times New Roman" w:hint="default"/>
          <w:sz w:val="18"/>
          <w:szCs w:val="18"/>
        </w:rPr>
        <w:t>1983 </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年，曾先后任职于中国银行总行、英国巴克莱银行、美国友邦保险公司和美国花旗银行，从事金融业务和技术咨询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工作。王安京于</w:t>
      </w:r>
      <w:r>
        <w:rPr>
          <w:rFonts w:ascii="Times New Roman" w:hAnsi="Times New Roman" w:cs="Times New Roman" w:eastAsia="Times New Roman" w:hint="default"/>
          <w:spacing w:val="-3"/>
          <w:sz w:val="18"/>
          <w:szCs w:val="18"/>
        </w:rPr>
        <w:t>1992</w:t>
      </w:r>
      <w:r>
        <w:rPr>
          <w:rFonts w:ascii="宋体" w:hAnsi="宋体" w:cs="宋体" w:eastAsia="宋体" w:hint="default"/>
          <w:spacing w:val="-3"/>
          <w:sz w:val="18"/>
          <w:szCs w:val="18"/>
        </w:rPr>
        <w:t>年投资创办美国科蓝，</w:t>
      </w:r>
      <w:r>
        <w:rPr>
          <w:rFonts w:ascii="Times New Roman" w:hAnsi="Times New Roman" w:cs="Times New Roman" w:eastAsia="Times New Roman" w:hint="default"/>
          <w:spacing w:val="-3"/>
          <w:sz w:val="18"/>
          <w:szCs w:val="18"/>
        </w:rPr>
        <w:t>1999</w:t>
      </w:r>
      <w:r>
        <w:rPr>
          <w:rFonts w:ascii="宋体" w:hAnsi="宋体" w:cs="宋体" w:eastAsia="宋体" w:hint="default"/>
          <w:spacing w:val="-3"/>
          <w:sz w:val="18"/>
          <w:szCs w:val="18"/>
        </w:rPr>
        <w:t>年投资创办科蓝有限，</w:t>
      </w:r>
      <w:r>
        <w:rPr>
          <w:rFonts w:ascii="Times New Roman" w:hAnsi="Times New Roman" w:cs="Times New Roman" w:eastAsia="Times New Roman" w:hint="default"/>
          <w:spacing w:val="-3"/>
          <w:sz w:val="18"/>
          <w:szCs w:val="18"/>
        </w:rPr>
        <w:t>2002</w:t>
      </w:r>
      <w:r>
        <w:rPr>
          <w:rFonts w:ascii="宋体" w:hAnsi="宋体" w:cs="宋体" w:eastAsia="宋体" w:hint="default"/>
          <w:spacing w:val="-3"/>
          <w:sz w:val="18"/>
          <w:szCs w:val="18"/>
        </w:rPr>
        <w:t>年投资创办上海科银，</w:t>
      </w:r>
      <w:r>
        <w:rPr>
          <w:rFonts w:ascii="Times New Roman" w:hAnsi="Times New Roman" w:cs="Times New Roman" w:eastAsia="Times New Roman" w:hint="default"/>
          <w:spacing w:val="-3"/>
          <w:sz w:val="18"/>
          <w:szCs w:val="18"/>
        </w:rPr>
        <w:t>2004</w:t>
      </w:r>
      <w:r>
        <w:rPr>
          <w:rFonts w:ascii="宋体" w:hAnsi="宋体" w:cs="宋体" w:eastAsia="宋体" w:hint="default"/>
          <w:spacing w:val="-3"/>
          <w:sz w:val="18"/>
          <w:szCs w:val="18"/>
        </w:rPr>
        <w:t>年投资创办深圳科银，</w:t>
      </w:r>
      <w:r>
        <w:rPr>
          <w:rFonts w:ascii="宋体" w:hAnsi="宋体" w:cs="宋体" w:eastAsia="宋体" w:hint="default"/>
          <w:spacing w:val="-82"/>
          <w:sz w:val="18"/>
          <w:szCs w:val="18"/>
        </w:rPr>
        <w:t> </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年投资创办香港科蓝软体，先后任美国科蓝总裁；科蓝有限总经理、董事长；上海科银执行董事、经理；深圳科银执行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董事、经理；香港科蓝软体董事。</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月股份公司设立后至今任本公司董事长、总经理，负责公司的总体发展战略、发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展规划和制定经营方针，以及公司核心客户的关系维护。</w:t>
      </w:r>
    </w:p>
    <w:p>
      <w:pPr>
        <w:spacing w:line="300" w:lineRule="auto" w:before="31"/>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、郑仁寰先生，</w:t>
      </w:r>
      <w:r>
        <w:rPr>
          <w:rFonts w:ascii="Times New Roman" w:hAnsi="Times New Roman" w:cs="Times New Roman" w:eastAsia="Times New Roman" w:hint="default"/>
          <w:spacing w:val="-2"/>
          <w:sz w:val="18"/>
          <w:szCs w:val="18"/>
        </w:rPr>
        <w:t>67</w:t>
      </w:r>
      <w:r>
        <w:rPr>
          <w:rFonts w:ascii="宋体" w:hAnsi="宋体" w:cs="宋体" w:eastAsia="宋体" w:hint="default"/>
          <w:spacing w:val="-2"/>
          <w:sz w:val="18"/>
          <w:szCs w:val="18"/>
        </w:rPr>
        <w:t>岁，英国国籍，计算机科学专业，获英国曼彻斯特大学学士及博士学位，具有丰富的软件工具开发、</w:t>
      </w:r>
      <w:r>
        <w:rPr>
          <w:rFonts w:ascii="宋体" w:hAnsi="宋体" w:cs="宋体" w:eastAsia="宋体" w:hint="default"/>
          <w:sz w:val="18"/>
          <w:szCs w:val="18"/>
        </w:rPr>
        <w:t> </w:t>
      </w:r>
      <w:r>
        <w:rPr>
          <w:rFonts w:ascii="宋体" w:hAnsi="宋体" w:cs="宋体" w:eastAsia="宋体" w:hint="default"/>
          <w:spacing w:val="-2"/>
          <w:sz w:val="18"/>
          <w:szCs w:val="18"/>
        </w:rPr>
        <w:t>关键安全系统应用软件开发等科研工作经历。</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年任科蓝有限董事，现任本公司董事、香港科蓝副总经理。负责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公司技术研发的前瞻性设计及香港科蓝的运行管理工作。</w:t>
      </w:r>
    </w:p>
    <w:p>
      <w:pPr>
        <w:spacing w:line="300" w:lineRule="auto" w:before="31"/>
        <w:ind w:left="112" w:right="10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、杨栋锐先生，</w:t>
      </w:r>
      <w:r>
        <w:rPr>
          <w:rFonts w:ascii="Times New Roman" w:hAnsi="Times New Roman" w:cs="Times New Roman" w:eastAsia="Times New Roman" w:hint="default"/>
          <w:sz w:val="18"/>
          <w:szCs w:val="18"/>
        </w:rPr>
        <w:t>42</w:t>
      </w:r>
      <w:r>
        <w:rPr>
          <w:rFonts w:ascii="宋体" w:hAnsi="宋体" w:cs="宋体" w:eastAsia="宋体" w:hint="default"/>
          <w:sz w:val="18"/>
          <w:szCs w:val="18"/>
        </w:rPr>
        <w:t>岁，中国国籍，经济学专业，硕士研究生学历，持有特许金融分析师（</w:t>
      </w:r>
      <w:r>
        <w:rPr>
          <w:rFonts w:ascii="Times New Roman" w:hAnsi="Times New Roman" w:cs="Times New Roman" w:eastAsia="Times New Roman" w:hint="default"/>
          <w:sz w:val="18"/>
          <w:szCs w:val="18"/>
        </w:rPr>
        <w:t>CFA</w:t>
      </w:r>
      <w:r>
        <w:rPr>
          <w:rFonts w:ascii="宋体" w:hAnsi="宋体" w:cs="宋体" w:eastAsia="宋体" w:hint="default"/>
          <w:sz w:val="18"/>
          <w:szCs w:val="18"/>
        </w:rPr>
        <w:t>）证书。</w:t>
      </w:r>
      <w:r>
        <w:rPr>
          <w:rFonts w:ascii="Times New Roman" w:hAnsi="Times New Roman" w:cs="Times New Roman" w:eastAsia="Times New Roman" w:hint="default"/>
          <w:sz w:val="18"/>
          <w:szCs w:val="18"/>
        </w:rPr>
        <w:t>2005</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2007 </w:t>
      </w:r>
      <w:r>
        <w:rPr>
          <w:rFonts w:ascii="宋体" w:hAnsi="宋体" w:cs="宋体" w:eastAsia="宋体" w:hint="default"/>
          <w:spacing w:val="-2"/>
          <w:sz w:val="18"/>
          <w:szCs w:val="18"/>
        </w:rPr>
        <w:t>年，历任新华基金管理有限公司行业研究员、基金经理助理。</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年，历任瑞银证券投资经理、投资组合投委会负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责人及投资管理部管委会成员。</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年，任国金通用基金管理有限公司投资总监。</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年至今，任新沃资本控股集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团有限公司副总裁、北京友高教育科技有限公司董事、天津奥图科技有限公司监事、北京环球悦时空文化科技有限公司监事、</w:t>
      </w:r>
    </w:p>
    <w:p>
      <w:pPr>
        <w:spacing w:after="0" w:line="300"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6" w:lineRule="auto" w:before="44"/>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深圳市映趣科技有限公司董事、北京弘高新沃投资管理有限公司董事兼经理、嘉兴沃茂投资合伙企业（有限合伙）执行事务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合伙人、北京帕罗奥图科技有限公司监事。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月至今任京瑞资本董事长，</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月至今任科蓝软件董事。</w:t>
      </w:r>
    </w:p>
    <w:p>
      <w:pPr>
        <w:spacing w:line="300" w:lineRule="auto" w:before="0"/>
        <w:ind w:left="112" w:right="1081"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、王方圆女士，</w:t>
      </w:r>
      <w:r>
        <w:rPr>
          <w:rFonts w:ascii="Times New Roman" w:hAnsi="Times New Roman" w:cs="Times New Roman" w:eastAsia="Times New Roman" w:hint="default"/>
          <w:spacing w:val="-4"/>
          <w:sz w:val="18"/>
          <w:szCs w:val="18"/>
        </w:rPr>
        <w:t>42</w:t>
      </w:r>
      <w:r>
        <w:rPr>
          <w:rFonts w:ascii="宋体" w:hAnsi="宋体" w:cs="宋体" w:eastAsia="宋体" w:hint="default"/>
          <w:spacing w:val="-4"/>
          <w:sz w:val="18"/>
          <w:szCs w:val="18"/>
        </w:rPr>
        <w:t>岁，中国国籍，获加利福尼亚大学伯克利分校经济政策学士学位、纽约大学系统管理硕士学位。</w:t>
      </w:r>
      <w:r>
        <w:rPr>
          <w:rFonts w:ascii="Times New Roman" w:hAnsi="Times New Roman" w:cs="Times New Roman" w:eastAsia="Times New Roman" w:hint="default"/>
          <w:spacing w:val="-4"/>
          <w:sz w:val="18"/>
          <w:szCs w:val="18"/>
        </w:rPr>
        <w:t>2000</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年至</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年，历任加利福尼亚第一联邦银行市场部职员、</w:t>
      </w:r>
      <w:r>
        <w:rPr>
          <w:rFonts w:ascii="Times New Roman" w:hAnsi="Times New Roman" w:cs="Times New Roman" w:eastAsia="Times New Roman" w:hint="default"/>
          <w:spacing w:val="-4"/>
          <w:sz w:val="18"/>
          <w:szCs w:val="18"/>
        </w:rPr>
        <w:t>Paradigm </w:t>
      </w:r>
      <w:r>
        <w:rPr>
          <w:rFonts w:ascii="Times New Roman" w:hAnsi="Times New Roman" w:cs="Times New Roman" w:eastAsia="Times New Roman" w:hint="default"/>
          <w:sz w:val="18"/>
          <w:szCs w:val="18"/>
        </w:rPr>
        <w:t>Global </w:t>
      </w:r>
      <w:r>
        <w:rPr>
          <w:rFonts w:ascii="Times New Roman" w:hAnsi="Times New Roman" w:cs="Times New Roman" w:eastAsia="Times New Roman" w:hint="default"/>
          <w:spacing w:val="-3"/>
          <w:sz w:val="18"/>
          <w:szCs w:val="18"/>
        </w:rPr>
        <w:t>Advisors</w:t>
      </w:r>
      <w:r>
        <w:rPr>
          <w:rFonts w:ascii="宋体" w:hAnsi="宋体" w:cs="宋体" w:eastAsia="宋体" w:hint="default"/>
          <w:spacing w:val="-3"/>
          <w:sz w:val="18"/>
          <w:szCs w:val="18"/>
        </w:rPr>
        <w:t>对冲基金资本配置部分析员。</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年，历任摩根士丹利高级分析师、对冲基金指数委员会成员。</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年，担任</w:t>
      </w:r>
      <w:r>
        <w:rPr>
          <w:rFonts w:ascii="Times New Roman" w:hAnsi="Times New Roman" w:cs="Times New Roman" w:eastAsia="Times New Roman" w:hint="default"/>
          <w:sz w:val="18"/>
          <w:szCs w:val="18"/>
        </w:rPr>
        <w:t>AFS</w:t>
      </w:r>
      <w:r>
        <w:rPr>
          <w:rFonts w:ascii="宋体" w:hAnsi="宋体" w:cs="宋体" w:eastAsia="宋体" w:hint="default"/>
          <w:sz w:val="18"/>
          <w:szCs w:val="18"/>
        </w:rPr>
        <w:t>国际咨询（有限）公司咨询顾问。 </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月至今任本公司董事，负责拓展公司国际业务及发展战略合作伙伴。</w:t>
      </w:r>
    </w:p>
    <w:p>
      <w:pPr>
        <w:spacing w:line="300" w:lineRule="auto" w:before="13"/>
        <w:ind w:left="11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、李国庆先生，</w:t>
      </w:r>
      <w:r>
        <w:rPr>
          <w:rFonts w:ascii="Times New Roman" w:hAnsi="Times New Roman" w:cs="Times New Roman" w:eastAsia="Times New Roman" w:hint="default"/>
          <w:sz w:val="18"/>
          <w:szCs w:val="18"/>
        </w:rPr>
        <w:t>51</w:t>
      </w:r>
      <w:r>
        <w:rPr>
          <w:rFonts w:ascii="宋体" w:hAnsi="宋体" w:cs="宋体" w:eastAsia="宋体" w:hint="default"/>
          <w:sz w:val="18"/>
          <w:szCs w:val="18"/>
        </w:rPr>
        <w:t>岁，中国国籍，数理统计专业，本科学历。曾任深圳海实信息系统有限公司和北京贝海网络科技有 限公司技术总监，</w:t>
      </w:r>
      <w:r>
        <w:rPr>
          <w:rFonts w:ascii="Times New Roman" w:hAnsi="Times New Roman" w:cs="Times New Roman" w:eastAsia="Times New Roman" w:hint="default"/>
          <w:sz w:val="18"/>
          <w:szCs w:val="18"/>
        </w:rPr>
        <w:t>2004</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年，先后担任科蓝有限</w:t>
      </w:r>
      <w:r>
        <w:rPr>
          <w:rFonts w:ascii="Times New Roman" w:hAnsi="Times New Roman" w:cs="Times New Roman" w:eastAsia="Times New Roman" w:hint="default"/>
          <w:sz w:val="18"/>
          <w:szCs w:val="18"/>
        </w:rPr>
        <w:t>“</w:t>
      </w:r>
      <w:r>
        <w:rPr>
          <w:rFonts w:ascii="宋体" w:hAnsi="宋体" w:cs="宋体" w:eastAsia="宋体" w:hint="default"/>
          <w:sz w:val="18"/>
          <w:szCs w:val="18"/>
        </w:rPr>
        <w:t>交通银行新一代外汇宝项目</w:t>
      </w:r>
      <w:r>
        <w:rPr>
          <w:rFonts w:ascii="Times New Roman" w:hAnsi="Times New Roman" w:cs="Times New Roman" w:eastAsia="Times New Roman" w:hint="default"/>
          <w:sz w:val="18"/>
          <w:szCs w:val="18"/>
        </w:rPr>
        <w:t>”</w:t>
      </w:r>
      <w:r>
        <w:rPr>
          <w:rFonts w:ascii="宋体" w:hAnsi="宋体" w:cs="宋体" w:eastAsia="宋体" w:hint="default"/>
          <w:sz w:val="18"/>
          <w:szCs w:val="18"/>
        </w:rPr>
        <w:t>架构师、</w:t>
      </w:r>
      <w:r>
        <w:rPr>
          <w:rFonts w:ascii="Times New Roman" w:hAnsi="Times New Roman" w:cs="Times New Roman" w:eastAsia="Times New Roman" w:hint="default"/>
          <w:sz w:val="18"/>
          <w:szCs w:val="18"/>
        </w:rPr>
        <w:t>“</w:t>
      </w:r>
      <w:r>
        <w:rPr>
          <w:rFonts w:ascii="宋体" w:hAnsi="宋体" w:cs="宋体" w:eastAsia="宋体" w:hint="default"/>
          <w:sz w:val="18"/>
          <w:szCs w:val="18"/>
        </w:rPr>
        <w:t>交通银行外汇保证金项目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架构师、</w:t>
      </w:r>
      <w:r>
        <w:rPr>
          <w:rFonts w:ascii="Times New Roman" w:hAnsi="Times New Roman" w:cs="Times New Roman" w:eastAsia="Times New Roman" w:hint="default"/>
          <w:sz w:val="18"/>
          <w:szCs w:val="18"/>
        </w:rPr>
        <w:t>“</w:t>
      </w:r>
      <w:r>
        <w:rPr>
          <w:rFonts w:ascii="宋体" w:hAnsi="宋体" w:cs="宋体" w:eastAsia="宋体" w:hint="default"/>
          <w:sz w:val="18"/>
          <w:szCs w:val="18"/>
        </w:rPr>
        <w:t>上海银行新一代电子银行渠道整合项目</w:t>
      </w:r>
      <w:r>
        <w:rPr>
          <w:rFonts w:ascii="Times New Roman" w:hAnsi="Times New Roman" w:cs="Times New Roman" w:eastAsia="Times New Roman" w:hint="default"/>
          <w:sz w:val="18"/>
          <w:szCs w:val="18"/>
        </w:rPr>
        <w:t>”</w:t>
      </w:r>
      <w:r>
        <w:rPr>
          <w:rFonts w:ascii="宋体" w:hAnsi="宋体" w:cs="宋体" w:eastAsia="宋体" w:hint="default"/>
          <w:sz w:val="18"/>
          <w:szCs w:val="18"/>
        </w:rPr>
        <w:t>架构师。</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月至今任本公司副总经理，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月至今任本公司董 事，负责公司技术研发工作、技术中心日常管理工作。</w:t>
      </w:r>
    </w:p>
    <w:p>
      <w:pPr>
        <w:spacing w:line="304" w:lineRule="auto" w:before="31"/>
        <w:ind w:left="112" w:right="1132" w:firstLine="27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、王缉志先生，</w:t>
      </w:r>
      <w:r>
        <w:rPr>
          <w:rFonts w:ascii="Times New Roman" w:hAnsi="Times New Roman" w:cs="Times New Roman" w:eastAsia="Times New Roman" w:hint="default"/>
          <w:spacing w:val="-2"/>
          <w:sz w:val="18"/>
          <w:szCs w:val="18"/>
        </w:rPr>
        <w:t>79</w:t>
      </w:r>
      <w:r>
        <w:rPr>
          <w:rFonts w:ascii="宋体" w:hAnsi="宋体" w:cs="宋体" w:eastAsia="宋体" w:hint="default"/>
          <w:spacing w:val="-2"/>
          <w:sz w:val="18"/>
          <w:szCs w:val="18"/>
        </w:rPr>
        <w:t>岁，中国国籍，数学专业，本科学历。曾长期从事汉字处理的开发工作，获得由北京市人民政府颁发</w:t>
      </w:r>
      <w:r>
        <w:rPr>
          <w:rFonts w:ascii="宋体" w:hAnsi="宋体" w:cs="宋体" w:eastAsia="宋体" w:hint="default"/>
          <w:sz w:val="18"/>
          <w:szCs w:val="18"/>
        </w:rPr>
        <w:t> </w:t>
      </w:r>
      <w:r>
        <w:rPr>
          <w:rFonts w:ascii="宋体" w:hAnsi="宋体" w:cs="宋体" w:eastAsia="宋体" w:hint="default"/>
          <w:spacing w:val="-1"/>
          <w:sz w:val="18"/>
          <w:szCs w:val="18"/>
        </w:rPr>
        <w:t>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北京市有突出贡献的专家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荣誉证书、由国家科学技术委员会等四部门联合授予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中国优秀民办科技实业家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称号。</w:t>
      </w:r>
      <w:r>
        <w:rPr>
          <w:rFonts w:ascii="Times New Roman" w:hAnsi="Times New Roman" w:cs="Times New Roman" w:eastAsia="Times New Roman" w:hint="default"/>
          <w:spacing w:val="-1"/>
          <w:sz w:val="18"/>
          <w:szCs w:val="18"/>
        </w:rPr>
        <w:t>1984</w:t>
      </w:r>
      <w:r>
        <w:rPr>
          <w:rFonts w:ascii="宋体" w:hAnsi="宋体" w:cs="宋体" w:eastAsia="宋体" w:hint="default"/>
          <w:spacing w:val="-1"/>
          <w:sz w:val="18"/>
          <w:szCs w:val="18"/>
        </w:rPr>
        <w:t>年</w:t>
      </w:r>
      <w:r>
        <w:rPr>
          <w:rFonts w:ascii="宋体" w:hAnsi="宋体" w:cs="宋体" w:eastAsia="宋体" w:hint="default"/>
          <w:spacing w:val="-79"/>
          <w:sz w:val="18"/>
          <w:szCs w:val="18"/>
        </w:rPr>
        <w:t> </w:t>
      </w:r>
      <w:r>
        <w:rPr>
          <w:rFonts w:ascii="宋体" w:hAnsi="宋体" w:cs="宋体" w:eastAsia="宋体" w:hint="default"/>
          <w:spacing w:val="-2"/>
          <w:sz w:val="18"/>
          <w:szCs w:val="18"/>
        </w:rPr>
        <w:t>至</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年，任四通集团公司执行副总裁兼总工程师，</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年，曾先后任职于北京新宝石电脑技术有限公司、北京多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方位电信股份有限公司、北京佰能电气股份有限公司、北京仲目科技有限公司，曾担任宝龙达信息技术股份有限公司独立董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月至今任本公司独立董事。</w:t>
      </w:r>
    </w:p>
    <w:p>
      <w:pPr>
        <w:spacing w:line="300" w:lineRule="auto" w:before="9"/>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、郑晓武先生，</w:t>
      </w:r>
      <w:r>
        <w:rPr>
          <w:rFonts w:ascii="Times New Roman" w:hAnsi="Times New Roman" w:cs="Times New Roman" w:eastAsia="Times New Roman" w:hint="default"/>
          <w:sz w:val="18"/>
          <w:szCs w:val="18"/>
        </w:rPr>
        <w:t>66</w:t>
      </w:r>
      <w:r>
        <w:rPr>
          <w:rFonts w:ascii="宋体" w:hAnsi="宋体" w:cs="宋体" w:eastAsia="宋体" w:hint="default"/>
          <w:sz w:val="18"/>
          <w:szCs w:val="18"/>
        </w:rPr>
        <w:t>岁，中国国籍，管理学专业，哈佛大学硕士研究生学历。</w:t>
      </w:r>
      <w:r>
        <w:rPr>
          <w:rFonts w:ascii="Times New Roman" w:hAnsi="Times New Roman" w:cs="Times New Roman" w:eastAsia="Times New Roman" w:hint="default"/>
          <w:sz w:val="18"/>
          <w:szCs w:val="18"/>
        </w:rPr>
        <w:t>1979</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1987</w:t>
      </w:r>
      <w:r>
        <w:rPr>
          <w:rFonts w:ascii="宋体" w:hAnsi="宋体" w:cs="宋体" w:eastAsia="宋体" w:hint="default"/>
          <w:sz w:val="18"/>
          <w:szCs w:val="18"/>
        </w:rPr>
        <w:t>年，于北京市农林科学院生 </w:t>
      </w:r>
      <w:r>
        <w:rPr>
          <w:rFonts w:ascii="宋体" w:hAnsi="宋体" w:cs="宋体" w:eastAsia="宋体" w:hint="default"/>
          <w:spacing w:val="-2"/>
          <w:sz w:val="18"/>
          <w:szCs w:val="18"/>
        </w:rPr>
        <w:t>物统计研究室从事科研工作，</w:t>
      </w:r>
      <w:r>
        <w:rPr>
          <w:rFonts w:ascii="Times New Roman" w:hAnsi="Times New Roman" w:cs="Times New Roman" w:eastAsia="Times New Roman" w:hint="default"/>
          <w:spacing w:val="-2"/>
          <w:sz w:val="18"/>
          <w:szCs w:val="18"/>
        </w:rPr>
        <w:t>1990</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年，任中国华润集团（美国）国际有限公司部门经理。</w:t>
      </w:r>
      <w:r>
        <w:rPr>
          <w:rFonts w:ascii="Times New Roman" w:hAnsi="Times New Roman" w:cs="Times New Roman" w:eastAsia="Times New Roman" w:hint="default"/>
          <w:spacing w:val="-2"/>
          <w:sz w:val="18"/>
          <w:szCs w:val="18"/>
        </w:rPr>
        <w:t>1993</w:t>
      </w:r>
      <w:r>
        <w:rPr>
          <w:rFonts w:ascii="宋体" w:hAnsi="宋体" w:cs="宋体" w:eastAsia="宋体" w:hint="default"/>
          <w:spacing w:val="-2"/>
          <w:sz w:val="18"/>
          <w:szCs w:val="18"/>
        </w:rPr>
        <w:t>年至今，任职于北京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市康达律师事务所，现兼任北京华联综合超市股份有限公司独立董事，北京金通量科技有限公司监事。</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月至今任本</w:t>
      </w:r>
      <w:r>
        <w:rPr>
          <w:rFonts w:ascii="宋体" w:hAnsi="宋体" w:cs="宋体" w:eastAsia="宋体" w:hint="default"/>
          <w:spacing w:val="-62"/>
          <w:sz w:val="18"/>
          <w:szCs w:val="18"/>
        </w:rPr>
        <w:t> </w:t>
      </w:r>
      <w:r>
        <w:rPr>
          <w:rFonts w:ascii="宋体" w:hAnsi="宋体" w:cs="宋体" w:eastAsia="宋体" w:hint="default"/>
          <w:sz w:val="18"/>
          <w:szCs w:val="18"/>
        </w:rPr>
        <w:t>公司独立董事。</w:t>
      </w:r>
    </w:p>
    <w:p>
      <w:pPr>
        <w:spacing w:line="307" w:lineRule="auto" w:before="31"/>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、马朝松先生，</w:t>
      </w:r>
      <w:r>
        <w:rPr>
          <w:rFonts w:ascii="Times New Roman" w:hAnsi="Times New Roman" w:cs="Times New Roman" w:eastAsia="Times New Roman" w:hint="default"/>
          <w:sz w:val="18"/>
          <w:szCs w:val="18"/>
        </w:rPr>
        <w:t>48</w:t>
      </w:r>
      <w:r>
        <w:rPr>
          <w:rFonts w:ascii="宋体" w:hAnsi="宋体" w:cs="宋体" w:eastAsia="宋体" w:hint="default"/>
          <w:sz w:val="18"/>
          <w:szCs w:val="18"/>
        </w:rPr>
        <w:t>岁，中国国籍，会计学专业，硕士研究生学历，中国注册会计师，注册税务师，资产评估师。</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1999</w:t>
      </w:r>
      <w:r>
        <w:rPr>
          <w:rFonts w:ascii="宋体" w:hAnsi="宋体" w:cs="宋体" w:eastAsia="宋体" w:hint="default"/>
          <w:sz w:val="18"/>
          <w:szCs w:val="18"/>
        </w:rPr>
        <w:t>年，任中测会计师事务所项目经理，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月，任职于中诚信会计师事务所有限责任公司。现任中天运 </w:t>
      </w:r>
      <w:r>
        <w:rPr>
          <w:rFonts w:ascii="宋体" w:hAnsi="宋体" w:cs="宋体" w:eastAsia="宋体" w:hint="default"/>
          <w:spacing w:val="-2"/>
          <w:sz w:val="18"/>
          <w:szCs w:val="18"/>
        </w:rPr>
        <w:t>会计师事务所（特殊普通合伙）合伙人、北京信利恒税务师事务所有限责任公司董事长兼总经理、北京威卡威汽车零部件股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份有限公司独立董事，中国核工业建设股份有限公司独立董事。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月至今任本公司独立董事。</w:t>
      </w:r>
    </w:p>
    <w:p>
      <w:pPr>
        <w:spacing w:line="240" w:lineRule="auto" w:before="5"/>
        <w:rPr>
          <w:rFonts w:ascii="宋体" w:hAnsi="宋体" w:cs="宋体" w:eastAsia="宋体" w:hint="default"/>
          <w:sz w:val="24"/>
          <w:szCs w:val="2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（二）监事</w:t>
      </w:r>
    </w:p>
    <w:p>
      <w:pPr>
        <w:spacing w:line="300" w:lineRule="auto" w:before="76"/>
        <w:ind w:left="112" w:right="1129"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周海朗先生，</w:t>
      </w:r>
      <w:r>
        <w:rPr>
          <w:rFonts w:ascii="Times New Roman" w:hAnsi="Times New Roman" w:cs="Times New Roman" w:eastAsia="Times New Roman" w:hint="default"/>
          <w:sz w:val="18"/>
          <w:szCs w:val="18"/>
        </w:rPr>
        <w:t>68</w:t>
      </w:r>
      <w:r>
        <w:rPr>
          <w:rFonts w:ascii="宋体" w:hAnsi="宋体" w:cs="宋体" w:eastAsia="宋体" w:hint="default"/>
          <w:sz w:val="18"/>
          <w:szCs w:val="18"/>
        </w:rPr>
        <w:t>岁，中国国籍，放射化工专业，本科学历。</w:t>
      </w:r>
      <w:r>
        <w:rPr>
          <w:rFonts w:ascii="Times New Roman" w:hAnsi="Times New Roman" w:cs="Times New Roman" w:eastAsia="Times New Roman" w:hint="default"/>
          <w:sz w:val="18"/>
          <w:szCs w:val="18"/>
        </w:rPr>
        <w:t>1979</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年，历任北京计算机三厂生产、研发、销 售等部门经理，</w:t>
      </w:r>
      <w:r>
        <w:rPr>
          <w:rFonts w:ascii="Times New Roman" w:hAnsi="Times New Roman" w:cs="Times New Roman" w:eastAsia="Times New Roman" w:hint="default"/>
          <w:sz w:val="18"/>
          <w:szCs w:val="18"/>
        </w:rPr>
        <w:t>1996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年，曾先后担任（惠州市）休曼集团公司副总经理、上海天时网络有限公司产品总监，</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年，任北京共创开源软件有限公司副总经理。现兼任深圳科蓝监事。</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月至今任本公司监事会主席。</w:t>
      </w:r>
    </w:p>
    <w:p>
      <w:pPr>
        <w:spacing w:line="312" w:lineRule="auto" w:before="13"/>
        <w:ind w:left="11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、宋建彪先生，</w:t>
      </w:r>
      <w:r>
        <w:rPr>
          <w:rFonts w:ascii="Times New Roman" w:hAnsi="Times New Roman" w:cs="Times New Roman" w:eastAsia="Times New Roman" w:hint="default"/>
          <w:sz w:val="18"/>
          <w:szCs w:val="18"/>
        </w:rPr>
        <w:t>49</w:t>
      </w:r>
      <w:r>
        <w:rPr>
          <w:rFonts w:ascii="宋体" w:hAnsi="宋体" w:cs="宋体" w:eastAsia="宋体" w:hint="default"/>
          <w:sz w:val="18"/>
          <w:szCs w:val="18"/>
        </w:rPr>
        <w:t>岁，中国国籍，博士研究生学历。</w:t>
      </w:r>
      <w:r>
        <w:rPr>
          <w:rFonts w:ascii="Times New Roman" w:hAnsi="Times New Roman" w:cs="Times New Roman" w:eastAsia="Times New Roman" w:hint="default"/>
          <w:sz w:val="18"/>
          <w:szCs w:val="18"/>
        </w:rPr>
        <w:t>1992</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年，曾任职于江西景德镇通信设备厂、深圳大鹏证 券有限责任公司、深圳市创新投资集团有限公司；现任基石资产管理股份有限公司，担任董事会秘书、投资管理部总经理， </w:t>
      </w:r>
      <w:r>
        <w:rPr>
          <w:rFonts w:ascii="宋体" w:hAnsi="宋体" w:cs="宋体" w:eastAsia="宋体" w:hint="default"/>
          <w:spacing w:val="-2"/>
          <w:sz w:val="18"/>
          <w:szCs w:val="18"/>
        </w:rPr>
        <w:t>兼任湖南宇晶机器股份有限公司董事，深圳岂凡网络有限公司董事，北京星昊医药股份有限公司董事、深圳减字科技有限公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月至今任本公司监事。</w:t>
      </w:r>
    </w:p>
    <w:p>
      <w:pPr>
        <w:spacing w:line="300" w:lineRule="auto" w:before="3"/>
        <w:ind w:left="112" w:right="0"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3"/>
          <w:sz w:val="18"/>
          <w:szCs w:val="18"/>
        </w:rPr>
        <w:t>敖晓振女士，</w:t>
      </w:r>
      <w:r>
        <w:rPr>
          <w:rFonts w:ascii="Times New Roman" w:hAnsi="Times New Roman" w:cs="Times New Roman" w:eastAsia="Times New Roman" w:hint="default"/>
          <w:spacing w:val="-3"/>
          <w:sz w:val="18"/>
          <w:szCs w:val="18"/>
        </w:rPr>
        <w:t>33</w:t>
      </w:r>
      <w:r>
        <w:rPr>
          <w:rFonts w:ascii="宋体" w:hAnsi="宋体" w:cs="宋体" w:eastAsia="宋体" w:hint="default"/>
          <w:spacing w:val="-3"/>
          <w:sz w:val="18"/>
          <w:szCs w:val="18"/>
        </w:rPr>
        <w:t>岁，中国国籍，金融学专业，本科学历。</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月至今任职于北京科蓝软件系统股份有限公司人 事部。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月至今担任公司职工监事。</w:t>
      </w:r>
    </w:p>
    <w:p>
      <w:pPr>
        <w:spacing w:line="240" w:lineRule="auto" w:before="11"/>
        <w:rPr>
          <w:rFonts w:ascii="宋体" w:hAnsi="宋体" w:cs="宋体" w:eastAsia="宋体" w:hint="default"/>
          <w:sz w:val="24"/>
          <w:szCs w:val="2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（三）高级管理人员</w:t>
      </w:r>
    </w:p>
    <w:p>
      <w:pPr>
        <w:spacing w:before="76"/>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、王安京先生：总经理（简历见前述董事介绍）</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、李国庆先生：副总经理（简历见前述董事介绍）</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、周旭红女士，财务总监兼董事会秘书，中国国籍，管理工程专业，硕士研究生学历，中国注册会计师，高级会计师。</w:t>
      </w:r>
    </w:p>
    <w:p>
      <w:pPr>
        <w:spacing w:line="300" w:lineRule="auto" w:before="63"/>
        <w:ind w:left="112" w:right="1034"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1993</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年，曾先后担任北京厚普经贸有限公司经理、北京市八百佳物流中心副总经理。</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年，任天健正信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5"/>
          <w:sz w:val="18"/>
          <w:szCs w:val="18"/>
        </w:rPr>
        <w:t>会计师事务所高级经理。</w:t>
      </w:r>
      <w:r>
        <w:rPr>
          <w:rFonts w:ascii="Times New Roman" w:hAnsi="Times New Roman" w:cs="Times New Roman" w:eastAsia="Times New Roman" w:hint="default"/>
          <w:spacing w:val="-5"/>
          <w:sz w:val="18"/>
          <w:szCs w:val="18"/>
        </w:rPr>
        <w:t>2005</w:t>
      </w:r>
      <w:r>
        <w:rPr>
          <w:rFonts w:ascii="宋体" w:hAnsi="宋体" w:cs="宋体" w:eastAsia="宋体" w:hint="default"/>
          <w:spacing w:val="-5"/>
          <w:sz w:val="18"/>
          <w:szCs w:val="18"/>
        </w:rPr>
        <w:t>年至</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年，先后担任二六三网络通信股份有限公司财务部经理、内审总监、董事长助理。</w:t>
      </w:r>
      <w:r>
        <w:rPr>
          <w:rFonts w:ascii="Times New Roman" w:hAnsi="Times New Roman" w:cs="Times New Roman" w:eastAsia="Times New Roman" w:hint="default"/>
          <w:spacing w:val="-5"/>
          <w:sz w:val="18"/>
          <w:szCs w:val="18"/>
        </w:rPr>
        <w:t>2011 </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年，任科蓝有限财务总监，</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月至今任本公司财务总监、董事会秘书，主要负责公司财务预算、核算工作、 投融资、法务工作以及投资者关系管理等证券相关事务。</w:t>
      </w:r>
    </w:p>
    <w:p>
      <w:pPr>
        <w:spacing w:before="31"/>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、周荣女士，副总经理，</w:t>
      </w:r>
      <w:r>
        <w:rPr>
          <w:rFonts w:ascii="Times New Roman" w:hAnsi="Times New Roman" w:cs="Times New Roman" w:eastAsia="Times New Roman" w:hint="default"/>
          <w:sz w:val="18"/>
          <w:szCs w:val="18"/>
        </w:rPr>
        <w:t>53</w:t>
      </w:r>
      <w:r>
        <w:rPr>
          <w:rFonts w:ascii="宋体" w:hAnsi="宋体" w:cs="宋体" w:eastAsia="宋体" w:hint="default"/>
          <w:sz w:val="18"/>
          <w:szCs w:val="18"/>
        </w:rPr>
        <w:t>岁，中国国籍，法律专业，本科学历。曾担任中国人民解放军新疆军区司令部直属部队陆</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00" w:lineRule="auto" w:before="44"/>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军军官，</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年加入科蓝有限，</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年起任科蓝有限副总经理，</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月至今任本公司副总经理，负责公司项目中心日常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运营、人事行政管理工作。</w:t>
      </w:r>
    </w:p>
    <w:p>
      <w:pPr>
        <w:spacing w:line="300" w:lineRule="auto" w:before="31"/>
        <w:ind w:left="112"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、林建军先生，首席运营官，</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岁，中国国籍，硕士研究生学历。曾历任恒生电子股份有限公司银行业务板块工程师、</w:t>
      </w:r>
      <w:r>
        <w:rPr>
          <w:rFonts w:ascii="宋体" w:hAnsi="宋体" w:cs="宋体" w:eastAsia="宋体" w:hint="default"/>
          <w:sz w:val="18"/>
          <w:szCs w:val="18"/>
        </w:rPr>
        <w:t> 产品事业部总经理、银行业务板块产品总监、银行业务板块技术总监、银行业务板块常务副总经理、公司总裁助理。</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月至今任本公司首席运营官，主要负责公司产品研发推广，项目运营管理。</w:t>
      </w:r>
    </w:p>
    <w:p>
      <w:pPr>
        <w:spacing w:line="300" w:lineRule="auto" w:before="13"/>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、国明星先生，副总经理，</w:t>
      </w:r>
      <w:r>
        <w:rPr>
          <w:rFonts w:ascii="Times New Roman" w:hAnsi="Times New Roman" w:cs="Times New Roman" w:eastAsia="Times New Roman" w:hint="default"/>
          <w:sz w:val="18"/>
          <w:szCs w:val="18"/>
        </w:rPr>
        <w:t>46</w:t>
      </w:r>
      <w:r>
        <w:rPr>
          <w:rFonts w:ascii="宋体" w:hAnsi="宋体" w:cs="宋体" w:eastAsia="宋体" w:hint="default"/>
          <w:sz w:val="18"/>
          <w:szCs w:val="18"/>
        </w:rPr>
        <w:t>岁，清华大学工商管理硕士，中国互联网协会第四届理事会常务理事。曾任中国物资信 </w:t>
      </w:r>
      <w:r>
        <w:rPr>
          <w:rFonts w:ascii="宋体" w:hAnsi="宋体" w:cs="宋体" w:eastAsia="宋体" w:hint="default"/>
          <w:spacing w:val="-2"/>
          <w:sz w:val="18"/>
          <w:szCs w:val="18"/>
        </w:rPr>
        <w:t>息中心市场研究主管，商务部中国五矿化工进出口商会综合部副主任，</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年，任昆吾九鼎投资管理有限公司投资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总监。</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年至今，历任公司董事长助理、销售总监、市场部负责人，负责公司销售、市场，对外合作等工作。</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 至今担任公司副总经理。</w:t>
      </w:r>
    </w:p>
    <w:p>
      <w:pPr>
        <w:spacing w:line="240" w:lineRule="auto" w:before="0"/>
        <w:rPr>
          <w:rFonts w:ascii="宋体" w:hAnsi="宋体" w:cs="宋体" w:eastAsia="宋体" w:hint="default"/>
          <w:sz w:val="18"/>
          <w:szCs w:val="18"/>
        </w:rPr>
      </w:pPr>
    </w:p>
    <w:p>
      <w:pPr>
        <w:spacing w:before="146"/>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60"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2" w:right="15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6"/>
                <w:sz w:val="18"/>
                <w:szCs w:val="18"/>
              </w:rPr>
              <w:t>宁波科蓝盛合投资管理合伙企业（有限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株式会社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北京科蓝软件系统（苏州）有限公司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6"/>
                <w:sz w:val="18"/>
                <w:szCs w:val="18"/>
              </w:rPr>
              <w:t>宁波科蓝盈众投资管理合伙企业（有限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北京太空行教育咨询有限公司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新沃资本控股集团有限公司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嘉兴沃茂投资合伙企业（有限合伙）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北京友高教育科技有限公司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北京弘高新沃投资管理有限公司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深圳市映趣科技有限公司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广州优医汇门诊部有限公司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广州优医汇医药科技有限公司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天津奥图科技有限公司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北京环球悦时空文化科技有限公司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北京帕罗奥图科技有限公司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北京市康达律师事务所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北京华联综合超市股份有限公司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北京信利恒税务师事务所有限责任公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8"/>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北京威卡威汽车零部件股份有限公司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深圳岂凡网络有限公司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深圳市易图资讯有限公司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湖南宇晶机器股份有限公司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6"/>
                <w:sz w:val="18"/>
                <w:szCs w:val="18"/>
              </w:rPr>
              <w:t>宁波科蓝融创投资管理合伙企业（有限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8"/>
          <w:pgSz w:w="11910" w:h="16840"/>
          <w:pgMar w:footer="1016" w:header="907" w:top="1100" w:bottom="1200" w:left="1020" w:right="0"/>
          <w:pgNumType w:start="1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1"/>
              <w:jc w:val="left"/>
              <w:rPr>
                <w:rFonts w:ascii="宋体" w:hAnsi="宋体" w:cs="宋体" w:eastAsia="宋体" w:hint="default"/>
                <w:sz w:val="18"/>
                <w:szCs w:val="18"/>
              </w:rPr>
            </w:pPr>
            <w:r>
              <w:rPr>
                <w:rFonts w:ascii="宋体" w:hAnsi="宋体" w:cs="宋体" w:eastAsia="宋体" w:hint="default"/>
                <w:spacing w:val="-6"/>
                <w:sz w:val="18"/>
                <w:szCs w:val="18"/>
              </w:rPr>
              <w:t>宁波科蓝金投投资管理合伙企业（有限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国明星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宁波科蓝海联投资管理合伙企业（有限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28"/>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国明星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苏州和众九鼎投资中心（有限合伙）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7"/>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112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公司董事、监事报酬由股东大会决定，高级管理人员报酬由董事会决定，在公司履职的董事、监事和高级管理人员按具体职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务领取薪酬。</w:t>
      </w:r>
    </w:p>
    <w:p>
      <w:pPr>
        <w:spacing w:line="316" w:lineRule="auto" w:before="2"/>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董事、监事和高级管理人员的报酬按照公司董事会《薪酬与考核委员会工作细则》的规定，结合其经营绩效、工作能力、岗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位职级等考核确定并发放。</w:t>
      </w:r>
    </w:p>
    <w:p>
      <w:pPr>
        <w:spacing w:before="19"/>
        <w:ind w:left="112" w:right="0" w:firstLine="0"/>
        <w:jc w:val="left"/>
        <w:rPr>
          <w:rFonts w:ascii="宋体" w:hAnsi="宋体" w:cs="宋体" w:eastAsia="宋体" w:hint="default"/>
          <w:sz w:val="18"/>
          <w:szCs w:val="18"/>
        </w:rPr>
      </w:pPr>
      <w:r>
        <w:rPr>
          <w:rFonts w:ascii="宋体" w:hAnsi="宋体" w:cs="宋体" w:eastAsia="宋体" w:hint="default"/>
          <w:sz w:val="18"/>
          <w:szCs w:val="18"/>
        </w:rPr>
        <w:t>2019年度，董事、监事和高级管理人员报酬总额为555.41万元。</w:t>
      </w:r>
    </w:p>
    <w:p>
      <w:pPr>
        <w:spacing w:line="240" w:lineRule="auto" w:before="5"/>
        <w:rPr>
          <w:rFonts w:ascii="宋体" w:hAnsi="宋体" w:cs="宋体" w:eastAsia="宋体" w:hint="default"/>
          <w:sz w:val="29"/>
          <w:szCs w:val="2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23.65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53.38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72.42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财务总监兼董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国明星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10.96</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0" w:right="0"/>
              <w:jc w:val="left"/>
              <w:rPr>
                <w:rFonts w:ascii="Times New Roman" w:hAnsi="Times New Roman" w:cs="Times New Roman" w:eastAsia="Times New Roman" w:hint="default"/>
                <w:sz w:val="18"/>
                <w:szCs w:val="18"/>
              </w:rPr>
            </w:pPr>
            <w:r>
              <w:rPr>
                <w:rFonts w:ascii="Times New Roman"/>
                <w:sz w:val="18"/>
              </w:rPr>
              <w:t>555.41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3,453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4,267</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4,267</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1034" w:firstLine="360"/>
        <w:jc w:val="left"/>
        <w:rPr>
          <w:rFonts w:ascii="宋体" w:hAnsi="宋体" w:cs="宋体" w:eastAsia="宋体" w:hint="default"/>
          <w:sz w:val="18"/>
          <w:szCs w:val="18"/>
        </w:rPr>
      </w:pPr>
      <w:r>
        <w:rPr>
          <w:rFonts w:ascii="宋体" w:hAnsi="宋体" w:cs="宋体" w:eastAsia="宋体" w:hint="default"/>
          <w:sz w:val="18"/>
          <w:szCs w:val="18"/>
        </w:rPr>
        <w:t>采用基本薪酬，绩效薪酬，岗位薪酬等因素相结合的薪酬制度，同时参考同行业公司的平均薪资水平。在薪酬设计上， </w:t>
      </w:r>
      <w:r>
        <w:rPr>
          <w:rFonts w:ascii="宋体" w:hAnsi="宋体" w:cs="宋体" w:eastAsia="宋体" w:hint="default"/>
          <w:spacing w:val="-2"/>
          <w:sz w:val="18"/>
          <w:szCs w:val="18"/>
        </w:rPr>
        <w:t>公司根据不同岗位的技能要求，进行职级对应薪酬等级，定期对员工进行工作考评与绩效考核，根据考核结果确定员工的职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级和薪酬的增加或减少，奖勤罚懒，使能者上、庸者下。中层以上管理人员的薪酬完全与当年签订的目标任务挂钩。</w:t>
      </w:r>
    </w:p>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28" w:lineRule="auto" w:before="44"/>
        <w:ind w:left="472" w:right="0" w:hanging="36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 公司报告期内的职工薪酬总额为770,804,465.36元，占公司成本总额84.85%。 </w:t>
      </w:r>
      <w:r>
        <w:rPr>
          <w:rFonts w:ascii="宋体" w:hAnsi="宋体" w:cs="宋体" w:eastAsia="宋体" w:hint="default"/>
          <w:spacing w:val="-2"/>
          <w:sz w:val="18"/>
          <w:szCs w:val="18"/>
        </w:rPr>
        <w:t>2019年度核心技术人员数量占比10.12%，2019年度核心技术人员薪酬占比19.29%，2019年度公司未发生核心技术人员变</w:t>
      </w:r>
    </w:p>
    <w:p>
      <w:pPr>
        <w:spacing w:before="10"/>
        <w:ind w:left="112" w:right="0" w:firstLine="0"/>
        <w:jc w:val="left"/>
        <w:rPr>
          <w:rFonts w:ascii="宋体" w:hAnsi="宋体" w:cs="宋体" w:eastAsia="宋体" w:hint="default"/>
          <w:sz w:val="18"/>
          <w:szCs w:val="18"/>
        </w:rPr>
      </w:pPr>
      <w:r>
        <w:rPr>
          <w:rFonts w:ascii="宋体" w:hAnsi="宋体" w:cs="宋体" w:eastAsia="宋体" w:hint="default"/>
          <w:sz w:val="18"/>
          <w:szCs w:val="18"/>
        </w:rPr>
        <w:t>动情况。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1132" w:firstLine="360"/>
        <w:jc w:val="both"/>
        <w:rPr>
          <w:rFonts w:ascii="宋体" w:hAnsi="宋体" w:cs="宋体" w:eastAsia="宋体" w:hint="default"/>
          <w:sz w:val="18"/>
          <w:szCs w:val="18"/>
        </w:rPr>
      </w:pPr>
      <w:r>
        <w:rPr>
          <w:rFonts w:ascii="宋体" w:hAnsi="宋体" w:cs="宋体" w:eastAsia="宋体" w:hint="default"/>
          <w:sz w:val="18"/>
          <w:szCs w:val="18"/>
        </w:rPr>
        <w:t>公司业务及技术方面的培训是公司组织培训的长期主要内容，围绕此内容，公司定期开展新员工技术/业务培训，以及 </w:t>
      </w:r>
      <w:r>
        <w:rPr>
          <w:rFonts w:ascii="宋体" w:hAnsi="宋体" w:cs="宋体" w:eastAsia="宋体" w:hint="default"/>
          <w:spacing w:val="-2"/>
          <w:sz w:val="18"/>
          <w:szCs w:val="18"/>
        </w:rPr>
        <w:t>基于互联网新技术的月培训、季度培训等常规工作。在此基础上，为了提升员工工作积极性，提高员工整体职业素养，公司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为员工提供外训，从“企业文化战略落地--战略运营管控--战略人力资源管理--团队执行力--营销策略”提供了全方位的培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训课程，其根本作用于传递战略意图，形成集体效应，为员工能够成为全方面的优秀人才奠定了坚实的基础。</w:t>
      </w:r>
    </w:p>
    <w:p>
      <w:pPr>
        <w:spacing w:line="316" w:lineRule="auto" w:before="19"/>
        <w:ind w:left="112" w:right="1034" w:firstLine="271"/>
        <w:jc w:val="left"/>
        <w:rPr>
          <w:rFonts w:ascii="宋体" w:hAnsi="宋体" w:cs="宋体" w:eastAsia="宋体" w:hint="default"/>
          <w:sz w:val="18"/>
          <w:szCs w:val="18"/>
        </w:rPr>
      </w:pPr>
      <w:r>
        <w:rPr>
          <w:rFonts w:ascii="宋体" w:hAnsi="宋体" w:cs="宋体" w:eastAsia="宋体" w:hint="default"/>
          <w:sz w:val="18"/>
          <w:szCs w:val="18"/>
        </w:rPr>
        <w:t>公司成立的科蓝学院，在宣扬科蓝企业文化，发扬科蓝精神方面发挥作用，组织员工在团建活动中充分发挥个人能力， </w:t>
      </w:r>
      <w:r>
        <w:rPr>
          <w:rFonts w:ascii="宋体" w:hAnsi="宋体" w:cs="宋体" w:eastAsia="宋体" w:hint="default"/>
          <w:spacing w:val="-2"/>
          <w:sz w:val="18"/>
          <w:szCs w:val="18"/>
        </w:rPr>
        <w:t>团结一心，协力合作，奋发图强，战胜对手。在团建中提升员工的团队意识，增加团队凝聚力，激励团队，协调团队中个人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的关系，增进队员间的感情，塑造团队行为。公司成立的各种员工俱乐部，根据大家的不同兴趣爱好，把大家凝聚在一起， 定期组织活动，深化培训，增进友谊，营造良好氛围。</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十节公司治理" w:id="134"/>
      <w:bookmarkEnd w:id="134"/>
      <w:r>
        <w:rPr>
          <w:b w:val="0"/>
          <w:bCs w:val="0"/>
        </w:rPr>
      </w:r>
      <w:bookmarkStart w:name="_bookmark8" w:id="135"/>
      <w:bookmarkEnd w:id="135"/>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130" w:firstLine="0"/>
        <w:jc w:val="both"/>
        <w:rPr>
          <w:rFonts w:ascii="宋体" w:hAnsi="宋体" w:cs="宋体" w:eastAsia="宋体" w:hint="default"/>
          <w:sz w:val="18"/>
          <w:szCs w:val="18"/>
        </w:rPr>
      </w:pPr>
      <w:r>
        <w:rPr>
          <w:rFonts w:ascii="宋体" w:hAnsi="宋体" w:cs="宋体" w:eastAsia="宋体" w:hint="default"/>
          <w:spacing w:val="-14"/>
          <w:sz w:val="18"/>
          <w:szCs w:val="18"/>
        </w:rPr>
        <w:t>报告期内，公司严格按照《公司法》、《证券法》、《上市公司治理准则》、《深圳证券交易所股票创业板上市规则》、《深圳证券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交易所创业板上市公司规范运作指引》等法律法规、规范性文件的要求，结合公司实际情况，进一步完善公司规范运作管理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制度，加强内部控制制度建设，不断规范公司运作，提高公司治理水平。报告期内，公司治理的实际状况符合《上市公司治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理准则》和《深圳证券交易所创业板上市公司规范运作指引》等要求。</w:t>
      </w:r>
    </w:p>
    <w:p>
      <w:pPr>
        <w:spacing w:line="316" w:lineRule="auto" w:before="19"/>
        <w:ind w:left="504" w:right="1119" w:hanging="29"/>
        <w:jc w:val="left"/>
        <w:rPr>
          <w:rFonts w:ascii="宋体" w:hAnsi="宋体" w:cs="宋体" w:eastAsia="宋体" w:hint="default"/>
          <w:sz w:val="18"/>
          <w:szCs w:val="18"/>
        </w:rPr>
      </w:pPr>
      <w:r>
        <w:rPr>
          <w:rFonts w:ascii="宋体" w:hAnsi="宋体" w:cs="宋体" w:eastAsia="宋体" w:hint="default"/>
          <w:b/>
          <w:bCs/>
          <w:sz w:val="18"/>
          <w:szCs w:val="18"/>
        </w:rPr>
        <w:t>（一）股东和股东大会</w:t>
      </w:r>
      <w:r>
        <w:rPr>
          <w:rFonts w:ascii="宋体" w:hAnsi="宋体" w:cs="宋体" w:eastAsia="宋体" w:hint="default"/>
          <w:b/>
          <w:bCs/>
          <w:w w:val="99"/>
          <w:sz w:val="18"/>
          <w:szCs w:val="18"/>
        </w:rPr>
        <w:t> </w:t>
      </w:r>
      <w:r>
        <w:rPr>
          <w:rFonts w:ascii="宋体" w:hAnsi="宋体" w:cs="宋体" w:eastAsia="宋体" w:hint="default"/>
          <w:spacing w:val="-11"/>
          <w:sz w:val="18"/>
          <w:szCs w:val="18"/>
        </w:rPr>
        <w:t>公司严格按照《公司法》、《上市公司股东大会规则》、《公司章程》、《股东大会议事规则》等相关法律法规、规范</w:t>
      </w:r>
      <w:r>
        <w:rPr>
          <w:rFonts w:ascii="宋体" w:hAnsi="宋体" w:cs="宋体" w:eastAsia="宋体" w:hint="default"/>
          <w:spacing w:val="5"/>
          <w:sz w:val="18"/>
          <w:szCs w:val="18"/>
        </w:rPr>
        <w:t> </w:t>
      </w:r>
      <w:r>
        <w:rPr>
          <w:rFonts w:ascii="宋体" w:hAnsi="宋体" w:cs="宋体" w:eastAsia="宋体" w:hint="default"/>
          <w:sz w:val="18"/>
          <w:szCs w:val="18"/>
        </w:rPr>
        <w:t>性文</w:t>
      </w:r>
    </w:p>
    <w:p>
      <w:pPr>
        <w:spacing w:line="316" w:lineRule="auto" w:before="19"/>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件和公司规章制度的有关规定和要求，规范地召集、召开股东大会。确保全体股东特别是中小股东享有平等地位，充分行使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自己的权力。</w:t>
      </w:r>
    </w:p>
    <w:p>
      <w:pPr>
        <w:spacing w:line="316" w:lineRule="auto" w:before="19"/>
        <w:ind w:left="112" w:right="1133" w:firstLine="391"/>
        <w:jc w:val="both"/>
        <w:rPr>
          <w:rFonts w:ascii="宋体" w:hAnsi="宋体" w:cs="宋体" w:eastAsia="宋体" w:hint="default"/>
          <w:sz w:val="18"/>
          <w:szCs w:val="18"/>
        </w:rPr>
      </w:pPr>
      <w:r>
        <w:rPr>
          <w:rFonts w:ascii="宋体" w:hAnsi="宋体" w:cs="宋体" w:eastAsia="宋体" w:hint="default"/>
          <w:sz w:val="18"/>
          <w:szCs w:val="18"/>
        </w:rPr>
        <w:t>报告期内的股东大会均由董事会召集召开，并聘请律师进行现场见证，根据相关法律、行政法规、部门规章、规范性 文件及公司章程等规定应由股东大会表决的事项均按照相应的权限审批后交由股东大会审议。</w:t>
      </w:r>
    </w:p>
    <w:p>
      <w:pPr>
        <w:spacing w:line="316" w:lineRule="auto" w:before="19"/>
        <w:ind w:left="504" w:right="0" w:hanging="92"/>
        <w:jc w:val="left"/>
        <w:rPr>
          <w:rFonts w:ascii="宋体" w:hAnsi="宋体" w:cs="宋体" w:eastAsia="宋体" w:hint="default"/>
          <w:sz w:val="18"/>
          <w:szCs w:val="18"/>
        </w:rPr>
      </w:pPr>
      <w:r>
        <w:rPr>
          <w:rFonts w:ascii="宋体" w:hAnsi="宋体" w:cs="宋体" w:eastAsia="宋体" w:hint="default"/>
          <w:b/>
          <w:bCs/>
          <w:sz w:val="18"/>
          <w:szCs w:val="18"/>
        </w:rPr>
        <w:t>（二）公司与控股股东</w:t>
      </w:r>
      <w:r>
        <w:rPr>
          <w:rFonts w:ascii="宋体" w:hAnsi="宋体" w:cs="宋体" w:eastAsia="宋体" w:hint="default"/>
          <w:b/>
          <w:bCs/>
          <w:w w:val="99"/>
          <w:sz w:val="18"/>
          <w:szCs w:val="18"/>
        </w:rPr>
        <w:t> </w:t>
      </w:r>
      <w:r>
        <w:rPr>
          <w:rFonts w:ascii="宋体" w:hAnsi="宋体" w:cs="宋体" w:eastAsia="宋体" w:hint="default"/>
          <w:spacing w:val="-6"/>
          <w:sz w:val="18"/>
          <w:szCs w:val="18"/>
        </w:rPr>
        <w:t>公司大股东严格执行《上市公司治理准则》、《深圳证券交易所创业板股票市规则》、《深圳证券交易所创业板上市公司</w:t>
      </w:r>
    </w:p>
    <w:p>
      <w:pPr>
        <w:spacing w:line="316" w:lineRule="auto" w:before="19"/>
        <w:ind w:left="112" w:right="1130" w:firstLine="0"/>
        <w:jc w:val="both"/>
        <w:rPr>
          <w:rFonts w:ascii="宋体" w:hAnsi="宋体" w:cs="宋体" w:eastAsia="宋体" w:hint="default"/>
          <w:sz w:val="18"/>
          <w:szCs w:val="18"/>
        </w:rPr>
      </w:pPr>
      <w:r>
        <w:rPr>
          <w:rFonts w:ascii="宋体" w:hAnsi="宋体" w:cs="宋体" w:eastAsia="宋体" w:hint="default"/>
          <w:spacing w:val="-5"/>
          <w:sz w:val="18"/>
          <w:szCs w:val="18"/>
        </w:rPr>
        <w:t>规范运作指引》、《公司章程》等规定和要求，规范自身行为，不存在超越公司股东大会直接或间接干预公司的决策和经营活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动的行为，未损害公司及其他股东的利益，不存在占用公司资金的现象，公司亦无为大股东提供担保的情形。公司拥有独立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完整的业务和自主经营能力，在业务、人员、资产、机构、财务上独立于控股股东，公司董事会、监事会和内部机构独立运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作。</w:t>
      </w:r>
    </w:p>
    <w:p>
      <w:pPr>
        <w:spacing w:line="316" w:lineRule="auto" w:before="19"/>
        <w:ind w:left="504" w:right="0" w:hanging="92"/>
        <w:jc w:val="left"/>
        <w:rPr>
          <w:rFonts w:ascii="宋体" w:hAnsi="宋体" w:cs="宋体" w:eastAsia="宋体" w:hint="default"/>
          <w:sz w:val="18"/>
          <w:szCs w:val="18"/>
        </w:rPr>
      </w:pPr>
      <w:r>
        <w:rPr>
          <w:rFonts w:ascii="宋体" w:hAnsi="宋体" w:cs="宋体" w:eastAsia="宋体" w:hint="default"/>
          <w:b/>
          <w:bCs/>
          <w:sz w:val="18"/>
          <w:szCs w:val="18"/>
        </w:rPr>
        <w:t>（三）董事与董事会</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报告期内，公司董事会设董事9名，其中独立董事3名，董事会人数及人员构成符合法律、法规和《公司章程》的要求。</w:t>
      </w:r>
    </w:p>
    <w:p>
      <w:pPr>
        <w:spacing w:line="316" w:lineRule="auto" w:before="19"/>
        <w:ind w:left="112" w:right="1129" w:firstLine="0"/>
        <w:jc w:val="both"/>
        <w:rPr>
          <w:rFonts w:ascii="宋体" w:hAnsi="宋体" w:cs="宋体" w:eastAsia="宋体" w:hint="default"/>
          <w:sz w:val="18"/>
          <w:szCs w:val="18"/>
        </w:rPr>
      </w:pPr>
      <w:r>
        <w:rPr>
          <w:rFonts w:ascii="宋体" w:hAnsi="宋体" w:cs="宋体" w:eastAsia="宋体" w:hint="default"/>
          <w:spacing w:val="-8"/>
          <w:sz w:val="18"/>
          <w:szCs w:val="18"/>
        </w:rPr>
        <w:t>各位董事能够依据《董事会议事规则》、《独立董事制度》、《深圳证券交易所创业板上市公司规范运作指引》等开展工作，按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时出席董事会、专门委员会和股东大会，勤勉尽责地履行职责和义务，同时积极参加相关培训，熟悉相关法律法规。根据《上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市公司治理准则》的要求，公司在董事会下设立了战略委员</w:t>
      </w:r>
      <w:r>
        <w:rPr>
          <w:rFonts w:ascii="宋体" w:hAnsi="宋体" w:cs="宋体" w:eastAsia="宋体" w:hint="default"/>
          <w:spacing w:val="8"/>
          <w:sz w:val="18"/>
          <w:szCs w:val="18"/>
        </w:rPr>
        <w:t> </w:t>
      </w:r>
      <w:r>
        <w:rPr>
          <w:rFonts w:ascii="宋体" w:hAnsi="宋体" w:cs="宋体" w:eastAsia="宋体" w:hint="default"/>
          <w:sz w:val="18"/>
          <w:szCs w:val="18"/>
        </w:rPr>
        <w:t>会、提名委员会、审计委员会、薪酬与考核委员会四个专门委</w:t>
      </w:r>
      <w:r>
        <w:rPr>
          <w:rFonts w:ascii="宋体" w:hAnsi="宋体" w:cs="宋体" w:eastAsia="宋体" w:hint="default"/>
          <w:sz w:val="18"/>
          <w:szCs w:val="18"/>
        </w:rPr>
        <w:t> 员会。</w:t>
      </w:r>
    </w:p>
    <w:p>
      <w:pPr>
        <w:spacing w:line="316" w:lineRule="auto" w:before="19"/>
        <w:ind w:left="504" w:right="1038" w:hanging="92"/>
        <w:jc w:val="left"/>
        <w:rPr>
          <w:rFonts w:ascii="宋体" w:hAnsi="宋体" w:cs="宋体" w:eastAsia="宋体" w:hint="default"/>
          <w:sz w:val="18"/>
          <w:szCs w:val="18"/>
        </w:rPr>
      </w:pPr>
      <w:r>
        <w:rPr>
          <w:rFonts w:ascii="宋体" w:hAnsi="宋体" w:cs="宋体" w:eastAsia="宋体" w:hint="default"/>
          <w:b/>
          <w:bCs/>
          <w:sz w:val="18"/>
          <w:szCs w:val="18"/>
        </w:rPr>
        <w:t>（四）监事与监事会</w:t>
      </w:r>
      <w:r>
        <w:rPr>
          <w:rFonts w:ascii="宋体" w:hAnsi="宋体" w:cs="宋体" w:eastAsia="宋体" w:hint="default"/>
          <w:b/>
          <w:bCs/>
          <w:w w:val="99"/>
          <w:sz w:val="18"/>
          <w:szCs w:val="18"/>
        </w:rPr>
        <w:t> </w:t>
      </w:r>
      <w:r>
        <w:rPr>
          <w:rFonts w:ascii="宋体" w:hAnsi="宋体" w:cs="宋体" w:eastAsia="宋体" w:hint="default"/>
          <w:spacing w:val="-4"/>
          <w:sz w:val="18"/>
          <w:szCs w:val="18"/>
        </w:rPr>
        <w:t>公司监事会设监事3名，其中职工监事1名，监事会的人数和构成符合法律、法规的要求。各位监事能够按照《公司法》、</w:t>
      </w:r>
    </w:p>
    <w:p>
      <w:pPr>
        <w:spacing w:line="316" w:lineRule="auto" w:before="19"/>
        <w:ind w:left="112" w:right="1041" w:firstLine="0"/>
        <w:jc w:val="both"/>
        <w:rPr>
          <w:rFonts w:ascii="宋体" w:hAnsi="宋体" w:cs="宋体" w:eastAsia="宋体" w:hint="default"/>
          <w:sz w:val="18"/>
          <w:szCs w:val="18"/>
        </w:rPr>
      </w:pPr>
      <w:r>
        <w:rPr>
          <w:rFonts w:ascii="宋体" w:hAnsi="宋体" w:cs="宋体" w:eastAsia="宋体" w:hint="default"/>
          <w:spacing w:val="-7"/>
          <w:sz w:val="18"/>
          <w:szCs w:val="18"/>
        </w:rPr>
        <w:t>公司《章程》、《监事会议事规则》的要求，认真履行自己的职责，本着对公司和全体股东负责的精神，积极有效地开展工作，</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对公司的重大事项、关联交易、财务状况以及董事、高管人员履行职责的合法合规性进行监督。</w:t>
      </w:r>
    </w:p>
    <w:p>
      <w:pPr>
        <w:spacing w:line="316" w:lineRule="auto" w:before="19"/>
        <w:ind w:left="504" w:right="0" w:hanging="92"/>
        <w:jc w:val="left"/>
        <w:rPr>
          <w:rFonts w:ascii="宋体" w:hAnsi="宋体" w:cs="宋体" w:eastAsia="宋体" w:hint="default"/>
          <w:sz w:val="18"/>
          <w:szCs w:val="18"/>
        </w:rPr>
      </w:pPr>
      <w:r>
        <w:rPr>
          <w:rFonts w:ascii="宋体" w:hAnsi="宋体" w:cs="宋体" w:eastAsia="宋体" w:hint="default"/>
          <w:b/>
          <w:bCs/>
          <w:sz w:val="18"/>
          <w:szCs w:val="18"/>
        </w:rPr>
        <w:t>（五）绩效考核与激励机制</w:t>
      </w:r>
      <w:r>
        <w:rPr>
          <w:rFonts w:ascii="宋体" w:hAnsi="宋体" w:cs="宋体" w:eastAsia="宋体" w:hint="default"/>
          <w:b/>
          <w:bCs/>
          <w:w w:val="99"/>
          <w:sz w:val="18"/>
          <w:szCs w:val="18"/>
        </w:rPr>
        <w:t> </w:t>
      </w:r>
      <w:r>
        <w:rPr>
          <w:rFonts w:ascii="宋体" w:hAnsi="宋体" w:cs="宋体" w:eastAsia="宋体" w:hint="default"/>
          <w:sz w:val="18"/>
          <w:szCs w:val="18"/>
        </w:rPr>
        <w:t>公司董事会下设的薪酬和考核委员会负责对公司的董事、高级管理人员进行绩效评价。公司制订了《薪酬与考核委员</w:t>
      </w:r>
    </w:p>
    <w:p>
      <w:pPr>
        <w:spacing w:line="316" w:lineRule="auto" w:before="19"/>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会工作细则》，进一步完善了董事、高级管理人员绩效考评体系和薪酬制度，将工作绩效与其收入直接挂钩。董事、高级管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理人员的聘任公开、透明，符合法律、法规的规定。</w:t>
      </w:r>
    </w:p>
    <w:p>
      <w:pPr>
        <w:spacing w:line="316" w:lineRule="auto" w:before="19"/>
        <w:ind w:left="112" w:right="1130" w:firstLine="391"/>
        <w:jc w:val="both"/>
        <w:rPr>
          <w:rFonts w:ascii="宋体" w:hAnsi="宋体" w:cs="宋体" w:eastAsia="宋体" w:hint="default"/>
          <w:sz w:val="18"/>
          <w:szCs w:val="18"/>
        </w:rPr>
      </w:pPr>
      <w:r>
        <w:rPr>
          <w:rFonts w:ascii="宋体" w:hAnsi="宋体" w:cs="宋体" w:eastAsia="宋体" w:hint="default"/>
          <w:sz w:val="18"/>
          <w:szCs w:val="18"/>
        </w:rPr>
        <w:t>公司已建立和完善公正、有效的企业绩效评价激励体系，现有的考核及激励约束机制符合公司的发展现状，公司未来 </w:t>
      </w:r>
      <w:r>
        <w:rPr>
          <w:rFonts w:ascii="宋体" w:hAnsi="宋体" w:cs="宋体" w:eastAsia="宋体" w:hint="default"/>
          <w:spacing w:val="-2"/>
          <w:sz w:val="18"/>
          <w:szCs w:val="18"/>
        </w:rPr>
        <w:t>还将探索更多形式的激励方式，形成多层次的综合激励机制，完善绩效评价标准，更好地调动管理人员的工作积极性，吸引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和稳定优秀管理人才和技术、业务骨干。</w:t>
      </w:r>
    </w:p>
    <w:p>
      <w:pPr>
        <w:spacing w:line="316" w:lineRule="auto" w:before="19"/>
        <w:ind w:left="504" w:right="1034" w:hanging="120"/>
        <w:jc w:val="left"/>
        <w:rPr>
          <w:rFonts w:ascii="宋体" w:hAnsi="宋体" w:cs="宋体" w:eastAsia="宋体" w:hint="default"/>
          <w:sz w:val="18"/>
          <w:szCs w:val="18"/>
        </w:rPr>
      </w:pPr>
      <w:r>
        <w:rPr>
          <w:rFonts w:ascii="宋体" w:hAnsi="宋体" w:cs="宋体" w:eastAsia="宋体" w:hint="default"/>
          <w:b/>
          <w:bCs/>
          <w:sz w:val="18"/>
          <w:szCs w:val="18"/>
        </w:rPr>
        <w:t>（六）信息披露与透明度</w:t>
      </w:r>
      <w:r>
        <w:rPr>
          <w:rFonts w:ascii="宋体" w:hAnsi="宋体" w:cs="宋体" w:eastAsia="宋体" w:hint="default"/>
          <w:b/>
          <w:bCs/>
          <w:w w:val="99"/>
          <w:sz w:val="18"/>
          <w:szCs w:val="18"/>
        </w:rPr>
        <w:t> </w:t>
      </w:r>
      <w:r>
        <w:rPr>
          <w:rFonts w:ascii="宋体" w:hAnsi="宋体" w:cs="宋体" w:eastAsia="宋体" w:hint="default"/>
          <w:spacing w:val="-4"/>
          <w:sz w:val="18"/>
          <w:szCs w:val="18"/>
        </w:rPr>
        <w:t>公司严格按照《信息披露事务管理制度》、《投资者关系管理制度》的要求，真实、准确、完整、及时地披露有关信息；</w:t>
      </w:r>
    </w:p>
    <w:p>
      <w:pPr>
        <w:spacing w:line="316" w:lineRule="auto" w:before="19"/>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指定公司董事会秘书负责信息披露工作，协调公司与投资者的关系，接待股东来访，回答投资者咨询，向投资者提供公司已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9"/>
          <w:sz w:val="18"/>
          <w:szCs w:val="18"/>
        </w:rPr>
        <w:t>披露的资料；指定《证券时报》、《证券日报》、《中国证券报》、《上海证券报》和</w:t>
      </w:r>
      <w:hyperlink r:id="rId12">
        <w:r>
          <w:rPr>
            <w:rFonts w:ascii="宋体" w:hAnsi="宋体" w:cs="宋体" w:eastAsia="宋体" w:hint="default"/>
            <w:spacing w:val="-9"/>
            <w:sz w:val="18"/>
            <w:szCs w:val="18"/>
          </w:rPr>
          <w:t>巨潮网（www.cninfo.com.cn</w:t>
        </w:r>
      </w:hyperlink>
      <w:r>
        <w:rPr>
          <w:rFonts w:ascii="宋体" w:hAnsi="宋体" w:cs="宋体" w:eastAsia="宋体" w:hint="default"/>
          <w:spacing w:val="-9"/>
          <w:sz w:val="18"/>
          <w:szCs w:val="18"/>
        </w:rPr>
        <w:t>）为公司信息</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披露的指定报纸和网站，确保公司所有股东能够以平等的机会获得信息。</w:t>
      </w:r>
    </w:p>
    <w:p>
      <w:pPr>
        <w:spacing w:after="0" w:line="316"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6" w:lineRule="auto" w:before="44"/>
        <w:ind w:left="504" w:right="0" w:hanging="92"/>
        <w:jc w:val="left"/>
        <w:rPr>
          <w:rFonts w:ascii="宋体" w:hAnsi="宋体" w:cs="宋体" w:eastAsia="宋体" w:hint="default"/>
          <w:sz w:val="18"/>
          <w:szCs w:val="18"/>
        </w:rPr>
      </w:pPr>
      <w:r>
        <w:rPr>
          <w:rFonts w:ascii="宋体" w:hAnsi="宋体" w:cs="宋体" w:eastAsia="宋体" w:hint="default"/>
          <w:b/>
          <w:bCs/>
          <w:sz w:val="18"/>
          <w:szCs w:val="18"/>
        </w:rPr>
        <w:t>（七）相关利益者</w:t>
      </w:r>
      <w:r>
        <w:rPr>
          <w:rFonts w:ascii="宋体" w:hAnsi="宋体" w:cs="宋体" w:eastAsia="宋体" w:hint="default"/>
          <w:b/>
          <w:bCs/>
          <w:w w:val="99"/>
          <w:sz w:val="18"/>
          <w:szCs w:val="18"/>
        </w:rPr>
        <w:t> </w:t>
      </w:r>
      <w:r>
        <w:rPr>
          <w:rFonts w:ascii="宋体" w:hAnsi="宋体" w:cs="宋体" w:eastAsia="宋体" w:hint="default"/>
          <w:sz w:val="18"/>
          <w:szCs w:val="18"/>
        </w:rPr>
        <w:t>公司充分尊重和维护相关利益者的合法权益，实现社会、股东、公司、员工等各方面利益的协调平衡，诚信对待供应</w:t>
      </w:r>
    </w:p>
    <w:p>
      <w:pPr>
        <w:spacing w:before="19"/>
        <w:ind w:left="112" w:right="0" w:firstLine="0"/>
        <w:jc w:val="both"/>
        <w:rPr>
          <w:rFonts w:ascii="宋体" w:hAnsi="宋体" w:cs="宋体" w:eastAsia="宋体" w:hint="default"/>
          <w:sz w:val="18"/>
          <w:szCs w:val="18"/>
        </w:rPr>
      </w:pPr>
      <w:r>
        <w:rPr>
          <w:rFonts w:ascii="宋体" w:hAnsi="宋体" w:cs="宋体" w:eastAsia="宋体" w:hint="default"/>
          <w:sz w:val="18"/>
          <w:szCs w:val="18"/>
        </w:rPr>
        <w:t>商和客户，坚持与相关利益者互利共赢的原则，共同推动公司持续、健康的发展。</w:t>
      </w:r>
    </w:p>
    <w:p>
      <w:pPr>
        <w:spacing w:line="316" w:lineRule="auto" w:before="76"/>
        <w:ind w:left="412" w:right="0" w:firstLine="0"/>
        <w:jc w:val="left"/>
        <w:rPr>
          <w:rFonts w:ascii="宋体" w:hAnsi="宋体" w:cs="宋体" w:eastAsia="宋体" w:hint="default"/>
          <w:sz w:val="18"/>
          <w:szCs w:val="18"/>
        </w:rPr>
      </w:pPr>
      <w:r>
        <w:rPr>
          <w:rFonts w:ascii="宋体" w:hAnsi="宋体" w:cs="宋体" w:eastAsia="宋体" w:hint="default"/>
          <w:b/>
          <w:bCs/>
          <w:sz w:val="18"/>
          <w:szCs w:val="18"/>
        </w:rPr>
        <w:t>（八）内部审计制度的执行</w:t>
      </w:r>
      <w:r>
        <w:rPr>
          <w:rFonts w:ascii="宋体" w:hAnsi="宋体" w:cs="宋体" w:eastAsia="宋体" w:hint="default"/>
          <w:b/>
          <w:bCs/>
          <w:w w:val="99"/>
          <w:sz w:val="18"/>
          <w:szCs w:val="18"/>
        </w:rPr>
        <w:t> </w:t>
      </w:r>
      <w:r>
        <w:rPr>
          <w:rFonts w:ascii="宋体" w:hAnsi="宋体" w:cs="宋体" w:eastAsia="宋体" w:hint="default"/>
          <w:spacing w:val="-1"/>
          <w:sz w:val="18"/>
          <w:szCs w:val="18"/>
        </w:rPr>
        <w:t>公司董事会下设审计委员会，主要负责公司内部审计与外部审计之间进行沟通，并监督公司内部审计制度的实施，审查</w:t>
      </w:r>
    </w:p>
    <w:p>
      <w:pPr>
        <w:spacing w:line="316" w:lineRule="auto" w:before="19"/>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公司内部控制制度的执行情况，审查公司的财务信息及披露正常等。审计委员会下设独立的内审部，内审部直接对审计委员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会负责及报告工作。</w:t>
      </w:r>
    </w:p>
    <w:p>
      <w:pPr>
        <w:spacing w:before="57"/>
        <w:ind w:left="11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7"/>
        <w:ind w:left="112" w:right="355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132" w:firstLine="0"/>
        <w:jc w:val="both"/>
        <w:rPr>
          <w:rFonts w:ascii="宋体" w:hAnsi="宋体" w:cs="宋体" w:eastAsia="宋体" w:hint="default"/>
          <w:sz w:val="18"/>
          <w:szCs w:val="18"/>
        </w:rPr>
      </w:pPr>
      <w:r>
        <w:rPr>
          <w:rFonts w:ascii="宋体" w:hAnsi="宋体" w:cs="宋体" w:eastAsia="宋体" w:hint="default"/>
          <w:spacing w:val="-13"/>
          <w:sz w:val="18"/>
          <w:szCs w:val="18"/>
        </w:rPr>
        <w:t>公司严格按照《公司法》、《证券法》、《深圳证券交易所创业板股票上市规则》、《深圳证券交易</w:t>
      </w:r>
      <w:r>
        <w:rPr>
          <w:rFonts w:ascii="宋体" w:hAnsi="宋体" w:cs="宋体" w:eastAsia="宋体" w:hint="default"/>
          <w:spacing w:val="30"/>
          <w:sz w:val="18"/>
          <w:szCs w:val="18"/>
        </w:rPr>
        <w:t> </w:t>
      </w:r>
      <w:r>
        <w:rPr>
          <w:rFonts w:ascii="宋体" w:hAnsi="宋体" w:cs="宋体" w:eastAsia="宋体" w:hint="default"/>
          <w:sz w:val="18"/>
          <w:szCs w:val="18"/>
        </w:rPr>
        <w:t>所创业板上市公司规范运作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指引》等有关法律法规和《公司章程》的要求规范运作，与控股股东在业务、</w:t>
      </w:r>
      <w:r>
        <w:rPr>
          <w:rFonts w:ascii="宋体" w:hAnsi="宋体" w:cs="宋体" w:eastAsia="宋体" w:hint="default"/>
          <w:spacing w:val="6"/>
          <w:sz w:val="18"/>
          <w:szCs w:val="18"/>
        </w:rPr>
        <w:t> </w:t>
      </w:r>
      <w:r>
        <w:rPr>
          <w:rFonts w:ascii="宋体" w:hAnsi="宋体" w:cs="宋体" w:eastAsia="宋体" w:hint="default"/>
          <w:sz w:val="18"/>
          <w:szCs w:val="18"/>
        </w:rPr>
        <w:t>人员、资产、机构、财务等方面保持独立，</w:t>
      </w:r>
      <w:r>
        <w:rPr>
          <w:rFonts w:ascii="宋体" w:hAnsi="宋体" w:cs="宋体" w:eastAsia="宋体" w:hint="default"/>
          <w:sz w:val="18"/>
          <w:szCs w:val="18"/>
        </w:rPr>
        <w:t> 具有独立完整的业务及自主经营能力。具体情况如下：</w:t>
      </w:r>
    </w:p>
    <w:p>
      <w:pPr>
        <w:spacing w:before="19"/>
        <w:ind w:left="472" w:right="0" w:firstLine="0"/>
        <w:jc w:val="left"/>
        <w:rPr>
          <w:rFonts w:ascii="宋体" w:hAnsi="宋体" w:cs="宋体" w:eastAsia="宋体" w:hint="default"/>
          <w:sz w:val="18"/>
          <w:szCs w:val="18"/>
        </w:rPr>
      </w:pPr>
      <w:r>
        <w:rPr>
          <w:rFonts w:ascii="宋体" w:hAnsi="宋体" w:cs="宋体" w:eastAsia="宋体" w:hint="default"/>
          <w:sz w:val="18"/>
          <w:szCs w:val="18"/>
        </w:rPr>
        <w:t>1、业务方面：公司业务独立于控股股东、实际控制人及其关联人，具有独立完整的业务体系和自主经营能力。</w:t>
      </w:r>
    </w:p>
    <w:p>
      <w:pPr>
        <w:spacing w:line="316" w:lineRule="auto" w:before="76"/>
        <w:ind w:left="112" w:right="1130" w:firstLine="360"/>
        <w:jc w:val="both"/>
        <w:rPr>
          <w:rFonts w:ascii="宋体" w:hAnsi="宋体" w:cs="宋体" w:eastAsia="宋体" w:hint="default"/>
          <w:sz w:val="18"/>
          <w:szCs w:val="18"/>
        </w:rPr>
      </w:pPr>
      <w:r>
        <w:rPr>
          <w:rFonts w:ascii="宋体" w:hAnsi="宋体" w:cs="宋体" w:eastAsia="宋体" w:hint="default"/>
          <w:sz w:val="18"/>
          <w:szCs w:val="18"/>
        </w:rPr>
        <w:t>2、人员方面：公司人员独立于控股股东、实际控制人及其关联人。公司董事、监事、高级管理人员均严格按照《公司 </w:t>
      </w:r>
      <w:r>
        <w:rPr>
          <w:rFonts w:ascii="宋体" w:hAnsi="宋体" w:cs="宋体" w:eastAsia="宋体" w:hint="default"/>
          <w:spacing w:val="-5"/>
          <w:sz w:val="18"/>
          <w:szCs w:val="18"/>
        </w:rPr>
        <w:t>法》、《公司章程》等规定的程序选举或聘任产生；公司的高级管理人员不在控股股东、实际控制人或其控制的企业担任除董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事、监事以外的职务，或在控股股东、实际控制人及其控制的其他企业领薪的情形；公司财务人员不存在在控股股东、实际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控制人及其控制的其他企业中兼职的情形。</w:t>
      </w:r>
    </w:p>
    <w:p>
      <w:pPr>
        <w:spacing w:line="316" w:lineRule="auto" w:before="19"/>
        <w:ind w:left="112" w:right="1132" w:firstLine="360"/>
        <w:jc w:val="both"/>
        <w:rPr>
          <w:rFonts w:ascii="宋体" w:hAnsi="宋体" w:cs="宋体" w:eastAsia="宋体" w:hint="default"/>
          <w:sz w:val="18"/>
          <w:szCs w:val="18"/>
        </w:rPr>
      </w:pPr>
      <w:r>
        <w:rPr>
          <w:rFonts w:ascii="宋体" w:hAnsi="宋体" w:cs="宋体" w:eastAsia="宋体" w:hint="default"/>
          <w:sz w:val="18"/>
          <w:szCs w:val="18"/>
        </w:rPr>
        <w:t>3、资产方面：公司资产独立完整、权属清晰，不存在被董事、监事、高级管理人员、控股股东、实际控制人及其关联 人占用或支配的情形。公司商标、专利、著作权等无形资产及其他有形资产均完全由公司拥有其所有权。</w:t>
      </w:r>
    </w:p>
    <w:p>
      <w:pPr>
        <w:spacing w:line="316" w:lineRule="auto" w:before="19"/>
        <w:ind w:left="112" w:right="1130" w:firstLine="360"/>
        <w:jc w:val="both"/>
        <w:rPr>
          <w:rFonts w:ascii="宋体" w:hAnsi="宋体" w:cs="宋体" w:eastAsia="宋体" w:hint="default"/>
          <w:sz w:val="18"/>
          <w:szCs w:val="18"/>
        </w:rPr>
      </w:pPr>
      <w:r>
        <w:rPr>
          <w:rFonts w:ascii="宋体" w:hAnsi="宋体" w:cs="宋体" w:eastAsia="宋体" w:hint="default"/>
          <w:spacing w:val="-4"/>
          <w:sz w:val="18"/>
          <w:szCs w:val="18"/>
        </w:rPr>
        <w:t>4、机构方面：公司根据《公司法》、《上市公司章程指引》等有关法律、法规和规范性文件的相关规定，按照法定程序</w:t>
      </w:r>
      <w:r>
        <w:rPr>
          <w:rFonts w:ascii="宋体" w:hAnsi="宋体" w:cs="宋体" w:eastAsia="宋体" w:hint="default"/>
          <w:sz w:val="18"/>
          <w:szCs w:val="18"/>
        </w:rPr>
        <w:t> </w:t>
      </w:r>
      <w:r>
        <w:rPr>
          <w:rFonts w:ascii="宋体" w:hAnsi="宋体" w:cs="宋体" w:eastAsia="宋体" w:hint="default"/>
          <w:spacing w:val="-2"/>
          <w:sz w:val="18"/>
          <w:szCs w:val="18"/>
        </w:rPr>
        <w:t>制定了《公司章程》，建立了股东大会、董事会、监事会的法人治理结构，并设置了相应的组织机构。公司董事会、监事会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和其他内部机构独立运作，独立行使经营管理权，不存在与控股股东、实际控制人及其关联人机构混同等影响公司独立经营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的情形。</w:t>
      </w:r>
    </w:p>
    <w:p>
      <w:pPr>
        <w:spacing w:line="316" w:lineRule="auto" w:before="19"/>
        <w:ind w:left="112" w:right="0" w:firstLine="360"/>
        <w:jc w:val="left"/>
        <w:rPr>
          <w:rFonts w:ascii="宋体" w:hAnsi="宋体" w:cs="宋体" w:eastAsia="宋体" w:hint="default"/>
          <w:sz w:val="18"/>
          <w:szCs w:val="18"/>
        </w:rPr>
      </w:pPr>
      <w:r>
        <w:rPr>
          <w:rFonts w:ascii="宋体" w:hAnsi="宋体" w:cs="宋体" w:eastAsia="宋体" w:hint="default"/>
          <w:sz w:val="18"/>
          <w:szCs w:val="18"/>
        </w:rPr>
        <w:t>5、财务方面：公司设立了独立的财务部门，配备了专职的财务人员，建立了独立的会计核算体系，制定了独立的财务 </w:t>
      </w:r>
      <w:r>
        <w:rPr>
          <w:rFonts w:ascii="宋体" w:hAnsi="宋体" w:cs="宋体" w:eastAsia="宋体" w:hint="default"/>
          <w:spacing w:val="-4"/>
          <w:sz w:val="18"/>
          <w:szCs w:val="18"/>
        </w:rPr>
        <w:t>管理制度及各项内部控制制度，独立进行会计核算和财务决策。公司拥有独立银行账户，依法独立纳税。公司不存在为董事、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监事、高级管理人员、控股股东、实际控制人及其控股子公司等关联人提供资金等财务资助的情形。控股股东、实际控制人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不存在占用公司资金、要求公司违法违规提供担保的情形。</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4"/>
        <w:spacing w:line="240" w:lineRule="auto"/>
        <w:ind w:right="0"/>
        <w:jc w:val="both"/>
        <w:rPr>
          <w:b w:val="0"/>
          <w:bCs w:val="0"/>
        </w:rPr>
      </w:pPr>
      <w:bookmarkStart w:name="三、同业竞争情况" w:id="138"/>
      <w:bookmarkEnd w:id="138"/>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7" w:right="0"/>
              <w:jc w:val="left"/>
              <w:rPr>
                <w:rFonts w:ascii="Times New Roman" w:hAnsi="Times New Roman" w:cs="Times New Roman" w:eastAsia="Times New Roman" w:hint="default"/>
                <w:sz w:val="18"/>
                <w:szCs w:val="18"/>
              </w:rPr>
            </w:pPr>
            <w:r>
              <w:rPr>
                <w:rFonts w:ascii="Times New Roman"/>
                <w:sz w:val="18"/>
              </w:rPr>
              <w:t>41.09%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5"/>
              <w:jc w:val="center"/>
              <w:rPr>
                <w:rFonts w:ascii="Times New Roman" w:hAnsi="Times New Roman" w:cs="Times New Roman" w:eastAsia="Times New Roman" w:hint="default"/>
                <w:sz w:val="18"/>
                <w:szCs w:val="18"/>
              </w:rPr>
            </w:pPr>
            <w:hyperlink r:id="rId29">
              <w:r>
                <w:rPr>
                  <w:rFonts w:ascii="Times New Roman"/>
                  <w:sz w:val="18"/>
                </w:rPr>
                <w:t>www.cninfo.com.c</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2" w:right="118"/>
              <w:jc w:val="left"/>
              <w:rPr>
                <w:rFonts w:ascii="Times New Roman" w:hAnsi="Times New Roman" w:cs="Times New Roman" w:eastAsia="Times New Roman" w:hint="default"/>
                <w:sz w:val="18"/>
                <w:szCs w:val="18"/>
              </w:rPr>
            </w:pPr>
            <w:hyperlink r:id="rId29">
              <w:r>
                <w:rPr>
                  <w:rFonts w:ascii="Times New Roman"/>
                  <w:spacing w:val="-2"/>
                  <w:sz w:val="18"/>
                </w:rPr>
                <w:t>www.cninfo.com.c</w:t>
              </w:r>
            </w:hyperlink>
            <w:r>
              <w:rPr>
                <w:rFonts w:ascii="Times New Roman"/>
                <w:spacing w:val="-33"/>
                <w:sz w:val="18"/>
              </w:rPr>
              <w:t> </w:t>
            </w:r>
            <w:r>
              <w:rPr>
                <w:rFonts w:ascii="Times New Roman"/>
                <w:spacing w:val="-33"/>
                <w:sz w:val="18"/>
              </w:rPr>
            </w:r>
            <w:r>
              <w:rPr>
                <w:rFonts w:ascii="Times New Roman"/>
                <w:sz w:val="18"/>
              </w:rPr>
              <w:t>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2" w:right="118"/>
              <w:jc w:val="left"/>
              <w:rPr>
                <w:rFonts w:ascii="Times New Roman" w:hAnsi="Times New Roman" w:cs="Times New Roman" w:eastAsia="Times New Roman" w:hint="default"/>
                <w:sz w:val="18"/>
                <w:szCs w:val="18"/>
              </w:rPr>
            </w:pPr>
            <w:hyperlink r:id="rId29">
              <w:r>
                <w:rPr>
                  <w:rFonts w:ascii="Times New Roman"/>
                  <w:spacing w:val="-2"/>
                  <w:sz w:val="18"/>
                </w:rPr>
                <w:t>www.cninfo.com.c</w:t>
              </w:r>
            </w:hyperlink>
            <w:r>
              <w:rPr>
                <w:rFonts w:ascii="Times New Roman"/>
                <w:spacing w:val="-33"/>
                <w:sz w:val="18"/>
              </w:rPr>
              <w:t> </w:t>
            </w:r>
            <w:r>
              <w:rPr>
                <w:rFonts w:ascii="Times New Roman"/>
                <w:spacing w:val="-33"/>
                <w:sz w:val="18"/>
              </w:rPr>
            </w:r>
            <w:r>
              <w:rPr>
                <w:rFonts w:ascii="Times New Roman"/>
                <w:sz w:val="18"/>
              </w:rPr>
              <w:t>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102" w:right="118"/>
              <w:jc w:val="left"/>
              <w:rPr>
                <w:rFonts w:ascii="Times New Roman" w:hAnsi="Times New Roman" w:cs="Times New Roman" w:eastAsia="Times New Roman" w:hint="default"/>
                <w:sz w:val="18"/>
                <w:szCs w:val="18"/>
              </w:rPr>
            </w:pPr>
            <w:hyperlink r:id="rId29">
              <w:r>
                <w:rPr>
                  <w:rFonts w:ascii="Times New Roman"/>
                  <w:spacing w:val="-2"/>
                  <w:sz w:val="18"/>
                </w:rPr>
                <w:t>www.cninfo.com.c</w:t>
              </w:r>
            </w:hyperlink>
            <w:r>
              <w:rPr>
                <w:rFonts w:ascii="Times New Roman"/>
                <w:spacing w:val="-33"/>
                <w:sz w:val="18"/>
              </w:rPr>
              <w:t> </w:t>
            </w:r>
            <w:r>
              <w:rPr>
                <w:rFonts w:ascii="Times New Roman"/>
                <w:spacing w:val="-33"/>
                <w:sz w:val="18"/>
              </w:rPr>
            </w:r>
            <w:r>
              <w:rPr>
                <w:rFonts w:ascii="Times New Roman"/>
                <w:sz w:val="18"/>
              </w:rPr>
              <w:t>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2" w:right="118"/>
              <w:jc w:val="left"/>
              <w:rPr>
                <w:rFonts w:ascii="Times New Roman" w:hAnsi="Times New Roman" w:cs="Times New Roman" w:eastAsia="Times New Roman" w:hint="default"/>
                <w:sz w:val="18"/>
                <w:szCs w:val="18"/>
              </w:rPr>
            </w:pPr>
            <w:hyperlink r:id="rId29">
              <w:r>
                <w:rPr>
                  <w:rFonts w:ascii="Times New Roman"/>
                  <w:spacing w:val="-2"/>
                  <w:sz w:val="18"/>
                </w:rPr>
                <w:t>www.cninfo.com.c</w:t>
              </w:r>
            </w:hyperlink>
            <w:r>
              <w:rPr>
                <w:rFonts w:ascii="Times New Roman"/>
                <w:spacing w:val="-33"/>
                <w:sz w:val="18"/>
              </w:rPr>
              <w:t> </w:t>
            </w:r>
            <w:r>
              <w:rPr>
                <w:rFonts w:ascii="Times New Roman"/>
                <w:spacing w:val="-33"/>
                <w:sz w:val="18"/>
              </w:rPr>
            </w:r>
            <w:r>
              <w:rPr>
                <w:rFonts w:ascii="Times New Roman"/>
                <w:sz w:val="18"/>
              </w:rPr>
              <w:t>n</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2</w:t>
            </w:r>
          </w:p>
        </w:tc>
      </w:tr>
    </w:tbl>
    <w:p>
      <w:pPr>
        <w:spacing w:line="360" w:lineRule="auto" w:before="49"/>
        <w:ind w:left="112" w:right="5211"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独立董事未出现连续两次未亲自出席董事会的情形</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5"/>
        <w:ind w:left="112" w:right="697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12"/>
          <w:sz w:val="18"/>
          <w:szCs w:val="18"/>
        </w:rPr>
        <w:t>，</w:t>
      </w:r>
      <w:r>
        <w:rPr>
          <w:rFonts w:ascii="宋体" w:hAnsi="宋体" w:cs="宋体" w:eastAsia="宋体" w:hint="default"/>
          <w:sz w:val="18"/>
          <w:szCs w:val="18"/>
        </w:rPr>
        <w:t>独立董事严格按</w:t>
      </w:r>
      <w:r>
        <w:rPr>
          <w:rFonts w:ascii="宋体" w:hAnsi="宋体" w:cs="宋体" w:eastAsia="宋体" w:hint="default"/>
          <w:spacing w:val="-15"/>
          <w:sz w:val="18"/>
          <w:szCs w:val="18"/>
        </w:rPr>
        <w:t>照</w:t>
      </w: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《独立董事工作制度</w:t>
      </w:r>
      <w:r>
        <w:rPr>
          <w:rFonts w:ascii="宋体" w:hAnsi="宋体" w:cs="宋体" w:eastAsia="宋体" w:hint="default"/>
          <w:spacing w:val="-12"/>
          <w:sz w:val="18"/>
          <w:szCs w:val="18"/>
        </w:rPr>
        <w:t>》</w:t>
      </w:r>
      <w:r>
        <w:rPr>
          <w:rFonts w:ascii="宋体" w:hAnsi="宋体" w:cs="宋体" w:eastAsia="宋体" w:hint="default"/>
          <w:sz w:val="18"/>
          <w:szCs w:val="18"/>
        </w:rPr>
        <w:t>等的相关规定勤勉履行职责</w:t>
      </w:r>
      <w:r>
        <w:rPr>
          <w:rFonts w:ascii="宋体" w:hAnsi="宋体" w:cs="宋体" w:eastAsia="宋体" w:hint="default"/>
          <w:spacing w:val="-15"/>
          <w:sz w:val="18"/>
          <w:szCs w:val="18"/>
        </w:rPr>
        <w:t>，</w:t>
      </w:r>
      <w:r>
        <w:rPr>
          <w:rFonts w:ascii="宋体" w:hAnsi="宋体" w:cs="宋体" w:eastAsia="宋体" w:hint="default"/>
          <w:sz w:val="18"/>
          <w:szCs w:val="18"/>
        </w:rPr>
        <w:t>忠实履行职务</w:t>
      </w:r>
      <w:r>
        <w:rPr>
          <w:rFonts w:ascii="宋体" w:hAnsi="宋体" w:cs="宋体" w:eastAsia="宋体" w:hint="default"/>
          <w:spacing w:val="-15"/>
          <w:sz w:val="18"/>
          <w:szCs w:val="18"/>
        </w:rPr>
        <w:t>，</w:t>
      </w:r>
      <w:r>
        <w:rPr>
          <w:rFonts w:ascii="宋体" w:hAnsi="宋体" w:cs="宋体" w:eastAsia="宋体" w:hint="default"/>
          <w:sz w:val="18"/>
          <w:szCs w:val="18"/>
        </w:rPr>
        <w:t>积极参加历</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line="316" w:lineRule="auto" w:before="44"/>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次董事会，审议各项议案。关注公司运作，对公司内部控制建设、管理体系建设和重大决策等方面提出了很多宝贵的专业性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建议，对公司财务及生产经营活动进行了有效监督，提高了公司决策的科学性，为完善公司监督机制，维护公司和全体股东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的合法权益发挥了应有的作用。</w:t>
      </w:r>
    </w:p>
    <w:p>
      <w:pPr>
        <w:spacing w:line="240" w:lineRule="auto" w:before="9"/>
        <w:rPr>
          <w:rFonts w:ascii="宋体" w:hAnsi="宋体" w:cs="宋体" w:eastAsia="宋体" w:hint="default"/>
          <w:sz w:val="20"/>
          <w:szCs w:val="20"/>
        </w:rPr>
      </w:pPr>
    </w:p>
    <w:p>
      <w:pPr>
        <w:pStyle w:val="Heading4"/>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039" w:firstLine="0"/>
        <w:jc w:val="both"/>
        <w:rPr>
          <w:rFonts w:ascii="宋体" w:hAnsi="宋体" w:cs="宋体" w:eastAsia="宋体" w:hint="default"/>
          <w:sz w:val="18"/>
          <w:szCs w:val="18"/>
        </w:rPr>
      </w:pPr>
      <w:r>
        <w:rPr>
          <w:rFonts w:ascii="宋体" w:hAnsi="宋体" w:cs="宋体" w:eastAsia="宋体" w:hint="default"/>
          <w:spacing w:val="-2"/>
          <w:sz w:val="18"/>
          <w:szCs w:val="18"/>
        </w:rPr>
        <w:t>公司董事会下设审计委员会、战略发展委员会、薪酬与考核委员会、提名委员会4个专门委员会，就各专业性事项进行研究，</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提出意见及建议。各专门委员会对董事会负责，各专门委员会的提案应提交董事会审查决定。</w:t>
      </w:r>
    </w:p>
    <w:p>
      <w:pPr>
        <w:spacing w:line="316" w:lineRule="auto" w:before="19"/>
        <w:ind w:left="472" w:right="0" w:hanging="120"/>
        <w:jc w:val="left"/>
        <w:rPr>
          <w:rFonts w:ascii="宋体" w:hAnsi="宋体" w:cs="宋体" w:eastAsia="宋体" w:hint="default"/>
          <w:sz w:val="18"/>
          <w:szCs w:val="18"/>
        </w:rPr>
      </w:pPr>
      <w:r>
        <w:rPr>
          <w:rFonts w:ascii="宋体" w:hAnsi="宋体" w:cs="宋体" w:eastAsia="宋体" w:hint="default"/>
          <w:sz w:val="18"/>
          <w:szCs w:val="18"/>
        </w:rPr>
        <w:t>（一）董事会审计委员会 </w:t>
      </w:r>
      <w:r>
        <w:rPr>
          <w:rFonts w:ascii="宋体" w:hAnsi="宋体" w:cs="宋体" w:eastAsia="宋体" w:hint="default"/>
          <w:spacing w:val="-2"/>
          <w:sz w:val="18"/>
          <w:szCs w:val="18"/>
        </w:rPr>
        <w:t>董事会审计委员会主要依据《审计委员会工作细则》及其他有关规定积极开展工作并认真履行职责，指导和监督内部审</w:t>
      </w:r>
    </w:p>
    <w:p>
      <w:pPr>
        <w:spacing w:line="316" w:lineRule="auto" w:before="19"/>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计工作，审查内控制度，审核公司财务信息及披露，协调与会计师事务所关系等内、外部审计工作。报告期内，公司共召开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了2次审计委员会，对公司年度财务报告、财务决算、内部控制自我评价报告等事项进行了讨论和审议，相关会议均按照有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关规定的程序召开。</w:t>
      </w:r>
    </w:p>
    <w:p>
      <w:pPr>
        <w:spacing w:line="316" w:lineRule="auto" w:before="19"/>
        <w:ind w:left="472" w:right="0" w:hanging="120"/>
        <w:jc w:val="left"/>
        <w:rPr>
          <w:rFonts w:ascii="宋体" w:hAnsi="宋体" w:cs="宋体" w:eastAsia="宋体" w:hint="default"/>
          <w:sz w:val="18"/>
          <w:szCs w:val="18"/>
        </w:rPr>
      </w:pPr>
      <w:r>
        <w:rPr>
          <w:rFonts w:ascii="宋体" w:hAnsi="宋体" w:cs="宋体" w:eastAsia="宋体" w:hint="default"/>
          <w:sz w:val="18"/>
          <w:szCs w:val="18"/>
        </w:rPr>
        <w:t>（二）董事会战略委员会 </w:t>
      </w:r>
      <w:r>
        <w:rPr>
          <w:rFonts w:ascii="宋体" w:hAnsi="宋体" w:cs="宋体" w:eastAsia="宋体" w:hint="default"/>
          <w:spacing w:val="-2"/>
          <w:sz w:val="18"/>
          <w:szCs w:val="18"/>
        </w:rPr>
        <w:t>董事会战略委员会主要依据《战略委员工作细则》的相关规定，积极开展相关工作，认真履职，结合公司所处行业发展</w:t>
      </w:r>
    </w:p>
    <w:p>
      <w:pPr>
        <w:spacing w:line="316" w:lineRule="auto" w:before="19"/>
        <w:ind w:left="112" w:right="1141" w:firstLine="0"/>
        <w:jc w:val="both"/>
        <w:rPr>
          <w:rFonts w:ascii="宋体" w:hAnsi="宋体" w:cs="宋体" w:eastAsia="宋体" w:hint="default"/>
          <w:sz w:val="18"/>
          <w:szCs w:val="18"/>
        </w:rPr>
      </w:pPr>
      <w:r>
        <w:rPr>
          <w:rFonts w:ascii="宋体" w:hAnsi="宋体" w:cs="宋体" w:eastAsia="宋体" w:hint="default"/>
          <w:sz w:val="18"/>
          <w:szCs w:val="18"/>
        </w:rPr>
        <w:t>情况及公司自身发展状况，对公司长期发展规划、经营目标、发展方针等提出建议。报告期内，公司共召1次战略委员会， 对公司2019年度经营战略进行了讨论和审议，相关会议均按照有关规定的程序召开。</w:t>
      </w:r>
    </w:p>
    <w:p>
      <w:pPr>
        <w:spacing w:line="316" w:lineRule="auto" w:before="19"/>
        <w:ind w:left="472" w:right="0" w:hanging="120"/>
        <w:jc w:val="left"/>
        <w:rPr>
          <w:rFonts w:ascii="宋体" w:hAnsi="宋体" w:cs="宋体" w:eastAsia="宋体" w:hint="default"/>
          <w:sz w:val="18"/>
          <w:szCs w:val="18"/>
        </w:rPr>
      </w:pPr>
      <w:r>
        <w:rPr>
          <w:rFonts w:ascii="宋体" w:hAnsi="宋体" w:cs="宋体" w:eastAsia="宋体" w:hint="default"/>
          <w:sz w:val="18"/>
          <w:szCs w:val="18"/>
        </w:rPr>
        <w:t>（三）董事会薪酬与考核委员会 </w:t>
      </w:r>
      <w:r>
        <w:rPr>
          <w:rFonts w:ascii="宋体" w:hAnsi="宋体" w:cs="宋体" w:eastAsia="宋体" w:hint="default"/>
          <w:spacing w:val="-2"/>
          <w:sz w:val="18"/>
          <w:szCs w:val="18"/>
        </w:rPr>
        <w:t>董事会薪酬与考核委员会主要依据《薪酬与考核委员工作细则》的相关规定，积极履行职责并提出合理化建议，促进公</w:t>
      </w:r>
    </w:p>
    <w:p>
      <w:pPr>
        <w:spacing w:line="316" w:lineRule="auto" w:before="19"/>
        <w:ind w:left="112" w:right="1141" w:firstLine="0"/>
        <w:jc w:val="both"/>
        <w:rPr>
          <w:rFonts w:ascii="宋体" w:hAnsi="宋体" w:cs="宋体" w:eastAsia="宋体" w:hint="default"/>
          <w:sz w:val="18"/>
          <w:szCs w:val="18"/>
        </w:rPr>
      </w:pPr>
      <w:r>
        <w:rPr>
          <w:rFonts w:ascii="宋体" w:hAnsi="宋体" w:cs="宋体" w:eastAsia="宋体" w:hint="default"/>
          <w:sz w:val="18"/>
          <w:szCs w:val="18"/>
        </w:rPr>
        <w:t>司在规范运作的基础上，进一步提高在薪酬考核方面的科学性。报告期内，公司共召开了1次董事会薪酬与考核委员会，对 公司2019年度董事、监事和高级管理人员薪酬，相关会议均按照有关规定的程序召开。</w:t>
      </w:r>
    </w:p>
    <w:p>
      <w:pPr>
        <w:spacing w:line="316" w:lineRule="auto" w:before="19"/>
        <w:ind w:left="472" w:right="0" w:hanging="89"/>
        <w:jc w:val="left"/>
        <w:rPr>
          <w:rFonts w:ascii="宋体" w:hAnsi="宋体" w:cs="宋体" w:eastAsia="宋体" w:hint="default"/>
          <w:sz w:val="18"/>
          <w:szCs w:val="18"/>
        </w:rPr>
      </w:pPr>
      <w:r>
        <w:rPr>
          <w:rFonts w:ascii="宋体" w:hAnsi="宋体" w:cs="宋体" w:eastAsia="宋体" w:hint="default"/>
          <w:sz w:val="18"/>
          <w:szCs w:val="18"/>
        </w:rPr>
        <w:t>（四）董事会提名委员会 </w:t>
      </w:r>
      <w:r>
        <w:rPr>
          <w:rFonts w:ascii="宋体" w:hAnsi="宋体" w:cs="宋体" w:eastAsia="宋体" w:hint="default"/>
          <w:spacing w:val="-2"/>
          <w:sz w:val="18"/>
          <w:szCs w:val="18"/>
        </w:rPr>
        <w:t>董事会提名委员会主要依据《提名委员会议事规则》的相关规定，秉着勤勉尽职的态度履行职责，在公司董事会、高级</w:t>
      </w:r>
    </w:p>
    <w:p>
      <w:pPr>
        <w:spacing w:line="316" w:lineRule="auto" w:before="19"/>
        <w:ind w:left="112" w:right="1137" w:firstLine="0"/>
        <w:jc w:val="both"/>
        <w:rPr>
          <w:rFonts w:ascii="宋体" w:hAnsi="宋体" w:cs="宋体" w:eastAsia="宋体" w:hint="default"/>
          <w:sz w:val="18"/>
          <w:szCs w:val="18"/>
        </w:rPr>
      </w:pPr>
      <w:r>
        <w:rPr>
          <w:rFonts w:ascii="宋体" w:hAnsi="宋体" w:cs="宋体" w:eastAsia="宋体" w:hint="default"/>
          <w:spacing w:val="-2"/>
          <w:sz w:val="18"/>
          <w:szCs w:val="18"/>
        </w:rPr>
        <w:t>管理人员的选人方面发挥了重要作用。报告期内，公司共召开了1次董事会提名委员会,对公司2019年度董事、总经理和其他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高级管理人员的决策程序提出建议，相关会议均按照有关规定的程序召开。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4"/>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7"/>
        <w:ind w:left="112" w:right="7334" w:firstLine="0"/>
        <w:jc w:val="left"/>
        <w:rPr>
          <w:rFonts w:ascii="宋体" w:hAnsi="宋体" w:cs="宋体" w:eastAsia="宋体" w:hint="default"/>
          <w:sz w:val="18"/>
          <w:szCs w:val="18"/>
        </w:rPr>
      </w:pPr>
      <w:r>
        <w:rPr>
          <w:rFonts w:ascii="宋体" w:hAnsi="宋体" w:cs="宋体" w:eastAsia="宋体" w:hint="default"/>
          <w:sz w:val="18"/>
          <w:szCs w:val="18"/>
        </w:rPr>
        <w:t>□ 是 √ 否 公司监事会对报告期内的监督事项无异议。</w:t>
      </w:r>
    </w:p>
    <w:p>
      <w:pPr>
        <w:spacing w:line="240" w:lineRule="auto" w:before="2"/>
        <w:rPr>
          <w:rFonts w:ascii="宋体" w:hAnsi="宋体" w:cs="宋体" w:eastAsia="宋体" w:hint="default"/>
          <w:sz w:val="18"/>
          <w:szCs w:val="18"/>
        </w:rPr>
      </w:pPr>
    </w:p>
    <w:p>
      <w:pPr>
        <w:pStyle w:val="Heading4"/>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公司建立了完善的高级管理人员绩效考评体系和薪酬制度，高级管理人员的工作绩效与其收入直接挂钩。高级管理人员的聘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任公开、透明，符合法律、法规的规定。公司董事会下设的提名、薪酬和考核委员会负责对公司董事及高级管理人员进行绩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效考核。</w:t>
      </w:r>
    </w:p>
    <w:p>
      <w:pPr>
        <w:spacing w:after="0" w:line="316" w:lineRule="auto"/>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年度内部控制自我评价报告》</w:t>
            </w:r>
            <w:r>
              <w:rPr>
                <w:rFonts w:ascii="宋体" w:hAnsi="宋体" w:cs="宋体" w:eastAsia="宋体" w:hint="default"/>
                <w:spacing w:val="-22"/>
                <w:sz w:val="18"/>
                <w:szCs w:val="18"/>
              </w:rPr>
              <w:t> </w:t>
            </w:r>
            <w:hyperlink r:id="rId12">
              <w:r>
                <w:rPr>
                  <w:rFonts w:ascii="Times New Roman" w:hAnsi="Times New Roman" w:cs="Times New Roman" w:eastAsia="Times New Roman" w:hint="default"/>
                  <w:sz w:val="18"/>
                  <w:szCs w:val="18"/>
                </w:rPr>
                <w:t>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89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2" w:right="12"/>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 的定性标准如下：①重大缺陷：是指一 个或多个控制缺陷的组合，可能导致企 </w:t>
            </w:r>
            <w:r>
              <w:rPr>
                <w:rFonts w:ascii="宋体" w:hAnsi="宋体" w:cs="宋体" w:eastAsia="宋体" w:hint="default"/>
                <w:spacing w:val="-3"/>
                <w:sz w:val="18"/>
                <w:szCs w:val="18"/>
              </w:rPr>
              <w:t>业严重偏离控制目标。出现下列特征的，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认定为重大缺陷：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、董事、监事和高级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管理人员舞弊；</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、注册会计师发现当期</w:t>
            </w:r>
            <w:r>
              <w:rPr>
                <w:rFonts w:ascii="宋体" w:hAnsi="宋体" w:cs="宋体" w:eastAsia="宋体" w:hint="default"/>
                <w:sz w:val="18"/>
                <w:szCs w:val="18"/>
              </w:rPr>
              <w:t> 财务报告存在重大错报，而内部控制在 </w:t>
            </w:r>
            <w:r>
              <w:rPr>
                <w:rFonts w:ascii="宋体" w:hAnsi="宋体" w:cs="宋体" w:eastAsia="宋体" w:hint="default"/>
                <w:spacing w:val="-4"/>
                <w:sz w:val="18"/>
                <w:szCs w:val="18"/>
              </w:rPr>
              <w:t>运行过程中未能发现该错报；</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、审计委</w:t>
            </w:r>
            <w:r>
              <w:rPr>
                <w:rFonts w:ascii="宋体" w:hAnsi="宋体" w:cs="宋体" w:eastAsia="宋体" w:hint="default"/>
                <w:sz w:val="18"/>
                <w:szCs w:val="18"/>
              </w:rPr>
              <w:t> 员会以及内部审计部门对财务报告内部 </w:t>
            </w:r>
            <w:r>
              <w:rPr>
                <w:rFonts w:ascii="宋体" w:hAnsi="宋体" w:cs="宋体" w:eastAsia="宋体" w:hint="default"/>
                <w:spacing w:val="-5"/>
                <w:sz w:val="18"/>
                <w:szCs w:val="18"/>
              </w:rPr>
              <w:t>控制监督无效；</w:t>
            </w:r>
            <w:r>
              <w:rPr>
                <w:rFonts w:ascii="Times New Roman" w:hAnsi="Times New Roman" w:cs="Times New Roman" w:eastAsia="Times New Roman" w:hint="default"/>
                <w:spacing w:val="-5"/>
                <w:sz w:val="18"/>
                <w:szCs w:val="18"/>
              </w:rPr>
              <w:t>D</w:t>
            </w:r>
            <w:r>
              <w:rPr>
                <w:rFonts w:ascii="宋体" w:hAnsi="宋体" w:cs="宋体" w:eastAsia="宋体" w:hint="default"/>
                <w:spacing w:val="-5"/>
                <w:sz w:val="18"/>
                <w:szCs w:val="18"/>
              </w:rPr>
              <w:t>、对已经公告的财务报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告出现的重大差错进行错报更正。②重 要缺陷：是指一个或多个控制缺陷的组 合，其严重程度和经济后果低于重大缺 陷但仍有可能导致企业偏离控制目标。 出现以下特征的，认定为重要缺陷：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 未依照公认会计准则选择和应用会计政 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、未建立反舞弊程序和控制措施； </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、对于非常规或特殊交易的账务处理没</w:t>
            </w:r>
            <w:r>
              <w:rPr>
                <w:rFonts w:ascii="宋体" w:hAnsi="宋体" w:cs="宋体" w:eastAsia="宋体" w:hint="default"/>
                <w:sz w:val="18"/>
                <w:szCs w:val="18"/>
              </w:rPr>
              <w:t> 有建立相应的控制机制或没有实施且没 </w:t>
            </w:r>
            <w:r>
              <w:rPr>
                <w:rFonts w:ascii="宋体" w:hAnsi="宋体" w:cs="宋体" w:eastAsia="宋体" w:hint="default"/>
                <w:spacing w:val="-5"/>
                <w:sz w:val="18"/>
                <w:szCs w:val="18"/>
              </w:rPr>
              <w:t>有相应的补偿性控制；</w:t>
            </w:r>
            <w:r>
              <w:rPr>
                <w:rFonts w:ascii="Times New Roman" w:hAnsi="Times New Roman" w:cs="Times New Roman" w:eastAsia="Times New Roman" w:hint="default"/>
                <w:spacing w:val="-5"/>
                <w:sz w:val="18"/>
                <w:szCs w:val="18"/>
              </w:rPr>
              <w:t>D</w:t>
            </w:r>
            <w:r>
              <w:rPr>
                <w:rFonts w:ascii="宋体" w:hAnsi="宋体" w:cs="宋体" w:eastAsia="宋体" w:hint="default"/>
                <w:spacing w:val="-5"/>
                <w:sz w:val="18"/>
                <w:szCs w:val="18"/>
              </w:rPr>
              <w:t>、对于期末财务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报告过程的控制存在一项或多项缺陷且 不能合理保证编制的财务报表达到真 实、准确的目标。③一般缺陷：是指除 重大缺陷和重要缺陷之外的其他控制缺 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307" w:lineRule="auto"/>
              <w:ind w:left="103" w:right="56"/>
              <w:jc w:val="left"/>
              <w:rPr>
                <w:rFonts w:ascii="宋体" w:hAnsi="宋体" w:cs="宋体" w:eastAsia="宋体" w:hint="default"/>
                <w:sz w:val="18"/>
                <w:szCs w:val="18"/>
              </w:rPr>
            </w:pPr>
            <w:r>
              <w:rPr>
                <w:rFonts w:ascii="宋体" w:hAnsi="宋体" w:cs="宋体" w:eastAsia="宋体" w:hint="default"/>
                <w:spacing w:val="-3"/>
                <w:sz w:val="18"/>
                <w:szCs w:val="18"/>
              </w:rPr>
              <w:t>①具有以下特征的缺陷，认定为重大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、公司缺乏民主决策程序； </w:t>
            </w:r>
            <w:r>
              <w:rPr>
                <w:rFonts w:ascii="Times New Roman" w:hAnsi="Times New Roman" w:cs="Times New Roman" w:eastAsia="Times New Roman" w:hint="default"/>
                <w:sz w:val="18"/>
                <w:szCs w:val="18"/>
              </w:rPr>
              <w:t>B</w:t>
            </w:r>
            <w:r>
              <w:rPr>
                <w:rFonts w:ascii="宋体" w:hAnsi="宋体" w:cs="宋体" w:eastAsia="宋体" w:hint="default"/>
                <w:sz w:val="18"/>
                <w:szCs w:val="18"/>
              </w:rPr>
              <w:t>、公司重要业务缺乏制度控制或制 度体系失效；</w:t>
            </w:r>
            <w:r>
              <w:rPr>
                <w:rFonts w:ascii="Times New Roman" w:hAnsi="Times New Roman" w:cs="Times New Roman" w:eastAsia="Times New Roman" w:hint="default"/>
                <w:sz w:val="18"/>
                <w:szCs w:val="18"/>
              </w:rPr>
              <w:t>C</w:t>
            </w:r>
            <w:r>
              <w:rPr>
                <w:rFonts w:ascii="宋体" w:hAnsi="宋体" w:cs="宋体" w:eastAsia="宋体" w:hint="default"/>
                <w:sz w:val="18"/>
                <w:szCs w:val="18"/>
              </w:rPr>
              <w:t>、公司经营活动严重 违反国家法律法规；</w:t>
            </w:r>
            <w:r>
              <w:rPr>
                <w:rFonts w:ascii="Times New Roman" w:hAnsi="Times New Roman" w:cs="Times New Roman" w:eastAsia="Times New Roman" w:hint="default"/>
                <w:sz w:val="18"/>
                <w:szCs w:val="18"/>
              </w:rPr>
              <w:t>D</w:t>
            </w:r>
            <w:r>
              <w:rPr>
                <w:rFonts w:ascii="宋体" w:hAnsi="宋体" w:cs="宋体" w:eastAsia="宋体" w:hint="default"/>
                <w:sz w:val="18"/>
                <w:szCs w:val="18"/>
              </w:rPr>
              <w:t>、中高级管理 </w:t>
            </w:r>
            <w:r>
              <w:rPr>
                <w:rFonts w:ascii="宋体" w:hAnsi="宋体" w:cs="宋体" w:eastAsia="宋体" w:hint="default"/>
                <w:spacing w:val="-3"/>
                <w:sz w:val="18"/>
                <w:szCs w:val="18"/>
              </w:rPr>
              <w:t>人员、核心技术人员、业务人员严重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流失。②具有以下特征的缺陷，认定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、公司组织架构、民 主决策程序不完善；</w:t>
            </w:r>
            <w:r>
              <w:rPr>
                <w:rFonts w:ascii="Times New Roman" w:hAnsi="Times New Roman" w:cs="Times New Roman" w:eastAsia="Times New Roman" w:hint="default"/>
                <w:sz w:val="18"/>
                <w:szCs w:val="18"/>
              </w:rPr>
              <w:t>B</w:t>
            </w:r>
            <w:r>
              <w:rPr>
                <w:rFonts w:ascii="宋体" w:hAnsi="宋体" w:cs="宋体" w:eastAsia="宋体" w:hint="default"/>
                <w:sz w:val="18"/>
                <w:szCs w:val="18"/>
              </w:rPr>
              <w:t>、公司重要业 务制度或系统存在缺陷；</w:t>
            </w:r>
            <w:r>
              <w:rPr>
                <w:rFonts w:ascii="Times New Roman" w:hAnsi="Times New Roman" w:cs="Times New Roman" w:eastAsia="Times New Roman" w:hint="default"/>
                <w:sz w:val="18"/>
                <w:szCs w:val="18"/>
              </w:rPr>
              <w:t>C</w:t>
            </w:r>
            <w:r>
              <w:rPr>
                <w:rFonts w:ascii="宋体" w:hAnsi="宋体" w:cs="宋体" w:eastAsia="宋体" w:hint="default"/>
                <w:sz w:val="18"/>
                <w:szCs w:val="18"/>
              </w:rPr>
              <w:t>、公司内 部控制重要或一般缺陷未得到整改； </w:t>
            </w:r>
            <w:r>
              <w:rPr>
                <w:rFonts w:ascii="Times New Roman" w:hAnsi="Times New Roman" w:cs="Times New Roman" w:eastAsia="Times New Roman" w:hint="default"/>
                <w:sz w:val="18"/>
                <w:szCs w:val="18"/>
              </w:rPr>
              <w:t>D</w:t>
            </w:r>
            <w:r>
              <w:rPr>
                <w:rFonts w:ascii="宋体" w:hAnsi="宋体" w:cs="宋体" w:eastAsia="宋体" w:hint="default"/>
                <w:sz w:val="18"/>
                <w:szCs w:val="18"/>
              </w:rPr>
              <w:t>、公司违反企业内部规章，形成损 失。③一般缺陷：除上述重大缺陷、 重要缺陷之外的其他产生一般影响 或造成轻微损失的控制缺陷。</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2"/>
              <w:jc w:val="center"/>
              <w:rPr>
                <w:rFonts w:ascii="宋体" w:hAnsi="宋体" w:cs="宋体" w:eastAsia="宋体" w:hint="default"/>
                <w:sz w:val="18"/>
                <w:szCs w:val="18"/>
              </w:rPr>
            </w:pPr>
            <w:r>
              <w:rPr>
                <w:rFonts w:ascii="宋体" w:hAnsi="宋体" w:cs="宋体" w:eastAsia="宋体" w:hint="default"/>
                <w:sz w:val="18"/>
                <w:szCs w:val="18"/>
              </w:rPr>
              <w:t>重大缺陷：错报≥利润总额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。重要</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3"/>
                <w:sz w:val="18"/>
                <w:szCs w:val="18"/>
              </w:rPr>
              <w:t>重大缺陷：损失≥利润总额</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。重</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2" w:right="151"/>
              <w:jc w:val="left"/>
              <w:rPr>
                <w:rFonts w:ascii="宋体" w:hAnsi="宋体" w:cs="宋体" w:eastAsia="宋体" w:hint="default"/>
                <w:sz w:val="18"/>
                <w:szCs w:val="18"/>
              </w:rPr>
            </w:pPr>
            <w:r>
              <w:rPr>
                <w:rFonts w:ascii="宋体" w:hAnsi="宋体" w:cs="宋体" w:eastAsia="宋体" w:hint="default"/>
                <w:sz w:val="18"/>
                <w:szCs w:val="18"/>
              </w:rPr>
              <w:t>缺陷：利润总额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10%</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1"/>
              <w:jc w:val="both"/>
              <w:rPr>
                <w:rFonts w:ascii="宋体" w:hAnsi="宋体" w:cs="宋体" w:eastAsia="宋体" w:hint="default"/>
                <w:sz w:val="18"/>
                <w:szCs w:val="18"/>
              </w:rPr>
            </w:pPr>
            <w:r>
              <w:rPr>
                <w:rFonts w:ascii="宋体" w:hAnsi="宋体" w:cs="宋体" w:eastAsia="宋体" w:hint="default"/>
                <w:spacing w:val="-9"/>
                <w:sz w:val="18"/>
                <w:szCs w:val="18"/>
              </w:rPr>
              <w:t>要缺陷：利润总额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。一般缺陷：损失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我们认为，科蓝软件公司按照《企业内部控制基本规范》和相关规定于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 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08"/>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《北京科蓝软件系统股份有限公司内部控制鉴证报告</w:t>
            </w:r>
            <w:r>
              <w:rPr>
                <w:rFonts w:ascii="宋体" w:hAnsi="宋体" w:cs="宋体" w:eastAsia="宋体" w:hint="default"/>
                <w:spacing w:val="-92"/>
                <w:sz w:val="18"/>
                <w:szCs w:val="18"/>
              </w:rPr>
              <w:t>》</w:t>
            </w:r>
            <w:r>
              <w:rPr>
                <w:rFonts w:ascii="宋体" w:hAnsi="宋体" w:cs="宋体" w:eastAsia="宋体" w:hint="default"/>
                <w:sz w:val="18"/>
                <w:szCs w:val="18"/>
              </w:rPr>
              <w:t>（</w:t>
            </w:r>
            <w:hyperlink r:id="rId12">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w w:val="99"/>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57" w:lineRule="auto" w:before="117"/>
        <w:ind w:left="112" w:right="4634"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会计师事务所出具的内部控制鉴证报告与董事会的自我评价报告意见是否一致</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7" w:right="0"/>
        <w:jc w:val="left"/>
        <w:rPr>
          <w:b w:val="0"/>
          <w:bCs w:val="0"/>
        </w:rPr>
      </w:pPr>
      <w:bookmarkStart w:name="第十一节公司债券相关情况" w:id="153"/>
      <w:bookmarkEnd w:id="153"/>
      <w:r>
        <w:rPr>
          <w:b w:val="0"/>
          <w:bCs w:val="0"/>
        </w:rPr>
      </w:r>
      <w:bookmarkStart w:name="_bookmark9" w:id="154"/>
      <w:bookmarkEnd w:id="154"/>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footerReference w:type="default" r:id="rId30"/>
          <w:pgSz w:w="11910" w:h="16840"/>
          <w:pgMar w:footer="1016" w:header="907" w:top="1100" w:bottom="1200" w:left="1020" w:right="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3400"/>
        <w:jc w:val="center"/>
        <w:rPr>
          <w:b w:val="0"/>
          <w:bCs w:val="0"/>
        </w:rPr>
      </w:pPr>
      <w:bookmarkStart w:name="第十二节财务报告" w:id="155"/>
      <w:bookmarkEnd w:id="155"/>
      <w:r>
        <w:rPr>
          <w:b w:val="0"/>
          <w:bCs w:val="0"/>
        </w:rPr>
      </w:r>
      <w:bookmarkStart w:name="_bookmark10" w:id="156"/>
      <w:bookmarkEnd w:id="156"/>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[2020]006398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李峰、刘黎</w:t>
            </w:r>
          </w:p>
        </w:tc>
      </w:tr>
    </w:tbl>
    <w:p>
      <w:pPr>
        <w:spacing w:before="50"/>
        <w:ind w:left="2379" w:right="340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9"/>
          <w:szCs w:val="19"/>
        </w:rPr>
      </w:pPr>
    </w:p>
    <w:p>
      <w:pPr>
        <w:pStyle w:val="Heading2"/>
        <w:spacing w:line="240" w:lineRule="auto" w:before="14"/>
        <w:ind w:right="0"/>
        <w:jc w:val="left"/>
        <w:rPr>
          <w:b w:val="0"/>
          <w:bCs w:val="0"/>
        </w:rPr>
      </w:pPr>
      <w:r>
        <w:rPr/>
        <w:t>审计意见</w:t>
      </w:r>
      <w:r>
        <w:rPr>
          <w:b w:val="0"/>
          <w:bCs w:val="0"/>
        </w:rPr>
      </w:r>
    </w:p>
    <w:p>
      <w:pPr>
        <w:spacing w:line="240" w:lineRule="auto" w:before="11"/>
        <w:rPr>
          <w:rFonts w:ascii="宋体" w:hAnsi="宋体" w:cs="宋体" w:eastAsia="宋体" w:hint="default"/>
          <w:b/>
          <w:bCs/>
          <w:sz w:val="28"/>
          <w:szCs w:val="28"/>
        </w:rPr>
      </w:pPr>
    </w:p>
    <w:p>
      <w:pPr>
        <w:pStyle w:val="Heading3"/>
        <w:spacing w:line="408" w:lineRule="auto" w:before="0"/>
        <w:ind w:left="472" w:right="1132"/>
        <w:jc w:val="both"/>
      </w:pPr>
      <w:r>
        <w:rPr/>
        <w:t>我们审计了北京科蓝软件系统股份有限公司(以下简称科蓝软件公司)财</w:t>
      </w:r>
      <w:r>
        <w:rPr>
          <w:w w:val="100"/>
        </w:rPr>
        <w:t> </w:t>
      </w:r>
      <w:r>
        <w:rPr/>
        <w:t>务报表，包括2019年12月31日的合并及母公司资产负债表，2019年度的合并</w:t>
      </w:r>
      <w:r>
        <w:rPr>
          <w:spacing w:val="-124"/>
        </w:rPr>
        <w:t> </w:t>
      </w:r>
      <w:r>
        <w:rPr>
          <w:spacing w:val="-124"/>
        </w:rPr>
      </w:r>
      <w:r>
        <w:rPr/>
        <w:t>及母公司利润表、合并及母公司现金流量表、合并及母公司股东权益变动表</w:t>
      </w:r>
      <w:r>
        <w:rPr>
          <w:spacing w:val="-124"/>
        </w:rPr>
        <w:t> </w:t>
      </w:r>
      <w:r>
        <w:rPr>
          <w:spacing w:val="-124"/>
        </w:rPr>
      </w:r>
      <w:r>
        <w:rPr/>
        <w:t>以及相关财务报表附注。</w:t>
      </w:r>
    </w:p>
    <w:p>
      <w:pPr>
        <w:pStyle w:val="Heading3"/>
        <w:spacing w:line="408" w:lineRule="auto"/>
        <w:ind w:left="472" w:right="1130"/>
        <w:jc w:val="both"/>
      </w:pPr>
      <w:r>
        <w:rPr/>
        <w:t>我们认为，后附的财务报表在所有重大方面按照企业会计准则的规定编</w:t>
      </w:r>
      <w:r>
        <w:rPr>
          <w:w w:val="100"/>
        </w:rPr>
        <w:t> </w:t>
      </w:r>
      <w:r>
        <w:rPr/>
        <w:t>制，公允反映了科蓝软件公司2019年12月31日的合并及母公司财务状况以及</w:t>
      </w:r>
      <w:r>
        <w:rPr>
          <w:spacing w:val="-125"/>
        </w:rPr>
        <w:t> </w:t>
      </w:r>
      <w:r>
        <w:rPr>
          <w:spacing w:val="-125"/>
        </w:rPr>
      </w:r>
      <w:r>
        <w:rPr/>
        <w:t>2019年度的合并及母公司经营成果和现金流量。</w:t>
      </w:r>
    </w:p>
    <w:p>
      <w:pPr>
        <w:pStyle w:val="Heading2"/>
        <w:spacing w:line="240" w:lineRule="auto" w:before="181"/>
        <w:ind w:right="0"/>
        <w:jc w:val="left"/>
        <w:rPr>
          <w:b w:val="0"/>
          <w:bCs w:val="0"/>
        </w:rPr>
      </w:pPr>
      <w:r>
        <w:rPr/>
        <w:t>形成审计意见的基础</w:t>
      </w:r>
      <w:r>
        <w:rPr>
          <w:b w:val="0"/>
          <w:bCs w:val="0"/>
        </w:rPr>
      </w:r>
    </w:p>
    <w:p>
      <w:pPr>
        <w:spacing w:line="240" w:lineRule="auto" w:before="11"/>
        <w:rPr>
          <w:rFonts w:ascii="宋体" w:hAnsi="宋体" w:cs="宋体" w:eastAsia="宋体" w:hint="default"/>
          <w:b/>
          <w:bCs/>
          <w:sz w:val="28"/>
          <w:szCs w:val="28"/>
        </w:rPr>
      </w:pPr>
    </w:p>
    <w:p>
      <w:pPr>
        <w:pStyle w:val="Heading3"/>
        <w:spacing w:line="408" w:lineRule="auto" w:before="0"/>
        <w:ind w:left="472" w:right="1130"/>
        <w:jc w:val="both"/>
      </w:pPr>
      <w:r>
        <w:rPr/>
        <w:t>我们按照中国注册会计师审计准则的规定执行了审计工作。审计报告的</w:t>
      </w:r>
      <w:r>
        <w:rPr>
          <w:w w:val="100"/>
        </w:rPr>
        <w:t> </w:t>
      </w:r>
      <w:r>
        <w:rPr/>
        <w:t>“注册会计师对财务报表审计的责任”部分进一步阐述了我们在这些准则下</w:t>
      </w:r>
      <w:r>
        <w:rPr>
          <w:spacing w:val="-124"/>
        </w:rPr>
        <w:t> </w:t>
      </w:r>
      <w:r>
        <w:rPr>
          <w:spacing w:val="-124"/>
        </w:rPr>
      </w:r>
      <w:r>
        <w:rPr/>
        <w:t>的责任。按照中国注册会计师职业道德守则，我们独立于科蓝软件公司，并</w:t>
      </w:r>
      <w:r>
        <w:rPr>
          <w:spacing w:val="-124"/>
        </w:rPr>
        <w:t> </w:t>
      </w:r>
      <w:r>
        <w:rPr>
          <w:spacing w:val="-124"/>
        </w:rPr>
      </w:r>
      <w:r>
        <w:rPr/>
        <w:t>履行了职业道德方面的其他责任。我们相信，我们获取的审计证据是充分、</w:t>
      </w:r>
      <w:r>
        <w:rPr>
          <w:spacing w:val="-124"/>
        </w:rPr>
        <w:t> </w:t>
      </w:r>
      <w:r>
        <w:rPr>
          <w:spacing w:val="-124"/>
        </w:rPr>
      </w:r>
      <w:r>
        <w:rPr/>
        <w:t>适当的，为发表审计意见提供了基础。</w:t>
      </w:r>
    </w:p>
    <w:p>
      <w:pPr>
        <w:spacing w:after="0" w:line="408" w:lineRule="auto"/>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2"/>
        <w:spacing w:line="240" w:lineRule="auto" w:before="158"/>
        <w:ind w:right="0"/>
        <w:jc w:val="left"/>
        <w:rPr>
          <w:b w:val="0"/>
          <w:bCs w:val="0"/>
        </w:rPr>
      </w:pPr>
      <w:r>
        <w:rPr/>
        <w:t>关键审计事项</w:t>
      </w:r>
      <w:r>
        <w:rPr>
          <w:b w:val="0"/>
          <w:bCs w:val="0"/>
        </w:rPr>
      </w:r>
    </w:p>
    <w:p>
      <w:pPr>
        <w:spacing w:line="240" w:lineRule="auto" w:before="11"/>
        <w:rPr>
          <w:rFonts w:ascii="宋体" w:hAnsi="宋体" w:cs="宋体" w:eastAsia="宋体" w:hint="default"/>
          <w:b/>
          <w:bCs/>
          <w:sz w:val="28"/>
          <w:szCs w:val="28"/>
        </w:rPr>
      </w:pPr>
    </w:p>
    <w:p>
      <w:pPr>
        <w:pStyle w:val="Heading3"/>
        <w:spacing w:line="408" w:lineRule="auto" w:before="0"/>
        <w:ind w:right="1130"/>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99"/>
        </w:rPr>
        <w:t> </w:t>
      </w:r>
      <w:r>
        <w:rPr>
          <w:spacing w:val="-99"/>
        </w:rPr>
      </w:r>
      <w:r>
        <w:rPr/>
        <w:t>们不对这些事项单独发表意见。</w:t>
      </w:r>
    </w:p>
    <w:p>
      <w:pPr>
        <w:pStyle w:val="Heading3"/>
        <w:spacing w:line="408" w:lineRule="auto" w:before="181"/>
        <w:ind w:left="674" w:right="4994" w:firstLine="0"/>
        <w:jc w:val="left"/>
      </w:pPr>
      <w:r>
        <w:rPr>
          <w:spacing w:val="-2"/>
        </w:rPr>
        <w:t>我们在审计中识别的关键审计事项包括：</w:t>
      </w:r>
      <w:r>
        <w:rPr>
          <w:spacing w:val="-115"/>
        </w:rPr>
        <w:t> </w:t>
      </w:r>
      <w:r>
        <w:rPr>
          <w:spacing w:val="-115"/>
        </w:rPr>
      </w:r>
      <w:r>
        <w:rPr/>
        <w:t>1.</w:t>
      </w:r>
      <w:r>
        <w:rPr>
          <w:spacing w:val="-2"/>
        </w:rPr>
        <w:t> </w:t>
      </w:r>
      <w:r>
        <w:rPr/>
        <w:t>收入确认；</w:t>
      </w:r>
    </w:p>
    <w:p>
      <w:pPr>
        <w:pStyle w:val="Heading3"/>
        <w:spacing w:line="487" w:lineRule="auto"/>
        <w:ind w:right="7537"/>
        <w:jc w:val="left"/>
      </w:pPr>
      <w:r>
        <w:rPr/>
        <w:t>2.</w:t>
      </w:r>
      <w:r>
        <w:rPr>
          <w:spacing w:val="-4"/>
        </w:rPr>
        <w:t> </w:t>
      </w:r>
      <w:r>
        <w:rPr/>
        <w:t>应收账款的减值。</w:t>
      </w:r>
      <w:r>
        <w:rPr>
          <w:w w:val="100"/>
        </w:rPr>
        <w:t> </w:t>
      </w:r>
      <w:r>
        <w:rPr/>
        <w:t>收入确认</w:t>
      </w:r>
    </w:p>
    <w:p>
      <w:pPr>
        <w:pStyle w:val="Heading3"/>
        <w:spacing w:line="336" w:lineRule="exact" w:before="0"/>
        <w:ind w:left="1034" w:right="0" w:firstLine="0"/>
        <w:jc w:val="left"/>
      </w:pPr>
      <w:r>
        <w:rPr/>
        <w:t>1.</w:t>
      </w:r>
      <w:r>
        <w:rPr>
          <w:spacing w:val="-2"/>
        </w:rPr>
        <w:t> </w:t>
      </w:r>
      <w:r>
        <w:rPr/>
        <w:t>事项描述</w:t>
      </w:r>
    </w:p>
    <w:p>
      <w:pPr>
        <w:spacing w:line="240" w:lineRule="auto" w:before="9"/>
        <w:rPr>
          <w:rFonts w:ascii="宋体" w:hAnsi="宋体" w:cs="宋体" w:eastAsia="宋体" w:hint="default"/>
          <w:sz w:val="19"/>
          <w:szCs w:val="19"/>
        </w:rPr>
      </w:pPr>
    </w:p>
    <w:p>
      <w:pPr>
        <w:pStyle w:val="Heading3"/>
        <w:spacing w:line="408" w:lineRule="auto" w:before="0"/>
        <w:ind w:left="472" w:right="0"/>
        <w:jc w:val="left"/>
      </w:pPr>
      <w:r>
        <w:rPr/>
        <w:t>本年度科蓝软件公司收入确认会计政策及账面金额信息请参阅合并财务</w:t>
      </w:r>
      <w:r>
        <w:rPr>
          <w:w w:val="100"/>
        </w:rPr>
        <w:t> </w:t>
      </w:r>
      <w:r>
        <w:rPr>
          <w:spacing w:val="-9"/>
          <w:w w:val="100"/>
        </w:rPr>
        <w:t>报表附注四、（二十八）及附注六、注释32。</w:t>
      </w:r>
    </w:p>
    <w:p>
      <w:pPr>
        <w:pStyle w:val="Heading3"/>
        <w:spacing w:line="408" w:lineRule="auto"/>
        <w:ind w:left="472" w:right="0"/>
        <w:jc w:val="left"/>
      </w:pPr>
      <w:r>
        <w:rPr>
          <w:spacing w:val="-2"/>
        </w:rPr>
        <w:t>科蓝软件公司2019年度营业收入93,387.20万元，主要为技术开发收入。</w:t>
      </w:r>
      <w:r>
        <w:rPr>
          <w:w w:val="100"/>
        </w:rPr>
        <w:t> </w:t>
      </w:r>
      <w:r>
        <w:rPr/>
        <w:t>营业收入是科蓝软件公司的关键业绩指标之一，收入确认是否恰当会对科蓝</w:t>
      </w:r>
      <w:r>
        <w:rPr>
          <w:spacing w:val="-124"/>
        </w:rPr>
        <w:t> </w:t>
      </w:r>
      <w:r>
        <w:rPr>
          <w:spacing w:val="-124"/>
        </w:rPr>
      </w:r>
      <w:r>
        <w:rPr/>
        <w:t>软件公司经营成果产生重大影响，可能存在管理层为了达到特定目标或期望</w:t>
      </w:r>
      <w:r>
        <w:rPr>
          <w:spacing w:val="-124"/>
        </w:rPr>
        <w:t> </w:t>
      </w:r>
      <w:r>
        <w:rPr>
          <w:spacing w:val="-124"/>
        </w:rPr>
      </w:r>
      <w:r>
        <w:rPr/>
        <w:t>而操纵收入确认时点的风险。因此我们将收入确认认定为关键审计事项。</w:t>
      </w:r>
    </w:p>
    <w:p>
      <w:pPr>
        <w:pStyle w:val="Heading3"/>
        <w:spacing w:line="408" w:lineRule="auto"/>
        <w:ind w:left="1034" w:right="2654" w:firstLine="0"/>
        <w:jc w:val="left"/>
      </w:pPr>
      <w:r>
        <w:rPr/>
        <w:t>2.</w:t>
      </w:r>
      <w:r>
        <w:rPr>
          <w:spacing w:val="-3"/>
        </w:rPr>
        <w:t> </w:t>
      </w:r>
      <w:r>
        <w:rPr/>
        <w:t>审计应对</w:t>
      </w:r>
      <w:r>
        <w:rPr>
          <w:w w:val="100"/>
        </w:rPr>
        <w:t> </w:t>
      </w:r>
      <w:r>
        <w:rPr>
          <w:spacing w:val="-2"/>
        </w:rPr>
        <w:t>我们针对收入确认所实施的重要审计程序包括：</w:t>
      </w:r>
    </w:p>
    <w:p>
      <w:pPr>
        <w:pStyle w:val="Heading3"/>
        <w:spacing w:line="408" w:lineRule="auto"/>
        <w:ind w:left="472" w:right="0"/>
        <w:jc w:val="left"/>
      </w:pPr>
      <w:r>
        <w:rPr/>
        <w:t>（1）</w:t>
      </w:r>
      <w:r>
        <w:rPr>
          <w:spacing w:val="-45"/>
        </w:rPr>
        <w:t> </w:t>
      </w:r>
      <w:r>
        <w:rPr>
          <w:spacing w:val="2"/>
        </w:rPr>
        <w:t>了解和评估管理层对收入确认相关内部控制的设计，通过穿行测</w:t>
      </w:r>
      <w:r>
        <w:rPr>
          <w:w w:val="100"/>
        </w:rPr>
        <w:t> </w:t>
      </w:r>
      <w:r>
        <w:rPr/>
        <w:t>试评价相关内部控制是否得到执行。</w:t>
      </w:r>
    </w:p>
    <w:p>
      <w:pPr>
        <w:pStyle w:val="Heading3"/>
        <w:spacing w:line="408" w:lineRule="auto"/>
        <w:ind w:left="472" w:right="1130"/>
        <w:jc w:val="both"/>
      </w:pPr>
      <w:r>
        <w:rPr>
          <w:spacing w:val="-5"/>
        </w:rPr>
        <w:t>（2）了解各类业务收入的具体确认方法，评估其是否符合科蓝软件公司</w:t>
      </w:r>
      <w:r>
        <w:rPr>
          <w:w w:val="100"/>
        </w:rPr>
        <w:t> </w:t>
      </w:r>
      <w:r>
        <w:rPr/>
        <w:t>业务特点及会计准则的规定；选取收入样本，检查技术开发合同或技术服务</w:t>
      </w:r>
      <w:r>
        <w:rPr>
          <w:spacing w:val="-124"/>
        </w:rPr>
        <w:t> </w:t>
      </w:r>
      <w:r>
        <w:rPr>
          <w:spacing w:val="-124"/>
        </w:rPr>
      </w:r>
      <w:r>
        <w:rPr/>
        <w:t>合同，检查经客户认可的验收文件或项目进度确认文件，以评价相关开发收</w:t>
      </w:r>
    </w:p>
    <w:p>
      <w:pPr>
        <w:spacing w:after="0" w:line="408" w:lineRule="auto"/>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3"/>
        <w:spacing w:line="240" w:lineRule="auto" w:before="158"/>
        <w:ind w:left="472" w:right="0" w:firstLine="0"/>
        <w:jc w:val="left"/>
      </w:pPr>
      <w:r>
        <w:rPr/>
        <w:t>入或服务收入是否已经按照科蓝软件公司的收入确认政策确认。</w:t>
      </w:r>
    </w:p>
    <w:p>
      <w:pPr>
        <w:spacing w:line="240" w:lineRule="auto" w:before="9"/>
        <w:rPr>
          <w:rFonts w:ascii="宋体" w:hAnsi="宋体" w:cs="宋体" w:eastAsia="宋体" w:hint="default"/>
          <w:sz w:val="19"/>
          <w:szCs w:val="19"/>
        </w:rPr>
      </w:pPr>
    </w:p>
    <w:p>
      <w:pPr>
        <w:pStyle w:val="Heading3"/>
        <w:spacing w:line="408" w:lineRule="auto" w:before="0"/>
        <w:ind w:left="472" w:right="0"/>
        <w:jc w:val="left"/>
      </w:pPr>
      <w:r>
        <w:rPr/>
        <w:t>（3）</w:t>
      </w:r>
      <w:r>
        <w:rPr>
          <w:spacing w:val="-45"/>
        </w:rPr>
        <w:t> </w:t>
      </w:r>
      <w:r>
        <w:rPr>
          <w:spacing w:val="2"/>
        </w:rPr>
        <w:t>选取资产负债表日前后的收入样本进行截止测试，以评估营业收</w:t>
      </w:r>
      <w:r>
        <w:rPr>
          <w:w w:val="100"/>
        </w:rPr>
        <w:t> </w:t>
      </w:r>
      <w:r>
        <w:rPr/>
        <w:t>入是否在正确的期间确认。</w:t>
      </w:r>
    </w:p>
    <w:p>
      <w:pPr>
        <w:pStyle w:val="Heading3"/>
        <w:spacing w:line="408" w:lineRule="auto"/>
        <w:ind w:left="472" w:right="1120"/>
        <w:jc w:val="left"/>
      </w:pPr>
      <w:r>
        <w:rPr>
          <w:spacing w:val="-5"/>
        </w:rPr>
        <w:t>（4）函证重要的收入项目，核对营业收入是否真实、记录的期间是否正</w:t>
      </w:r>
      <w:r>
        <w:rPr>
          <w:w w:val="100"/>
        </w:rPr>
        <w:t> </w:t>
      </w:r>
      <w:r>
        <w:rPr/>
        <w:t>确。</w:t>
      </w:r>
    </w:p>
    <w:p>
      <w:pPr>
        <w:pStyle w:val="Heading3"/>
        <w:spacing w:line="408" w:lineRule="auto"/>
        <w:ind w:left="1034" w:right="0" w:firstLine="0"/>
        <w:jc w:val="left"/>
      </w:pPr>
      <w:r>
        <w:rPr/>
        <w:t>（5）</w:t>
      </w:r>
      <w:r>
        <w:rPr>
          <w:spacing w:val="-84"/>
        </w:rPr>
        <w:t> </w:t>
      </w:r>
      <w:r>
        <w:rPr/>
        <w:t>评估管理层对收入的财务报表披露是否恰当。</w:t>
      </w:r>
      <w:r>
        <w:rPr>
          <w:w w:val="100"/>
        </w:rPr>
        <w:t> </w:t>
      </w:r>
      <w:r>
        <w:rPr/>
        <w:t>根据已执行的审计工作，我们认为收入确认符合科蓝软件公司的会计政</w:t>
      </w:r>
    </w:p>
    <w:p>
      <w:pPr>
        <w:pStyle w:val="Heading3"/>
        <w:spacing w:line="487" w:lineRule="auto"/>
        <w:ind w:right="8808" w:firstLine="360"/>
        <w:jc w:val="left"/>
      </w:pPr>
      <w:r>
        <w:rPr/>
        <w:t>策。</w:t>
      </w:r>
      <w:r>
        <w:rPr>
          <w:w w:val="100"/>
        </w:rPr>
        <w:t> </w:t>
      </w:r>
      <w:r>
        <w:rPr>
          <w:spacing w:val="-2"/>
        </w:rPr>
        <w:t>应收账款的减值</w:t>
      </w:r>
    </w:p>
    <w:p>
      <w:pPr>
        <w:pStyle w:val="Heading3"/>
        <w:spacing w:line="336" w:lineRule="exact" w:before="0"/>
        <w:ind w:left="674" w:right="0" w:firstLine="0"/>
        <w:jc w:val="left"/>
      </w:pPr>
      <w:r>
        <w:rPr/>
        <w:t>1.</w:t>
      </w:r>
      <w:r>
        <w:rPr>
          <w:spacing w:val="-2"/>
        </w:rPr>
        <w:t> </w:t>
      </w:r>
      <w:r>
        <w:rPr/>
        <w:t>事项描述</w:t>
      </w:r>
    </w:p>
    <w:p>
      <w:pPr>
        <w:spacing w:line="240" w:lineRule="auto" w:before="9"/>
        <w:rPr>
          <w:rFonts w:ascii="宋体" w:hAnsi="宋体" w:cs="宋体" w:eastAsia="宋体" w:hint="default"/>
          <w:sz w:val="19"/>
          <w:szCs w:val="19"/>
        </w:rPr>
      </w:pPr>
    </w:p>
    <w:p>
      <w:pPr>
        <w:pStyle w:val="Heading3"/>
        <w:spacing w:line="408" w:lineRule="auto" w:before="0"/>
        <w:ind w:right="0"/>
        <w:jc w:val="left"/>
      </w:pPr>
      <w:r>
        <w:rPr>
          <w:spacing w:val="-2"/>
          <w:w w:val="100"/>
        </w:rPr>
        <w:t>请参阅合并财务报表附注四、（十一）及附注六、注释2。截至2019年12月</w:t>
      </w:r>
      <w:r>
        <w:rPr>
          <w:w w:val="100"/>
        </w:rPr>
        <w:t> </w:t>
      </w:r>
      <w:r>
        <w:rPr>
          <w:spacing w:val="-5"/>
        </w:rPr>
        <w:t>31日止，科蓝软件公司应收账款账面余额76,378.03万元，占资产总额的51.47%。</w:t>
      </w:r>
    </w:p>
    <w:p>
      <w:pPr>
        <w:pStyle w:val="Heading3"/>
        <w:spacing w:line="408" w:lineRule="auto"/>
        <w:ind w:right="1130"/>
        <w:jc w:val="both"/>
      </w:pPr>
      <w:r>
        <w:rPr>
          <w:spacing w:val="2"/>
        </w:rPr>
        <w:t>科蓝软件公司对在初始确认后已经发生信用减值、在单项工具层面能以合</w:t>
      </w:r>
      <w:r>
        <w:rPr>
          <w:w w:val="100"/>
        </w:rPr>
        <w:t> </w:t>
      </w:r>
      <w:r>
        <w:rPr>
          <w:spacing w:val="2"/>
        </w:rPr>
        <w:t>理成本评估预期信用损失的充分证据的应收账款单独确定其信用损失。对该等</w:t>
      </w:r>
      <w:r>
        <w:rPr>
          <w:spacing w:val="-99"/>
        </w:rPr>
        <w:t> </w:t>
      </w:r>
      <w:r>
        <w:rPr>
          <w:spacing w:val="-99"/>
        </w:rPr>
      </w:r>
      <w:r>
        <w:rPr>
          <w:spacing w:val="2"/>
        </w:rPr>
        <w:t>评估重点关注客户的历史结算记录及当前支付能力，并考虑客户自身及其所处</w:t>
      </w:r>
      <w:r>
        <w:rPr>
          <w:spacing w:val="-99"/>
        </w:rPr>
        <w:t> </w:t>
      </w:r>
      <w:r>
        <w:rPr>
          <w:spacing w:val="-99"/>
        </w:rPr>
      </w:r>
      <w:r>
        <w:rPr>
          <w:spacing w:val="2"/>
        </w:rPr>
        <w:t>行业的经济环境的特定信息。当在单项工具层面无法以合理成本评估预期信用</w:t>
      </w:r>
      <w:r>
        <w:rPr>
          <w:spacing w:val="-99"/>
        </w:rPr>
        <w:t> </w:t>
      </w:r>
      <w:r>
        <w:rPr>
          <w:spacing w:val="-99"/>
        </w:rPr>
      </w:r>
      <w:r>
        <w:rPr>
          <w:spacing w:val="2"/>
        </w:rPr>
        <w:t>损失的充分证据时，管理层参考历史信用损失经验，结合当前状况以及对未来</w:t>
      </w:r>
      <w:r>
        <w:rPr>
          <w:spacing w:val="-99"/>
        </w:rPr>
        <w:t> </w:t>
      </w:r>
      <w:r>
        <w:rPr>
          <w:spacing w:val="-99"/>
        </w:rPr>
      </w:r>
      <w:r>
        <w:rPr>
          <w:spacing w:val="2"/>
        </w:rPr>
        <w:t>经济状况的判断，依据信用风险特征将应收账款划分为若干组合，在组合基础</w:t>
      </w:r>
      <w:r>
        <w:rPr>
          <w:spacing w:val="-99"/>
        </w:rPr>
        <w:t> </w:t>
      </w:r>
      <w:r>
        <w:rPr>
          <w:spacing w:val="-99"/>
        </w:rPr>
      </w:r>
      <w:r>
        <w:rPr/>
        <w:t>上计算预期信用损失。</w:t>
      </w:r>
    </w:p>
    <w:p>
      <w:pPr>
        <w:pStyle w:val="Heading3"/>
        <w:spacing w:line="408" w:lineRule="auto"/>
        <w:ind w:right="1130"/>
        <w:jc w:val="both"/>
      </w:pPr>
      <w:r>
        <w:rPr>
          <w:spacing w:val="2"/>
        </w:rPr>
        <w:t>科蓝软件公司客户主要为银行，应收账款的回收取决于此类客户的结算进</w:t>
      </w:r>
      <w:r>
        <w:rPr>
          <w:w w:val="100"/>
        </w:rPr>
        <w:t> </w:t>
      </w:r>
      <w:r>
        <w:rPr>
          <w:spacing w:val="2"/>
        </w:rPr>
        <w:t>度，由于应收账款减值的确定需要管理层识别已发生减值的项目和客观证据、</w:t>
      </w:r>
      <w:r>
        <w:rPr>
          <w:spacing w:val="-99"/>
        </w:rPr>
        <w:t> </w:t>
      </w:r>
      <w:r>
        <w:rPr>
          <w:spacing w:val="-99"/>
        </w:rPr>
      </w:r>
      <w:r>
        <w:rPr>
          <w:spacing w:val="2"/>
        </w:rPr>
        <w:t>评估预期未来可获取的现金流量并确定其现值，涉及管理层运用重大会计估计</w:t>
      </w:r>
    </w:p>
    <w:p>
      <w:pPr>
        <w:spacing w:after="0" w:line="408" w:lineRule="auto"/>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3"/>
        <w:spacing w:line="408" w:lineRule="auto" w:before="158"/>
        <w:ind w:right="0" w:firstLine="0"/>
        <w:jc w:val="left"/>
      </w:pPr>
      <w:r>
        <w:rPr>
          <w:spacing w:val="2"/>
        </w:rPr>
        <w:t>和判断，且应收账款对于财务报表具有重要性，因此，我们将应收账款减值认</w:t>
      </w:r>
      <w:r>
        <w:rPr>
          <w:spacing w:val="-99"/>
        </w:rPr>
        <w:t> </w:t>
      </w:r>
      <w:r>
        <w:rPr>
          <w:spacing w:val="-99"/>
        </w:rPr>
      </w:r>
      <w:r>
        <w:rPr/>
        <w:t>定为关键审计事项。</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before="0"/>
        <w:ind w:left="674" w:right="1185" w:firstLine="0"/>
        <w:jc w:val="left"/>
      </w:pPr>
      <w:r>
        <w:rPr/>
        <w:t>2.</w:t>
      </w:r>
      <w:r>
        <w:rPr>
          <w:spacing w:val="-3"/>
        </w:rPr>
        <w:t> </w:t>
      </w:r>
      <w:r>
        <w:rPr/>
        <w:t>审计应对</w:t>
      </w:r>
      <w:r>
        <w:rPr>
          <w:w w:val="100"/>
        </w:rPr>
        <w:t> </w:t>
      </w:r>
      <w:r>
        <w:rPr>
          <w:spacing w:val="-2"/>
        </w:rPr>
        <w:t>我们针对应收账款的可收回性认定所实施的重要审计程序包括：</w:t>
      </w:r>
    </w:p>
    <w:p>
      <w:pPr>
        <w:pStyle w:val="Heading3"/>
        <w:spacing w:line="408" w:lineRule="auto"/>
        <w:ind w:right="1132"/>
        <w:jc w:val="both"/>
      </w:pPr>
      <w:r>
        <w:rPr/>
        <w:t>（1）</w:t>
      </w:r>
      <w:r>
        <w:rPr>
          <w:spacing w:val="46"/>
        </w:rPr>
        <w:t> </w:t>
      </w:r>
      <w:r>
        <w:rPr>
          <w:spacing w:val="2"/>
        </w:rPr>
        <w:t>了解和评估管理层对应收账款日常管理及可收回性评估相关的内</w:t>
      </w:r>
      <w:r>
        <w:rPr>
          <w:w w:val="100"/>
        </w:rPr>
        <w:t> </w:t>
      </w:r>
      <w:r>
        <w:rPr/>
        <w:t>部控制的设计，通过穿行测试评价相关内部控制是否得到有效执行。</w:t>
      </w:r>
    </w:p>
    <w:p>
      <w:pPr>
        <w:pStyle w:val="Heading3"/>
        <w:spacing w:line="408" w:lineRule="auto"/>
        <w:ind w:right="1130"/>
        <w:jc w:val="both"/>
      </w:pPr>
      <w:r>
        <w:rPr>
          <w:spacing w:val="-3"/>
        </w:rPr>
        <w:t>（2）复核管理层在评估应收账款的可收回性方面的判断及估计，关注管理</w:t>
      </w:r>
      <w:r>
        <w:rPr>
          <w:w w:val="100"/>
        </w:rPr>
        <w:t> </w:t>
      </w:r>
      <w:r>
        <w:rPr>
          <w:spacing w:val="2"/>
        </w:rPr>
        <w:t>层是否充分识别已发生减值的项目。当中考虑过往的回款模式、实际信用条款</w:t>
      </w:r>
      <w:r>
        <w:rPr>
          <w:spacing w:val="-99"/>
        </w:rPr>
        <w:t> </w:t>
      </w:r>
      <w:r>
        <w:rPr>
          <w:spacing w:val="-99"/>
        </w:rPr>
      </w:r>
      <w:r>
        <w:rPr/>
        <w:t>的遵守情况，以及对经营环境及行业基准的认知等。</w:t>
      </w:r>
    </w:p>
    <w:p>
      <w:pPr>
        <w:pStyle w:val="Heading3"/>
        <w:spacing w:line="408" w:lineRule="auto"/>
        <w:ind w:right="1130"/>
        <w:jc w:val="both"/>
      </w:pPr>
      <w:r>
        <w:rPr>
          <w:spacing w:val="-3"/>
        </w:rPr>
        <w:t>（3）对单项测试计提坏账准备的应收账款，我们复核了管理层在评估应收</w:t>
      </w:r>
      <w:r>
        <w:rPr>
          <w:w w:val="100"/>
        </w:rPr>
        <w:t> </w:t>
      </w:r>
      <w:r>
        <w:rPr>
          <w:spacing w:val="2"/>
        </w:rPr>
        <w:t>账款的可收回性方面的判断及估计，关注管理层是否充分识别已发生减值的项</w:t>
      </w:r>
      <w:r>
        <w:rPr>
          <w:spacing w:val="-99"/>
        </w:rPr>
        <w:t> </w:t>
      </w:r>
      <w:r>
        <w:rPr>
          <w:spacing w:val="-99"/>
        </w:rPr>
      </w:r>
      <w:r>
        <w:rPr/>
        <w:t>目，评价管理层坏账准备计提的合理性。</w:t>
      </w:r>
    </w:p>
    <w:p>
      <w:pPr>
        <w:pStyle w:val="Heading3"/>
        <w:spacing w:line="408" w:lineRule="auto"/>
        <w:ind w:right="1132"/>
        <w:jc w:val="both"/>
      </w:pPr>
      <w:r>
        <w:rPr>
          <w:spacing w:val="-3"/>
        </w:rPr>
        <w:t>（4）对管理层按照信用风险特征组合计提坏账准备的应收账款进行了减值</w:t>
      </w:r>
      <w:r>
        <w:rPr>
          <w:w w:val="100"/>
        </w:rPr>
        <w:t> </w:t>
      </w:r>
      <w:r>
        <w:rPr>
          <w:spacing w:val="2"/>
        </w:rPr>
        <w:t>测试，检查账龄划分是否正确，并结合行业平均坏账准备计提比例评估管理层</w:t>
      </w:r>
      <w:r>
        <w:rPr>
          <w:spacing w:val="-99"/>
        </w:rPr>
        <w:t> </w:t>
      </w:r>
      <w:r>
        <w:rPr>
          <w:spacing w:val="-99"/>
        </w:rPr>
      </w:r>
      <w:r>
        <w:rPr/>
        <w:t>所采用的坏账准备计提比例是否适当，评价管理层坏账准备计提的合理性。</w:t>
      </w:r>
    </w:p>
    <w:p>
      <w:pPr>
        <w:pStyle w:val="Heading3"/>
        <w:spacing w:line="240" w:lineRule="auto"/>
        <w:ind w:left="674" w:right="0" w:firstLine="0"/>
        <w:jc w:val="left"/>
      </w:pPr>
      <w:r>
        <w:rPr/>
        <w:t>（5）检查应收账款的期后回款情况。</w:t>
      </w:r>
    </w:p>
    <w:p>
      <w:pPr>
        <w:spacing w:line="240" w:lineRule="auto" w:before="9"/>
        <w:rPr>
          <w:rFonts w:ascii="宋体" w:hAnsi="宋体" w:cs="宋体" w:eastAsia="宋体" w:hint="default"/>
          <w:sz w:val="19"/>
          <w:szCs w:val="19"/>
        </w:rPr>
      </w:pPr>
    </w:p>
    <w:p>
      <w:pPr>
        <w:pStyle w:val="Heading3"/>
        <w:spacing w:line="408" w:lineRule="auto" w:before="0"/>
        <w:ind w:right="1132"/>
        <w:jc w:val="both"/>
      </w:pPr>
      <w:r>
        <w:rPr>
          <w:spacing w:val="-3"/>
        </w:rPr>
        <w:t>（6）评估了管理层对应收账款及应收账款坏账准备的财务报表披露是否恰</w:t>
      </w:r>
      <w:r>
        <w:rPr>
          <w:w w:val="100"/>
        </w:rPr>
        <w:t> </w:t>
      </w:r>
      <w:r>
        <w:rPr/>
        <w:t>当。</w:t>
      </w:r>
    </w:p>
    <w:p>
      <w:pPr>
        <w:pStyle w:val="Heading3"/>
        <w:spacing w:line="408" w:lineRule="auto"/>
        <w:ind w:right="1130"/>
        <w:jc w:val="both"/>
      </w:pPr>
      <w:r>
        <w:rPr>
          <w:spacing w:val="2"/>
        </w:rPr>
        <w:t>基于已执行的审计工作，我们认为，管理层对应收账款的可收回性的相关</w:t>
      </w:r>
      <w:r>
        <w:rPr>
          <w:w w:val="100"/>
        </w:rPr>
        <w:t> </w:t>
      </w:r>
      <w:r>
        <w:rPr/>
        <w:t>判断及估计是合理的。</w:t>
      </w:r>
    </w:p>
    <w:p>
      <w:pPr>
        <w:pStyle w:val="Heading2"/>
        <w:spacing w:line="240" w:lineRule="auto" w:before="181"/>
        <w:ind w:right="0"/>
        <w:jc w:val="left"/>
        <w:rPr>
          <w:b w:val="0"/>
          <w:bCs w:val="0"/>
        </w:rPr>
      </w:pPr>
      <w:r>
        <w:rPr/>
        <w:t>其他信息</w:t>
      </w:r>
      <w:r>
        <w:rPr>
          <w:b w:val="0"/>
          <w:bCs w:val="0"/>
        </w:rPr>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b/>
          <w:bCs/>
          <w:sz w:val="20"/>
          <w:szCs w:val="20"/>
        </w:rPr>
      </w:pPr>
    </w:p>
    <w:p>
      <w:pPr>
        <w:pStyle w:val="Heading3"/>
        <w:spacing w:line="408" w:lineRule="auto" w:before="158"/>
        <w:ind w:left="472" w:right="0"/>
        <w:jc w:val="left"/>
      </w:pPr>
      <w:r>
        <w:rPr/>
        <w:t>科蓝软件公司管理层对其他信息负责。其他信息包括2019年年度报告中</w:t>
      </w:r>
      <w:r>
        <w:rPr>
          <w:w w:val="100"/>
        </w:rPr>
        <w:t> </w:t>
      </w:r>
      <w:r>
        <w:rPr/>
        <w:t>涵盖的信息，但不包括财务报表和我们的审计报告。</w:t>
      </w:r>
    </w:p>
    <w:p>
      <w:pPr>
        <w:pStyle w:val="Heading3"/>
        <w:spacing w:line="408" w:lineRule="auto"/>
        <w:ind w:left="472" w:right="0"/>
        <w:jc w:val="left"/>
      </w:pPr>
      <w:r>
        <w:rPr/>
        <w:t>我们对财务报表发表的审计意见不涵盖其他信息，我们也不对其他信息</w:t>
      </w:r>
      <w:r>
        <w:rPr>
          <w:w w:val="100"/>
        </w:rPr>
        <w:t> </w:t>
      </w:r>
      <w:r>
        <w:rPr/>
        <w:t>发表任何形式的鉴证结论。</w:t>
      </w:r>
    </w:p>
    <w:p>
      <w:pPr>
        <w:pStyle w:val="Heading3"/>
        <w:spacing w:line="408" w:lineRule="auto"/>
        <w:ind w:left="472" w:right="0"/>
        <w:jc w:val="left"/>
      </w:pPr>
      <w:r>
        <w:rPr>
          <w:spacing w:val="-5"/>
        </w:rPr>
        <w:t>结合我们对财务报表的审计，我们的责任是阅读其他信息，在此过程中，</w:t>
      </w:r>
      <w:r>
        <w:rPr>
          <w:w w:val="100"/>
        </w:rPr>
        <w:t> </w:t>
      </w:r>
      <w:r>
        <w:rPr/>
        <w:t>考虑其他信息是否与财务报表或我们在审计过程中了解的情况存在重大不一</w:t>
      </w:r>
      <w:r>
        <w:rPr>
          <w:spacing w:val="-124"/>
        </w:rPr>
        <w:t> </w:t>
      </w:r>
      <w:r>
        <w:rPr>
          <w:spacing w:val="-124"/>
        </w:rPr>
      </w:r>
      <w:r>
        <w:rPr/>
        <w:t>致或者似乎存在重大错报。</w:t>
      </w:r>
    </w:p>
    <w:p>
      <w:pPr>
        <w:pStyle w:val="Heading3"/>
        <w:spacing w:line="408" w:lineRule="auto"/>
        <w:ind w:left="472" w:right="0"/>
        <w:jc w:val="left"/>
      </w:pPr>
      <w:r>
        <w:rPr>
          <w:spacing w:val="-2"/>
        </w:rPr>
        <w:t>基于我们已执行的工作，如果我们确定其他信息存在重大错报，我们应</w:t>
      </w:r>
      <w:r>
        <w:rPr>
          <w:w w:val="100"/>
        </w:rPr>
        <w:t> </w:t>
      </w:r>
      <w:r>
        <w:rPr/>
        <w:t>当报告该事实。在这方面，我们无任何事项需要报告。</w:t>
      </w:r>
    </w:p>
    <w:p>
      <w:pPr>
        <w:spacing w:line="487" w:lineRule="auto" w:before="181"/>
        <w:ind w:left="892" w:right="0" w:hanging="780"/>
        <w:jc w:val="left"/>
        <w:rPr>
          <w:rFonts w:ascii="宋体" w:hAnsi="宋体" w:cs="宋体" w:eastAsia="宋体" w:hint="default"/>
          <w:sz w:val="28"/>
          <w:szCs w:val="28"/>
        </w:rPr>
      </w:pPr>
      <w:r>
        <w:rPr>
          <w:rFonts w:ascii="宋体" w:hAnsi="宋体" w:cs="宋体" w:eastAsia="宋体" w:hint="default"/>
          <w:b/>
          <w:bCs/>
          <w:sz w:val="28"/>
          <w:szCs w:val="28"/>
        </w:rPr>
        <w:t>管理层和治理层对财务报表的责任</w:t>
      </w:r>
      <w:r>
        <w:rPr>
          <w:rFonts w:ascii="宋体" w:hAnsi="宋体" w:cs="宋体" w:eastAsia="宋体" w:hint="default"/>
          <w:b/>
          <w:bCs/>
          <w:w w:val="99"/>
          <w:sz w:val="28"/>
          <w:szCs w:val="28"/>
        </w:rPr>
        <w:t> </w:t>
      </w:r>
      <w:r>
        <w:rPr>
          <w:rFonts w:ascii="宋体" w:hAnsi="宋体" w:cs="宋体" w:eastAsia="宋体" w:hint="default"/>
          <w:spacing w:val="-5"/>
          <w:sz w:val="28"/>
          <w:szCs w:val="28"/>
        </w:rPr>
        <w:t>科蓝软件公司管理层负责按照企业会计准则的规定编制财务报表，使其实</w:t>
      </w:r>
    </w:p>
    <w:p>
      <w:pPr>
        <w:pStyle w:val="Heading3"/>
        <w:spacing w:line="336" w:lineRule="exact" w:before="0"/>
        <w:ind w:left="472" w:right="0" w:firstLine="0"/>
        <w:jc w:val="left"/>
      </w:pPr>
      <w:r>
        <w:rPr/>
        <w:t>现公允反映，并设计、执行和维护必要的内部控制，以使财务报表不存在由</w:t>
      </w:r>
    </w:p>
    <w:p>
      <w:pPr>
        <w:spacing w:line="240" w:lineRule="auto" w:before="9"/>
        <w:rPr>
          <w:rFonts w:ascii="宋体" w:hAnsi="宋体" w:cs="宋体" w:eastAsia="宋体" w:hint="default"/>
          <w:sz w:val="19"/>
          <w:szCs w:val="19"/>
        </w:rPr>
      </w:pPr>
    </w:p>
    <w:p>
      <w:pPr>
        <w:pStyle w:val="Heading3"/>
        <w:spacing w:line="408" w:lineRule="auto" w:before="0"/>
        <w:ind w:left="1034" w:right="0" w:hanging="562"/>
        <w:jc w:val="left"/>
      </w:pPr>
      <w:r>
        <w:rPr/>
        <w:t>于舞弊或错误导致的重大错报。</w:t>
      </w:r>
      <w:r>
        <w:rPr>
          <w:w w:val="100"/>
        </w:rPr>
        <w:t> </w:t>
      </w:r>
      <w:r>
        <w:rPr/>
        <w:t>在编制财务报表时，管理层负责评估科蓝软件公司的持续经营能力，披</w:t>
      </w:r>
    </w:p>
    <w:p>
      <w:pPr>
        <w:pStyle w:val="Heading3"/>
        <w:spacing w:line="408" w:lineRule="auto"/>
        <w:ind w:left="472" w:right="0" w:firstLine="0"/>
        <w:jc w:val="left"/>
      </w:pPr>
      <w:r>
        <w:rPr>
          <w:spacing w:val="-9"/>
          <w:w w:val="100"/>
        </w:rPr>
        <w:t>露与持续经营相关的事项（如适用），并运用持续经营假设，除非管理层计划</w:t>
      </w:r>
      <w:r>
        <w:rPr>
          <w:spacing w:val="-129"/>
          <w:w w:val="100"/>
        </w:rPr>
        <w:t> </w:t>
      </w:r>
      <w:r>
        <w:rPr>
          <w:spacing w:val="-129"/>
          <w:w w:val="100"/>
        </w:rPr>
      </w:r>
      <w:r>
        <w:rPr/>
        <w:t>清算科蓝软件公司、终止运营或别无其他现实的选择。</w:t>
      </w:r>
    </w:p>
    <w:p>
      <w:pPr>
        <w:spacing w:line="487" w:lineRule="auto" w:before="61"/>
        <w:ind w:left="112" w:right="0" w:firstLine="921"/>
        <w:jc w:val="left"/>
        <w:rPr>
          <w:rFonts w:ascii="宋体" w:hAnsi="宋体" w:cs="宋体" w:eastAsia="宋体" w:hint="default"/>
          <w:sz w:val="28"/>
          <w:szCs w:val="28"/>
        </w:rPr>
      </w:pPr>
      <w:r>
        <w:rPr>
          <w:rFonts w:ascii="宋体" w:hAnsi="宋体" w:cs="宋体" w:eastAsia="宋体" w:hint="default"/>
          <w:spacing w:val="-2"/>
          <w:sz w:val="28"/>
          <w:szCs w:val="28"/>
        </w:rPr>
        <w:t>治理层负责监督科蓝软件公司的财务报告过程。</w:t>
      </w:r>
      <w:r>
        <w:rPr>
          <w:rFonts w:ascii="宋体" w:hAnsi="宋体" w:cs="宋体" w:eastAsia="宋体" w:hint="default"/>
          <w:w w:val="100"/>
          <w:sz w:val="28"/>
          <w:szCs w:val="28"/>
        </w:rPr>
        <w:t> </w:t>
      </w:r>
      <w:r>
        <w:rPr>
          <w:rFonts w:ascii="宋体" w:hAnsi="宋体" w:cs="宋体" w:eastAsia="宋体" w:hint="default"/>
          <w:b/>
          <w:bCs/>
          <w:sz w:val="28"/>
          <w:szCs w:val="28"/>
        </w:rPr>
        <w:t>注册会计师对财务报表审计的责任</w:t>
      </w:r>
      <w:r>
        <w:rPr>
          <w:rFonts w:ascii="宋体" w:hAnsi="宋体" w:cs="宋体" w:eastAsia="宋体" w:hint="default"/>
          <w:sz w:val="28"/>
          <w:szCs w:val="28"/>
        </w:rPr>
      </w:r>
    </w:p>
    <w:p>
      <w:pPr>
        <w:pStyle w:val="Heading3"/>
        <w:spacing w:line="408" w:lineRule="auto" w:before="89"/>
        <w:ind w:right="1130"/>
        <w:jc w:val="both"/>
      </w:pPr>
      <w:r>
        <w:rPr>
          <w:spacing w:val="2"/>
        </w:rPr>
        <w:t>我们的目标是对财务报表整体是否不存在由于舞弊或错误导致的重大错报</w:t>
      </w:r>
      <w:r>
        <w:rPr>
          <w:w w:val="100"/>
        </w:rPr>
        <w:t> </w:t>
      </w:r>
      <w:r>
        <w:rPr>
          <w:spacing w:val="2"/>
        </w:rPr>
        <w:t>获取合理保证，并出具包含审计意见的审计报告。合理保证是高水平的保证，</w:t>
      </w:r>
      <w:r>
        <w:rPr>
          <w:spacing w:val="-99"/>
        </w:rPr>
        <w:t> </w:t>
      </w:r>
      <w:r>
        <w:rPr>
          <w:spacing w:val="-99"/>
        </w:rPr>
      </w:r>
      <w:r>
        <w:rPr>
          <w:spacing w:val="2"/>
        </w:rPr>
        <w:t>但并不能保证按照审计准则执行的审计在某一重大错报存在时总能发现。错报</w:t>
      </w:r>
    </w:p>
    <w:p>
      <w:pPr>
        <w:spacing w:after="0" w:line="408" w:lineRule="auto"/>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3"/>
        <w:spacing w:line="408" w:lineRule="auto" w:before="158"/>
        <w:ind w:right="0" w:firstLine="0"/>
        <w:jc w:val="left"/>
      </w:pPr>
      <w:r>
        <w:rPr>
          <w:spacing w:val="2"/>
        </w:rPr>
        <w:t>可能由于舞弊或错误导致，如果合理预期错报单独或汇总起来可能影响财务报</w:t>
      </w:r>
      <w:r>
        <w:rPr>
          <w:spacing w:val="-99"/>
        </w:rPr>
        <w:t> </w:t>
      </w:r>
      <w:r>
        <w:rPr>
          <w:spacing w:val="-99"/>
        </w:rPr>
      </w:r>
      <w:r>
        <w:rPr/>
        <w:t>表使用者依据财务报表作出的经济决策，则通常认为错报是重大的。</w:t>
      </w:r>
    </w:p>
    <w:p>
      <w:pPr>
        <w:pStyle w:val="Heading3"/>
        <w:spacing w:line="408" w:lineRule="auto"/>
        <w:ind w:right="1130"/>
        <w:jc w:val="both"/>
      </w:pPr>
      <w:r>
        <w:rPr>
          <w:spacing w:val="2"/>
        </w:rPr>
        <w:t>在按照审计准则执行审计工作的过程中，我们运用职业判断，并保持职业</w:t>
      </w:r>
      <w:r>
        <w:rPr>
          <w:w w:val="100"/>
        </w:rPr>
        <w:t> </w:t>
      </w:r>
      <w:r>
        <w:rPr/>
        <w:t>怀疑。同时，我们也执行以下工作：</w:t>
      </w:r>
    </w:p>
    <w:p>
      <w:pPr>
        <w:pStyle w:val="Heading3"/>
        <w:spacing w:line="408" w:lineRule="auto"/>
        <w:ind w:right="1130"/>
        <w:jc w:val="both"/>
      </w:pPr>
      <w:r>
        <w:rPr/>
        <w:t>1.</w:t>
      </w:r>
      <w:r>
        <w:rPr>
          <w:spacing w:val="42"/>
        </w:rPr>
        <w:t> </w:t>
      </w:r>
      <w:r>
        <w:rPr>
          <w:spacing w:val="-3"/>
        </w:rPr>
        <w:t>识别和评估由于舞弊或错误导致的财务报表重大错报风险，设计和实施</w:t>
      </w:r>
      <w:r>
        <w:rPr>
          <w:w w:val="100"/>
        </w:rPr>
        <w:t> </w:t>
      </w:r>
      <w:r>
        <w:rPr>
          <w:spacing w:val="2"/>
        </w:rPr>
        <w:t>审计程序以应对这些风险，并获取充分、适当的审计证据，作为发表审计意见</w:t>
      </w:r>
      <w:r>
        <w:rPr>
          <w:spacing w:val="-99"/>
        </w:rPr>
        <w:t> </w:t>
      </w:r>
      <w:r>
        <w:rPr>
          <w:spacing w:val="-99"/>
        </w:rPr>
      </w:r>
      <w:r>
        <w:rPr>
          <w:spacing w:val="2"/>
        </w:rPr>
        <w:t>的基础。由于舞弊可能涉及串通、伪造、故意遗漏、虚假陈述或凌驾于内部控</w:t>
      </w:r>
      <w:r>
        <w:rPr>
          <w:spacing w:val="-99"/>
        </w:rPr>
        <w:t> </w:t>
      </w:r>
      <w:r>
        <w:rPr>
          <w:spacing w:val="-99"/>
        </w:rPr>
      </w:r>
      <w:r>
        <w:rPr>
          <w:spacing w:val="2"/>
        </w:rPr>
        <w:t>制之上，未能发现由于舞弊导致的重大错报的风险高于未能发现由于错误导致</w:t>
      </w:r>
      <w:r>
        <w:rPr>
          <w:spacing w:val="-99"/>
        </w:rPr>
        <w:t> </w:t>
      </w:r>
      <w:r>
        <w:rPr>
          <w:spacing w:val="-99"/>
        </w:rPr>
      </w:r>
      <w:r>
        <w:rPr/>
        <w:t>的重大错报的风险。</w:t>
      </w:r>
    </w:p>
    <w:p>
      <w:pPr>
        <w:pStyle w:val="Heading3"/>
        <w:spacing w:line="240" w:lineRule="auto"/>
        <w:ind w:left="674" w:right="0" w:firstLine="0"/>
        <w:jc w:val="left"/>
      </w:pPr>
      <w:r>
        <w:rPr/>
        <w:t>2.</w:t>
      </w:r>
      <w:r>
        <w:rPr>
          <w:spacing w:val="-16"/>
        </w:rPr>
        <w:t> </w:t>
      </w:r>
      <w:r>
        <w:rPr/>
        <w:t>了解与审计相关的内部控制，以设计恰当的审计程序。</w:t>
      </w:r>
    </w:p>
    <w:p>
      <w:pPr>
        <w:spacing w:line="240" w:lineRule="auto" w:before="9"/>
        <w:rPr>
          <w:rFonts w:ascii="宋体" w:hAnsi="宋体" w:cs="宋体" w:eastAsia="宋体" w:hint="default"/>
          <w:sz w:val="19"/>
          <w:szCs w:val="19"/>
        </w:rPr>
      </w:pPr>
    </w:p>
    <w:p>
      <w:pPr>
        <w:pStyle w:val="Heading3"/>
        <w:spacing w:line="408" w:lineRule="auto" w:before="0"/>
        <w:ind w:right="1132"/>
        <w:jc w:val="both"/>
      </w:pPr>
      <w:r>
        <w:rPr/>
        <w:t>3.</w:t>
      </w:r>
      <w:r>
        <w:rPr>
          <w:spacing w:val="68"/>
        </w:rPr>
        <w:t> </w:t>
      </w:r>
      <w:r>
        <w:rPr>
          <w:spacing w:val="6"/>
        </w:rPr>
        <w:t>评价管理层选用会计政策的恰当性和作出会计估计及相关披露的合理</w:t>
      </w:r>
      <w:r>
        <w:rPr>
          <w:w w:val="100"/>
        </w:rPr>
        <w:t> </w:t>
      </w:r>
      <w:r>
        <w:rPr/>
        <w:t>性。</w:t>
      </w:r>
    </w:p>
    <w:p>
      <w:pPr>
        <w:pStyle w:val="Heading3"/>
        <w:spacing w:line="408" w:lineRule="auto"/>
        <w:ind w:right="992"/>
        <w:jc w:val="both"/>
      </w:pPr>
      <w:r>
        <w:rPr/>
        <w:t>4.</w:t>
      </w:r>
      <w:r>
        <w:rPr>
          <w:spacing w:val="21"/>
        </w:rPr>
        <w:t> </w:t>
      </w:r>
      <w:r>
        <w:rPr>
          <w:spacing w:val="-3"/>
        </w:rPr>
        <w:t>对管理层使用持续经营假设的恰当性得出结论。同时，根据获取的审计</w:t>
      </w:r>
      <w:r>
        <w:rPr>
          <w:w w:val="100"/>
        </w:rPr>
        <w:t> </w:t>
      </w:r>
      <w:r>
        <w:rPr>
          <w:spacing w:val="2"/>
        </w:rPr>
        <w:t>证据，就可能导致对科蓝软件公司持续经营能力产生重大疑虑的事项或情况是</w:t>
      </w:r>
      <w:r>
        <w:rPr>
          <w:spacing w:val="-99"/>
        </w:rPr>
        <w:t> </w:t>
      </w:r>
      <w:r>
        <w:rPr>
          <w:spacing w:val="-99"/>
        </w:rPr>
      </w:r>
      <w:r>
        <w:rPr>
          <w:spacing w:val="2"/>
        </w:rPr>
        <w:t>否存在重大不确定性得出结论。如果我们得出结论认为存在重大不确定性，审</w:t>
      </w:r>
      <w:r>
        <w:rPr>
          <w:spacing w:val="-99"/>
        </w:rPr>
        <w:t> </w:t>
      </w:r>
      <w:r>
        <w:rPr>
          <w:spacing w:val="-99"/>
        </w:rPr>
      </w:r>
      <w:r>
        <w:rPr>
          <w:spacing w:val="2"/>
        </w:rPr>
        <w:t>计准则要求我们在审计报告中提请报告使用者注意财务报表中的相关披露；如</w:t>
      </w:r>
      <w:r>
        <w:rPr>
          <w:spacing w:val="-99"/>
        </w:rPr>
        <w:t> </w:t>
      </w:r>
      <w:r>
        <w:rPr>
          <w:spacing w:val="-99"/>
        </w:rPr>
      </w:r>
      <w:r>
        <w:rPr>
          <w:spacing w:val="2"/>
        </w:rPr>
        <w:t>果披露不充分，我们应当发表非无保留意见。我们的结论基于截至审计报告日</w:t>
      </w:r>
      <w:r>
        <w:rPr>
          <w:spacing w:val="-99"/>
        </w:rPr>
        <w:t> </w:t>
      </w:r>
      <w:r>
        <w:rPr>
          <w:spacing w:val="-99"/>
        </w:rPr>
      </w:r>
      <w:r>
        <w:rPr>
          <w:spacing w:val="-3"/>
        </w:rPr>
        <w:t>可获得的信息。然而，未来的事项或情况可能导致科蓝软件公司不能持续经营。</w:t>
      </w:r>
    </w:p>
    <w:p>
      <w:pPr>
        <w:pStyle w:val="Heading3"/>
        <w:spacing w:line="408" w:lineRule="auto"/>
        <w:ind w:right="1130"/>
        <w:jc w:val="both"/>
      </w:pPr>
      <w:r>
        <w:rPr>
          <w:w w:val="100"/>
        </w:rPr>
        <w:t>5.</w:t>
      </w:r>
      <w:r>
        <w:rPr>
          <w:spacing w:val="26"/>
          <w:w w:val="100"/>
        </w:rPr>
        <w:t> </w:t>
      </w:r>
      <w:r>
        <w:rPr>
          <w:spacing w:val="-3"/>
          <w:w w:val="100"/>
        </w:rPr>
        <w:t>评价财务报表的总体列报、结构和内容（包括披露），并评价财务报表</w:t>
      </w:r>
      <w:r>
        <w:rPr>
          <w:w w:val="100"/>
        </w:rPr>
        <w:t> </w:t>
      </w:r>
      <w:r>
        <w:rPr/>
        <w:t>是否公允反映相关交易和事项。</w:t>
      </w:r>
    </w:p>
    <w:p>
      <w:pPr>
        <w:pStyle w:val="Heading3"/>
        <w:spacing w:line="408" w:lineRule="auto"/>
        <w:ind w:right="1132"/>
        <w:jc w:val="both"/>
      </w:pPr>
      <w:r>
        <w:rPr/>
        <w:t>6.</w:t>
      </w:r>
      <w:r>
        <w:rPr>
          <w:spacing w:val="40"/>
        </w:rPr>
        <w:t> </w:t>
      </w:r>
      <w:r>
        <w:rPr>
          <w:spacing w:val="-3"/>
        </w:rPr>
        <w:t>就科蓝软件公司中实体或业务活动的财务信息获取充分、适当的审计证</w:t>
      </w:r>
      <w:r>
        <w:rPr>
          <w:w w:val="100"/>
        </w:rPr>
        <w:t> </w:t>
      </w:r>
      <w:r>
        <w:rPr>
          <w:spacing w:val="2"/>
        </w:rPr>
        <w:t>据，以对财务报表发表意见。我们负责指导、监督和执行集团审计。我们对审</w:t>
      </w:r>
    </w:p>
    <w:p>
      <w:pPr>
        <w:spacing w:after="0" w:line="408" w:lineRule="auto"/>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pStyle w:val="Heading3"/>
        <w:spacing w:line="408" w:lineRule="auto" w:before="158"/>
        <w:ind w:left="674" w:right="0" w:hanging="562"/>
        <w:jc w:val="left"/>
      </w:pPr>
      <w:r>
        <w:rPr/>
        <w:t>计意见承担全部责任。</w:t>
      </w:r>
      <w:r>
        <w:rPr>
          <w:w w:val="100"/>
        </w:rPr>
        <w:t> </w:t>
      </w:r>
      <w:r>
        <w:rPr>
          <w:spacing w:val="2"/>
        </w:rPr>
        <w:t>我们与治理层就计划的审计范围、时间安排和重大审计发现等事项进行沟</w:t>
      </w:r>
    </w:p>
    <w:p>
      <w:pPr>
        <w:pStyle w:val="Heading3"/>
        <w:spacing w:line="408" w:lineRule="auto"/>
        <w:ind w:left="674" w:right="0" w:hanging="562"/>
        <w:jc w:val="left"/>
      </w:pPr>
      <w:r>
        <w:rPr/>
        <w:t>通，包括沟通我们在审计中识别出的值得关注的内部控制缺陷。</w:t>
      </w:r>
      <w:r>
        <w:rPr>
          <w:w w:val="100"/>
        </w:rPr>
        <w:t> </w:t>
      </w:r>
      <w:r>
        <w:rPr>
          <w:spacing w:val="2"/>
        </w:rPr>
        <w:t>我们还就已遵守与独立性相关的职业道德要求向治理层提供声明，并与治</w:t>
      </w:r>
    </w:p>
    <w:p>
      <w:pPr>
        <w:pStyle w:val="Heading3"/>
        <w:spacing w:line="408" w:lineRule="auto"/>
        <w:ind w:right="0" w:firstLine="0"/>
        <w:jc w:val="left"/>
      </w:pPr>
      <w:r>
        <w:rPr>
          <w:spacing w:val="2"/>
        </w:rPr>
        <w:t>理层沟通可能被合理认为影响我们独立性的所有关系和其他事项，以及相关的</w:t>
      </w:r>
      <w:r>
        <w:rPr>
          <w:spacing w:val="-99"/>
        </w:rPr>
        <w:t> </w:t>
      </w:r>
      <w:r>
        <w:rPr>
          <w:spacing w:val="-99"/>
        </w:rPr>
      </w:r>
      <w:r>
        <w:rPr>
          <w:spacing w:val="-16"/>
          <w:w w:val="100"/>
        </w:rPr>
        <w:t>防范措施（如适用）。</w:t>
      </w:r>
    </w:p>
    <w:p>
      <w:pPr>
        <w:pStyle w:val="Heading3"/>
        <w:spacing w:line="408" w:lineRule="auto"/>
        <w:ind w:right="1130"/>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99"/>
        </w:rPr>
        <w:t> </w:t>
      </w:r>
      <w:r>
        <w:rPr>
          <w:spacing w:val="-99"/>
        </w:rPr>
      </w:r>
      <w:r>
        <w:rPr>
          <w:spacing w:val="2"/>
        </w:rPr>
        <w:t>规禁止公开披露这些事项，或在极少数情形下，如果合理预期在审计报告中沟</w:t>
      </w:r>
      <w:r>
        <w:rPr>
          <w:spacing w:val="-99"/>
        </w:rPr>
        <w:t> </w:t>
      </w:r>
      <w:r>
        <w:rPr>
          <w:spacing w:val="-99"/>
        </w:rPr>
      </w:r>
      <w:r>
        <w:rPr>
          <w:spacing w:val="2"/>
        </w:rPr>
        <w:t>通某事项造成的负面后果超过在公众利益方面产生的益处，我们确定不应在审</w:t>
      </w:r>
      <w:r>
        <w:rPr>
          <w:spacing w:val="-99"/>
        </w:rPr>
        <w:t> </w:t>
      </w:r>
      <w:r>
        <w:rPr>
          <w:spacing w:val="-99"/>
        </w:rPr>
      </w:r>
      <w:r>
        <w:rPr/>
        <w:t>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40.3pt;height:.75pt;mso-position-horizontal-relative:char;mso-position-vertical-relative:line" coordorigin="0,0" coordsize="8806,15">
            <v:group style="position:absolute;left:7;top:7;width:8791;height:2" coordorigin="7,7" coordsize="8791,2">
              <v:shape style="position:absolute;left:7;top:7;width:8791;height:2" coordorigin="7,7" coordsize="8791,0" path="m7,7l8798,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544"/>
        <w:gridCol w:w="2896"/>
        <w:gridCol w:w="570"/>
        <w:gridCol w:w="781"/>
      </w:tblGrid>
      <w:tr>
        <w:trPr>
          <w:trHeight w:val="570" w:hRule="exact"/>
        </w:trPr>
        <w:tc>
          <w:tcPr>
            <w:tcW w:w="4544" w:type="dxa"/>
            <w:tcBorders>
              <w:top w:val="nil" w:sz="6" w:space="0" w:color="auto"/>
              <w:left w:val="nil" w:sz="6" w:space="0" w:color="auto"/>
              <w:bottom w:val="single" w:sz="6" w:space="0" w:color="000000"/>
              <w:right w:val="nil" w:sz="6" w:space="0" w:color="auto"/>
            </w:tcBorders>
          </w:tcPr>
          <w:p>
            <w:pPr>
              <w:pStyle w:val="TableParagraph"/>
              <w:spacing w:line="240" w:lineRule="auto" w:before="14"/>
              <w:ind w:right="6"/>
              <w:jc w:val="center"/>
              <w:rPr>
                <w:rFonts w:ascii="宋体" w:hAnsi="宋体" w:cs="宋体" w:eastAsia="宋体" w:hint="default"/>
                <w:sz w:val="28"/>
                <w:szCs w:val="28"/>
              </w:rPr>
            </w:pPr>
            <w:r>
              <w:rPr>
                <w:rFonts w:ascii="宋体" w:hAnsi="宋体" w:cs="宋体" w:eastAsia="宋体" w:hint="default"/>
                <w:sz w:val="28"/>
                <w:szCs w:val="28"/>
              </w:rPr>
              <w:t>大华会计师事务所(特殊普通合伙)</w:t>
            </w:r>
          </w:p>
        </w:tc>
        <w:tc>
          <w:tcPr>
            <w:tcW w:w="2896" w:type="dxa"/>
            <w:tcBorders>
              <w:top w:val="nil" w:sz="6" w:space="0" w:color="auto"/>
              <w:left w:val="nil" w:sz="6" w:space="0" w:color="auto"/>
              <w:bottom w:val="single" w:sz="6" w:space="0" w:color="000000"/>
              <w:right w:val="nil" w:sz="6" w:space="0" w:color="auto"/>
            </w:tcBorders>
          </w:tcPr>
          <w:p>
            <w:pPr>
              <w:pStyle w:val="TableParagraph"/>
              <w:tabs>
                <w:tab w:pos="2746" w:val="left" w:leader="none"/>
              </w:tabs>
              <w:spacing w:line="240" w:lineRule="auto" w:before="14"/>
              <w:ind w:left="175" w:right="0"/>
              <w:jc w:val="left"/>
              <w:rPr>
                <w:rFonts w:ascii="Times New Roman" w:hAnsi="Times New Roman" w:cs="Times New Roman" w:eastAsia="Times New Roman" w:hint="default"/>
                <w:sz w:val="28"/>
                <w:szCs w:val="28"/>
              </w:rPr>
            </w:pPr>
            <w:r>
              <w:rPr>
                <w:rFonts w:ascii="宋体" w:hAnsi="宋体" w:cs="宋体" w:eastAsia="宋体" w:hint="default"/>
                <w:sz w:val="28"/>
                <w:szCs w:val="28"/>
              </w:rPr>
              <w:t>中国注册会计师：</w:t>
            </w:r>
            <w:r>
              <w:rPr>
                <w:rFonts w:ascii="Times New Roman" w:hAnsi="Times New Roman" w:cs="Times New Roman" w:eastAsia="Times New Roman" w:hint="default"/>
                <w:sz w:val="28"/>
                <w:szCs w:val="28"/>
              </w:rPr>
            </w:r>
            <w:r>
              <w:rPr>
                <w:rFonts w:ascii="Times New Roman" w:hAnsi="Times New Roman" w:cs="Times New Roman" w:eastAsia="Times New Roman" w:hint="default"/>
                <w:sz w:val="28"/>
                <w:szCs w:val="28"/>
                <w:u w:val="single" w:color="000000"/>
              </w:rPr>
              <w:t> </w:t>
              <w:tab/>
            </w:r>
            <w:r>
              <w:rPr>
                <w:rFonts w:ascii="Times New Roman" w:hAnsi="Times New Roman" w:cs="Times New Roman" w:eastAsia="Times New Roman" w:hint="default"/>
                <w:sz w:val="28"/>
                <w:szCs w:val="28"/>
              </w:rPr>
            </w:r>
          </w:p>
        </w:tc>
        <w:tc>
          <w:tcPr>
            <w:tcW w:w="1351" w:type="dxa"/>
            <w:gridSpan w:val="2"/>
            <w:tcBorders>
              <w:top w:val="nil" w:sz="6" w:space="0" w:color="auto"/>
              <w:left w:val="nil" w:sz="6" w:space="0" w:color="auto"/>
              <w:bottom w:val="single" w:sz="6" w:space="0" w:color="000000"/>
              <w:right w:val="nil" w:sz="6" w:space="0" w:color="auto"/>
            </w:tcBorders>
          </w:tcPr>
          <w:p>
            <w:pPr/>
          </w:p>
        </w:tc>
      </w:tr>
      <w:tr>
        <w:trPr>
          <w:trHeight w:val="571" w:hRule="exact"/>
        </w:trPr>
        <w:tc>
          <w:tcPr>
            <w:tcW w:w="4544"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right="3"/>
              <w:jc w:val="center"/>
              <w:rPr>
                <w:rFonts w:ascii="宋体" w:hAnsi="宋体" w:cs="宋体" w:eastAsia="宋体" w:hint="default"/>
                <w:sz w:val="28"/>
                <w:szCs w:val="28"/>
              </w:rPr>
            </w:pPr>
            <w:r>
              <w:rPr>
                <w:rFonts w:ascii="宋体" w:hAnsi="宋体" w:cs="宋体" w:eastAsia="宋体" w:hint="default"/>
                <w:sz w:val="28"/>
                <w:szCs w:val="28"/>
              </w:rPr>
              <w:t>中国·北京</w:t>
            </w:r>
          </w:p>
        </w:tc>
        <w:tc>
          <w:tcPr>
            <w:tcW w:w="2896"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75" w:right="0"/>
              <w:jc w:val="left"/>
              <w:rPr>
                <w:rFonts w:ascii="宋体" w:hAnsi="宋体" w:cs="宋体" w:eastAsia="宋体" w:hint="default"/>
                <w:sz w:val="28"/>
                <w:szCs w:val="28"/>
              </w:rPr>
            </w:pPr>
            <w:r>
              <w:rPr>
                <w:rFonts w:ascii="宋体" w:hAnsi="宋体" w:cs="宋体" w:eastAsia="宋体" w:hint="default"/>
                <w:sz w:val="28"/>
                <w:szCs w:val="28"/>
              </w:rPr>
              <w:t>（项目合伙人）</w:t>
            </w:r>
          </w:p>
        </w:tc>
        <w:tc>
          <w:tcPr>
            <w:tcW w:w="570"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49" w:right="0"/>
              <w:jc w:val="left"/>
              <w:rPr>
                <w:rFonts w:ascii="宋体" w:hAnsi="宋体" w:cs="宋体" w:eastAsia="宋体" w:hint="default"/>
                <w:sz w:val="28"/>
                <w:szCs w:val="28"/>
              </w:rPr>
            </w:pPr>
            <w:r>
              <w:rPr>
                <w:rFonts w:ascii="宋体" w:hAnsi="宋体" w:cs="宋体" w:eastAsia="宋体" w:hint="default"/>
                <w:w w:val="100"/>
                <w:sz w:val="28"/>
                <w:szCs w:val="28"/>
              </w:rPr>
              <w:t>李</w:t>
            </w:r>
          </w:p>
        </w:tc>
        <w:tc>
          <w:tcPr>
            <w:tcW w:w="781"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39" w:right="0"/>
              <w:jc w:val="left"/>
              <w:rPr>
                <w:rFonts w:ascii="宋体" w:hAnsi="宋体" w:cs="宋体" w:eastAsia="宋体" w:hint="default"/>
                <w:sz w:val="28"/>
                <w:szCs w:val="28"/>
              </w:rPr>
            </w:pPr>
            <w:r>
              <w:rPr>
                <w:rFonts w:ascii="宋体" w:hAnsi="宋体" w:cs="宋体" w:eastAsia="宋体" w:hint="default"/>
                <w:w w:val="100"/>
                <w:sz w:val="28"/>
                <w:szCs w:val="28"/>
              </w:rPr>
              <w:t>峰</w:t>
            </w:r>
          </w:p>
        </w:tc>
      </w:tr>
    </w:tbl>
    <w:p>
      <w:pPr>
        <w:spacing w:line="240" w:lineRule="auto" w:before="2"/>
        <w:rPr>
          <w:rFonts w:ascii="宋体" w:hAnsi="宋体" w:cs="宋体" w:eastAsia="宋体" w:hint="default"/>
          <w:sz w:val="6"/>
          <w:szCs w:val="6"/>
        </w:rPr>
      </w:pPr>
    </w:p>
    <w:p>
      <w:pPr>
        <w:spacing w:line="20" w:lineRule="exact"/>
        <w:ind w:left="4642" w:right="0" w:firstLine="0"/>
        <w:rPr>
          <w:rFonts w:ascii="宋体" w:hAnsi="宋体" w:cs="宋体" w:eastAsia="宋体" w:hint="default"/>
          <w:sz w:val="2"/>
          <w:szCs w:val="2"/>
        </w:rPr>
      </w:pPr>
      <w:r>
        <w:rPr>
          <w:rFonts w:ascii="宋体" w:hAnsi="宋体" w:cs="宋体" w:eastAsia="宋体" w:hint="default"/>
          <w:sz w:val="2"/>
          <w:szCs w:val="2"/>
        </w:rPr>
        <w:pict>
          <v:group style="width:213.5pt;height:.75pt;mso-position-horizontal-relative:char;mso-position-vertical-relative:line" coordorigin="0,0" coordsize="4270,15">
            <v:group style="position:absolute;left:7;top:7;width:4255;height:2" coordorigin="7,7" coordsize="4255,2">
              <v:shape style="position:absolute;left:7;top:7;width:4255;height:2" coordorigin="7,7" coordsize="4255,0" path="m7,7l426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4642" w:right="0" w:firstLine="0"/>
        <w:rPr>
          <w:rFonts w:ascii="宋体" w:hAnsi="宋体" w:cs="宋体" w:eastAsia="宋体" w:hint="default"/>
          <w:sz w:val="2"/>
          <w:szCs w:val="2"/>
        </w:rPr>
      </w:pPr>
      <w:r>
        <w:rPr>
          <w:rFonts w:ascii="宋体" w:hAnsi="宋体" w:cs="宋体" w:eastAsia="宋体" w:hint="default"/>
          <w:sz w:val="2"/>
          <w:szCs w:val="2"/>
        </w:rPr>
        <w:pict>
          <v:group style="width:213.5pt;height:.75pt;mso-position-horizontal-relative:char;mso-position-vertical-relative:line" coordorigin="0,0" coordsize="4270,15">
            <v:group style="position:absolute;left:7;top:7;width:4255;height:2" coordorigin="7,7" coordsize="4255,2">
              <v:shape style="position:absolute;left:7;top:7;width:4255;height:2" coordorigin="7,7" coordsize="4255,0" path="m7,7l4262,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5"/>
          <w:szCs w:val="5"/>
        </w:rPr>
      </w:pPr>
    </w:p>
    <w:p>
      <w:pPr>
        <w:pStyle w:val="Heading3"/>
        <w:spacing w:line="240" w:lineRule="auto" w:before="14"/>
        <w:ind w:left="2385" w:right="1363" w:firstLine="0"/>
        <w:jc w:val="center"/>
      </w:pPr>
      <w:r>
        <w:rPr/>
        <w:t>中国注册会计师：</w:t>
      </w:r>
    </w:p>
    <w:p>
      <w:pPr>
        <w:spacing w:line="240" w:lineRule="auto" w:before="11"/>
        <w:rPr>
          <w:rFonts w:ascii="宋体" w:hAnsi="宋体" w:cs="宋体" w:eastAsia="宋体" w:hint="default"/>
          <w:sz w:val="13"/>
          <w:szCs w:val="13"/>
        </w:rPr>
      </w:pPr>
    </w:p>
    <w:p>
      <w:pPr>
        <w:spacing w:line="20" w:lineRule="exact"/>
        <w:ind w:left="4642" w:right="0" w:firstLine="0"/>
        <w:rPr>
          <w:rFonts w:ascii="宋体" w:hAnsi="宋体" w:cs="宋体" w:eastAsia="宋体" w:hint="default"/>
          <w:sz w:val="2"/>
          <w:szCs w:val="2"/>
        </w:rPr>
      </w:pPr>
      <w:r>
        <w:rPr>
          <w:rFonts w:ascii="宋体" w:hAnsi="宋体" w:cs="宋体" w:eastAsia="宋体" w:hint="default"/>
          <w:sz w:val="2"/>
          <w:szCs w:val="2"/>
        </w:rPr>
        <w:pict>
          <v:group style="width:213.5pt;height:.75pt;mso-position-horizontal-relative:char;mso-position-vertical-relative:line" coordorigin="0,0" coordsize="4270,15">
            <v:group style="position:absolute;left:7;top:7;width:4255;height:2" coordorigin="7,7" coordsize="4255,2">
              <v:shape style="position:absolute;left:7;top:7;width:4255;height:2" coordorigin="7,7" coordsize="4255,0" path="m7,7l4262,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Heading3"/>
        <w:tabs>
          <w:tab w:pos="559" w:val="left" w:leader="none"/>
        </w:tabs>
        <w:spacing w:line="240" w:lineRule="auto" w:before="14"/>
        <w:ind w:left="0" w:right="2339" w:firstLine="0"/>
        <w:jc w:val="right"/>
      </w:pPr>
      <w:r>
        <w:rPr/>
        <w:t>刘</w:t>
        <w:tab/>
        <w:t>黎</w:t>
      </w:r>
    </w:p>
    <w:p>
      <w:pPr>
        <w:spacing w:after="0" w:line="240" w:lineRule="auto"/>
        <w:jc w:val="right"/>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40.3pt;height:.75pt;mso-position-horizontal-relative:char;mso-position-vertical-relative:line" coordorigin="0,0" coordsize="8806,15">
            <v:group style="position:absolute;left:7;top:7;width:8791;height:2" coordorigin="7,7" coordsize="8791,2">
              <v:shape style="position:absolute;left:7;top:7;width:8791;height:2" coordorigin="7,7" coordsize="8791,0" path="m7,7l879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40.3pt;height:.75pt;mso-position-horizontal-relative:char;mso-position-vertical-relative:line" coordorigin="0,0" coordsize="8806,15">
            <v:group style="position:absolute;left:7;top:7;width:8791;height:2" coordorigin="7,7" coordsize="8791,2">
              <v:shape style="position:absolute;left:7;top:7;width:8791;height:2" coordorigin="7,7" coordsize="8791,0" path="m7,7l879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40.3pt;height:.75pt;mso-position-horizontal-relative:char;mso-position-vertical-relative:line" coordorigin="0,0" coordsize="8806,15">
            <v:group style="position:absolute;left:7;top:7;width:8791;height:2" coordorigin="7,7" coordsize="8791,2">
              <v:shape style="position:absolute;left:7;top:7;width:8791;height:2" coordorigin="7,7" coordsize="8791,0" path="m7,7l8798,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Heading3"/>
        <w:spacing w:line="240" w:lineRule="auto" w:before="14"/>
        <w:ind w:left="4972" w:right="0" w:firstLine="0"/>
        <w:jc w:val="left"/>
      </w:pPr>
      <w:r>
        <w:rPr/>
        <w:t>二〇二〇年四月二十三日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26"/>
        <w:ind w:right="0"/>
        <w:jc w:val="left"/>
        <w:rPr>
          <w:b w:val="0"/>
          <w:bCs w:val="0"/>
        </w:rPr>
      </w:pPr>
      <w:bookmarkStart w:name="二、财务报表" w:id="158"/>
      <w:bookmarkEnd w:id="158"/>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编制单位：北京科蓝软件系统股份有限公司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3" w:equalWidth="0">
            <w:col w:w="3533" w:space="544"/>
            <w:col w:w="1599" w:space="3242"/>
            <w:col w:w="197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261,348,244.61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407,308,560.68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643,121,762.14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545,859,103.03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14,504,557.38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13,989,105.93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16,683,944.64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18,736,663.82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256,169,835.20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186,149,797.86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3,627,078.69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65,378,716.20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1,195,455,422.66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1,237,421,947.52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28,472,058.60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19,271,935.74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21,069,415.37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28,458,768.98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7,388,408.94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4,948,147.98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94,420,282.63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33,308,695.91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22,372,213.53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6,662,575.80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42,589,838.75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41,684,149.19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11,401,289.15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10,417,471.72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24,721,018.72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18,626,654.85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32,066,302.00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288,390,058.44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168,989,169.42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1,483,845,481.10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1,406,411,116.94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414,738,949.26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419,735,429.52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36,251,761.19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13,569,521.18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34,643,619.44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22,408,884.33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58,410,984.83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47,399,147.13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30,405,326.56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24,828,775.76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61,139,780.51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59,852,539.62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43,734,207.27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25,346,372.37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679,324,629.06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613,140,669.91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34,684,396.32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48,473,220.20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325,333.00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325,333.00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6,307,933.23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7,126,765.21</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1016" w:header="907" w:top="1100" w:bottom="1200" w:left="1020" w:right="0"/>
          <w:pgNumType w:start="1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41,317,662.55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55,925,318.41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720,642,291.61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669,065,988.32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300,425,156.00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201,463,957.00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243,839,587.40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354,360,072.83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33,771,140.76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44,639,624.11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-801,429.25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406,939.68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28,437,274.30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22,613,994.83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212,370,127.93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186,810,343.76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750,499,575.62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721,015,683.99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12,703,613.87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16,329,444.63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763,203,189.49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737,345,128.62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1,483,845,481.10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1,406,411,116.94</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1231" w:firstLine="0"/>
        <w:jc w:val="right"/>
        <w:rPr>
          <w:rFonts w:ascii="宋体" w:hAnsi="宋体" w:cs="宋体" w:eastAsia="宋体" w:hint="default"/>
          <w:sz w:val="18"/>
          <w:szCs w:val="18"/>
        </w:rPr>
      </w:pPr>
      <w:r>
        <w:rPr>
          <w:rFonts w:ascii="宋体" w:hAnsi="宋体" w:cs="宋体" w:eastAsia="宋体" w:hint="default"/>
          <w:sz w:val="18"/>
          <w:szCs w:val="18"/>
        </w:rPr>
        <w:t>法定代表人：王安京</w:t>
        <w:tab/>
        <w:t>主管会计工作负责人：周旭红</w:t>
        <w:tab/>
        <w:t>会计机构负责人：吴玉苹</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181,281,885.36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323,257,923.62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630,290,459.26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560,560,400.82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13,584,666.35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13,187,105.76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200,904,333.07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118,513,967.40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255,440,412.64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176,787,054.51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1,002.60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1,281,502,759.28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1,252,306,452.11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27,305,280.00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59,779,860.74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61,577,340.37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27,305,280.00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3,591,615.86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2,380,107.83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361,055.00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390,567.28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9,089,977.13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8,678,699.71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21,696,674.28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16,909,058.40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127,524,463.01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121,041,053.59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1,409,027,222.29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1,373,347,505.70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344,532,885.01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369,735,429.52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11,199,532.66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7,721,180.42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33,198,715.00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18,872,517.90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55,035,278.96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45,911,859.75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27,421,715.12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24,048,396.67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98,617,148.94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112,276,488.65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43,734,207.27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25,346,372.37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613,739,482.96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603,912,245.28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34,684,396.32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48,473,220.20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325,333.00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325,333.00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35,009,729.32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48,798,553.20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648,749,212.28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652,710,798.48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300,425,156.00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201,463,957.00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243,839,587.40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354,360,072.83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33,771,140.76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44,639,624.11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28,437,274.30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22,613,994.83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221,347,133.07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186,838,306.67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760,278,010.01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720,636,707.22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1,409,027,222.29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1,373,347,505.70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933,872,009.88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753,221,267.15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933,872,009.88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753,221,267.15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6"/>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871,579,284.46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683,589,319.55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539,272,953.78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443,100,042.33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6"/>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3,172,123.85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2,712,413.46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85,442,257.48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60,481,399.99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95,362,876.53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59,032,622.13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113,794,154.92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94,048,597.88</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34,534,917.90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24,214,243.76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36,679,573.00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21,412,266.08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2,653,475.36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1,528,552.03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2,424,245.13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4,351,505.37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-167,641.37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-448,391.73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-1,797,479.63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-2,782,084.66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-17,188,727.55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-4,590,531.54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-33,292,242.34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42,770,070.09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40,242,818.90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354,635.82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67,663.50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58,825.71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19,009.20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43,065,880.20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40,291,473.20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-3,036,612.82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-1,792,001.61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46,102,493.02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42,083,474.81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46,102,493.02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42,083,474.81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49,509,331.14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42,576,019.79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-3,406,838.12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-492,544.98</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-1,208,368.93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335,593.03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-1,208,368.93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335,593.03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-1,208,368.93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335,593.03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-1,208,368.93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335,593.03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44,894,124.09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42,419,067.84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48,300,962.21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42,911,612.82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-3,406,838.12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-492,544.98</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0.14</w:t>
            </w:r>
          </w:p>
        </w:tc>
      </w:tr>
    </w:tbl>
    <w:p>
      <w:pPr>
        <w:tabs>
          <w:tab w:pos="3532" w:val="left" w:leader="none"/>
          <w:tab w:pos="7672" w:val="left" w:leader="none"/>
        </w:tabs>
        <w:spacing w:line="624" w:lineRule="auto" w:before="50"/>
        <w:ind w:left="112" w:right="123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法定代表人：王安京</w:t>
        <w:tab/>
        <w:t>主管会计工作负责人：周旭红</w:t>
        <w:tab/>
        <w:t>会计机构负责人：吴玉苹</w:t>
      </w:r>
    </w:p>
    <w:p>
      <w:pPr>
        <w:pStyle w:val="Heading6"/>
        <w:spacing w:line="240" w:lineRule="auto" w:before="65"/>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845,309,025.55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739,127,047.45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483,546,238.38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436,848,476.52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2,860,604.29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2,622,754.39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80,533,034.34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59,219,447.20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56,726,760.16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51,364,806.29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109,255,502.93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91,967,364.25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37,634,643.39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23,416,645.00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36,490,993.25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21,412,303.16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1,047,736.01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1,480,173.37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2,388,031.39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4,197,681.92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-381,722.85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-305,058.72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-1,797,479.63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-2,638,751.65</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93"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-15,180,732.75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-4,590,531.54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-33,552,776.06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二、营业利润（亏损以“－”号填</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56,987,286.31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44,027,400.94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222,084.84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63,197.30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17,082.60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57,209,371.15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44,073,515.64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-1,023,423.58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-1,230,454.37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58,232,794.73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45,303,970.01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58,232,794.73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45,303,970.01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0" w:right="0"/>
              <w:jc w:val="left"/>
              <w:rPr>
                <w:rFonts w:ascii="Times New Roman" w:hAnsi="Times New Roman" w:cs="Times New Roman" w:eastAsia="Times New Roman" w:hint="default"/>
                <w:sz w:val="18"/>
                <w:szCs w:val="18"/>
              </w:rPr>
            </w:pPr>
            <w:r>
              <w:rPr>
                <w:rFonts w:ascii="Times New Roman"/>
                <w:sz w:val="18"/>
              </w:rPr>
              <w:t>58,232,794.73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3" w:right="0"/>
              <w:jc w:val="left"/>
              <w:rPr>
                <w:rFonts w:ascii="Times New Roman" w:hAnsi="Times New Roman" w:cs="Times New Roman" w:eastAsia="Times New Roman" w:hint="default"/>
                <w:sz w:val="18"/>
                <w:szCs w:val="18"/>
              </w:rPr>
            </w:pPr>
            <w:r>
              <w:rPr>
                <w:rFonts w:ascii="Times New Roman"/>
                <w:sz w:val="18"/>
              </w:rPr>
              <w:t>45,303,970.01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854,412,531.32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697,500,185.10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661,162.10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1,159,742.52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66,590,655.64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25,172,188.81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921,664,349.06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723,832,116.43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35,302,576.21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31,159,005.23</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725,704,789.84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613,092,457.05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36,529,272.09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24,098,000.18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147,756,562.15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105,488,711.51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945,293,200.29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773,838,173.97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-23,628,851.23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-50,006,057.54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179,637,694.94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1,595,412.69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2,333,692.93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194,183,107.63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265,933,692.93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121,110,430.05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3,200,349.86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117,517,422.20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255,875,280.00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60,904,035.88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14,820,000.00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29,180,513.92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253,447,852.25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349,160,179.66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-59,264,744.62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-83,226,486.73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13,900,000.00</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1016" w:header="907" w:top="1100" w:bottom="1200" w:left="1020" w:right="0"/>
          <w:pgNumType w:start="13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822,624,166.67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607,626,982.77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822,624,166.67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638,526,982.77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833,200,989.00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438,180,407.43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37,711,618.49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20,264,389.95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51,432,902.37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23,107,072.29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922,345,509.86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481,551,869.67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-99,721,343.19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156,975,113.10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293,831.55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747,951.87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-182,321,107.49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24,490,520.70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402,563,131.68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378,072,610.98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220,242,024.19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402,563,131.68</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789,400,170.85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659,492,501.61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661,162.10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1,159,742.52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131,991,808.59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25,672,919.22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922,053,141.54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686,325,163.35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10,428,995.18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28,309,859.71</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692,162,881.73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596,049,862.45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33,710,340.30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22,589,531.86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333,849,381.67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118,446,594.41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1,070,151,598.88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765,395,848.43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-148,098,457.34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-79,070,685.08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1,415,756.78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2,333,692.93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170,415,756.78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257,333,692.93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2,648,341.01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2,522,171.58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255,875,280.00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19,580,513.92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113,648,341.01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381,477,965.50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56,767,415.77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-124,144,272.57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737,474,166.67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607,626,982.77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737,474,166.67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638,526,982.77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733,200,989.00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438,180,407.43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37,579,102.99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20,264,389.95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14,432,902.37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23,107,072.29</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785,212,994.36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481,551,869.67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-47,738,827.69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156,975,113.10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63,434.57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-139,067,992.26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-46,176,409.98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318,512,494.62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364,688,904.60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179,444,502.36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318,512,494.62</w:t>
            </w:r>
          </w:p>
        </w:tc>
      </w:tr>
    </w:tbl>
    <w:p>
      <w:pPr>
        <w:spacing w:line="240" w:lineRule="auto" w:before="11"/>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2"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7"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6" w:right="10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02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9" w:right="1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9" w:right="136"/>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一、上年期末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072.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83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44,6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24.1</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406,</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810,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015,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44.6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737,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345,</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62</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0"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4"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2"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96</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96</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39"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39"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4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二、本年期初</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072.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83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44,6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24.1</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406,</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709,</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878,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44.6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726,</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118.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66</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0"/>
              <w:jc w:val="both"/>
              <w:rPr>
                <w:rFonts w:ascii="宋体" w:hAnsi="宋体" w:cs="宋体" w:eastAsia="宋体" w:hint="default"/>
                <w:sz w:val="18"/>
                <w:szCs w:val="18"/>
              </w:rPr>
            </w:pPr>
            <w:r>
              <w:rPr>
                <w:rFonts w:ascii="宋体" w:hAnsi="宋体" w:cs="宋体" w:eastAsia="宋体" w:hint="default"/>
                <w:spacing w:val="-7"/>
                <w:sz w:val="18"/>
                <w:szCs w:val="18"/>
              </w:rPr>
              <w:t>三、本期增减</w:t>
            </w:r>
            <w:r>
              <w:rPr>
                <w:rFonts w:ascii="宋体" w:hAnsi="宋体" w:cs="宋体" w:eastAsia="宋体" w:hint="default"/>
                <w:sz w:val="18"/>
                <w:szCs w:val="18"/>
              </w:rPr>
              <w:t> </w:t>
            </w:r>
            <w:r>
              <w:rPr>
                <w:rFonts w:ascii="宋体" w:hAnsi="宋体" w:cs="宋体" w:eastAsia="宋体" w:hint="default"/>
                <w:spacing w:val="-7"/>
                <w:sz w:val="18"/>
                <w:szCs w:val="18"/>
              </w:rPr>
              <w:t>变动金额（减</w:t>
            </w:r>
            <w:r>
              <w:rPr>
                <w:rFonts w:ascii="宋体" w:hAnsi="宋体" w:cs="宋体" w:eastAsia="宋体" w:hint="default"/>
                <w:sz w:val="18"/>
                <w:szCs w:val="18"/>
              </w:rPr>
              <w:t> </w:t>
            </w:r>
            <w:r>
              <w:rPr>
                <w:rFonts w:ascii="宋体" w:hAnsi="宋体" w:cs="宋体" w:eastAsia="宋体" w:hint="default"/>
                <w:spacing w:val="-8"/>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961</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485.</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68.9</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40,6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01.5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30.7</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95,0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70.8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（一）综合收</w:t>
            </w:r>
            <w:r>
              <w:rPr>
                <w:rFonts w:ascii="宋体" w:hAnsi="宋体" w:cs="宋体" w:eastAsia="宋体" w:hint="default"/>
                <w:sz w:val="18"/>
                <w:szCs w:val="18"/>
              </w:rPr>
              <w:t> 益总额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68.9</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49,5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94,1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（二）所有者</w:t>
            </w:r>
            <w:r>
              <w:rPr>
                <w:rFonts w:ascii="宋体" w:hAnsi="宋体" w:cs="宋体" w:eastAsia="宋体" w:hint="default"/>
                <w:sz w:val="18"/>
                <w:szCs w:val="18"/>
              </w:rPr>
              <w:t> 投入和减少 资本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770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08</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08</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770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97,7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08</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77,6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77,6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0"/>
              <w:jc w:val="left"/>
              <w:rPr>
                <w:rFonts w:ascii="宋体" w:hAnsi="宋体" w:cs="宋体" w:eastAsia="宋体" w:hint="default"/>
                <w:sz w:val="18"/>
                <w:szCs w:val="18"/>
              </w:rPr>
            </w:pPr>
            <w:r>
              <w:rPr>
                <w:rFonts w:ascii="宋体" w:hAnsi="宋体" w:cs="宋体" w:eastAsia="宋体" w:hint="default"/>
                <w:spacing w:val="-7"/>
                <w:sz w:val="18"/>
                <w:szCs w:val="18"/>
              </w:rPr>
              <w:t>（三）利润分</w:t>
            </w:r>
            <w:r>
              <w:rPr>
                <w:rFonts w:ascii="宋体" w:hAnsi="宋体" w:cs="宋体" w:eastAsia="宋体" w:hint="default"/>
                <w:sz w:val="18"/>
                <w:szCs w:val="18"/>
              </w:rPr>
              <w:t> 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812,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23,2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79.4</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0"/>
              <w:jc w:val="left"/>
              <w:rPr>
                <w:rFonts w:ascii="宋体" w:hAnsi="宋体" w:cs="宋体" w:eastAsia="宋体" w:hint="default"/>
                <w:sz w:val="18"/>
                <w:szCs w:val="18"/>
              </w:rPr>
            </w:pPr>
            <w:r>
              <w:rPr>
                <w:rFonts w:ascii="宋体" w:hAnsi="宋体" w:cs="宋体" w:eastAsia="宋体" w:hint="default"/>
                <w:spacing w:val="-7"/>
                <w:sz w:val="18"/>
                <w:szCs w:val="18"/>
              </w:rPr>
              <w:t>（或股东）的</w:t>
            </w:r>
            <w:r>
              <w:rPr>
                <w:rFonts w:ascii="宋体" w:hAnsi="宋体" w:cs="宋体" w:eastAsia="宋体" w:hint="default"/>
                <w:sz w:val="18"/>
                <w:szCs w:val="18"/>
              </w:rPr>
              <w:t> 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4</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89,2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（四）所有者</w:t>
            </w:r>
            <w:r>
              <w:rPr>
                <w:rFonts w:ascii="宋体" w:hAnsi="宋体" w:cs="宋体" w:eastAsia="宋体" w:hint="default"/>
                <w:sz w:val="18"/>
                <w:szCs w:val="18"/>
              </w:rPr>
              <w:t> 权益内部结 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5"/>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7"/>
                <w:sz w:val="18"/>
                <w:szCs w:val="18"/>
              </w:rPr>
              <w:t>（五）专项储</w:t>
            </w:r>
            <w:r>
              <w:rPr>
                <w:rFonts w:ascii="宋体" w:hAnsi="宋体" w:cs="宋体" w:eastAsia="宋体" w:hint="default"/>
                <w:sz w:val="18"/>
                <w:szCs w:val="18"/>
              </w:rPr>
              <w:t> 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64</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四、本期期末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839,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33,7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71,1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-801</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,429.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499,</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575.</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03,6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203,</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3;width:1207;height:397" coordorigin="13,13" coordsize="1207,397">
              <v:shape style="position:absolute;left:13;top:13;width:1207;height:397" coordorigin="13,13" coordsize="1207,397" path="m13,13l1220,13,1220,410,13,410,13,13xe" filled="true" fillcolor="#d2d2d2" stroked="false">
                <v:path arrowok="t"/>
                <v:fill type="solid"/>
              </v:shape>
            </v:group>
            <v:group style="position:absolute;left:1225;top:13;width:8351;height:397" coordorigin="1225,13" coordsize="8351,397">
              <v:shape style="position:absolute;left:1225;top:13;width:8351;height:397" coordorigin="1225,13" coordsize="8351,397" path="m1225,13l9576,13,9576,410,1225,410,1225,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1222;top:5;width:2;height:400" coordorigin="1222,5" coordsize="2,400">
              <v:shape style="position:absolute;left:1222;top:5;width:2;height:400" coordorigin="1222,5" coordsize="0,400" path="m1222,5l1222,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1212;height:400"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222;top:10;width:8356;height:400"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39" w:right="140"/>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50" w:right="148"/>
              <w:jc w:val="left"/>
              <w:rPr>
                <w:rFonts w:ascii="宋体" w:hAnsi="宋体" w:cs="宋体" w:eastAsia="宋体" w:hint="default"/>
                <w:sz w:val="18"/>
                <w:szCs w:val="18"/>
              </w:rPr>
            </w:pPr>
            <w:r>
              <w:rPr>
                <w:rFonts w:ascii="宋体" w:hAnsi="宋体" w:cs="宋体" w:eastAsia="宋体" w:hint="default"/>
                <w:sz w:val="18"/>
                <w:szCs w:val="18"/>
              </w:rPr>
              <w:t>股 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2" w:right="10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88"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87"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102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7" w:right="1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0" w:right="12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49" w:right="150"/>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一、上年期末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,94</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624,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17</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34,9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71,3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46.6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3</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439,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678,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44</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678,1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88,83</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4.44</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firstLine="360"/>
              <w:jc w:val="left"/>
              <w:rPr>
                <w:rFonts w:ascii="宋体" w:hAnsi="宋体" w:cs="宋体" w:eastAsia="宋体" w:hint="default"/>
                <w:sz w:val="18"/>
                <w:szCs w:val="18"/>
              </w:rPr>
            </w:pPr>
            <w:r>
              <w:rPr>
                <w:rFonts w:ascii="宋体" w:hAnsi="宋体" w:cs="宋体" w:eastAsia="宋体" w:hint="default"/>
                <w:spacing w:val="-21"/>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98"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98"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二、本年期初</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,94</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8,6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624,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17</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34,9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71,3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46.6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97.8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3</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155,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439,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678,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44</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678,1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88,83</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4.44</w:t>
            </w: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2"/>
              <w:jc w:val="both"/>
              <w:rPr>
                <w:rFonts w:ascii="宋体" w:hAnsi="宋体" w:cs="宋体" w:eastAsia="宋体" w:hint="default"/>
                <w:sz w:val="18"/>
                <w:szCs w:val="18"/>
              </w:rPr>
            </w:pPr>
            <w:r>
              <w:rPr>
                <w:rFonts w:ascii="宋体" w:hAnsi="宋体" w:cs="宋体" w:eastAsia="宋体" w:hint="default"/>
                <w:spacing w:val="-14"/>
                <w:sz w:val="18"/>
                <w:szCs w:val="18"/>
              </w:rPr>
              <w:t>三、本期增减</w:t>
            </w:r>
            <w:r>
              <w:rPr>
                <w:rFonts w:ascii="宋体" w:hAnsi="宋体" w:cs="宋体" w:eastAsia="宋体" w:hint="default"/>
                <w:sz w:val="18"/>
                <w:szCs w:val="18"/>
              </w:rPr>
              <w:t> </w:t>
            </w:r>
            <w:r>
              <w:rPr>
                <w:rFonts w:ascii="宋体" w:hAnsi="宋体" w:cs="宋体" w:eastAsia="宋体" w:hint="default"/>
                <w:spacing w:val="-14"/>
                <w:sz w:val="18"/>
                <w:szCs w:val="18"/>
              </w:rPr>
              <w:t>变动金额（减</w:t>
            </w:r>
            <w:r>
              <w:rPr>
                <w:rFonts w:ascii="宋体" w:hAnsi="宋体" w:cs="宋体" w:eastAsia="宋体" w:hint="default"/>
                <w:sz w:val="18"/>
                <w:szCs w:val="18"/>
              </w:rPr>
              <w:t> </w:t>
            </w:r>
            <w:r>
              <w:rPr>
                <w:rFonts w:ascii="宋体" w:hAnsi="宋体" w:cs="宋体" w:eastAsia="宋体" w:hint="default"/>
                <w:spacing w:val="-15"/>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515</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,33</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8.0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264,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666.</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34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0,87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1.11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335,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03</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0,39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31,3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42,8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16,32</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9,444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59,15</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6,294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.18</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（一）综合收</w:t>
            </w:r>
            <w:r>
              <w:rPr>
                <w:rFonts w:ascii="宋体" w:hAnsi="宋体" w:cs="宋体" w:eastAsia="宋体" w:hint="default"/>
                <w:sz w:val="18"/>
                <w:szCs w:val="18"/>
              </w:rPr>
              <w:t>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335,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03</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Times New Roman" w:hAnsi="Times New Roman" w:cs="Times New Roman" w:eastAsia="Times New Roman" w:hint="default"/>
                <w:sz w:val="18"/>
                <w:szCs w:val="18"/>
              </w:rPr>
            </w:pPr>
            <w:r>
              <w:rPr>
                <w:rFonts w:ascii="Times New Roman"/>
                <w:sz w:val="18"/>
              </w:rPr>
              <w:t>42,5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76,0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19.7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42,9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544.9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42,41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9,067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.84</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（二）所有者</w:t>
            </w:r>
            <w:r>
              <w:rPr>
                <w:rFonts w:ascii="宋体" w:hAnsi="宋体" w:cs="宋体" w:eastAsia="宋体" w:hint="default"/>
                <w:sz w:val="18"/>
                <w:szCs w:val="18"/>
              </w:rPr>
              <w:t> 投入和减少 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541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09,6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30.6</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0,87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1.11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0.55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16,82</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1,989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23,41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1,790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.16</w:t>
            </w:r>
          </w:p>
        </w:tc>
      </w:tr>
      <w:tr>
        <w:trPr>
          <w:trHeight w:val="102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6" w:right="0"/>
              <w:jc w:val="left"/>
              <w:rPr>
                <w:rFonts w:ascii="Times New Roman" w:hAnsi="Times New Roman" w:cs="Times New Roman" w:eastAsia="Times New Roman" w:hint="default"/>
                <w:sz w:val="18"/>
                <w:szCs w:val="18"/>
              </w:rPr>
            </w:pPr>
            <w:r>
              <w:rPr>
                <w:rFonts w:ascii="Times New Roman"/>
                <w:sz w:val="18"/>
              </w:rPr>
              <w:t>541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9,11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9,83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0.11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left"/>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0,87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1.11</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9,660</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,871.</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11</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36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6" w:right="0"/>
              <w:jc w:val="lef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6,58</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0.55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0,87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1.11</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70.5</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6</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-3,07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1,070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16,82</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1,989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16,82</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1,989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.61</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（三）利润分</w:t>
            </w:r>
            <w:r>
              <w:rPr>
                <w:rFonts w:ascii="宋体" w:hAnsi="宋体" w:cs="宋体" w:eastAsia="宋体" w:hint="default"/>
                <w:sz w:val="18"/>
                <w:szCs w:val="18"/>
              </w:rPr>
              <w:t>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0,39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04,9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2</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4,563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.82</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0,39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7.00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97.0</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4"/>
                <w:sz w:val="18"/>
                <w:szCs w:val="18"/>
              </w:rPr>
              <w:t>（或股东）的</w:t>
            </w:r>
            <w:r>
              <w:rPr>
                <w:rFonts w:ascii="宋体" w:hAnsi="宋体" w:cs="宋体" w:eastAsia="宋体" w:hint="default"/>
                <w:sz w:val="18"/>
                <w:szCs w:val="18"/>
              </w:rPr>
              <w:t>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74,5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2</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4,563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（四）所有者</w:t>
            </w:r>
            <w:r>
              <w:rPr>
                <w:rFonts w:ascii="宋体" w:hAnsi="宋体" w:cs="宋体" w:eastAsia="宋体" w:hint="default"/>
                <w:sz w:val="18"/>
                <w:szCs w:val="18"/>
              </w:rPr>
              <w:t> 权益内部结 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974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974,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974</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974,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（五）专项储</w:t>
            </w:r>
            <w:r>
              <w:rPr>
                <w:rFonts w:ascii="宋体" w:hAnsi="宋体" w:cs="宋体" w:eastAsia="宋体" w:hint="default"/>
                <w:sz w:val="18"/>
                <w:szCs w:val="18"/>
              </w:rPr>
              <w:t>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四、本期期末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072.</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83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44,6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24.1</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406,</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68</w:t>
            </w: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3</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810,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343.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015,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16,32</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9,444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737,3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45,12</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8.62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4"/>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8" w:right="17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6"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77" w:right="17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8" w:right="1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8"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2" w:right="12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7" w:right="11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6" w:right="11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12"/>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63,95</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7.00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354,36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0,072.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83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44,639</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,624.1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,994.8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838,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306.</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720,636,</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707.22</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12"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11,43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1.32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-10,911,</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431.32</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1" w:right="112"/>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63,95</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354,36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0,072.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44,639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,624.1</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,994.8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926,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875.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709,725,</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275.90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36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98,96</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1,199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-110,5</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20,485</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.43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-10,86</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8,483.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35</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5,823,</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279.47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45,4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50,552,7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34.11</w:t>
            </w: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58,2</w:t>
            </w: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（一）综合收</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32,7</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58,232,7</w:t>
            </w:r>
          </w:p>
        </w:tc>
      </w:tr>
      <w:tr>
        <w:trPr>
          <w:trHeight w:val="316"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94.7</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94.73</w:t>
            </w:r>
          </w:p>
        </w:tc>
      </w:tr>
      <w:tr>
        <w:trPr>
          <w:trHeight w:val="349"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3</w:t>
            </w: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0,779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-9,788,</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507.43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-10,86</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8,483.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35</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-690,803</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0,779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-9,097,</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704.35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-10,868,</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483.35</w:t>
            </w: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其他权益工</w:t>
            </w: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-690,8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03.08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-10,86</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8,483.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35</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10,177,6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80.27</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w:t>
            </w: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（三）利润分</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5,823,</w:t>
            </w: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12,5</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-6,989,2</w:t>
            </w:r>
          </w:p>
        </w:tc>
      </w:tr>
      <w:tr>
        <w:trPr>
          <w:trHeight w:val="316"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28"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279.47</w:t>
            </w: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37.0</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57.54</w:t>
            </w:r>
          </w:p>
        </w:tc>
      </w:tr>
      <w:tr>
        <w:trPr>
          <w:trHeight w:val="349"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w:t>
            </w: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5,823,</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279.47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-5,82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9.47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12"/>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-6,98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9,25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7.54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-6,989,2</w:t>
            </w:r>
          </w:p>
          <w:p>
            <w:pPr>
              <w:pStyle w:val="TableParagraph"/>
              <w:spacing w:line="240" w:lineRule="auto" w:before="105"/>
              <w:ind w:left="243" w:right="0"/>
              <w:jc w:val="center"/>
              <w:rPr>
                <w:rFonts w:ascii="Times New Roman" w:hAnsi="Times New Roman" w:cs="Times New Roman" w:eastAsia="Times New Roman" w:hint="default"/>
                <w:sz w:val="18"/>
                <w:szCs w:val="18"/>
              </w:rPr>
            </w:pPr>
            <w:r>
              <w:rPr>
                <w:rFonts w:ascii="Times New Roman"/>
                <w:sz w:val="18"/>
              </w:rPr>
              <w:t>57.54</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12"/>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100,7</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31,97</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8.00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-100,7</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31,978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w:t>
            </w:r>
          </w:p>
        </w:tc>
        <w:tc>
          <w:tcPr>
            <w:tcW w:w="6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100,7</w:t>
            </w: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-100,7</w:t>
            </w: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62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31,97</w:t>
            </w: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31,978</w:t>
            </w: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r>
      <w:tr>
        <w:trPr>
          <w:trHeight w:val="352"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w:t>
            </w: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r>
      <w:tr>
        <w:trPr>
          <w:trHeight w:val="40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67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12"/>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12"/>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300,4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25,15</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6.00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243,83</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9,587.</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40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,140.7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28,437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,274.3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347,</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760,278,</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010.01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6" w:right="157"/>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7"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96"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13" w:right="12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90" w:right="18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1" w:right="18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0" w:right="189"/>
              <w:jc w:val="center"/>
              <w:rPr>
                <w:rFonts w:ascii="宋体" w:hAnsi="宋体" w:cs="宋体" w:eastAsia="宋体" w:hint="default"/>
                <w:sz w:val="18"/>
                <w:szCs w:val="18"/>
              </w:rPr>
            </w:pPr>
            <w:r>
              <w:rPr>
                <w:rFonts w:ascii="宋体" w:hAnsi="宋体" w:cs="宋体" w:eastAsia="宋体" w:hint="default"/>
                <w:sz w:val="18"/>
                <w:szCs w:val="18"/>
              </w:rPr>
              <w:t>其 他</w:t>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619.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405,6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24,73</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9.17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34,97</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8,753.</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3,597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152,73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9,297.4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675,417,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500.48</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1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948,</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8" w:right="0"/>
              <w:jc w:val="left"/>
              <w:rPr>
                <w:rFonts w:ascii="Times New Roman" w:hAnsi="Times New Roman" w:cs="Times New Roman" w:eastAsia="Times New Roman" w:hint="default"/>
                <w:sz w:val="18"/>
                <w:szCs w:val="18"/>
              </w:rPr>
            </w:pPr>
            <w:r>
              <w:rPr>
                <w:rFonts w:ascii="Times New Roman"/>
                <w:sz w:val="18"/>
              </w:rPr>
              <w:t>405,6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24,73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34,97</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8,753.</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152,73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9,297.4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675,417,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500.48</w:t>
            </w:r>
          </w:p>
        </w:tc>
      </w:tr>
    </w:tbl>
    <w:p>
      <w:pPr>
        <w:spacing w:after="0" w:line="240" w:lineRule="auto"/>
        <w:jc w:val="center"/>
        <w:rPr>
          <w:rFonts w:ascii="Times New Roman" w:hAnsi="Times New Roman" w:cs="Times New Roman" w:eastAsia="Times New Roman" w:hint="default"/>
          <w:sz w:val="18"/>
          <w:szCs w:val="18"/>
        </w:rPr>
        <w:sectPr>
          <w:footerReference w:type="default" r:id="rId33"/>
          <w:pgSz w:w="11910" w:h="16840"/>
          <w:pgMar w:footer="1016" w:header="907" w:top="1100" w:bottom="1200" w:left="1020" w:right="0"/>
          <w:pgNumType w:start="1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67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center"/>
              <w:rPr>
                <w:rFonts w:ascii="Times New Roman" w:hAnsi="Times New Roman" w:cs="Times New Roman" w:eastAsia="Times New Roman" w:hint="default"/>
                <w:sz w:val="18"/>
                <w:szCs w:val="18"/>
              </w:rPr>
            </w:pPr>
            <w:r>
              <w:rPr>
                <w:rFonts w:ascii="Times New Roman"/>
                <w:sz w:val="18"/>
              </w:rPr>
              <w:t>619.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6" w:right="0"/>
              <w:jc w:val="left"/>
              <w:rPr>
                <w:rFonts w:ascii="Times New Roman" w:hAnsi="Times New Roman" w:cs="Times New Roman" w:eastAsia="Times New Roman" w:hint="default"/>
                <w:sz w:val="18"/>
                <w:szCs w:val="18"/>
              </w:rPr>
            </w:pPr>
            <w:r>
              <w:rPr>
                <w:rFonts w:ascii="Times New Roman"/>
                <w:sz w:val="18"/>
              </w:rPr>
              <w:t>9.17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2" w:right="0"/>
              <w:jc w:val="left"/>
              <w:rPr>
                <w:rFonts w:ascii="Times New Roman" w:hAnsi="Times New Roman" w:cs="Times New Roman" w:eastAsia="Times New Roman" w:hint="default"/>
                <w:sz w:val="18"/>
                <w:szCs w:val="18"/>
              </w:rPr>
            </w:pPr>
            <w:r>
              <w:rPr>
                <w:rFonts w:ascii="Times New Roman"/>
                <w:sz w:val="18"/>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1"/>
                <w:sz w:val="18"/>
                <w:szCs w:val="18"/>
              </w:rPr>
              <w:t>少以“－”号</w:t>
            </w:r>
            <w:r>
              <w:rPr>
                <w:rFonts w:ascii="宋体" w:hAnsi="宋体" w:cs="宋体" w:eastAsia="宋体" w:hint="default"/>
                <w:sz w:val="18"/>
                <w:szCs w:val="18"/>
              </w:rPr>
              <w:t> 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38.0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-51,26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9,660,</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871.1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,397.</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34,099,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009.19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45,219,2</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06.74</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45,303,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970.01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45,303,9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70.01</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541,</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15,70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9,630.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9,660,</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871.1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6,589,80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0.55</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541,</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9,119,</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830.1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9,660,87</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1.11</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800.5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9,660,</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871.1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-3,071,07</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,397.</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-11,204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,960.82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-6,674,56</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3.82</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,397.</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397.00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-6,674,</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563.82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-6,674,56</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-66,97</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4,297.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9" w:lineRule="auto"/>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-66,97</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4,297.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67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02"/>
              <w:jc w:val="left"/>
              <w:rPr>
                <w:rFonts w:ascii="宋体" w:hAnsi="宋体" w:cs="宋体" w:eastAsia="宋体" w:hint="default"/>
                <w:sz w:val="18"/>
                <w:szCs w:val="18"/>
              </w:rPr>
            </w:pP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354,3</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60,07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2.83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44,63</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9,624.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11</w:t>
            </w: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22,61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3,994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186,83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8,306.6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720,636,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707.22</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t>公司注册地、组织形式和总部地址</w:t>
      </w:r>
      <w:r>
        <w:rPr>
          <w:b w:val="0"/>
          <w:bCs w:val="0"/>
        </w:rPr>
      </w:r>
    </w:p>
    <w:p>
      <w:pPr>
        <w:pStyle w:val="BodyText"/>
        <w:spacing w:line="273" w:lineRule="auto" w:before="37"/>
        <w:ind w:left="472" w:right="1129" w:firstLine="420"/>
        <w:jc w:val="both"/>
      </w:pPr>
      <w:r>
        <w:rPr>
          <w:spacing w:val="-2"/>
          <w:w w:val="99"/>
        </w:rPr>
        <w:t>北京科蓝软件系统股份有限公司（以下简称“公司”或“本公司”）</w:t>
      </w:r>
      <w:r>
        <w:rPr>
          <w:spacing w:val="10"/>
          <w:w w:val="99"/>
        </w:rPr>
        <w:t> </w:t>
      </w:r>
      <w:r>
        <w:rPr>
          <w:spacing w:val="1"/>
          <w:w w:val="99"/>
        </w:rPr>
        <w:t>前身为北京科蓝软件系统有</w:t>
      </w:r>
      <w:r>
        <w:rPr>
          <w:w w:val="99"/>
        </w:rPr>
        <w:t> </w:t>
      </w:r>
      <w:r>
        <w:rPr>
          <w:spacing w:val="-5"/>
          <w:w w:val="99"/>
        </w:rPr>
        <w:t>限公司（以下简称“科蓝有限公司”），于1999年11月9日经北京市人民政府以外经贸京资字[1999]0525</w:t>
      </w:r>
      <w:r>
        <w:rPr>
          <w:spacing w:val="-86"/>
          <w:w w:val="99"/>
        </w:rPr>
        <w:t> </w:t>
      </w:r>
      <w:r>
        <w:rPr>
          <w:spacing w:val="-86"/>
          <w:w w:val="99"/>
        </w:rPr>
      </w:r>
      <w:r>
        <w:rPr>
          <w:spacing w:val="-1"/>
          <w:w w:val="95"/>
        </w:rPr>
        <w:t>号《中华人民共和国外商投资企业批准证书》批准设立，设立时系外商独资企业。2012年8月24日，北</w:t>
      </w:r>
      <w:r>
        <w:rPr>
          <w:spacing w:val="29"/>
          <w:w w:val="95"/>
        </w:rPr>
        <w:t> </w:t>
      </w:r>
      <w:r>
        <w:rPr>
          <w:spacing w:val="29"/>
          <w:w w:val="95"/>
        </w:rPr>
      </w:r>
      <w:r>
        <w:rPr>
          <w:spacing w:val="-1"/>
          <w:w w:val="95"/>
        </w:rPr>
        <w:t>京市经济技术开发区管委会出具京技管项审字[2012]180号《关于北京科蓝软件系统有限公司转制为内</w:t>
      </w:r>
      <w:r>
        <w:rPr>
          <w:spacing w:val="26"/>
          <w:w w:val="95"/>
        </w:rPr>
        <w:t> </w:t>
      </w:r>
      <w:r>
        <w:rPr>
          <w:spacing w:val="26"/>
          <w:w w:val="95"/>
        </w:rPr>
      </w:r>
      <w:r>
        <w:rPr>
          <w:spacing w:val="-4"/>
          <w:w w:val="99"/>
        </w:rPr>
        <w:t>资企业的批复》，同意科蓝有限公司转制为内资企业。2013年11月30日，科蓝有限公司整体变更为股份</w:t>
      </w:r>
      <w:r>
        <w:rPr>
          <w:spacing w:val="-57"/>
          <w:w w:val="99"/>
        </w:rPr>
        <w:t> </w:t>
      </w:r>
      <w:r>
        <w:rPr>
          <w:spacing w:val="-57"/>
          <w:w w:val="99"/>
        </w:rPr>
      </w:r>
      <w:r>
        <w:rPr/>
        <w:t>有限公司。2017年5月12日，本公司经中国证券监督管理委员会证监许可[2017]690号文《关于核准北</w:t>
      </w:r>
      <w:r>
        <w:rPr>
          <w:spacing w:val="-82"/>
        </w:rPr>
        <w:t> </w:t>
      </w:r>
      <w:r>
        <w:rPr>
          <w:spacing w:val="-82"/>
        </w:rPr>
      </w:r>
      <w:r>
        <w:rPr>
          <w:spacing w:val="-5"/>
          <w:w w:val="99"/>
        </w:rPr>
        <w:t>京科蓝软件系统股份有限公司首次公开发行股票的批复》的核准，发行社会公众股3,286万股，并于2017</w:t>
      </w:r>
      <w:r>
        <w:rPr>
          <w:w w:val="99"/>
        </w:rPr>
        <w:t> </w:t>
      </w:r>
      <w:r>
        <w:rPr/>
        <w:t>年6月2日在深圳证券交易所创业板上市交易。公司现持有统一社会信用代码为91110302717741973K的</w:t>
      </w:r>
      <w:r>
        <w:rPr>
          <w:spacing w:val="-81"/>
        </w:rPr>
        <w:t> </w:t>
      </w:r>
      <w:r>
        <w:rPr>
          <w:spacing w:val="-81"/>
        </w:rPr>
      </w:r>
      <w:r>
        <w:rPr/>
        <w:t>营业执照。</w:t>
      </w:r>
    </w:p>
    <w:p>
      <w:pPr>
        <w:pStyle w:val="BodyText"/>
        <w:spacing w:line="273" w:lineRule="auto"/>
        <w:ind w:left="472" w:right="1131" w:firstLine="420"/>
        <w:jc w:val="both"/>
      </w:pPr>
      <w:r>
        <w:rPr>
          <w:spacing w:val="3"/>
          <w:w w:val="95"/>
        </w:rPr>
        <w:t>经过历年的转增股本及增发新股，截止2019年12月31日，本公司累计发行股本总数30,042.5156</w:t>
      </w:r>
      <w:r>
        <w:rPr>
          <w:w w:val="99"/>
        </w:rPr>
        <w:t> </w:t>
      </w:r>
      <w:r>
        <w:rPr/>
        <w:t>万股，公司注册地址：北京市北京经济技术开发区西环南路18号A座450室，法定代表人为王安京。</w:t>
      </w:r>
    </w:p>
    <w:p>
      <w:pPr>
        <w:spacing w:line="273" w:lineRule="auto" w:before="127"/>
        <w:ind w:left="892" w:right="7664" w:hanging="780"/>
        <w:jc w:val="left"/>
        <w:rPr>
          <w:rFonts w:ascii="宋体" w:hAnsi="宋体" w:cs="宋体" w:eastAsia="宋体" w:hint="default"/>
          <w:sz w:val="21"/>
          <w:szCs w:val="21"/>
        </w:rPr>
      </w:pPr>
      <w:r>
        <w:rPr>
          <w:rFonts w:ascii="宋体" w:hAnsi="宋体" w:cs="宋体" w:eastAsia="宋体" w:hint="default"/>
          <w:b/>
          <w:bCs/>
          <w:sz w:val="21"/>
          <w:szCs w:val="21"/>
        </w:rPr>
        <w:t>公司业务性质和主要经营活动</w:t>
      </w:r>
      <w:r>
        <w:rPr>
          <w:rFonts w:ascii="宋体" w:hAnsi="宋体" w:cs="宋体" w:eastAsia="宋体" w:hint="default"/>
          <w:b/>
          <w:bCs/>
          <w:w w:val="99"/>
          <w:sz w:val="21"/>
          <w:szCs w:val="21"/>
        </w:rPr>
        <w:t> </w:t>
      </w:r>
      <w:r>
        <w:rPr>
          <w:rFonts w:ascii="宋体" w:hAnsi="宋体" w:cs="宋体" w:eastAsia="宋体" w:hint="default"/>
          <w:sz w:val="21"/>
          <w:szCs w:val="21"/>
        </w:rPr>
        <w:t>本公司属信息技术行业。</w:t>
      </w:r>
    </w:p>
    <w:p>
      <w:pPr>
        <w:pStyle w:val="BodyText"/>
        <w:spacing w:line="273" w:lineRule="auto"/>
        <w:ind w:left="472" w:right="1135" w:firstLine="420"/>
        <w:jc w:val="both"/>
      </w:pPr>
      <w:r>
        <w:rPr/>
        <w:t>本公司经营范围：开发、生产电脑软硬件、网络产品；技术咨询、技术服务及售后维修服务；销</w:t>
      </w:r>
      <w:r>
        <w:rPr>
          <w:w w:val="99"/>
        </w:rPr>
        <w:t> </w:t>
      </w:r>
      <w:r>
        <w:rPr/>
        <w:t>售自产产品；货物进出口、技术进出口、代理进出口。</w:t>
      </w:r>
    </w:p>
    <w:p>
      <w:pPr>
        <w:pStyle w:val="BodyText"/>
        <w:spacing w:line="240" w:lineRule="auto"/>
        <w:ind w:left="892" w:right="0"/>
        <w:jc w:val="left"/>
      </w:pPr>
      <w:r>
        <w:rPr/>
        <w:t>本公司主要产品和服务为：以银行为主的金融机构提供软件产品应用开发和技术服务，包括开发、</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472" w:right="1127"/>
        <w:jc w:val="both"/>
      </w:pPr>
      <w:r>
        <w:rPr/>
        <w:t>生产电脑软硬件、网络产品，销售自产产品，自产产品的咨询及售后维修服务等，为银行等金融机构</w:t>
      </w:r>
      <w:r>
        <w:rPr>
          <w:spacing w:val="-82"/>
        </w:rPr>
        <w:t> </w:t>
      </w:r>
      <w:r>
        <w:rPr>
          <w:spacing w:val="-82"/>
        </w:rPr>
      </w:r>
      <w:r>
        <w:rPr/>
        <w:t>提供网上银行、手机银行等电子银行系统、直销银行、金融开放平台等互联网金融类系统、核心银行</w:t>
      </w:r>
      <w:r>
        <w:rPr>
          <w:spacing w:val="-82"/>
        </w:rPr>
        <w:t> </w:t>
      </w:r>
      <w:r>
        <w:rPr>
          <w:spacing w:val="-82"/>
        </w:rPr>
      </w:r>
      <w:r>
        <w:rPr/>
        <w:t>系统以及网银管家等网银安全系统的整体解决方案。主要产品有：电子银行类：微信银行、全渠道整</w:t>
      </w:r>
      <w:r>
        <w:rPr>
          <w:spacing w:val="-82"/>
        </w:rPr>
        <w:t> </w:t>
      </w:r>
      <w:r>
        <w:rPr>
          <w:spacing w:val="-82"/>
        </w:rPr>
      </w:r>
      <w:r>
        <w:rPr>
          <w:spacing w:val="-3"/>
          <w:w w:val="99"/>
        </w:rPr>
        <w:t>合平台、网上银行系统、移动银行系统、企业级客户信息管理系统（ECIF）、电子支付平台、外汇贵金</w:t>
      </w:r>
      <w:r>
        <w:rPr>
          <w:w w:val="99"/>
        </w:rPr>
        <w:t> </w:t>
      </w:r>
      <w:r>
        <w:rPr/>
        <w:t>属交易平台、网上支付跨行清算系统、集团现金管理系统、网上商城系统、银企通系统等；互联网金</w:t>
      </w:r>
      <w:r>
        <w:rPr>
          <w:spacing w:val="-82"/>
        </w:rPr>
        <w:t> </w:t>
      </w:r>
      <w:r>
        <w:rPr>
          <w:spacing w:val="-82"/>
        </w:rPr>
      </w:r>
      <w:r>
        <w:rPr/>
        <w:t>融类：直销银行系统、金融开放平台等；核心银行系统类：银行核心系统、银行大总账系统、银行综</w:t>
      </w:r>
      <w:r>
        <w:rPr>
          <w:spacing w:val="-82"/>
        </w:rPr>
        <w:t> </w:t>
      </w:r>
      <w:r>
        <w:rPr>
          <w:spacing w:val="-82"/>
        </w:rPr>
      </w:r>
      <w:r>
        <w:rPr>
          <w:spacing w:val="-1"/>
          <w:w w:val="95"/>
        </w:rPr>
        <w:t>合柜员系统、银行综合大前置系统、银行CRM系统、银行盈利分析系统等；网银安全类：银企通安全代</w:t>
      </w:r>
      <w:r>
        <w:rPr>
          <w:spacing w:val="27"/>
          <w:w w:val="95"/>
        </w:rPr>
        <w:t> </w:t>
      </w:r>
      <w:r>
        <w:rPr>
          <w:spacing w:val="27"/>
          <w:w w:val="95"/>
        </w:rPr>
      </w:r>
      <w:r>
        <w:rPr>
          <w:spacing w:val="-1"/>
          <w:w w:val="99"/>
        </w:rPr>
        <w:t>理、认证服务器（CPAS）、签名控件/插件、支付网关商户安全软件、智能监控系统、安全输入控件、</w:t>
      </w:r>
      <w:r>
        <w:rPr>
          <w:spacing w:val="-95"/>
          <w:w w:val="99"/>
        </w:rPr>
        <w:t> </w:t>
      </w:r>
      <w:r>
        <w:rPr>
          <w:spacing w:val="-95"/>
          <w:w w:val="99"/>
        </w:rPr>
      </w:r>
      <w:r>
        <w:rPr/>
        <w:t>网银管家等。</w:t>
      </w:r>
    </w:p>
    <w:p>
      <w:pPr>
        <w:spacing w:line="273" w:lineRule="auto" w:before="127"/>
        <w:ind w:left="532" w:right="5211" w:hanging="420"/>
        <w:jc w:val="left"/>
        <w:rPr>
          <w:rFonts w:ascii="宋体" w:hAnsi="宋体" w:cs="宋体" w:eastAsia="宋体" w:hint="default"/>
          <w:sz w:val="21"/>
          <w:szCs w:val="21"/>
        </w:rPr>
      </w:pP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rFonts w:ascii="宋体" w:hAnsi="宋体" w:cs="宋体" w:eastAsia="宋体" w:hint="default"/>
          <w:w w:val="95"/>
          <w:sz w:val="21"/>
          <w:szCs w:val="21"/>
        </w:rPr>
        <w:t>本财务报表业经公司董事会于2020年4月23日批准报出。</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t>合并财务报表范围</w:t>
      </w:r>
      <w:r>
        <w:rPr>
          <w:b w:val="0"/>
          <w:bCs w:val="0"/>
        </w:rPr>
      </w:r>
    </w:p>
    <w:p>
      <w:pPr>
        <w:pStyle w:val="BodyText"/>
        <w:spacing w:line="240" w:lineRule="auto" w:before="21"/>
        <w:ind w:left="532" w:right="0"/>
        <w:jc w:val="both"/>
      </w:pPr>
      <w:r>
        <w:rPr/>
        <w:t>本期纳入合并财务报表范围的主体共8户，具体包括</w:t>
      </w:r>
      <w:r>
        <w:rPr>
          <w:color w:val="0000CC"/>
        </w:rPr>
        <w:t>：</w:t>
      </w:r>
      <w:r>
        <w:rPr/>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111"/>
        <w:gridCol w:w="1276"/>
        <w:gridCol w:w="709"/>
        <w:gridCol w:w="1134"/>
        <w:gridCol w:w="1275"/>
      </w:tblGrid>
      <w:tr>
        <w:trPr>
          <w:trHeight w:val="354" w:hRule="exact"/>
        </w:trPr>
        <w:tc>
          <w:tcPr>
            <w:tcW w:w="4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2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2级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100.00</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2级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84.275</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84.275</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大陆云盾（重庆）信息安全技术研究院有限公司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8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3级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84.275</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sz w:val="18"/>
              </w:rPr>
              <w:t>84.275</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北京科蓝软件系统（苏州）有限公司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sz w:val="18"/>
              </w:rPr>
              <w:t>100.00</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sz w:val="18"/>
              </w:rPr>
              <w:t>100.00</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sz w:val="18"/>
              </w:rPr>
              <w:t>100.00</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1"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2级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100.00</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SUNJE</w:t>
            </w:r>
            <w:r>
              <w:rPr>
                <w:rFonts w:ascii="宋体" w:hAnsi="宋体" w:cs="宋体" w:eastAsia="宋体" w:hint="default"/>
                <w:spacing w:val="-4"/>
                <w:sz w:val="18"/>
                <w:szCs w:val="18"/>
              </w:rPr>
              <w:t> </w:t>
            </w:r>
            <w:r>
              <w:rPr>
                <w:rFonts w:ascii="宋体" w:hAnsi="宋体" w:cs="宋体" w:eastAsia="宋体" w:hint="default"/>
                <w:sz w:val="18"/>
                <w:szCs w:val="18"/>
              </w:rPr>
              <w:t>SOFT株式会社</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1"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3级</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67.15%</w:t>
            </w:r>
          </w:p>
        </w:tc>
        <w:tc>
          <w:tcPr>
            <w:tcW w:w="12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67.15%</w:t>
            </w:r>
          </w:p>
        </w:tc>
      </w:tr>
    </w:tbl>
    <w:p>
      <w:pPr>
        <w:spacing w:line="240" w:lineRule="auto" w:before="8"/>
        <w:rPr>
          <w:rFonts w:ascii="宋体" w:hAnsi="宋体" w:cs="宋体" w:eastAsia="宋体" w:hint="default"/>
          <w:sz w:val="5"/>
          <w:szCs w:val="5"/>
        </w:rPr>
      </w:pPr>
    </w:p>
    <w:p>
      <w:pPr>
        <w:pStyle w:val="BodyText"/>
        <w:spacing w:line="256" w:lineRule="auto" w:before="34"/>
        <w:ind w:left="532" w:right="4349"/>
        <w:jc w:val="left"/>
      </w:pPr>
      <w:r>
        <w:rPr/>
        <w:t>本期纳入合并财务报表范围的主体较上期相比，增加</w:t>
      </w:r>
      <w:r>
        <w:rPr>
          <w:rFonts w:ascii="Times New Roman" w:hAnsi="Times New Roman" w:cs="Times New Roman" w:eastAsia="Times New Roman" w:hint="default"/>
        </w:rPr>
        <w:t>2</w:t>
      </w:r>
      <w:r>
        <w:rPr/>
        <w:t>户，其中：</w:t>
      </w:r>
      <w:r>
        <w:rPr>
          <w:w w:val="99"/>
        </w:rPr>
        <w:t> </w:t>
      </w:r>
      <w:r>
        <w:rPr/>
        <w:t>本期新纳入合并范围的子公司</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11"/>
        <w:gridCol w:w="4394"/>
      </w:tblGrid>
      <w:tr>
        <w:trPr>
          <w:trHeight w:val="354" w:hRule="exact"/>
        </w:trPr>
        <w:tc>
          <w:tcPr>
            <w:tcW w:w="4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3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大陆云盾（重庆）信息安全技术研究院有限公司</w:t>
            </w:r>
          </w:p>
        </w:tc>
        <w:tc>
          <w:tcPr>
            <w:tcW w:w="4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新成立</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北京科蓝软件系统（苏州）有限公司</w:t>
            </w:r>
          </w:p>
        </w:tc>
        <w:tc>
          <w:tcPr>
            <w:tcW w:w="43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新成立</w:t>
            </w:r>
          </w:p>
        </w:tc>
      </w:tr>
      <w:tr>
        <w:trPr>
          <w:trHeight w:val="362" w:hRule="exact"/>
        </w:trPr>
        <w:tc>
          <w:tcPr>
            <w:tcW w:w="4111" w:type="dxa"/>
            <w:tcBorders>
              <w:top w:val="single" w:sz="12" w:space="0" w:color="000000"/>
              <w:left w:val="single" w:sz="6" w:space="0" w:color="000000"/>
              <w:bottom w:val="single" w:sz="12" w:space="0" w:color="000000"/>
              <w:right w:val="single" w:sz="6" w:space="0" w:color="000000"/>
            </w:tcBorders>
          </w:tcPr>
          <w:p>
            <w:pPr/>
          </w:p>
        </w:tc>
        <w:tc>
          <w:tcPr>
            <w:tcW w:w="4394" w:type="dxa"/>
            <w:tcBorders>
              <w:top w:val="single" w:sz="12" w:space="0" w:color="000000"/>
              <w:left w:val="single" w:sz="6" w:space="0" w:color="000000"/>
              <w:bottom w:val="single" w:sz="12" w:space="0" w:color="000000"/>
              <w:right w:val="nil" w:sz="6" w:space="0" w:color="auto"/>
            </w:tcBorders>
          </w:tcPr>
          <w:p>
            <w:pPr/>
          </w:p>
        </w:tc>
      </w:tr>
    </w:tbl>
    <w:p>
      <w:pPr>
        <w:pStyle w:val="Heading5"/>
        <w:spacing w:line="240" w:lineRule="auto" w:before="83"/>
        <w:ind w:left="592" w:right="0"/>
        <w:jc w:val="left"/>
      </w:pPr>
      <w:r>
        <w:rPr/>
        <w:t>合并范围变更主体的具体信息详见“附注七、合并范围的变更</w:t>
      </w:r>
      <w:r>
        <w:rPr>
          <w:spacing w:val="-120"/>
        </w:rPr>
        <w:t>”</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0" w:firstLine="420"/>
        <w:jc w:val="both"/>
      </w:pPr>
      <w:r>
        <w:rPr>
          <w:w w:val="95"/>
        </w:rPr>
        <w:t>本公司根据实际发生的交易和事项，按照财政部颁布的《企业会计准则——基本准则》和具体企业会</w:t>
      </w:r>
      <w:r>
        <w:rPr>
          <w:spacing w:val="-97"/>
          <w:w w:val="95"/>
        </w:rPr>
        <w:t> </w:t>
      </w:r>
      <w:r>
        <w:rPr>
          <w:spacing w:val="-97"/>
          <w:w w:val="95"/>
        </w:rPr>
      </w:r>
      <w:r>
        <w:rPr>
          <w:w w:val="99"/>
        </w:rPr>
        <w:t>计准则、企业会计准则应用指南、企业会计准则解释及其他相关规定（以下合称“企业会计准则”）进行</w:t>
      </w:r>
      <w:r>
        <w:rPr>
          <w:spacing w:val="-95"/>
          <w:w w:val="99"/>
        </w:rPr>
        <w:t> </w:t>
      </w:r>
      <w:r>
        <w:rPr>
          <w:spacing w:val="-95"/>
          <w:w w:val="99"/>
        </w:rPr>
      </w:r>
      <w:r>
        <w:rPr>
          <w:w w:val="95"/>
        </w:rPr>
        <w:t>确认和计量，在此基础上，结合中国证券监督管理委员会《公开发行证券的公司信息披露编报规则第15号</w:t>
      </w:r>
      <w:r>
        <w:rPr/>
      </w:r>
    </w:p>
    <w:p>
      <w:pPr>
        <w:pStyle w:val="BodyText"/>
        <w:spacing w:line="240" w:lineRule="auto"/>
        <w:ind w:right="0"/>
        <w:jc w:val="left"/>
      </w:pPr>
      <w:r>
        <w:rPr>
          <w:spacing w:val="-1"/>
          <w:w w:val="99"/>
        </w:rPr>
        <w:t>—</w:t>
      </w:r>
      <w:r>
        <w:rPr>
          <w:spacing w:val="2"/>
          <w:w w:val="99"/>
        </w:rPr>
        <w:t>—</w:t>
      </w:r>
      <w:r>
        <w:rPr>
          <w:spacing w:val="-1"/>
          <w:w w:val="99"/>
        </w:rPr>
        <w:t>财</w:t>
      </w:r>
      <w:r>
        <w:rPr>
          <w:spacing w:val="2"/>
          <w:w w:val="99"/>
        </w:rPr>
        <w:t>务</w:t>
      </w:r>
      <w:r>
        <w:rPr>
          <w:spacing w:val="-1"/>
          <w:w w:val="99"/>
        </w:rPr>
        <w:t>报</w:t>
      </w:r>
      <w:r>
        <w:rPr>
          <w:spacing w:val="2"/>
          <w:w w:val="99"/>
        </w:rPr>
        <w:t>告</w:t>
      </w:r>
      <w:r>
        <w:rPr>
          <w:spacing w:val="-1"/>
          <w:w w:val="99"/>
        </w:rPr>
        <w:t>的</w:t>
      </w:r>
      <w:r>
        <w:rPr>
          <w:spacing w:val="2"/>
          <w:w w:val="99"/>
        </w:rPr>
        <w:t>一</w:t>
      </w:r>
      <w:r>
        <w:rPr>
          <w:spacing w:val="-1"/>
          <w:w w:val="99"/>
        </w:rPr>
        <w:t>般</w:t>
      </w:r>
      <w:r>
        <w:rPr>
          <w:spacing w:val="2"/>
          <w:w w:val="99"/>
        </w:rPr>
        <w:t>规定</w:t>
      </w:r>
      <w:r>
        <w:rPr>
          <w:spacing w:val="-104"/>
          <w:w w:val="99"/>
        </w:rPr>
        <w:t>》</w:t>
      </w:r>
      <w:r>
        <w:rPr>
          <w:spacing w:val="-1"/>
          <w:w w:val="99"/>
        </w:rPr>
        <w:t>（</w:t>
      </w:r>
      <w:r>
        <w:rPr>
          <w:spacing w:val="1"/>
          <w:w w:val="99"/>
        </w:rPr>
        <w:t>201</w:t>
      </w:r>
      <w:r>
        <w:rPr>
          <w:spacing w:val="-2"/>
          <w:w w:val="99"/>
        </w:rPr>
        <w:t>4</w:t>
      </w:r>
      <w:r>
        <w:rPr>
          <w:spacing w:val="-1"/>
          <w:w w:val="99"/>
        </w:rPr>
        <w:t>年</w:t>
      </w:r>
      <w:r>
        <w:rPr>
          <w:spacing w:val="2"/>
          <w:w w:val="99"/>
        </w:rPr>
        <w:t>修</w:t>
      </w:r>
      <w:r>
        <w:rPr>
          <w:spacing w:val="-1"/>
          <w:w w:val="99"/>
        </w:rPr>
        <w:t>订</w:t>
      </w:r>
      <w:r>
        <w:rPr>
          <w:spacing w:val="2"/>
          <w:w w:val="99"/>
        </w:rPr>
        <w:t>）</w:t>
      </w:r>
      <w:r>
        <w:rPr>
          <w:spacing w:val="-1"/>
          <w:w w:val="99"/>
        </w:rPr>
        <w:t>的</w:t>
      </w:r>
      <w:r>
        <w:rPr>
          <w:spacing w:val="2"/>
          <w:w w:val="99"/>
        </w:rPr>
        <w:t>规</w:t>
      </w:r>
      <w:r>
        <w:rPr>
          <w:spacing w:val="-1"/>
          <w:w w:val="99"/>
        </w:rPr>
        <w:t>定</w:t>
      </w:r>
      <w:r>
        <w:rPr>
          <w:spacing w:val="2"/>
          <w:w w:val="99"/>
        </w:rPr>
        <w:t>，</w:t>
      </w:r>
      <w:r>
        <w:rPr>
          <w:spacing w:val="-1"/>
          <w:w w:val="99"/>
        </w:rPr>
        <w:t>编</w:t>
      </w:r>
      <w:r>
        <w:rPr>
          <w:spacing w:val="2"/>
          <w:w w:val="99"/>
        </w:rPr>
        <w:t>制</w:t>
      </w:r>
      <w:r>
        <w:rPr>
          <w:spacing w:val="-1"/>
          <w:w w:val="99"/>
        </w:rPr>
        <w:t>财</w:t>
      </w:r>
      <w:r>
        <w:rPr>
          <w:spacing w:val="2"/>
          <w:w w:val="99"/>
        </w:rPr>
        <w:t>务</w:t>
      </w:r>
      <w:r>
        <w:rPr>
          <w:spacing w:val="-1"/>
          <w:w w:val="99"/>
        </w:rPr>
        <w:t>报</w:t>
      </w:r>
      <w:r>
        <w:rPr>
          <w:spacing w:val="2"/>
          <w:w w:val="99"/>
        </w:rPr>
        <w:t>表</w:t>
      </w:r>
      <w:r>
        <w:rPr>
          <w:w w:val="99"/>
        </w:rPr>
        <w:t>。</w:t>
      </w:r>
      <w:r>
        <w:rPr/>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6"/>
        <w:spacing w:line="240" w:lineRule="auto" w:before="34"/>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211"/>
        <w:jc w:val="left"/>
      </w:pPr>
      <w:r>
        <w:rPr>
          <w:w w:val="95"/>
        </w:rPr>
        <w:t>本公司对报告期末起12个月的持续经营能力进行了评价，未发现对持续经营能力产生重大怀疑的事项或</w:t>
      </w:r>
      <w:r>
        <w:rPr>
          <w:spacing w:val="14"/>
          <w:w w:val="95"/>
        </w:rPr>
        <w:t> </w:t>
      </w:r>
      <w:r>
        <w:rPr>
          <w:spacing w:val="14"/>
          <w:w w:val="95"/>
        </w:rPr>
      </w:r>
      <w:r>
        <w:rPr/>
        <w:t>情况。因此，本财务报表系在持续经营假设的基础上编制。</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40" w:lineRule="auto" w:before="91"/>
        <w:ind w:right="0"/>
        <w:jc w:val="left"/>
      </w:pPr>
      <w:r>
        <w:rPr/>
        <w:t>本公司根据生产经营特点确定具体会计政策和会计估计，主要体现在收入的确认附注五、注释39。</w:t>
      </w:r>
    </w:p>
    <w:p>
      <w:pPr>
        <w:spacing w:line="590" w:lineRule="atLeast" w:before="40"/>
        <w:ind w:left="532" w:right="0" w:hanging="420"/>
        <w:jc w:val="left"/>
        <w:rPr>
          <w:rFonts w:ascii="宋体" w:hAnsi="宋体" w:cs="宋体" w:eastAsia="宋体" w:hint="default"/>
          <w:sz w:val="21"/>
          <w:szCs w:val="21"/>
        </w:rPr>
      </w:pPr>
      <w:bookmarkStart w:name="1、遵循企业会计准则的声明"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pStyle w:val="BodyText"/>
        <w:spacing w:line="240" w:lineRule="auto" w:before="37"/>
        <w:ind w:right="0"/>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32" w:right="0"/>
        <w:jc w:val="left"/>
      </w:pPr>
      <w:r>
        <w:rPr/>
        <w:t>自公历1月1日至12月31日止为一个会计年度。</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本公司以12个月作为一个营业周期</w:t>
      </w:r>
    </w:p>
    <w:p>
      <w:pPr>
        <w:spacing w:line="590" w:lineRule="atLeast" w:before="51"/>
        <w:ind w:left="112" w:right="8234" w:firstLine="0"/>
        <w:jc w:val="left"/>
        <w:rPr>
          <w:rFonts w:ascii="宋体" w:hAnsi="宋体" w:cs="宋体" w:eastAsia="宋体" w:hint="default"/>
          <w:sz w:val="21"/>
          <w:szCs w:val="21"/>
        </w:rPr>
      </w:pPr>
      <w:bookmarkStart w:name="4、记账本位币" w:id="175"/>
      <w:bookmarkEnd w:id="1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BodyText"/>
        <w:spacing w:line="240" w:lineRule="auto" w:before="37"/>
        <w:ind w:right="0"/>
        <w:jc w:val="left"/>
      </w:pPr>
      <w:r>
        <w:rPr/>
        <w:t>境外子公司以其经营所处的主要经济环境中的货币为记账本位币，编制财务报表时折算为人民币。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ind w:right="0"/>
        <w:jc w:val="left"/>
        <w:rPr>
          <w:b w:val="0"/>
          <w:bCs w:val="0"/>
        </w:rPr>
      </w:pPr>
      <w:r>
        <w:rPr>
          <w:w w:val="95"/>
        </w:rPr>
        <w:t>1.分步实现企业合并过程中的各项交易的条款、条件以及经济影响符合以下一种或多种情况，将多次交易</w:t>
      </w:r>
      <w:r>
        <w:rPr>
          <w:spacing w:val="5"/>
          <w:w w:val="95"/>
        </w:rPr>
        <w:t> </w:t>
      </w:r>
      <w:r>
        <w:rPr>
          <w:spacing w:val="5"/>
          <w:w w:val="95"/>
        </w:rPr>
      </w:r>
      <w:r>
        <w:rPr/>
        <w:t>事项作为一揽子交易进行会计处理</w:t>
      </w:r>
      <w:r>
        <w:rPr>
          <w:b w:val="0"/>
          <w:bCs w:val="0"/>
        </w:rPr>
      </w:r>
    </w:p>
    <w:p>
      <w:pPr>
        <w:pStyle w:val="BodyText"/>
        <w:spacing w:line="240" w:lineRule="auto"/>
        <w:ind w:left="532" w:right="0"/>
        <w:jc w:val="left"/>
      </w:pPr>
      <w:r>
        <w:rPr/>
        <w:t>（1）这些交易是同时或者在考虑了彼此影响的情况下订立的；</w:t>
      </w:r>
    </w:p>
    <w:p>
      <w:pPr>
        <w:pStyle w:val="BodyText"/>
        <w:spacing w:line="240" w:lineRule="auto" w:before="37"/>
        <w:ind w:left="532" w:right="0"/>
        <w:jc w:val="left"/>
      </w:pPr>
      <w:r>
        <w:rPr/>
        <w:t>（2）这些交易整体才能达成一项完整的商业结果；</w:t>
      </w:r>
    </w:p>
    <w:p>
      <w:pPr>
        <w:pStyle w:val="BodyText"/>
        <w:spacing w:line="240" w:lineRule="auto" w:before="37"/>
        <w:ind w:left="532" w:right="0"/>
        <w:jc w:val="left"/>
      </w:pPr>
      <w:r>
        <w:rPr/>
        <w:t>（3）一项交易的发生取决于其他至少一项交易的发生；</w:t>
      </w:r>
    </w:p>
    <w:p>
      <w:pPr>
        <w:spacing w:line="273" w:lineRule="auto" w:before="37"/>
        <w:ind w:left="112" w:right="3509" w:firstLine="420"/>
        <w:jc w:val="left"/>
        <w:rPr>
          <w:rFonts w:ascii="宋体" w:hAnsi="宋体" w:cs="宋体" w:eastAsia="宋体" w:hint="default"/>
          <w:sz w:val="21"/>
          <w:szCs w:val="21"/>
        </w:rPr>
      </w:pPr>
      <w:r>
        <w:rPr>
          <w:rFonts w:ascii="宋体" w:hAnsi="宋体" w:cs="宋体" w:eastAsia="宋体" w:hint="default"/>
          <w:sz w:val="21"/>
          <w:szCs w:val="21"/>
        </w:rPr>
        <w:t>（4）一项交易单独看是不经济的，但是和其他交易一并考虑时是经济的。</w:t>
      </w:r>
      <w:r>
        <w:rPr>
          <w:rFonts w:ascii="宋体" w:hAnsi="宋体" w:cs="宋体" w:eastAsia="宋体" w:hint="default"/>
          <w:w w:val="99"/>
          <w:sz w:val="21"/>
          <w:szCs w:val="21"/>
        </w:rPr>
        <w:t> </w:t>
      </w:r>
      <w:r>
        <w:rPr>
          <w:rFonts w:ascii="宋体" w:hAnsi="宋体" w:cs="宋体" w:eastAsia="宋体" w:hint="default"/>
          <w:b/>
          <w:bCs/>
          <w:sz w:val="21"/>
          <w:szCs w:val="21"/>
        </w:rPr>
        <w:t>2.同一控制下的企业合并</w:t>
      </w:r>
      <w:r>
        <w:rPr>
          <w:rFonts w:ascii="宋体" w:hAnsi="宋体" w:cs="宋体" w:eastAsia="宋体" w:hint="default"/>
          <w:sz w:val="21"/>
          <w:szCs w:val="21"/>
        </w:rPr>
      </w:r>
    </w:p>
    <w:p>
      <w:pPr>
        <w:pStyle w:val="BodyText"/>
        <w:spacing w:line="273" w:lineRule="auto"/>
        <w:ind w:right="1130" w:firstLine="420"/>
        <w:jc w:val="both"/>
      </w:pPr>
      <w:r>
        <w:rPr>
          <w:w w:val="95"/>
        </w:rPr>
        <w:t>本公司在企业合并中取得的资产和负债，按照合并日在被合并方资产、负债（包括最终控制方收购被</w:t>
      </w:r>
      <w:r>
        <w:rPr>
          <w:spacing w:val="-97"/>
          <w:w w:val="95"/>
        </w:rPr>
        <w:t> </w:t>
      </w:r>
      <w:r>
        <w:rPr>
          <w:spacing w:val="-97"/>
          <w:w w:val="95"/>
        </w:rPr>
      </w:r>
      <w:r>
        <w:rPr>
          <w:w w:val="95"/>
        </w:rPr>
        <w:t>合并方而形成的商誉）在最终控制方合并财务报表中的账面价值计量。在合并中取得的净资产账面价值与</w:t>
      </w:r>
      <w:r>
        <w:rPr>
          <w:spacing w:val="40"/>
          <w:w w:val="95"/>
        </w:rPr>
        <w:t> </w:t>
      </w:r>
      <w:r>
        <w:rPr>
          <w:spacing w:val="40"/>
          <w:w w:val="95"/>
        </w:rPr>
      </w:r>
      <w:r>
        <w:rPr>
          <w:w w:val="95"/>
        </w:rPr>
        <w:t>支付的合并对价账面价值（或发行股份面值总额）的差额，调整资本公积中的股本溢价，资本公积中的股</w:t>
      </w:r>
      <w:r>
        <w:rPr/>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532" w:right="0" w:hanging="420"/>
        <w:jc w:val="left"/>
      </w:pPr>
      <w:r>
        <w:rPr/>
        <w:t>本溢价不足冲减的，调整留存收益。</w:t>
      </w:r>
      <w:r>
        <w:rPr>
          <w:w w:val="99"/>
        </w:rPr>
        <w:t> </w:t>
      </w:r>
      <w:r>
        <w:rPr>
          <w:w w:val="95"/>
        </w:rPr>
        <w:t>如果存在或有对价并需要确认预计负债或资产，该预计负债或资产金额与后续或有对价结算金额的差</w:t>
      </w:r>
      <w:r>
        <w:rPr/>
      </w:r>
    </w:p>
    <w:p>
      <w:pPr>
        <w:pStyle w:val="BodyText"/>
        <w:spacing w:line="273" w:lineRule="auto"/>
        <w:ind w:left="532" w:right="0" w:hanging="420"/>
        <w:jc w:val="left"/>
      </w:pPr>
      <w:r>
        <w:rPr>
          <w:spacing w:val="-3"/>
          <w:w w:val="99"/>
        </w:rPr>
        <w:t>额，调整资本公积（资本溢价或股本溢价），资本公积不足的，调整留存收益。</w:t>
      </w:r>
      <w:r>
        <w:rPr>
          <w:spacing w:val="-89"/>
          <w:w w:val="99"/>
        </w:rPr>
        <w:t> </w:t>
      </w:r>
      <w:r>
        <w:rPr>
          <w:spacing w:val="-89"/>
          <w:w w:val="99"/>
        </w:rPr>
      </w:r>
      <w:r>
        <w:rPr>
          <w:w w:val="95"/>
        </w:rPr>
        <w:t>对于通过多次交易最终实现企业合并的，属于一揽子交易的，将各项交易作为一项取得控制权的交易</w:t>
      </w:r>
      <w:r>
        <w:rPr/>
      </w:r>
    </w:p>
    <w:p>
      <w:pPr>
        <w:pStyle w:val="BodyText"/>
        <w:spacing w:line="273" w:lineRule="auto"/>
        <w:ind w:right="1112"/>
        <w:jc w:val="both"/>
      </w:pPr>
      <w:r>
        <w:rPr>
          <w:w w:val="95"/>
        </w:rPr>
        <w:t>进行会计处理；不属于一揽子交易的，在取得控制权日，长期股权投资初始投资成本，与达到合并前的长</w:t>
      </w:r>
      <w:r>
        <w:rPr>
          <w:spacing w:val="45"/>
          <w:w w:val="95"/>
        </w:rPr>
        <w:t> </w:t>
      </w:r>
      <w:r>
        <w:rPr>
          <w:spacing w:val="45"/>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43"/>
          <w:w w:val="95"/>
        </w:rPr>
        <w:t> </w:t>
      </w:r>
      <w:r>
        <w:rPr>
          <w:spacing w:val="43"/>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  </w:t>
      </w:r>
      <w:r>
        <w:rPr>
          <w:spacing w:val="40"/>
          <w:w w:val="95"/>
        </w:rPr>
        <w:t> </w:t>
      </w:r>
      <w:r>
        <w:rPr>
          <w:spacing w:val="40"/>
          <w:w w:val="95"/>
        </w:rPr>
      </w:r>
      <w:r>
        <w:rPr/>
        <w:t>损益。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3.非同一控制下的企业合并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购买日是指本公司实际取得对被购买方控制权的日期，即被购买方的净资产或生产经营决策的控制权</w:t>
      </w:r>
      <w:r>
        <w:rPr>
          <w:rFonts w:ascii="宋体" w:hAnsi="宋体" w:cs="宋体" w:eastAsia="宋体" w:hint="default"/>
          <w:sz w:val="21"/>
          <w:szCs w:val="21"/>
        </w:rPr>
      </w:r>
    </w:p>
    <w:p>
      <w:pPr>
        <w:pStyle w:val="BodyText"/>
        <w:spacing w:line="240" w:lineRule="auto"/>
        <w:ind w:right="0"/>
        <w:jc w:val="left"/>
      </w:pPr>
      <w:r>
        <w:rPr/>
        <w:t>转移给本公司的日期。同时满足下列条件时，本公司一般认为实现了控制权的转移：</w:t>
      </w:r>
    </w:p>
    <w:p>
      <w:pPr>
        <w:pStyle w:val="BodyText"/>
        <w:spacing w:line="240" w:lineRule="auto" w:before="37"/>
        <w:ind w:right="0"/>
        <w:jc w:val="left"/>
      </w:pPr>
      <w:r>
        <w:rPr/>
        <w:t>①企业合并合同或协议已获本公司内部权力机构通过。</w:t>
      </w:r>
    </w:p>
    <w:p>
      <w:pPr>
        <w:pStyle w:val="BodyText"/>
        <w:spacing w:line="240" w:lineRule="auto" w:before="37"/>
        <w:ind w:right="0"/>
        <w:jc w:val="left"/>
      </w:pPr>
      <w:r>
        <w:rPr/>
        <w:t>②企业合并事项需要经过国家有关主管部门审批的，已获得批准。</w:t>
      </w:r>
    </w:p>
    <w:p>
      <w:pPr>
        <w:pStyle w:val="BodyText"/>
        <w:spacing w:line="240" w:lineRule="auto" w:before="37"/>
        <w:ind w:right="0"/>
        <w:jc w:val="left"/>
      </w:pPr>
      <w:r>
        <w:rPr/>
        <w:t>③已办理了必要的财产权转移手续。</w:t>
      </w:r>
    </w:p>
    <w:p>
      <w:pPr>
        <w:pStyle w:val="BodyText"/>
        <w:spacing w:line="240" w:lineRule="auto" w:before="37"/>
        <w:ind w:right="0"/>
        <w:jc w:val="left"/>
      </w:pPr>
      <w:r>
        <w:rPr/>
        <w:t>④本公司已支付了合并价款的大部分，并且有能力、有计划支付剩余款项。</w:t>
      </w:r>
    </w:p>
    <w:p>
      <w:pPr>
        <w:pStyle w:val="BodyText"/>
        <w:spacing w:line="273" w:lineRule="auto" w:before="37"/>
        <w:ind w:left="532" w:right="0" w:hanging="420"/>
        <w:jc w:val="left"/>
      </w:pPr>
      <w:r>
        <w:rPr/>
        <w:t>⑤本公司实际上已经控制了被购买方的财务和经营政策，并享有相应的利益、承担相应的风险。</w:t>
      </w:r>
      <w:r>
        <w:rPr>
          <w:w w:val="99"/>
        </w:rPr>
        <w:t> </w:t>
      </w:r>
      <w:r>
        <w:rPr>
          <w:w w:val="95"/>
        </w:rPr>
        <w:t>本公司在购买日对作为企业合并对价付出的资产、发生或承担的负债按照公允价值计量，公允价值与</w:t>
      </w:r>
      <w:r>
        <w:rPr/>
      </w:r>
    </w:p>
    <w:p>
      <w:pPr>
        <w:pStyle w:val="BodyText"/>
        <w:spacing w:line="273" w:lineRule="auto"/>
        <w:ind w:left="532" w:right="0" w:hanging="420"/>
        <w:jc w:val="left"/>
      </w:pPr>
      <w:r>
        <w:rPr/>
        <w:t>其账面价值的差额，计入当期损益。</w:t>
      </w:r>
      <w:r>
        <w:rPr>
          <w:w w:val="99"/>
        </w:rPr>
        <w:t> </w:t>
      </w:r>
      <w:r>
        <w:rPr>
          <w:w w:val="95"/>
        </w:rPr>
        <w:t>本公司对合并成本大于合并中取得的被购买方可辨认净资产公允价值份额的差额，确认为商誉；合并</w:t>
      </w:r>
      <w:r>
        <w:rPr/>
      </w:r>
    </w:p>
    <w:p>
      <w:pPr>
        <w:pStyle w:val="BodyText"/>
        <w:spacing w:line="273" w:lineRule="auto" w:before="8"/>
        <w:ind w:left="532" w:right="0" w:hanging="420"/>
        <w:jc w:val="left"/>
      </w:pPr>
      <w:r>
        <w:rPr/>
        <w:t>成本小于合并中取得的被购买方可辨认净资产公允价值份额的差额，经复核后，计入当期损益。</w:t>
      </w:r>
      <w:r>
        <w:rPr>
          <w:w w:val="99"/>
        </w:rPr>
        <w:t> </w:t>
      </w:r>
      <w:r>
        <w:rPr>
          <w:w w:val="95"/>
        </w:rPr>
        <w:t>通过多次交换交易分步实现的非同一控制下企业合并，属于一揽子交易的，将各项交易作为一项取得</w:t>
      </w:r>
      <w:r>
        <w:rPr/>
      </w:r>
    </w:p>
    <w:p>
      <w:pPr>
        <w:pStyle w:val="BodyText"/>
        <w:spacing w:line="273" w:lineRule="auto"/>
        <w:ind w:right="1130"/>
        <w:jc w:val="both"/>
      </w:pPr>
      <w:r>
        <w:rPr>
          <w:w w:val="95"/>
        </w:rPr>
        <w:t>控制权的交易进行会计处理；不属于一揽子交易的，合并日之前持有的股权投资采用权益法核算的，以购</w:t>
      </w:r>
      <w:r>
        <w:rPr>
          <w:spacing w:val="43"/>
          <w:w w:val="95"/>
        </w:rPr>
        <w:t> </w:t>
      </w:r>
      <w:r>
        <w:rPr>
          <w:spacing w:val="43"/>
          <w:w w:val="95"/>
        </w:rPr>
      </w:r>
      <w:r>
        <w:rPr>
          <w:spacing w:val="4"/>
        </w:rPr>
        <w:t>买日之前所持被购买方的股权投资的账面价值与购买日新增投资成本之和，作为该项投资的初始投资成</w:t>
      </w:r>
      <w:r>
        <w:rPr>
          <w:w w:val="99"/>
        </w:rPr>
        <w:t> </w:t>
      </w:r>
      <w:r>
        <w:rPr>
          <w:w w:val="95"/>
        </w:rPr>
        <w:t>本；购买日之前持有的股权投资因采用权益法核算而确认的其他综合收益，在处置该项投资时采用与被投</w:t>
      </w:r>
      <w:r>
        <w:rPr>
          <w:spacing w:val="40"/>
          <w:w w:val="95"/>
        </w:rPr>
        <w:t> </w:t>
      </w:r>
      <w:r>
        <w:rPr>
          <w:spacing w:val="40"/>
          <w:w w:val="95"/>
        </w:rPr>
      </w:r>
      <w:r>
        <w:rPr>
          <w:w w:val="95"/>
        </w:rPr>
        <w:t>资单位直接处置相关资产或负债相同的基础进行会计处理。合并日之前持有的股权投资采用金融工具确认</w:t>
      </w:r>
      <w:r>
        <w:rPr>
          <w:spacing w:val="37"/>
          <w:w w:val="95"/>
        </w:rPr>
        <w:t> </w:t>
      </w:r>
      <w:r>
        <w:rPr>
          <w:spacing w:val="37"/>
          <w:w w:val="95"/>
        </w:rPr>
      </w:r>
      <w:r>
        <w:rPr>
          <w:w w:val="95"/>
        </w:rPr>
        <w:t>和计量准则核算的，以该股权投资在合并日的公允价值加上新增投资成本之和，作为合并日的初始投资成</w:t>
      </w:r>
      <w:r>
        <w:rPr>
          <w:spacing w:val="40"/>
          <w:w w:val="95"/>
        </w:rPr>
        <w:t> </w:t>
      </w:r>
      <w:r>
        <w:rPr>
          <w:spacing w:val="40"/>
          <w:w w:val="95"/>
        </w:rPr>
      </w:r>
      <w:r>
        <w:rPr>
          <w:w w:val="95"/>
        </w:rPr>
        <w:t>本。原持有股权的公允价值与账面价值之间的差额以及原计入其他综合收益的累计公允价值变动应全部转</w:t>
      </w:r>
      <w:r>
        <w:rPr>
          <w:spacing w:val="37"/>
          <w:w w:val="95"/>
        </w:rPr>
        <w:t> </w:t>
      </w:r>
      <w:r>
        <w:rPr>
          <w:spacing w:val="37"/>
          <w:w w:val="95"/>
        </w:rPr>
      </w:r>
      <w:r>
        <w:rPr/>
        <w:t>入合并日当期的投资收益。</w:t>
      </w:r>
    </w:p>
    <w:p>
      <w:pPr>
        <w:spacing w:line="273" w:lineRule="auto" w:before="7"/>
        <w:ind w:left="324" w:right="0" w:hanging="212"/>
        <w:jc w:val="left"/>
        <w:rPr>
          <w:rFonts w:ascii="宋体" w:hAnsi="宋体" w:cs="宋体" w:eastAsia="宋体" w:hint="default"/>
          <w:sz w:val="21"/>
          <w:szCs w:val="21"/>
        </w:rPr>
      </w:pPr>
      <w:r>
        <w:rPr>
          <w:rFonts w:ascii="宋体" w:hAnsi="宋体" w:cs="宋体" w:eastAsia="宋体" w:hint="default"/>
          <w:b/>
          <w:bCs/>
          <w:sz w:val="21"/>
          <w:szCs w:val="21"/>
        </w:rPr>
        <w:t>4.为合并发生的相关费用</w:t>
      </w:r>
      <w:r>
        <w:rPr>
          <w:rFonts w:ascii="宋体" w:hAnsi="宋体" w:cs="宋体" w:eastAsia="宋体" w:hint="default"/>
          <w:b/>
          <w:bCs/>
          <w:w w:val="99"/>
          <w:sz w:val="21"/>
          <w:szCs w:val="21"/>
        </w:rPr>
        <w:t> </w:t>
      </w:r>
      <w:r>
        <w:rPr>
          <w:rFonts w:ascii="宋体" w:hAnsi="宋体" w:cs="宋体" w:eastAsia="宋体" w:hint="default"/>
          <w:w w:val="95"/>
          <w:sz w:val="21"/>
          <w:szCs w:val="21"/>
        </w:rPr>
        <w:t>为企业合并发生的审计、法律服务、评估咨询等中介费用以及其他直接相关费用，于发生时计入当期损</w:t>
      </w:r>
      <w:r>
        <w:rPr>
          <w:rFonts w:ascii="宋体" w:hAnsi="宋体" w:cs="宋体" w:eastAsia="宋体" w:hint="default"/>
          <w:sz w:val="21"/>
          <w:szCs w:val="21"/>
        </w:rPr>
      </w:r>
    </w:p>
    <w:p>
      <w:pPr>
        <w:pStyle w:val="BodyText"/>
        <w:spacing w:line="273" w:lineRule="auto" w:before="8"/>
        <w:ind w:right="1185"/>
        <w:jc w:val="left"/>
      </w:pPr>
      <w:r>
        <w:rPr>
          <w:w w:val="95"/>
        </w:rPr>
        <w:t>益；为企业合并而发行权益性证券的交易费用，可直接归属于权益性交易的从权益中扣减。为合并发生的</w:t>
      </w:r>
      <w:r>
        <w:rPr>
          <w:spacing w:val="37"/>
          <w:w w:val="95"/>
        </w:rPr>
        <w:t> </w:t>
      </w:r>
      <w:r>
        <w:rPr>
          <w:spacing w:val="37"/>
          <w:w w:val="95"/>
        </w:rPr>
      </w:r>
      <w:r>
        <w:rPr/>
        <w:t>相关费用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46"/>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1.合并范围</w:t>
      </w:r>
      <w:r>
        <w:rPr>
          <w:b w:val="0"/>
          <w:bCs w:val="0"/>
        </w:rPr>
      </w:r>
    </w:p>
    <w:p>
      <w:pPr>
        <w:pStyle w:val="BodyText"/>
        <w:spacing w:line="273" w:lineRule="auto" w:before="37"/>
        <w:ind w:right="0" w:firstLine="420"/>
        <w:jc w:val="left"/>
      </w:pPr>
      <w:r>
        <w:rPr>
          <w:w w:val="95"/>
        </w:rPr>
        <w:t>本公司合并财务报表的合并范围以控制为基础确定，所有子公司（包括本公司所控制的单独主体）均</w:t>
      </w:r>
      <w:r>
        <w:rPr>
          <w:spacing w:val="-97"/>
          <w:w w:val="95"/>
        </w:rPr>
        <w:t> </w:t>
      </w:r>
      <w:r>
        <w:rPr>
          <w:spacing w:val="-97"/>
          <w:w w:val="95"/>
        </w:rPr>
      </w:r>
      <w:r>
        <w:rPr/>
        <w:t>纳入合并财务报表。</w:t>
      </w:r>
    </w:p>
    <w:p>
      <w:pPr>
        <w:pStyle w:val="Heading6"/>
        <w:spacing w:line="240" w:lineRule="auto" w:before="7"/>
        <w:ind w:right="0"/>
        <w:jc w:val="left"/>
        <w:rPr>
          <w:b w:val="0"/>
          <w:bCs w:val="0"/>
        </w:rPr>
      </w:pPr>
      <w:r>
        <w:rPr/>
        <w:t>2.合并程序</w:t>
      </w:r>
      <w:r>
        <w:rPr>
          <w:b w:val="0"/>
          <w:bCs w:val="0"/>
        </w:rPr>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b/>
          <w:bCs/>
          <w:sz w:val="21"/>
          <w:szCs w:val="21"/>
        </w:rPr>
      </w:pPr>
    </w:p>
    <w:p>
      <w:pPr>
        <w:pStyle w:val="BodyText"/>
        <w:spacing w:line="273" w:lineRule="auto" w:before="34"/>
        <w:ind w:right="1130" w:firstLine="420"/>
        <w:jc w:val="both"/>
      </w:pPr>
      <w:r>
        <w:rPr>
          <w:w w:val="95"/>
        </w:rPr>
        <w:t>本公司以自身和各子公司的财务报表为基础，根据其他有关资料，编制合并财务报表。本公司编制合</w:t>
      </w:r>
      <w:r>
        <w:rPr>
          <w:spacing w:val="-97"/>
          <w:w w:val="95"/>
        </w:rPr>
        <w:t> </w:t>
      </w:r>
      <w:r>
        <w:rPr>
          <w:spacing w:val="-97"/>
          <w:w w:val="95"/>
        </w:rPr>
      </w:r>
      <w:r>
        <w:rPr>
          <w:w w:val="95"/>
        </w:rPr>
        <w:t>并财务报表，将整个企业集团视为一个会计主体，依据相关企业会计准则的确认、计量和列报要求，按照</w:t>
      </w:r>
      <w:r>
        <w:rPr>
          <w:spacing w:val="44"/>
          <w:w w:val="95"/>
        </w:rPr>
        <w:t> </w:t>
      </w:r>
      <w:r>
        <w:rPr>
          <w:spacing w:val="44"/>
          <w:w w:val="95"/>
        </w:rPr>
      </w:r>
      <w:r>
        <w:rPr/>
        <w:t>统一的会计政策，反映本企业集团整体财务状况、经营成果和现金流量。</w:t>
      </w:r>
    </w:p>
    <w:p>
      <w:pPr>
        <w:pStyle w:val="BodyText"/>
        <w:spacing w:line="273" w:lineRule="auto"/>
        <w:ind w:right="1130"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spacing w:val="44"/>
          <w:w w:val="95"/>
        </w:rPr>
        <w:t> </w:t>
      </w:r>
      <w:r>
        <w:rPr>
          <w:spacing w:val="44"/>
          <w:w w:val="95"/>
        </w:rPr>
      </w:r>
      <w:r>
        <w:rPr/>
        <w:t>必要的调整。</w:t>
      </w:r>
    </w:p>
    <w:p>
      <w:pPr>
        <w:pStyle w:val="BodyText"/>
        <w:spacing w:line="273" w:lineRule="auto"/>
        <w:ind w:right="1132" w:firstLine="420"/>
        <w:jc w:val="both"/>
      </w:pPr>
      <w:r>
        <w:rPr>
          <w:w w:val="95"/>
        </w:rPr>
        <w:t>合并财务报表时抵销本公司与各子公司、各子公司相互之间发生的内部交易对合并资产负债表、合并</w:t>
      </w:r>
      <w:r>
        <w:rPr>
          <w:w w:val="99"/>
        </w:rPr>
        <w:t> </w:t>
      </w:r>
      <w:r>
        <w:rPr>
          <w:w w:val="95"/>
        </w:rPr>
        <w:t>利润表、合并现金流量表、合并股东权益变动表的影响。如果站在企业集团合并财务报表角度与以本公司</w:t>
      </w:r>
      <w:r>
        <w:rPr>
          <w:spacing w:val="40"/>
          <w:w w:val="95"/>
        </w:rPr>
        <w:t> </w:t>
      </w:r>
      <w:r>
        <w:rPr>
          <w:spacing w:val="40"/>
          <w:w w:val="95"/>
        </w:rPr>
      </w:r>
      <w:r>
        <w:rPr/>
        <w:t>或子公司为会计主体对同一交易的认定不同时，从企业集团的角度对该交易予以调整。</w:t>
      </w:r>
    </w:p>
    <w:p>
      <w:pPr>
        <w:pStyle w:val="BodyText"/>
        <w:spacing w:line="273" w:lineRule="auto"/>
        <w:ind w:right="113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273" w:lineRule="auto"/>
        <w:ind w:right="1130" w:firstLine="420"/>
        <w:jc w:val="both"/>
      </w:pPr>
      <w:r>
        <w:rPr>
          <w:w w:val="95"/>
        </w:rPr>
        <w:t>对于同一控制下企业合并取得的子公司，以其资产、负债（包括最终控制方收购该子公司而形成的商</w:t>
      </w:r>
      <w:r>
        <w:rPr>
          <w:spacing w:val="-97"/>
          <w:w w:val="95"/>
        </w:rPr>
        <w:t> </w:t>
      </w:r>
      <w:r>
        <w:rPr>
          <w:spacing w:val="-97"/>
          <w:w w:val="95"/>
        </w:rPr>
      </w:r>
      <w:r>
        <w:rPr/>
        <w:t>誉）在最终控制方财务报表中的账面价值为基础对其财务报表进行调整。</w:t>
      </w:r>
    </w:p>
    <w:p>
      <w:pPr>
        <w:pStyle w:val="BodyText"/>
        <w:spacing w:line="240" w:lineRule="auto"/>
        <w:ind w:left="532" w:right="0"/>
        <w:jc w:val="left"/>
      </w:pPr>
      <w:r>
        <w:rPr/>
        <w:t>对于非同一控制下企业合并取得的子公司，以购买日可辨认净资产公允价值为基础对其财务报表进行</w:t>
      </w:r>
    </w:p>
    <w:p>
      <w:pPr>
        <w:pStyle w:val="BodyText"/>
        <w:spacing w:line="240" w:lineRule="auto" w:before="37"/>
        <w:ind w:right="0"/>
        <w:jc w:val="left"/>
      </w:pPr>
      <w:r>
        <w:rPr/>
        <w:t>调整</w:t>
      </w:r>
    </w:p>
    <w:p>
      <w:pPr>
        <w:pStyle w:val="BodyText"/>
        <w:spacing w:line="273" w:lineRule="auto" w:before="37"/>
        <w:ind w:left="532" w:right="0" w:hanging="420"/>
        <w:jc w:val="left"/>
      </w:pPr>
      <w:r>
        <w:rPr/>
        <w:t>（1）增加子公司或业务</w:t>
      </w:r>
      <w:r>
        <w:rPr>
          <w:w w:val="99"/>
        </w:rPr>
        <w:t> </w:t>
      </w:r>
      <w:r>
        <w:rPr>
          <w:w w:val="95"/>
        </w:rPr>
        <w:t>在报告期内，若因同一控制下企业合并增加子公司或业务的，则调整合并资产负债表的期初数；将子</w:t>
      </w:r>
      <w:r>
        <w:rPr/>
      </w:r>
    </w:p>
    <w:p>
      <w:pPr>
        <w:pStyle w:val="BodyText"/>
        <w:spacing w:line="273" w:lineRule="auto"/>
        <w:ind w:right="1132"/>
        <w:jc w:val="both"/>
      </w:pPr>
      <w:r>
        <w:rPr>
          <w:w w:val="95"/>
        </w:rPr>
        <w:t>公司或业务合并当期期初至报告期末的收入、费用、利润纳入合并利润表；将子公司或业务合并当期期初</w:t>
      </w:r>
      <w:r>
        <w:rPr>
          <w:spacing w:val="40"/>
          <w:w w:val="95"/>
        </w:rPr>
        <w:t> </w:t>
      </w:r>
      <w:r>
        <w:rPr>
          <w:spacing w:val="40"/>
          <w:w w:val="95"/>
        </w:rPr>
      </w:r>
      <w:r>
        <w:rPr>
          <w:w w:val="95"/>
        </w:rPr>
        <w:t>至报告期末的现金流量纳入合并现金流量表，同时对比较报表的相关项目进行调整，视同合并后的报告主</w:t>
      </w:r>
      <w:r>
        <w:rPr>
          <w:spacing w:val="40"/>
          <w:w w:val="95"/>
        </w:rPr>
        <w:t> </w:t>
      </w:r>
      <w:r>
        <w:rPr>
          <w:spacing w:val="40"/>
          <w:w w:val="95"/>
        </w:rPr>
      </w:r>
      <w:r>
        <w:rPr/>
        <w:t>体自最终控制方开始控制时点起一直存在。</w:t>
      </w:r>
    </w:p>
    <w:p>
      <w:pPr>
        <w:pStyle w:val="BodyText"/>
        <w:spacing w:line="273" w:lineRule="auto"/>
        <w:ind w:right="1132" w:firstLine="420"/>
        <w:jc w:val="both"/>
      </w:pPr>
      <w:r>
        <w:rPr>
          <w:w w:val="95"/>
        </w:rPr>
        <w:t>因追加投资等原因能够对同一控制下的被投资方实施控制的，视同参与合并的各方在最终控制方开始</w:t>
      </w:r>
      <w:r>
        <w:rPr>
          <w:w w:val="99"/>
        </w:rPr>
        <w:t> </w:t>
      </w:r>
      <w:r>
        <w:rPr>
          <w:w w:val="95"/>
        </w:rPr>
        <w:t>控制时即以目前的状态存在进行调整。在取得被合并方控制权之前持有的股权投资，在取得原股权之日与</w:t>
      </w:r>
      <w:r>
        <w:rPr>
          <w:spacing w:val="40"/>
          <w:w w:val="95"/>
        </w:rPr>
        <w:t> </w:t>
      </w:r>
      <w:r>
        <w:rPr>
          <w:spacing w:val="40"/>
          <w:w w:val="95"/>
        </w:rPr>
      </w:r>
      <w:r>
        <w:rPr>
          <w:w w:val="95"/>
        </w:rPr>
        <w:t>合并方和被合并方同处于同一控制之日孰晚日起至合并日之间已确认有关损益、其他综合收益以及其他净</w:t>
      </w:r>
      <w:r>
        <w:rPr>
          <w:spacing w:val="39"/>
          <w:w w:val="95"/>
        </w:rPr>
        <w:t> </w:t>
      </w:r>
      <w:r>
        <w:rPr>
          <w:spacing w:val="39"/>
          <w:w w:val="95"/>
        </w:rPr>
      </w:r>
      <w:r>
        <w:rPr/>
        <w:t>资产变动，分别冲减比较报表期间的期初留存收益或当期损益。</w:t>
      </w:r>
    </w:p>
    <w:p>
      <w:pPr>
        <w:pStyle w:val="BodyText"/>
        <w:spacing w:line="273" w:lineRule="auto"/>
        <w:ind w:right="1130" w:firstLine="420"/>
        <w:jc w:val="both"/>
      </w:pPr>
      <w:r>
        <w:rPr>
          <w:w w:val="95"/>
        </w:rPr>
        <w:t>在报告期内，若因非同一控制下企业合并增加子公司或业务的，则不调整合并资产负债表期初数；将</w:t>
      </w:r>
      <w:r>
        <w:rPr>
          <w:spacing w:val="-97"/>
          <w:w w:val="95"/>
        </w:rPr>
        <w:t> </w:t>
      </w:r>
      <w:r>
        <w:rPr>
          <w:spacing w:val="-97"/>
          <w:w w:val="95"/>
        </w:rPr>
      </w:r>
      <w:r>
        <w:rPr>
          <w:w w:val="95"/>
        </w:rPr>
        <w:t>该子公司或业务自购买日至报告期末的收入、费用、利润纳入合并利润表；该子公司或业务自购买日至报</w:t>
      </w:r>
      <w:r>
        <w:rPr>
          <w:spacing w:val="40"/>
          <w:w w:val="95"/>
        </w:rPr>
        <w:t> </w:t>
      </w:r>
      <w:r>
        <w:rPr>
          <w:spacing w:val="40"/>
          <w:w w:val="95"/>
        </w:rPr>
      </w:r>
      <w:r>
        <w:rPr/>
        <w:t>告期末的现金流量纳入合并现金流量表。</w:t>
      </w:r>
    </w:p>
    <w:p>
      <w:pPr>
        <w:pStyle w:val="BodyText"/>
        <w:spacing w:line="273" w:lineRule="auto"/>
        <w:ind w:right="1132" w:firstLine="420"/>
        <w:jc w:val="both"/>
      </w:pPr>
      <w:r>
        <w:rPr>
          <w:w w:val="95"/>
        </w:rPr>
        <w:t>因追加投资等原因能够对非同一控制下的被投资方实施控制的，对于购买日之前持有的被购买方的股</w:t>
      </w:r>
      <w:r>
        <w:rPr>
          <w:w w:val="99"/>
        </w:rPr>
        <w:t> </w:t>
      </w:r>
      <w:r>
        <w:rPr>
          <w:w w:val="95"/>
        </w:rPr>
        <w:t>权，本公司按照该股权在购买日的公允价值进行重新计量，公允价值与其账面价值的差额计入当期投资收</w:t>
      </w:r>
      <w:r>
        <w:rPr>
          <w:spacing w:val="38"/>
          <w:w w:val="95"/>
        </w:rPr>
        <w:t> </w:t>
      </w:r>
      <w:r>
        <w:rPr>
          <w:spacing w:val="38"/>
          <w:w w:val="95"/>
        </w:rPr>
      </w:r>
      <w:r>
        <w:rPr>
          <w:w w:val="95"/>
        </w:rPr>
        <w:t>益。购买日之前持有的被购买方的股权涉及权益法核算下的其他综合收益以及除净损益、其他综合收益和</w:t>
      </w:r>
      <w:r>
        <w:rPr>
          <w:spacing w:val="40"/>
          <w:w w:val="95"/>
        </w:rPr>
        <w:t> </w:t>
      </w:r>
      <w:r>
        <w:rPr>
          <w:spacing w:val="40"/>
          <w:w w:val="95"/>
        </w:rPr>
      </w:r>
      <w:r>
        <w:rPr>
          <w:w w:val="95"/>
        </w:rPr>
        <w:t>利润分配之外的其他所有者权益变动的与其相关的其他综合收益、其他所有者权益变动转为购买日所属当</w:t>
      </w:r>
      <w:r>
        <w:rPr>
          <w:spacing w:val="39"/>
          <w:w w:val="95"/>
        </w:rPr>
        <w:t> </w:t>
      </w:r>
      <w:r>
        <w:rPr>
          <w:spacing w:val="39"/>
          <w:w w:val="95"/>
        </w:rPr>
      </w:r>
      <w:r>
        <w:rPr/>
        <w:t>期投资收益，由于被投资方重新计量设定受益计划净负债或净资产变动而产生的其他综合收益除外。</w:t>
      </w:r>
    </w:p>
    <w:p>
      <w:pPr>
        <w:pStyle w:val="BodyText"/>
        <w:spacing w:line="273" w:lineRule="auto" w:before="8"/>
        <w:ind w:left="532" w:right="8549" w:hanging="420"/>
        <w:jc w:val="left"/>
      </w:pPr>
      <w:r>
        <w:rPr/>
        <w:t>（2）处置子公司或业务</w:t>
      </w:r>
      <w:r>
        <w:rPr>
          <w:w w:val="99"/>
        </w:rPr>
        <w:t> </w:t>
      </w:r>
      <w:r>
        <w:rPr/>
        <w:t>1）一般处理方法</w:t>
      </w:r>
    </w:p>
    <w:p>
      <w:pPr>
        <w:pStyle w:val="BodyText"/>
        <w:spacing w:line="273" w:lineRule="auto"/>
        <w:ind w:right="1132" w:firstLine="420"/>
        <w:jc w:val="both"/>
      </w:pPr>
      <w:r>
        <w:rPr>
          <w:w w:val="95"/>
        </w:rPr>
        <w:t>在报告期内，本公司处置子公司或业务，则该子公司或业务期初至处置日的收入、费用、利润纳入合</w:t>
      </w:r>
      <w:r>
        <w:rPr>
          <w:w w:val="99"/>
        </w:rPr>
        <w:t> </w:t>
      </w:r>
      <w:r>
        <w:rPr/>
        <w:t>并利润表；该子公司或业务期初至处置日的现金流量纳入合并现金流量表。</w:t>
      </w:r>
    </w:p>
    <w:p>
      <w:pPr>
        <w:pStyle w:val="BodyText"/>
        <w:spacing w:line="273" w:lineRule="auto"/>
        <w:ind w:right="1135" w:firstLine="420"/>
        <w:jc w:val="both"/>
      </w:pPr>
      <w:r>
        <w:rPr>
          <w:w w:val="95"/>
        </w:rPr>
        <w:t>因处置部分股权投资或其他原因丧失了对被投资方控制权时，对于处置后的剩余股权投资，本公司按</w:t>
      </w:r>
      <w:r>
        <w:rPr>
          <w:w w:val="99"/>
        </w:rPr>
        <w:t> </w:t>
      </w:r>
      <w:r>
        <w:rPr>
          <w:w w:val="95"/>
        </w:rPr>
        <w:t>照其在丧失控制权日的公允价值进行重新计量。处置股权取得的对价与剩余股权公允价值之和，减去按原</w:t>
      </w:r>
      <w:r>
        <w:rPr>
          <w:spacing w:val="37"/>
          <w:w w:val="95"/>
        </w:rPr>
        <w:t> </w:t>
      </w:r>
      <w:r>
        <w:rPr>
          <w:spacing w:val="37"/>
          <w:w w:val="95"/>
        </w:rPr>
      </w:r>
      <w:r>
        <w:rPr>
          <w:w w:val="95"/>
        </w:rPr>
        <w:t>持股比例计算应享有原有子公司自购买日或合并日开始持续计算的净资产的份额与商誉之和的差额，计入</w:t>
      </w:r>
      <w:r>
        <w:rPr>
          <w:spacing w:val="37"/>
          <w:w w:val="95"/>
        </w:rPr>
        <w:t> </w:t>
      </w:r>
      <w:r>
        <w:rPr>
          <w:spacing w:val="37"/>
          <w:w w:val="95"/>
        </w:rPr>
      </w:r>
      <w:r>
        <w:rPr>
          <w:w w:val="95"/>
        </w:rPr>
        <w:t>丧失控制权当期的投资收益。与原有子公司股权投资相关的其他综合收益或除净损益、其他综合收益及利</w:t>
      </w:r>
      <w:r>
        <w:rPr>
          <w:spacing w:val="37"/>
          <w:w w:val="95"/>
        </w:rPr>
        <w:t> </w:t>
      </w:r>
      <w:r>
        <w:rPr>
          <w:spacing w:val="37"/>
          <w:w w:val="95"/>
        </w:rPr>
      </w:r>
      <w:r>
        <w:rPr>
          <w:w w:val="95"/>
        </w:rPr>
        <w:t>润分配之外的其他所有者权益变动，在丧失控制权时转为当期投资收益，由于被投资方重新计量设定受益</w:t>
      </w:r>
      <w:r>
        <w:rPr>
          <w:spacing w:val="37"/>
          <w:w w:val="95"/>
        </w:rPr>
        <w:t> </w:t>
      </w:r>
      <w:r>
        <w:rPr>
          <w:spacing w:val="37"/>
          <w:w w:val="95"/>
        </w:rPr>
      </w:r>
      <w:r>
        <w:rPr/>
        <w:t>计划净负债或净资产变动而产生的其他综合收益除外。</w:t>
      </w:r>
    </w:p>
    <w:p>
      <w:pPr>
        <w:pStyle w:val="BodyText"/>
        <w:spacing w:line="240" w:lineRule="auto"/>
        <w:ind w:left="532" w:right="0"/>
        <w:jc w:val="left"/>
      </w:pPr>
      <w:r>
        <w:rPr/>
        <w:t>2）分步处置子公司</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2" w:firstLine="420"/>
        <w:jc w:val="both"/>
      </w:pPr>
      <w:r>
        <w:rPr>
          <w:w w:val="95"/>
        </w:rPr>
        <w:t>通过多次交易分步处置对子公司股权投资直至丧失控制权的，处置对子公司股权投资的各项交易的条</w:t>
      </w:r>
      <w:r>
        <w:rPr>
          <w:w w:val="99"/>
        </w:rPr>
        <w:t> </w:t>
      </w:r>
      <w:r>
        <w:rPr>
          <w:w w:val="95"/>
        </w:rPr>
        <w:t>款、条件以及经济影响符合以下一种或多种情况，通常表明应将多次交易事项作为一揽子交易进行会计处   </w:t>
      </w:r>
      <w:r>
        <w:rPr>
          <w:spacing w:val="37"/>
          <w:w w:val="95"/>
        </w:rPr>
        <w:t> </w:t>
      </w:r>
      <w:r>
        <w:rPr>
          <w:spacing w:val="37"/>
          <w:w w:val="95"/>
        </w:rPr>
      </w:r>
      <w:r>
        <w:rPr/>
        <w:t>理：</w:t>
      </w:r>
    </w:p>
    <w:p>
      <w:pPr>
        <w:pStyle w:val="BodyText"/>
        <w:spacing w:line="273" w:lineRule="auto"/>
        <w:ind w:left="532" w:right="1185"/>
        <w:jc w:val="left"/>
      </w:pPr>
      <w:r>
        <w:rPr/>
        <w:t>A.这些交易是同时或者在考虑了彼此影响的情况下订立的；</w:t>
      </w:r>
      <w:r>
        <w:rPr>
          <w:w w:val="99"/>
        </w:rPr>
        <w:t> </w:t>
      </w:r>
      <w:r>
        <w:rPr/>
        <w:t>B.这些交易整体才能达成一项完整的商业结果；</w:t>
      </w:r>
      <w:r>
        <w:rPr>
          <w:w w:val="99"/>
        </w:rPr>
        <w:t> </w:t>
      </w:r>
      <w:r>
        <w:rPr/>
        <w:t>C.一项交易的发生取决于其他至少一项交易的发生；</w:t>
      </w:r>
      <w:r>
        <w:rPr>
          <w:w w:val="99"/>
        </w:rPr>
        <w:t> </w:t>
      </w:r>
      <w:r>
        <w:rPr/>
        <w:t>D.一项交易单独看是不经济的，但是和其他交易一并考虑时是经济的。</w:t>
      </w:r>
      <w:r>
        <w:rPr>
          <w:w w:val="99"/>
        </w:rPr>
        <w:t> </w:t>
      </w:r>
      <w:r>
        <w:rPr>
          <w:w w:val="95"/>
        </w:rPr>
        <w:t>处置对子公司股权投资直至丧失控制权的各项交易属于一揽子交易的，本公司将各项交易作为一项处</w:t>
      </w:r>
      <w:r>
        <w:rPr/>
      </w:r>
    </w:p>
    <w:p>
      <w:pPr>
        <w:pStyle w:val="BodyText"/>
        <w:spacing w:line="273" w:lineRule="auto"/>
        <w:ind w:right="1132"/>
        <w:jc w:val="both"/>
      </w:pPr>
      <w:r>
        <w:rPr>
          <w:w w:val="95"/>
        </w:rPr>
        <w:t>置子公司并丧失控制权的交易进行会计处理；但是，在丧失控制权之前每一次处置价款与处置投资对应的</w:t>
      </w:r>
      <w:r>
        <w:rPr>
          <w:spacing w:val="40"/>
          <w:w w:val="95"/>
        </w:rPr>
        <w:t> </w:t>
      </w:r>
      <w:r>
        <w:rPr>
          <w:spacing w:val="40"/>
          <w:w w:val="95"/>
        </w:rPr>
      </w:r>
      <w:r>
        <w:rPr>
          <w:w w:val="95"/>
        </w:rPr>
        <w:t>享有该子公司净资产份额的差额，在合并财务报表中确认为其他综合收益，在丧失控制权时一并转入丧失</w:t>
      </w:r>
      <w:r>
        <w:rPr>
          <w:spacing w:val="40"/>
          <w:w w:val="95"/>
        </w:rPr>
        <w:t> </w:t>
      </w:r>
      <w:r>
        <w:rPr>
          <w:spacing w:val="40"/>
          <w:w w:val="95"/>
        </w:rPr>
      </w:r>
      <w:r>
        <w:rPr/>
        <w:t>控制权当期的损益。</w:t>
      </w:r>
    </w:p>
    <w:p>
      <w:pPr>
        <w:pStyle w:val="BodyText"/>
        <w:spacing w:line="273" w:lineRule="auto"/>
        <w:ind w:right="1132" w:firstLine="420"/>
        <w:jc w:val="both"/>
      </w:pPr>
      <w:r>
        <w:rPr>
          <w:w w:val="95"/>
        </w:rPr>
        <w:t>处置对子公司股权投资直至丧失控制权的各项交易不属于一揽子交易的，在丧失控制权之前，按不丧</w:t>
      </w:r>
      <w:r>
        <w:rPr>
          <w:w w:val="99"/>
        </w:rPr>
        <w:t> </w:t>
      </w:r>
      <w:r>
        <w:rPr>
          <w:w w:val="95"/>
        </w:rPr>
        <w:t>失控制权的情况下部分处置对子公司的股权投资的相关政策进行会计处理；在丧失控制权时，按处置子公</w:t>
      </w:r>
      <w:r>
        <w:rPr>
          <w:spacing w:val="40"/>
          <w:w w:val="95"/>
        </w:rPr>
        <w:t> </w:t>
      </w:r>
      <w:r>
        <w:rPr>
          <w:spacing w:val="40"/>
          <w:w w:val="95"/>
        </w:rPr>
      </w:r>
      <w:r>
        <w:rPr/>
        <w:t>司一般处理方法进行会计处理。</w:t>
      </w:r>
    </w:p>
    <w:p>
      <w:pPr>
        <w:pStyle w:val="BodyText"/>
        <w:spacing w:line="273" w:lineRule="auto"/>
        <w:ind w:left="532" w:right="0" w:hanging="180"/>
        <w:jc w:val="left"/>
      </w:pPr>
      <w:r>
        <w:rPr/>
        <w:t>（3）购买子公司少数股权</w:t>
      </w:r>
      <w:r>
        <w:rPr>
          <w:w w:val="99"/>
        </w:rPr>
        <w:t> </w:t>
      </w:r>
      <w:r>
        <w:rPr>
          <w:w w:val="95"/>
        </w:rPr>
        <w:t>本公司因购买少数股权新取得的长期股权投资与按照新增持股比例计算应享有子公司自购买日（或合</w:t>
      </w:r>
      <w:r>
        <w:rPr/>
      </w:r>
    </w:p>
    <w:p>
      <w:pPr>
        <w:pStyle w:val="BodyText"/>
        <w:spacing w:line="273" w:lineRule="auto"/>
        <w:ind w:right="0"/>
        <w:jc w:val="left"/>
      </w:pPr>
      <w:r>
        <w:rPr>
          <w:w w:val="95"/>
        </w:rPr>
        <w:t>并日）开始持续计算的净资产份额之间的差额，调整合并资产负债表中的资本公积中的股本溢价，资本公</w:t>
      </w:r>
      <w:r>
        <w:rPr>
          <w:spacing w:val="40"/>
          <w:w w:val="95"/>
        </w:rPr>
        <w:t> </w:t>
      </w:r>
      <w:r>
        <w:rPr>
          <w:spacing w:val="40"/>
          <w:w w:val="95"/>
        </w:rPr>
      </w:r>
      <w:r>
        <w:rPr/>
        <w:t>积中的股本溢价不足冲减的，调整留存收益。</w:t>
      </w:r>
    </w:p>
    <w:p>
      <w:pPr>
        <w:pStyle w:val="BodyText"/>
        <w:spacing w:line="273" w:lineRule="auto"/>
        <w:ind w:left="532" w:right="1132" w:hanging="209"/>
        <w:jc w:val="left"/>
      </w:pPr>
      <w:r>
        <w:rPr/>
        <w:t>（4）不丧失控制权的情况下部分处置对子公司的股权投资</w:t>
      </w:r>
      <w:r>
        <w:rPr>
          <w:w w:val="99"/>
        </w:rPr>
        <w:t> </w:t>
      </w:r>
      <w:r>
        <w:rPr>
          <w:spacing w:val="4"/>
        </w:rPr>
        <w:t>在不丧失控制权的情况下因部分处置对子公司的长期股权投资而取得的处置价款与处置长期股权投</w:t>
      </w:r>
    </w:p>
    <w:p>
      <w:pPr>
        <w:pStyle w:val="BodyText"/>
        <w:spacing w:line="273" w:lineRule="auto"/>
        <w:ind w:right="0"/>
        <w:jc w:val="left"/>
      </w:pPr>
      <w:r>
        <w:rPr>
          <w:w w:val="95"/>
        </w:rPr>
        <w:t>资相对应享有子公司自购买日或合并日开始持续计算的净资产份额之间的差额，调整合并资产负债表中的</w:t>
      </w:r>
      <w:r>
        <w:rPr>
          <w:spacing w:val="39"/>
          <w:w w:val="95"/>
        </w:rPr>
        <w:t> </w:t>
      </w:r>
      <w:r>
        <w:rPr>
          <w:spacing w:val="39"/>
          <w:w w:val="95"/>
        </w:rPr>
      </w:r>
      <w:r>
        <w:rPr/>
        <w:t>资本公积中的股本溢价，资本公积中的股本溢价不足冲减的，调整留存收益。</w:t>
      </w:r>
    </w:p>
    <w:p>
      <w:pPr>
        <w:spacing w:line="240" w:lineRule="auto" w:before="6"/>
        <w:rPr>
          <w:rFonts w:ascii="宋体" w:hAnsi="宋体" w:cs="宋体" w:eastAsia="宋体" w:hint="default"/>
          <w:sz w:val="24"/>
          <w:szCs w:val="24"/>
        </w:rPr>
      </w:pPr>
    </w:p>
    <w:p>
      <w:pPr>
        <w:pStyle w:val="Heading6"/>
        <w:spacing w:line="590" w:lineRule="atLeast"/>
        <w:ind w:right="6854"/>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w w:val="99"/>
        </w:rPr>
        <w:t> </w:t>
      </w:r>
      <w:r>
        <w:rPr/>
        <w:t>合营安排的分类</w:t>
      </w:r>
      <w:r>
        <w:rPr>
          <w:b w:val="0"/>
          <w:bCs w:val="0"/>
        </w:rPr>
      </w:r>
    </w:p>
    <w:p>
      <w:pPr>
        <w:pStyle w:val="BodyText"/>
        <w:spacing w:line="273" w:lineRule="auto" w:before="37"/>
        <w:ind w:left="472" w:right="0" w:firstLine="420"/>
        <w:jc w:val="left"/>
      </w:pPr>
      <w:r>
        <w:rPr>
          <w:spacing w:val="-2"/>
        </w:rPr>
        <w:t>本公司根据合营安排的结构、法律形式以及合营安排中约定的条款、其他相关事实和情况等因素，</w:t>
      </w:r>
      <w:r>
        <w:rPr>
          <w:w w:val="99"/>
        </w:rPr>
        <w:t> </w:t>
      </w:r>
      <w:r>
        <w:rPr/>
        <w:t>将合营安排分为共同经营和合营企业。</w:t>
      </w:r>
    </w:p>
    <w:p>
      <w:pPr>
        <w:pStyle w:val="BodyText"/>
        <w:spacing w:line="273" w:lineRule="auto"/>
        <w:ind w:left="472" w:right="1135" w:firstLine="420"/>
        <w:jc w:val="both"/>
      </w:pPr>
      <w:r>
        <w:rPr/>
        <w:t>未通过单独主体达成的合营安排，划分为共同经营；通过单独主体达成的合营安排，通常划分为</w:t>
      </w:r>
      <w:r>
        <w:rPr>
          <w:w w:val="99"/>
        </w:rPr>
        <w:t> </w:t>
      </w:r>
      <w:r>
        <w:rPr/>
        <w:t>合营企业；但有确凿证据表明满足下列任一条件并且符合相关法律法规规定的合营安排划分为共同经</w:t>
      </w:r>
      <w:r>
        <w:rPr>
          <w:spacing w:val="-82"/>
        </w:rPr>
        <w:t> </w:t>
      </w:r>
      <w:r>
        <w:rPr>
          <w:spacing w:val="-82"/>
        </w:rPr>
      </w:r>
      <w:r>
        <w:rPr/>
        <w:t>营：</w:t>
      </w:r>
    </w:p>
    <w:p>
      <w:pPr>
        <w:pStyle w:val="BodyText"/>
        <w:spacing w:line="273" w:lineRule="auto"/>
        <w:ind w:right="0"/>
        <w:jc w:val="left"/>
      </w:pPr>
      <w:r>
        <w:rPr/>
        <w:t>合营安排的法律形式表明，合营方对该安排中的相关资产和负债分别享有权利和承担义务。</w:t>
      </w:r>
      <w:r>
        <w:rPr>
          <w:w w:val="99"/>
        </w:rPr>
        <w:t> </w:t>
      </w:r>
      <w:r>
        <w:rPr/>
        <w:t>合营安排的合同条款约定，合营方对该安排中的相关资产和负债分别享有权利和承担义务。</w:t>
      </w:r>
      <w:r>
        <w:rPr>
          <w:w w:val="99"/>
        </w:rPr>
        <w:t> </w:t>
      </w:r>
      <w:r>
        <w:rPr>
          <w:w w:val="95"/>
        </w:rPr>
        <w:t>其他相关事实和情况表明，合营方对该安排中的相关资产和负债分别享有权利和承担义务，如合营方享有</w:t>
      </w:r>
      <w:r>
        <w:rPr/>
      </w:r>
    </w:p>
    <w:p>
      <w:pPr>
        <w:spacing w:line="273" w:lineRule="auto" w:before="8"/>
        <w:ind w:left="112" w:right="1185" w:firstLine="360"/>
        <w:jc w:val="left"/>
        <w:rPr>
          <w:rFonts w:ascii="宋体" w:hAnsi="宋体" w:cs="宋体" w:eastAsia="宋体" w:hint="default"/>
          <w:sz w:val="21"/>
          <w:szCs w:val="21"/>
        </w:rPr>
      </w:pPr>
      <w:r>
        <w:rPr>
          <w:rFonts w:ascii="宋体" w:hAnsi="宋体" w:cs="宋体" w:eastAsia="宋体" w:hint="default"/>
          <w:w w:val="95"/>
          <w:sz w:val="21"/>
          <w:szCs w:val="21"/>
        </w:rPr>
        <w:t>与合营安排相关的几乎所有产出，并且该安排中负债的清偿持续依赖于合营方的支持。</w:t>
      </w:r>
      <w:r>
        <w:rPr>
          <w:rFonts w:ascii="宋体" w:hAnsi="宋体" w:cs="宋体" w:eastAsia="宋体" w:hint="default"/>
          <w:spacing w:val="-82"/>
          <w:w w:val="95"/>
          <w:sz w:val="21"/>
          <w:szCs w:val="21"/>
        </w:rPr>
        <w:t> </w:t>
      </w:r>
      <w:r>
        <w:rPr>
          <w:rFonts w:ascii="宋体" w:hAnsi="宋体" w:cs="宋体" w:eastAsia="宋体" w:hint="default"/>
          <w:spacing w:val="-82"/>
          <w:w w:val="95"/>
          <w:sz w:val="21"/>
          <w:szCs w:val="21"/>
        </w:rPr>
      </w:r>
      <w:r>
        <w:rPr>
          <w:rFonts w:ascii="宋体" w:hAnsi="宋体" w:cs="宋体" w:eastAsia="宋体" w:hint="default"/>
          <w:b/>
          <w:bCs/>
          <w:sz w:val="21"/>
          <w:szCs w:val="21"/>
        </w:rPr>
        <w:t>共同经营会计处理方法</w:t>
      </w:r>
      <w:r>
        <w:rPr>
          <w:rFonts w:ascii="宋体" w:hAnsi="宋体" w:cs="宋体" w:eastAsia="宋体" w:hint="default"/>
          <w:sz w:val="21"/>
          <w:szCs w:val="21"/>
        </w:rPr>
      </w:r>
    </w:p>
    <w:p>
      <w:pPr>
        <w:pStyle w:val="BodyText"/>
        <w:spacing w:line="273" w:lineRule="auto"/>
        <w:ind w:left="472" w:right="1135" w:firstLine="420"/>
        <w:jc w:val="both"/>
      </w:pPr>
      <w:r>
        <w:rPr/>
        <w:t>本公司确认共同经营中利益份额中与本公司相关的下列项目，并按照相关企业会计准则的规定进</w:t>
      </w:r>
      <w:r>
        <w:rPr>
          <w:w w:val="99"/>
        </w:rPr>
        <w:t> </w:t>
      </w:r>
      <w:r>
        <w:rPr/>
        <w:t>行会计处理：</w:t>
      </w:r>
    </w:p>
    <w:p>
      <w:pPr>
        <w:pStyle w:val="BodyText"/>
        <w:spacing w:line="273" w:lineRule="auto"/>
        <w:ind w:right="2654"/>
        <w:jc w:val="left"/>
      </w:pPr>
      <w:r>
        <w:rPr/>
        <w:t>确认单独所持有的资产，以及按其份额确认共同持有的资产；</w:t>
      </w:r>
      <w:r>
        <w:rPr>
          <w:w w:val="99"/>
        </w:rPr>
        <w:t> </w:t>
      </w:r>
      <w:r>
        <w:rPr/>
        <w:t>确认单独所承担的负债，以及按其份额确认共同承担的负债；</w:t>
      </w:r>
      <w:r>
        <w:rPr>
          <w:w w:val="99"/>
        </w:rPr>
        <w:t> </w:t>
      </w:r>
      <w:r>
        <w:rPr/>
        <w:t>确认出售其享有的共同经营产出份额所产生的收入；</w:t>
      </w:r>
      <w:r>
        <w:rPr>
          <w:w w:val="99"/>
        </w:rPr>
        <w:t> </w:t>
      </w:r>
      <w:r>
        <w:rPr/>
        <w:t>按其份额确认共同经营因出售产出所产生的收入；</w:t>
      </w:r>
      <w:r>
        <w:rPr>
          <w:w w:val="99"/>
        </w:rPr>
        <w:t> </w:t>
      </w:r>
      <w:r>
        <w:rPr>
          <w:w w:val="95"/>
        </w:rPr>
        <w:t>确认单独所发生的费用，以及按其份额确认共同经营发生的费用。</w:t>
      </w:r>
      <w:r>
        <w:rPr/>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0" w:firstLine="420"/>
        <w:jc w:val="both"/>
      </w:pPr>
      <w:r>
        <w:rPr>
          <w:w w:val="99"/>
        </w:rPr>
        <w:t>本公司向共同经营投出或出售资产等（该资产构成业务的除外），在该资产等由共同经营出售给第三 </w:t>
      </w:r>
      <w:r>
        <w:rPr>
          <w:spacing w:val="-5"/>
        </w:rPr>
        <w:t>方之前，仅确认因该交易产生的损益中归属于共同经营其他参与方的部分。投出或出售的资产发生符合《企</w:t>
      </w:r>
      <w:r>
        <w:rPr>
          <w:w w:val="99"/>
        </w:rPr>
        <w:t> </w:t>
      </w:r>
      <w:r>
        <w:rPr/>
        <w:t>业会计准则第8号——资产减值》等规定的资产减值损失的，本公司全额确认该损失。</w:t>
      </w:r>
    </w:p>
    <w:p>
      <w:pPr>
        <w:pStyle w:val="BodyText"/>
        <w:spacing w:line="273" w:lineRule="auto"/>
        <w:ind w:right="1132" w:firstLine="420"/>
        <w:jc w:val="both"/>
      </w:pPr>
      <w:r>
        <w:rPr>
          <w:w w:val="99"/>
        </w:rPr>
        <w:t>本公司自共同经营购买资产等（该资产构成业务的除外），在将该资产等出售给第三方之前，仅确认 </w:t>
      </w:r>
      <w:r>
        <w:rPr>
          <w:spacing w:val="2"/>
          <w:w w:val="95"/>
        </w:rPr>
        <w:t>因该交易产生的损益中归属于共同经营其他参与方的部分。购入的资产发生符合《企业会计准则第8号—</w:t>
      </w:r>
      <w:r>
        <w:rPr>
          <w:spacing w:val="2"/>
        </w:rPr>
      </w:r>
    </w:p>
    <w:p>
      <w:pPr>
        <w:pStyle w:val="BodyText"/>
        <w:spacing w:line="273" w:lineRule="auto"/>
        <w:ind w:left="532" w:right="0" w:hanging="420"/>
        <w:jc w:val="left"/>
      </w:pPr>
      <w:r>
        <w:rPr/>
        <w:t>—资产减值》等规定的资产减值损失的，本公司按承担的份额确认该部分损失。</w:t>
      </w:r>
      <w:r>
        <w:rPr>
          <w:w w:val="99"/>
        </w:rPr>
        <w:t> </w:t>
      </w:r>
      <w:r>
        <w:rPr>
          <w:w w:val="95"/>
        </w:rPr>
        <w:t>本公司对共同经营不享有共同控制，如果本公司享有该共同经营相关资产且承担该共同经营相关负债</w:t>
      </w:r>
      <w:r>
        <w:rPr/>
      </w:r>
    </w:p>
    <w:p>
      <w:pPr>
        <w:pStyle w:val="BodyText"/>
        <w:spacing w:line="240" w:lineRule="auto"/>
        <w:ind w:right="0"/>
        <w:jc w:val="left"/>
      </w:pPr>
      <w:r>
        <w:rPr/>
        <w:t>的，仍按上述原则进行会计处理，否则，应当按照相关企业会计准则的规定进行会计处理。</w:t>
      </w:r>
    </w:p>
    <w:p>
      <w:pPr>
        <w:spacing w:line="590" w:lineRule="atLeast" w:before="38"/>
        <w:ind w:left="532" w:right="0" w:hanging="420"/>
        <w:jc w:val="left"/>
        <w:rPr>
          <w:rFonts w:ascii="宋体" w:hAnsi="宋体" w:cs="宋体" w:eastAsia="宋体" w:hint="default"/>
          <w:sz w:val="21"/>
          <w:szCs w:val="21"/>
        </w:rPr>
      </w:pPr>
      <w:bookmarkStart w:name="8、现金及现金等价物的确定标准" w:id="179"/>
      <w:bookmarkEnd w:id="17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在编制现金流量表时，将本公司库存现金以及可以随时用于支付的存款确认为现金。将同时具备期限</w:t>
      </w:r>
      <w:r>
        <w:rPr>
          <w:rFonts w:ascii="宋体" w:hAnsi="宋体" w:cs="宋体" w:eastAsia="宋体" w:hint="default"/>
          <w:sz w:val="21"/>
          <w:szCs w:val="21"/>
        </w:rPr>
      </w:r>
    </w:p>
    <w:p>
      <w:pPr>
        <w:pStyle w:val="BodyText"/>
        <w:spacing w:line="273" w:lineRule="auto" w:before="37"/>
        <w:ind w:right="0"/>
        <w:jc w:val="left"/>
      </w:pPr>
      <w:r>
        <w:rPr>
          <w:w w:val="99"/>
        </w:rPr>
        <w:t>短（一般从购买日起三个月内到期）、流动性强、易于转换为已知金额的现金、价值变动风险很小四个条</w:t>
      </w:r>
      <w:r>
        <w:rPr>
          <w:spacing w:val="-94"/>
          <w:w w:val="99"/>
        </w:rPr>
        <w:t> </w:t>
      </w:r>
      <w:r>
        <w:rPr>
          <w:spacing w:val="-94"/>
          <w:w w:val="99"/>
        </w:rPr>
      </w:r>
      <w:r>
        <w:rPr/>
        <w:t>件的投资，确定为现金等价物。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1.外币业务</w:t>
      </w:r>
      <w:r>
        <w:rPr>
          <w:b w:val="0"/>
          <w:bCs w:val="0"/>
        </w:rPr>
      </w:r>
    </w:p>
    <w:p>
      <w:pPr>
        <w:pStyle w:val="BodyText"/>
        <w:spacing w:line="273" w:lineRule="auto" w:before="37"/>
        <w:ind w:left="532" w:right="0"/>
        <w:jc w:val="left"/>
      </w:pPr>
      <w:r>
        <w:rPr/>
        <w:t>外币业务交易在初始确认时，采用交易发生日的即期汇率作为折算汇率折合成人民币记账。</w:t>
      </w:r>
      <w:r>
        <w:rPr>
          <w:w w:val="99"/>
        </w:rPr>
        <w:t> </w:t>
      </w:r>
      <w:r>
        <w:rPr>
          <w:w w:val="95"/>
        </w:rPr>
        <w:t>资产负债表日，外币货币性项目按资产负债表日即期汇率折算，由此产生的汇兑差额，除属于与购建</w:t>
      </w:r>
      <w:r>
        <w:rPr/>
      </w:r>
    </w:p>
    <w:p>
      <w:pPr>
        <w:pStyle w:val="BodyText"/>
        <w:spacing w:line="273" w:lineRule="auto"/>
        <w:ind w:right="1132"/>
        <w:jc w:val="both"/>
      </w:pPr>
      <w:r>
        <w:rPr>
          <w:w w:val="95"/>
        </w:rPr>
        <w:t>符合资本化条件的资产相关的外币专门借款产生的汇兑差额按照借款费用资本化的原则处理外，均计入当</w:t>
      </w:r>
      <w:r>
        <w:rPr>
          <w:spacing w:val="37"/>
          <w:w w:val="95"/>
        </w:rPr>
        <w:t> </w:t>
      </w:r>
      <w:r>
        <w:rPr>
          <w:spacing w:val="37"/>
          <w:w w:val="95"/>
        </w:rPr>
      </w:r>
      <w:r>
        <w:rPr>
          <w:w w:val="95"/>
        </w:rPr>
        <w:t>期损益。以历史成本计量的外币非货币性项目，仍采用交易发生日的即期汇率折算，不改变其记账本位币  </w:t>
      </w:r>
      <w:r>
        <w:rPr>
          <w:spacing w:val="40"/>
          <w:w w:val="95"/>
        </w:rPr>
        <w:t> </w:t>
      </w:r>
      <w:r>
        <w:rPr>
          <w:spacing w:val="40"/>
          <w:w w:val="95"/>
        </w:rPr>
      </w:r>
      <w:r>
        <w:rPr/>
        <w:t>金额。</w:t>
      </w:r>
    </w:p>
    <w:p>
      <w:pPr>
        <w:pStyle w:val="BodyText"/>
        <w:spacing w:line="273" w:lineRule="auto"/>
        <w:ind w:right="1132" w:firstLine="420"/>
        <w:jc w:val="both"/>
      </w:pPr>
      <w:r>
        <w:rPr>
          <w:w w:val="95"/>
        </w:rPr>
        <w:t>以公允价值计量的外币非货币性项目，采用公允价值确定日的即期汇率折算，由此产生的汇兑差额作</w:t>
      </w:r>
      <w:r>
        <w:rPr>
          <w:w w:val="99"/>
        </w:rPr>
        <w:t> </w:t>
      </w:r>
      <w:r>
        <w:rPr>
          <w:w w:val="95"/>
        </w:rPr>
        <w:t>为公允价值变动损益计入当期损益。如属于可供出售外币非货币性项目的，形成的汇兑差额计入其他综合  </w:t>
      </w:r>
      <w:r>
        <w:rPr>
          <w:spacing w:val="40"/>
          <w:w w:val="95"/>
        </w:rPr>
        <w:t> </w:t>
      </w:r>
      <w:r>
        <w:rPr>
          <w:spacing w:val="40"/>
          <w:w w:val="95"/>
        </w:rPr>
      </w:r>
      <w:r>
        <w:rPr/>
        <w:t>收益。</w:t>
      </w:r>
    </w:p>
    <w:p>
      <w:pPr>
        <w:spacing w:line="273" w:lineRule="auto" w:before="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2.外币财务报表的折算</w:t>
      </w:r>
      <w:r>
        <w:rPr>
          <w:rFonts w:ascii="宋体" w:hAnsi="宋体" w:cs="宋体" w:eastAsia="宋体" w:hint="default"/>
          <w:b/>
          <w:bCs/>
          <w:w w:val="99"/>
          <w:sz w:val="21"/>
          <w:szCs w:val="21"/>
        </w:rPr>
        <w:t> </w:t>
      </w:r>
      <w:r>
        <w:rPr>
          <w:rFonts w:ascii="宋体" w:hAnsi="宋体" w:cs="宋体" w:eastAsia="宋体" w:hint="default"/>
          <w:w w:val="95"/>
          <w:sz w:val="21"/>
          <w:szCs w:val="21"/>
        </w:rPr>
        <w:t>资产负债表中的资产和负债项目，采用资产负债表日的即期汇率折算；所有者权益项目除“未分配利</w:t>
      </w:r>
      <w:r>
        <w:rPr>
          <w:rFonts w:ascii="宋体" w:hAnsi="宋体" w:cs="宋体" w:eastAsia="宋体" w:hint="default"/>
          <w:sz w:val="21"/>
          <w:szCs w:val="21"/>
        </w:rPr>
      </w:r>
    </w:p>
    <w:p>
      <w:pPr>
        <w:pStyle w:val="BodyText"/>
        <w:spacing w:line="273" w:lineRule="auto"/>
        <w:ind w:right="1025"/>
        <w:jc w:val="left"/>
      </w:pPr>
      <w:r>
        <w:rPr>
          <w:spacing w:val="-3"/>
        </w:rPr>
        <w:t>润”项目外，其他项目采用发生时的即期汇率折算。利润表中的收入和费用项目，采用当期平均汇率折算。</w:t>
      </w:r>
      <w:r>
        <w:rPr>
          <w:w w:val="99"/>
        </w:rPr>
        <w:t> </w:t>
      </w:r>
      <w:r>
        <w:rPr/>
        <w:t>按照上述折算产生的外币财务报表折算差额计入其他综合收益。</w:t>
      </w:r>
    </w:p>
    <w:p>
      <w:pPr>
        <w:pStyle w:val="BodyText"/>
        <w:spacing w:line="273" w:lineRule="auto"/>
        <w:ind w:right="1130" w:firstLine="420"/>
        <w:jc w:val="both"/>
      </w:pPr>
      <w:r>
        <w:rPr>
          <w:w w:val="95"/>
        </w:rPr>
        <w:t>处置境外经营时，将资产负债表中其他综合收益项目中列示的、与该境外经营相关的外币财务报表折</w:t>
      </w:r>
      <w:r>
        <w:rPr>
          <w:w w:val="99"/>
        </w:rPr>
        <w:t> </w:t>
      </w:r>
      <w:r>
        <w:rPr>
          <w:w w:val="95"/>
        </w:rPr>
        <w:t>算差额，自其他综合收益项目转入处置当期损益；在处置部分股权投资或其他原因导致持有境外经营权益</w:t>
      </w:r>
      <w:r>
        <w:rPr>
          <w:spacing w:val="37"/>
          <w:w w:val="95"/>
        </w:rPr>
        <w:t> </w:t>
      </w:r>
      <w:r>
        <w:rPr>
          <w:spacing w:val="37"/>
          <w:w w:val="95"/>
        </w:rPr>
      </w:r>
      <w:r>
        <w:rPr>
          <w:w w:val="95"/>
        </w:rPr>
        <w:t>比例降低但不丧失对境外经营控制权时，与该境外经营处置部分相关的外币报表折算差额将归属于少数股</w:t>
      </w:r>
      <w:r>
        <w:rPr>
          <w:spacing w:val="37"/>
          <w:w w:val="95"/>
        </w:rPr>
        <w:t> </w:t>
      </w:r>
      <w:r>
        <w:rPr>
          <w:spacing w:val="37"/>
          <w:w w:val="95"/>
        </w:rPr>
      </w:r>
      <w:r>
        <w:rPr>
          <w:w w:val="95"/>
        </w:rPr>
        <w:t>东权益，不转入当期损益。在处置境外经营为联营企业或合营企业的部分股权时，与该境外经营相关的外</w:t>
      </w:r>
      <w:r>
        <w:rPr>
          <w:spacing w:val="43"/>
          <w:w w:val="95"/>
        </w:rPr>
        <w:t> </w:t>
      </w:r>
      <w:r>
        <w:rPr>
          <w:spacing w:val="43"/>
          <w:w w:val="95"/>
        </w:rPr>
      </w:r>
      <w:r>
        <w:rPr/>
        <w:t>币报表折算差额，按处置该境外经营的比例转入处置当期损益。</w:t>
      </w: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132"/>
        <w:jc w:val="left"/>
      </w:pPr>
      <w:r>
        <w:rPr/>
        <w:t>在本公司成为金融工具合同的一方时确认一项金融资产或金融负债。</w:t>
      </w:r>
      <w:r>
        <w:rPr>
          <w:w w:val="99"/>
        </w:rPr>
        <w:t> </w:t>
      </w:r>
      <w:r>
        <w:rPr>
          <w:spacing w:val="4"/>
        </w:rPr>
        <w:t>实际利率法是指计算金融资产或金融负债的摊余成本以及将利息收入或利息费用分摊计入各会计期</w:t>
      </w:r>
    </w:p>
    <w:p>
      <w:pPr>
        <w:pStyle w:val="BodyText"/>
        <w:spacing w:line="240" w:lineRule="auto"/>
        <w:ind w:right="0"/>
        <w:jc w:val="left"/>
      </w:pPr>
      <w:r>
        <w:rPr/>
        <w:t>间的方法。</w:t>
      </w:r>
    </w:p>
    <w:p>
      <w:pPr>
        <w:pStyle w:val="BodyText"/>
        <w:spacing w:line="273" w:lineRule="auto" w:before="37"/>
        <w:ind w:right="1132" w:firstLine="420"/>
        <w:jc w:val="both"/>
      </w:pPr>
      <w:r>
        <w:rPr>
          <w:w w:val="95"/>
        </w:rPr>
        <w:t>实际利率，是指将金融资产或金融负债在预计存续期的估计未来现金流量，折现为该金融资产账面余</w:t>
      </w:r>
      <w:r>
        <w:rPr>
          <w:w w:val="99"/>
        </w:rPr>
        <w:t> </w:t>
      </w:r>
      <w:r>
        <w:rPr>
          <w:spacing w:val="-3"/>
        </w:rPr>
        <w:t>额或该金融负债摊余成本所使用的利率。在确定实际利率时，在考虑金融资产或金融负债所有合同条款(如</w:t>
      </w:r>
      <w:r>
        <w:rPr>
          <w:w w:val="99"/>
        </w:rPr>
        <w:t> </w:t>
      </w:r>
      <w:r>
        <w:rPr/>
        <w:t>提前还款、展期、看涨期权或其他类似期权等)的基础上估计预期现金流量，但不考虑预期信用损失。</w:t>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472" w:right="1135" w:firstLine="420"/>
        <w:jc w:val="both"/>
      </w:pPr>
      <w:r>
        <w:rPr>
          <w:w w:val="95"/>
        </w:rPr>
        <w:t>金融资产或金融负债的摊余成本是以该金融资产或金融负债的初始确认金额扣除已偿还的本金，加上</w:t>
      </w:r>
      <w:r>
        <w:rPr>
          <w:w w:val="99"/>
        </w:rPr>
        <w:t> </w:t>
      </w:r>
      <w:r>
        <w:rPr>
          <w:w w:val="95"/>
        </w:rPr>
        <w:t>或减去采用实际利率法将该初始确认金额与到期日金额之间的差额进行摊销形成的累计摊销额，再扣除累</w:t>
      </w:r>
      <w:r>
        <w:rPr>
          <w:spacing w:val="37"/>
          <w:w w:val="95"/>
        </w:rPr>
        <w:t> </w:t>
      </w:r>
      <w:r>
        <w:rPr>
          <w:spacing w:val="37"/>
          <w:w w:val="95"/>
        </w:rPr>
      </w:r>
      <w:r>
        <w:rPr/>
        <w:t>计计提的损失准备(仅适用于金融资产)。</w:t>
      </w:r>
    </w:p>
    <w:p>
      <w:pPr>
        <w:pStyle w:val="Heading6"/>
        <w:spacing w:line="240" w:lineRule="auto" w:before="7"/>
        <w:ind w:left="655" w:right="714"/>
        <w:jc w:val="left"/>
        <w:rPr>
          <w:b w:val="0"/>
          <w:bCs w:val="0"/>
        </w:rPr>
      </w:pPr>
      <w:r>
        <w:rPr/>
        <w:t>1.金融资产分类和计量</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34"/>
        <w:ind w:left="892" w:right="714"/>
        <w:jc w:val="left"/>
      </w:pPr>
      <w:r>
        <w:rPr>
          <w:spacing w:val="4"/>
        </w:rPr>
        <w:t>本公司根据所管理金融资产的业务模式和金融资产的合同现金流量特征，将金融资产划分为以下三</w:t>
      </w:r>
    </w:p>
    <w:p>
      <w:pPr>
        <w:pStyle w:val="BodyText"/>
        <w:spacing w:line="240" w:lineRule="auto" w:before="37"/>
        <w:ind w:left="472" w:right="714"/>
        <w:jc w:val="left"/>
      </w:pPr>
      <w:r>
        <w:rPr/>
        <w:t>类：</w:t>
      </w:r>
    </w:p>
    <w:p>
      <w:pPr>
        <w:pStyle w:val="BodyText"/>
        <w:spacing w:line="273" w:lineRule="auto" w:before="37"/>
        <w:ind w:right="3436"/>
        <w:jc w:val="left"/>
      </w:pPr>
      <w:r>
        <w:rPr/>
        <w:t>以摊余成本计量的金融资产。</w:t>
      </w:r>
      <w:r>
        <w:rPr>
          <w:w w:val="99"/>
        </w:rPr>
        <w:t> </w:t>
      </w:r>
      <w:r>
        <w:rPr>
          <w:w w:val="95"/>
        </w:rPr>
        <w:t>以公允价值计量且其变动计入其他综合收益的金融资产。</w:t>
      </w:r>
      <w:r>
        <w:rPr>
          <w:spacing w:val="49"/>
          <w:w w:val="95"/>
        </w:rPr>
        <w:t> </w:t>
      </w:r>
      <w:r>
        <w:rPr>
          <w:spacing w:val="49"/>
          <w:w w:val="95"/>
        </w:rPr>
      </w:r>
      <w:r>
        <w:rPr/>
        <w:t>以公允价值计量且其变动计入当期损益的金融资产。</w:t>
      </w:r>
    </w:p>
    <w:p>
      <w:pPr>
        <w:pStyle w:val="BodyText"/>
        <w:spacing w:line="273" w:lineRule="auto"/>
        <w:ind w:left="472" w:right="714" w:firstLine="420"/>
        <w:jc w:val="left"/>
      </w:pPr>
      <w:r>
        <w:rPr>
          <w:w w:val="95"/>
        </w:rPr>
        <w:t>金融资产在初始确认时以公允价值计量，但是因销售商品或提供服务等产生的应收账款或应收票据未</w:t>
      </w:r>
      <w:r>
        <w:rPr>
          <w:w w:val="99"/>
        </w:rPr>
        <w:t> </w:t>
      </w:r>
      <w:r>
        <w:rPr/>
        <w:t>包含重大融资成分或不考虑不超过一年的融资成分的，按照交易价格进行初始计量。</w:t>
      </w:r>
    </w:p>
    <w:p>
      <w:pPr>
        <w:pStyle w:val="BodyText"/>
        <w:spacing w:line="273" w:lineRule="auto"/>
        <w:ind w:left="472" w:right="714" w:firstLine="420"/>
        <w:jc w:val="left"/>
      </w:pPr>
      <w:r>
        <w:rPr>
          <w:w w:val="95"/>
        </w:rPr>
        <w:t>对于以公允价值计量且其变动计入当期损益的金融资产，相关交易费用直接计入当期损益，其他类别</w:t>
      </w:r>
      <w:r>
        <w:rPr>
          <w:w w:val="99"/>
        </w:rPr>
        <w:t> </w:t>
      </w:r>
      <w:r>
        <w:rPr/>
        <w:t>的金融资产相关交易费用计入其初始确认金额。</w:t>
      </w:r>
    </w:p>
    <w:p>
      <w:pPr>
        <w:pStyle w:val="BodyText"/>
        <w:spacing w:line="273" w:lineRule="auto"/>
        <w:ind w:left="472" w:right="714" w:firstLine="420"/>
        <w:jc w:val="left"/>
      </w:pPr>
      <w:r>
        <w:rPr>
          <w:w w:val="95"/>
        </w:rPr>
        <w:t>金融资产的后续计量取决于其分类，当且仅当本公司改变管理金融资产的业务模式时，才对所有受影</w:t>
      </w:r>
      <w:r>
        <w:rPr>
          <w:w w:val="99"/>
        </w:rPr>
        <w:t> </w:t>
      </w:r>
      <w:r>
        <w:rPr/>
        <w:t>响的相关金融资产进行重分类。</w:t>
      </w:r>
    </w:p>
    <w:p>
      <w:pPr>
        <w:pStyle w:val="BodyText"/>
        <w:spacing w:line="273" w:lineRule="auto"/>
        <w:ind w:left="1252" w:right="714" w:firstLine="60"/>
        <w:jc w:val="left"/>
      </w:pPr>
      <w:r>
        <w:rPr/>
        <w:t>分类为以摊余成本计量的金融资产</w:t>
      </w:r>
      <w:r>
        <w:rPr>
          <w:w w:val="99"/>
        </w:rPr>
        <w:t> </w:t>
      </w:r>
      <w:r>
        <w:rPr/>
        <w:t>金融资产的合同条款规定在特定日期产生的现金流量仅为对本金和以未偿付本金金额为基础的利</w:t>
      </w:r>
    </w:p>
    <w:p>
      <w:pPr>
        <w:pStyle w:val="BodyText"/>
        <w:spacing w:line="273" w:lineRule="auto" w:before="8"/>
        <w:ind w:left="832" w:right="1135"/>
        <w:jc w:val="both"/>
      </w:pPr>
      <w:r>
        <w:rPr/>
        <w:t>息的支付，且管理该金融资产的业务模式是以收取合同现金流量为目标，则本公司将该金融资产分类</w:t>
      </w:r>
      <w:r>
        <w:rPr>
          <w:spacing w:val="-82"/>
        </w:rPr>
        <w:t> </w:t>
      </w:r>
      <w:r>
        <w:rPr>
          <w:spacing w:val="-82"/>
        </w:rPr>
      </w:r>
      <w:r>
        <w:rPr/>
        <w:t>为以摊余成本计量的金融资产。本公司分类为以摊余成本计量的金融资产包括货币资金、应收账款、</w:t>
      </w:r>
      <w:r>
        <w:rPr>
          <w:spacing w:val="-82"/>
        </w:rPr>
        <w:t> </w:t>
      </w:r>
      <w:r>
        <w:rPr>
          <w:spacing w:val="-82"/>
        </w:rPr>
      </w:r>
      <w:r>
        <w:rPr/>
        <w:t>其他应收款、长期应收款。</w:t>
      </w:r>
    </w:p>
    <w:p>
      <w:pPr>
        <w:pStyle w:val="BodyText"/>
        <w:spacing w:line="273" w:lineRule="auto"/>
        <w:ind w:left="832" w:right="1135" w:firstLine="420"/>
        <w:jc w:val="both"/>
      </w:pPr>
      <w:r>
        <w:rPr/>
        <w:t>本公司对此类金融资产采用实际利率法确认利息收入，按摊余成本进行后续计量，其发生减值时</w:t>
      </w:r>
      <w:r>
        <w:rPr>
          <w:w w:val="99"/>
        </w:rPr>
        <w:t> </w:t>
      </w:r>
      <w:r>
        <w:rPr/>
        <w:t>或终止确认、修改产生的利得或损失，计入当期损益。除下列情况外，本公司根据金融资产账面余额</w:t>
      </w:r>
      <w:r>
        <w:rPr>
          <w:spacing w:val="-82"/>
        </w:rPr>
        <w:t> </w:t>
      </w:r>
      <w:r>
        <w:rPr>
          <w:spacing w:val="-82"/>
        </w:rPr>
      </w:r>
      <w:r>
        <w:rPr/>
        <w:t>乘以实际利率计算确定利息收入：</w:t>
      </w:r>
    </w:p>
    <w:p>
      <w:pPr>
        <w:pStyle w:val="BodyText"/>
        <w:spacing w:line="273" w:lineRule="auto"/>
        <w:ind w:left="832" w:right="1130" w:firstLine="420"/>
        <w:jc w:val="both"/>
      </w:pPr>
      <w:r>
        <w:rPr>
          <w:spacing w:val="-1"/>
          <w:w w:val="95"/>
        </w:rPr>
        <w:t>1）对于购入或源生的已发生信用减值的金融资产，本公司自初始确认起，按照该金融资产的摊余</w:t>
      </w:r>
      <w:r>
        <w:rPr>
          <w:w w:val="99"/>
        </w:rPr>
        <w:t> </w:t>
      </w:r>
      <w:r>
        <w:rPr/>
        <w:t>成本和经信用调整的实际利率计算确定其利息收入。</w:t>
      </w:r>
    </w:p>
    <w:p>
      <w:pPr>
        <w:pStyle w:val="BodyText"/>
        <w:spacing w:line="273" w:lineRule="auto"/>
        <w:ind w:left="832" w:right="1130" w:firstLine="420"/>
        <w:jc w:val="both"/>
      </w:pPr>
      <w:r>
        <w:rPr>
          <w:spacing w:val="-1"/>
          <w:w w:val="95"/>
        </w:rPr>
        <w:t>2）对于购入或源生的未发生信用减值、但在后续期间成为已发生信用减值的金融资产，本公司在</w:t>
      </w:r>
      <w:r>
        <w:rPr>
          <w:w w:val="99"/>
        </w:rPr>
        <w:t> </w:t>
      </w:r>
      <w:r>
        <w:rPr/>
        <w:t>后续期间，按照该金融资产的摊余成本和实际利率计算确定其利息收入。若该金融工具在后续期间因</w:t>
      </w:r>
      <w:r>
        <w:rPr>
          <w:spacing w:val="-82"/>
        </w:rPr>
        <w:t> </w:t>
      </w:r>
      <w:r>
        <w:rPr>
          <w:spacing w:val="-82"/>
        </w:rPr>
      </w:r>
      <w:r>
        <w:rPr/>
        <w:t>其信用风险有所改善而不再存在信用减值，本公司转按实际利率乘以该金融资产账面余额来计算确定</w:t>
      </w:r>
      <w:r>
        <w:rPr>
          <w:spacing w:val="-82"/>
        </w:rPr>
        <w:t> </w:t>
      </w:r>
      <w:r>
        <w:rPr>
          <w:spacing w:val="-82"/>
        </w:rPr>
      </w:r>
      <w:r>
        <w:rPr/>
        <w:t>利息收入。</w:t>
      </w:r>
    </w:p>
    <w:p>
      <w:pPr>
        <w:pStyle w:val="BodyText"/>
        <w:spacing w:line="273" w:lineRule="auto"/>
        <w:ind w:left="1252" w:right="714" w:firstLine="60"/>
        <w:jc w:val="left"/>
      </w:pPr>
      <w:r>
        <w:rPr/>
        <w:t>分类为以公允价值计量且其变动计入其他综合收益的金融资产</w:t>
      </w:r>
      <w:r>
        <w:rPr>
          <w:w w:val="99"/>
        </w:rPr>
        <w:t> </w:t>
      </w:r>
      <w:r>
        <w:rPr/>
        <w:t>金融资产的合同条款规定在特定日期产生的现金流量仅为对本金和以未偿付本金金额为基础的利</w:t>
      </w:r>
    </w:p>
    <w:p>
      <w:pPr>
        <w:pStyle w:val="BodyText"/>
        <w:spacing w:line="273" w:lineRule="auto"/>
        <w:ind w:left="832" w:right="1135"/>
        <w:jc w:val="both"/>
      </w:pPr>
      <w:r>
        <w:rPr/>
        <w:t>息的支付，且管理该金融资产的业务模式既以收取合同现金流量为目标又以出售该金融资产为目标，</w:t>
      </w:r>
      <w:r>
        <w:rPr>
          <w:spacing w:val="-82"/>
        </w:rPr>
        <w:t> </w:t>
      </w:r>
      <w:r>
        <w:rPr>
          <w:spacing w:val="-82"/>
        </w:rPr>
      </w:r>
      <w:r>
        <w:rPr/>
        <w:t>则本公司将该金融资产分类为以公允价值计量且其变动计入其他综合收益的金融资产。</w:t>
      </w:r>
    </w:p>
    <w:p>
      <w:pPr>
        <w:pStyle w:val="BodyText"/>
        <w:spacing w:line="273" w:lineRule="auto" w:before="8"/>
        <w:ind w:left="832" w:right="1135" w:firstLine="420"/>
        <w:jc w:val="both"/>
      </w:pPr>
      <w:r>
        <w:rPr/>
        <w:t>本公司对此类金融资产采用实际利率法确认利息收入。除利息收入、减值损失及汇兑差额确认为</w:t>
      </w:r>
      <w:r>
        <w:rPr>
          <w:w w:val="99"/>
        </w:rPr>
        <w:t> </w:t>
      </w:r>
      <w:r>
        <w:rPr/>
        <w:t>当期损益外，其余公允价值变动计入其他综合收益。当该金融资产终止确认时，之前计入其他综合收</w:t>
      </w:r>
      <w:r>
        <w:rPr>
          <w:spacing w:val="-82"/>
        </w:rPr>
        <w:t> </w:t>
      </w:r>
      <w:r>
        <w:rPr>
          <w:spacing w:val="-82"/>
        </w:rPr>
      </w:r>
      <w:r>
        <w:rPr/>
        <w:t>益的累计利得或损失从其他综合收益中转出，计入当期损益。</w:t>
      </w:r>
    </w:p>
    <w:p>
      <w:pPr>
        <w:pStyle w:val="BodyText"/>
        <w:spacing w:line="273" w:lineRule="auto"/>
        <w:ind w:left="832" w:right="1135" w:firstLine="420"/>
        <w:jc w:val="both"/>
      </w:pPr>
      <w:r>
        <w:rPr/>
        <w:t>以公允价值计量且变动计入其他综合收益的应收票据及应收账款列报为应收款项融资，其他此类</w:t>
      </w:r>
      <w:r>
        <w:rPr>
          <w:w w:val="99"/>
        </w:rPr>
        <w:t> </w:t>
      </w:r>
      <w:r>
        <w:rPr/>
        <w:t>金融资产列报为其他债权投资，其中：自资产负债表日起一年内到期的其他债权投资列报为一年内到</w:t>
      </w:r>
      <w:r>
        <w:rPr>
          <w:spacing w:val="-82"/>
        </w:rPr>
        <w:t> </w:t>
      </w:r>
      <w:r>
        <w:rPr>
          <w:spacing w:val="-82"/>
        </w:rPr>
      </w:r>
      <w:r>
        <w:rPr/>
        <w:t>期的非流动资产，原到期日在一年以内的其他债权投资列报为其他流动资产。</w:t>
      </w:r>
    </w:p>
    <w:p>
      <w:pPr>
        <w:pStyle w:val="BodyText"/>
        <w:spacing w:line="273" w:lineRule="auto"/>
        <w:ind w:left="1252" w:right="714" w:firstLine="60"/>
        <w:jc w:val="left"/>
      </w:pPr>
      <w:r>
        <w:rPr/>
        <w:t>指定为以公允价值计量且其变动计入其他综合收益的金融资产</w:t>
      </w:r>
      <w:r>
        <w:rPr>
          <w:w w:val="99"/>
        </w:rPr>
        <w:t> </w:t>
      </w:r>
      <w:r>
        <w:rPr/>
        <w:t>在初始确认时，本公司可以单项金融资产为基础不可撤销地将非交易性权益工具投资指定为以公</w:t>
      </w:r>
    </w:p>
    <w:p>
      <w:pPr>
        <w:pStyle w:val="BodyText"/>
        <w:spacing w:line="273" w:lineRule="auto"/>
        <w:ind w:left="1252" w:right="714" w:hanging="420"/>
        <w:jc w:val="left"/>
      </w:pPr>
      <w:r>
        <w:rPr/>
        <w:t>允价值计量且其变动计入其他综合收益的金融资产。</w:t>
      </w:r>
      <w:r>
        <w:rPr>
          <w:w w:val="99"/>
        </w:rPr>
        <w:t> </w:t>
      </w:r>
      <w:r>
        <w:rPr/>
        <w:t>此类金融资产的公允价值变动计入其他综合收益，不需计提减值准备。该金融资产终止确认时，</w:t>
      </w:r>
    </w:p>
    <w:p>
      <w:pPr>
        <w:pStyle w:val="BodyText"/>
        <w:spacing w:line="240" w:lineRule="auto"/>
        <w:ind w:left="832" w:right="714"/>
        <w:jc w:val="left"/>
      </w:pPr>
      <w:r>
        <w:rPr/>
        <w:t>之前计入其他综合收益的累计利得或损失从其他综合收益中转出，计入留存收益。本公司持有该权益</w:t>
      </w:r>
    </w:p>
    <w:p>
      <w:pPr>
        <w:spacing w:after="0" w:line="240" w:lineRule="auto"/>
        <w:jc w:val="left"/>
        <w:sectPr>
          <w:pgSz w:w="11910" w:h="16840"/>
          <w:pgMar w:header="907" w:footer="1016" w:top="1100" w:bottom="1200" w:left="660" w:right="0"/>
        </w:sectPr>
      </w:pPr>
    </w:p>
    <w:p>
      <w:pPr>
        <w:spacing w:line="240" w:lineRule="auto" w:before="10"/>
        <w:rPr>
          <w:rFonts w:ascii="宋体" w:hAnsi="宋体" w:cs="宋体" w:eastAsia="宋体" w:hint="default"/>
          <w:sz w:val="21"/>
          <w:szCs w:val="21"/>
        </w:rPr>
      </w:pPr>
    </w:p>
    <w:p>
      <w:pPr>
        <w:pStyle w:val="BodyText"/>
        <w:spacing w:line="273" w:lineRule="auto" w:before="34"/>
        <w:ind w:left="472" w:right="1135"/>
        <w:jc w:val="both"/>
      </w:pPr>
      <w:r>
        <w:rPr/>
        <w:t>工具投资期间，在本公司收取股利的权利已经确立，与股利相关的经济利益很可能流入本公司，且股</w:t>
      </w:r>
      <w:r>
        <w:rPr>
          <w:spacing w:val="-82"/>
        </w:rPr>
        <w:t> </w:t>
      </w:r>
      <w:r>
        <w:rPr>
          <w:spacing w:val="-82"/>
        </w:rPr>
      </w:r>
      <w:r>
        <w:rPr/>
        <w:t>利的金额能够可靠计量时，确认股利收入并计入当期损益。本公司对此类金融资产在其他权益工具投</w:t>
      </w:r>
      <w:r>
        <w:rPr>
          <w:spacing w:val="-82"/>
        </w:rPr>
        <w:t> </w:t>
      </w:r>
      <w:r>
        <w:rPr>
          <w:spacing w:val="-82"/>
        </w:rPr>
      </w:r>
      <w:r>
        <w:rPr/>
        <w:t>资项目下列报。</w:t>
      </w:r>
    </w:p>
    <w:p>
      <w:pPr>
        <w:pStyle w:val="BodyText"/>
        <w:spacing w:line="273" w:lineRule="auto"/>
        <w:ind w:left="472" w:right="1135" w:firstLine="420"/>
        <w:jc w:val="both"/>
      </w:pPr>
      <w:r>
        <w:rPr/>
        <w:t>权益工具投资满足下列条件之一的，属于以公允价值计量且其变动计入当期损益的金融资产：取</w:t>
      </w:r>
      <w:r>
        <w:rPr>
          <w:w w:val="99"/>
        </w:rPr>
        <w:t> </w:t>
      </w:r>
      <w:r>
        <w:rPr/>
        <w:t>得该金融资产的目的主要是为了近期出售；初始确认时属于集中管理的可辨认金融资产工具组合的一</w:t>
      </w:r>
      <w:r>
        <w:rPr>
          <w:spacing w:val="-82"/>
        </w:rPr>
        <w:t> </w:t>
      </w:r>
      <w:r>
        <w:rPr>
          <w:spacing w:val="-82"/>
        </w:rPr>
      </w:r>
      <w:r>
        <w:rPr/>
        <w:t>部分，且有客观证据表明近期实际存在短期获利模式；属于衍生工具（符合财务担保合同定义的以及</w:t>
      </w:r>
      <w:r>
        <w:rPr>
          <w:spacing w:val="-82"/>
        </w:rPr>
        <w:t> </w:t>
      </w:r>
      <w:r>
        <w:rPr>
          <w:spacing w:val="-82"/>
        </w:rPr>
      </w:r>
      <w:r>
        <w:rPr>
          <w:spacing w:val="-5"/>
          <w:w w:val="99"/>
        </w:rPr>
        <w:t>被指定为有效套期工具的衍生工具除外）。</w:t>
      </w:r>
      <w:r>
        <w:rPr>
          <w:spacing w:val="-5"/>
        </w:rPr>
      </w:r>
    </w:p>
    <w:p>
      <w:pPr>
        <w:pStyle w:val="BodyText"/>
        <w:spacing w:line="273" w:lineRule="auto"/>
        <w:ind w:left="892" w:right="0" w:firstLine="60"/>
        <w:jc w:val="left"/>
      </w:pPr>
      <w:r>
        <w:rPr/>
        <w:t>分类为以公允价值计量且其变动计入当期损益的金融资产</w:t>
      </w:r>
      <w:r>
        <w:rPr>
          <w:w w:val="99"/>
        </w:rPr>
        <w:t> </w:t>
      </w:r>
      <w:r>
        <w:rPr/>
        <w:t>不符合分类为以摊余成本计量或以公允价值计量且其变动计入其他综合收益的金融资产条件、亦</w:t>
      </w:r>
    </w:p>
    <w:p>
      <w:pPr>
        <w:pStyle w:val="BodyText"/>
        <w:spacing w:line="273" w:lineRule="auto"/>
        <w:ind w:left="472" w:right="1135"/>
        <w:jc w:val="both"/>
      </w:pPr>
      <w:r>
        <w:rPr/>
        <w:t>不指定为以公允价值计量且其变动计入其他综合收益的金融资产均分类为以公允价值计量且其变动计</w:t>
      </w:r>
      <w:r>
        <w:rPr>
          <w:spacing w:val="-82"/>
        </w:rPr>
        <w:t> </w:t>
      </w:r>
      <w:r>
        <w:rPr>
          <w:spacing w:val="-82"/>
        </w:rPr>
      </w:r>
      <w:r>
        <w:rPr/>
        <w:t>入当期损益的金融资产。</w:t>
      </w:r>
    </w:p>
    <w:p>
      <w:pPr>
        <w:pStyle w:val="BodyText"/>
        <w:spacing w:line="273" w:lineRule="auto"/>
        <w:ind w:left="472" w:right="0" w:firstLine="420"/>
        <w:jc w:val="left"/>
      </w:pPr>
      <w:r>
        <w:rPr/>
        <w:t>本公司对此类金融资产采用公允价值进行后续计量，将公允价值变动形成的利得或损失以及与此</w:t>
      </w:r>
      <w:r>
        <w:rPr>
          <w:w w:val="99"/>
        </w:rPr>
        <w:t> </w:t>
      </w:r>
      <w:r>
        <w:rPr/>
        <w:t>类金融资产相关的股利和利息收入计入当期损益。</w:t>
      </w:r>
    </w:p>
    <w:p>
      <w:pPr>
        <w:pStyle w:val="BodyText"/>
        <w:spacing w:line="273" w:lineRule="auto"/>
        <w:ind w:left="532" w:right="0" w:firstLine="360"/>
        <w:jc w:val="left"/>
      </w:pPr>
      <w:r>
        <w:rPr/>
        <w:t>本公司对此类金融资产根据其流动性在交易性金融资产、其他非流动金融资产项目列报。</w:t>
      </w:r>
      <w:r>
        <w:rPr>
          <w:w w:val="99"/>
        </w:rPr>
        <w:t> </w:t>
      </w:r>
      <w:r>
        <w:rPr/>
        <w:t>指定为以公允价值计量且其变动计入当期损益的金融资产</w:t>
      </w:r>
      <w:r>
        <w:rPr>
          <w:w w:val="99"/>
        </w:rPr>
        <w:t> </w:t>
      </w:r>
      <w:r>
        <w:rPr>
          <w:w w:val="95"/>
        </w:rPr>
        <w:t>在初始确认时，本公司为了消除或显著减少会计错配，可以单项金融资产为基础不可撤销地将金融资</w:t>
      </w:r>
      <w:r>
        <w:rPr/>
      </w:r>
    </w:p>
    <w:p>
      <w:pPr>
        <w:pStyle w:val="BodyText"/>
        <w:spacing w:line="273" w:lineRule="auto"/>
        <w:ind w:left="532" w:right="0" w:hanging="420"/>
        <w:jc w:val="left"/>
      </w:pPr>
      <w:r>
        <w:rPr/>
        <w:t>产指定为以公允价值计量且其变动计入当期损益的金融资产。</w:t>
      </w:r>
      <w:r>
        <w:rPr>
          <w:w w:val="99"/>
        </w:rPr>
        <w:t> </w:t>
      </w:r>
      <w:r>
        <w:rPr>
          <w:w w:val="95"/>
        </w:rPr>
        <w:t>混合合同包含一项或多项嵌入衍生工具，且其主合同不属于以上金融资产的，本公司可以将其整体指</w:t>
      </w:r>
      <w:r>
        <w:rPr/>
      </w:r>
    </w:p>
    <w:p>
      <w:pPr>
        <w:pStyle w:val="BodyText"/>
        <w:spacing w:line="273" w:lineRule="auto"/>
        <w:ind w:right="0"/>
        <w:jc w:val="left"/>
      </w:pPr>
      <w:r>
        <w:rPr/>
        <w:t>定为以公允价值计量且其变动计入当期损益的金融工具。但下列情况除外：</w:t>
      </w:r>
      <w:r>
        <w:rPr>
          <w:w w:val="99"/>
        </w:rPr>
        <w:t> </w:t>
      </w:r>
      <w:r>
        <w:rPr/>
        <w:t>嵌入衍生工具不会对混合合同的现金流量产生重大改变。</w:t>
      </w:r>
      <w:r>
        <w:rPr>
          <w:w w:val="99"/>
        </w:rPr>
        <w:t> </w:t>
      </w:r>
      <w:r>
        <w:rPr>
          <w:w w:val="95"/>
        </w:rPr>
        <w:t>在初次确定类似的混合合同是否需要分拆时，几乎不需分析就能明确其包含的嵌入衍生工具不应分拆。如</w:t>
      </w:r>
      <w:r>
        <w:rPr/>
      </w:r>
    </w:p>
    <w:p>
      <w:pPr>
        <w:pStyle w:val="BodyText"/>
        <w:spacing w:line="273" w:lineRule="auto"/>
        <w:ind w:left="532" w:right="0" w:hanging="60"/>
        <w:jc w:val="left"/>
      </w:pPr>
      <w:r>
        <w:rPr>
          <w:spacing w:val="-1"/>
          <w:w w:val="95"/>
        </w:rPr>
        <w:t>嵌入贷款的提前还款权，允许持有人以接近摊余成本的金额提前偿还贷款，该提前还款权不需要分拆。</w:t>
      </w:r>
      <w:r>
        <w:rPr>
          <w:spacing w:val="30"/>
          <w:w w:val="95"/>
        </w:rPr>
        <w:t> </w:t>
      </w:r>
      <w:r>
        <w:rPr>
          <w:spacing w:val="30"/>
          <w:w w:val="95"/>
        </w:rPr>
      </w:r>
      <w:r>
        <w:rPr/>
        <w:t>本公司对此类金融资产采用公允价值进行后续计量，将公允价值变动形成的利得或损失以及与此类金</w:t>
      </w:r>
    </w:p>
    <w:p>
      <w:pPr>
        <w:pStyle w:val="BodyText"/>
        <w:spacing w:line="273" w:lineRule="auto"/>
        <w:ind w:left="532" w:right="0" w:hanging="420"/>
        <w:jc w:val="left"/>
      </w:pPr>
      <w:r>
        <w:rPr/>
        <w:t>融资产相关的股利和利息收入计入当期损益。</w:t>
      </w:r>
      <w:r>
        <w:rPr>
          <w:w w:val="99"/>
        </w:rPr>
        <w:t> </w:t>
      </w:r>
      <w:r>
        <w:rPr>
          <w:w w:val="95"/>
        </w:rPr>
        <w:t>本公司对此类金融资产根据其流动性在交易性金融资产、其他非流动金融资产项目列报。</w:t>
      </w:r>
      <w:r>
        <w:rPr/>
      </w:r>
    </w:p>
    <w:p>
      <w:pPr>
        <w:pStyle w:val="Heading6"/>
        <w:spacing w:line="240" w:lineRule="auto" w:before="7"/>
        <w:ind w:right="0"/>
        <w:jc w:val="left"/>
        <w:rPr>
          <w:b w:val="0"/>
          <w:bCs w:val="0"/>
        </w:rPr>
      </w:pPr>
      <w:r>
        <w:rPr/>
        <w:t>2.</w:t>
      </w:r>
      <w:r>
        <w:rPr>
          <w:spacing w:val="-4"/>
        </w:rPr>
        <w:t> </w:t>
      </w:r>
      <w:r>
        <w:rPr/>
        <w:t>金融负债分类和计量</w:t>
      </w:r>
      <w:r>
        <w:rPr>
          <w:b w:val="0"/>
          <w:bCs w:val="0"/>
        </w:rPr>
      </w:r>
    </w:p>
    <w:p>
      <w:pPr>
        <w:pStyle w:val="BodyText"/>
        <w:spacing w:line="273" w:lineRule="auto" w:before="157"/>
        <w:ind w:right="1130" w:firstLine="420"/>
        <w:jc w:val="both"/>
      </w:pPr>
      <w:r>
        <w:rPr>
          <w:w w:val="95"/>
        </w:rPr>
        <w:t>本公司根据所发行金融工具的合同条款及其所反映的经济实质而非仅以法律形式，结合金融负债和权</w:t>
      </w:r>
      <w:r>
        <w:rPr>
          <w:w w:val="99"/>
        </w:rPr>
        <w:t> </w:t>
      </w:r>
      <w:r>
        <w:rPr>
          <w:w w:val="95"/>
        </w:rPr>
        <w:t>益工具的定义，在初始确认时将该金融工具或其组成部分分类为金融负债或权益工具。金融负债在初始确</w:t>
      </w:r>
      <w:r>
        <w:rPr>
          <w:spacing w:val="37"/>
          <w:w w:val="95"/>
        </w:rPr>
        <w:t> </w:t>
      </w:r>
      <w:r>
        <w:rPr>
          <w:spacing w:val="37"/>
          <w:w w:val="95"/>
        </w:rPr>
      </w:r>
      <w:r>
        <w:rPr>
          <w:w w:val="95"/>
        </w:rPr>
        <w:t>认时分类为：以公允价值计量且其变动计入当期损益的金融负债、其他金融负债、被指定为有效套期工具</w:t>
      </w:r>
      <w:r>
        <w:rPr>
          <w:spacing w:val="43"/>
          <w:w w:val="95"/>
        </w:rPr>
        <w:t> </w:t>
      </w:r>
      <w:r>
        <w:rPr>
          <w:spacing w:val="43"/>
          <w:w w:val="95"/>
        </w:rPr>
      </w:r>
      <w:r>
        <w:rPr/>
        <w:t>的衍生工具。</w:t>
      </w:r>
    </w:p>
    <w:p>
      <w:pPr>
        <w:pStyle w:val="BodyText"/>
        <w:spacing w:line="273" w:lineRule="auto"/>
        <w:ind w:right="1132" w:firstLine="420"/>
        <w:jc w:val="both"/>
      </w:pPr>
      <w:r>
        <w:rPr>
          <w:w w:val="95"/>
        </w:rPr>
        <w:t>金融负债在初始确认时以公允价值计量。对于以公允价值计量且其变动计入当期损益的金融负债，相</w:t>
      </w:r>
      <w:r>
        <w:rPr>
          <w:w w:val="99"/>
        </w:rPr>
        <w:t> </w:t>
      </w:r>
      <w:r>
        <w:rPr/>
        <w:t>关的交易费用直接计入当期损益；对于其他类别的金融负债，相关交易费用计入初始确认金额。</w:t>
      </w:r>
    </w:p>
    <w:p>
      <w:pPr>
        <w:pStyle w:val="BodyText"/>
        <w:spacing w:line="273" w:lineRule="auto"/>
        <w:ind w:left="592" w:right="2654" w:hanging="60"/>
        <w:jc w:val="left"/>
      </w:pPr>
      <w:r>
        <w:rPr/>
        <w:t>金融负债的后续计量取决于其分类：</w:t>
      </w:r>
      <w:r>
        <w:rPr>
          <w:w w:val="99"/>
        </w:rPr>
        <w:t> </w:t>
      </w:r>
      <w:r>
        <w:rPr>
          <w:w w:val="95"/>
        </w:rPr>
        <w:t>以公允价值计量且其变动计入当期损益的金融负债</w:t>
      </w:r>
      <w:r>
        <w:rPr/>
      </w:r>
    </w:p>
    <w:p>
      <w:pPr>
        <w:pStyle w:val="BodyText"/>
        <w:spacing w:line="273" w:lineRule="auto"/>
        <w:ind w:right="1132" w:firstLine="420"/>
        <w:jc w:val="both"/>
      </w:pPr>
      <w:r>
        <w:rPr>
          <w:w w:val="95"/>
        </w:rPr>
        <w:t>此类金融负债包括交易性金融负债（含属于金融负债的衍生工具）和初始确认时指定为以公允价值计</w:t>
      </w:r>
      <w:r>
        <w:rPr>
          <w:w w:val="99"/>
        </w:rPr>
        <w:t> </w:t>
      </w:r>
      <w:r>
        <w:rPr/>
        <w:t>量且其变动计入当期损益的金融负债。</w:t>
      </w:r>
    </w:p>
    <w:p>
      <w:pPr>
        <w:pStyle w:val="BodyText"/>
        <w:spacing w:line="273" w:lineRule="auto"/>
        <w:ind w:right="1112" w:firstLine="420"/>
        <w:jc w:val="both"/>
      </w:pPr>
      <w:r>
        <w:rPr>
          <w:w w:val="95"/>
        </w:rPr>
        <w:t>满足下列条件之一的，属于交易性金融负债：承担相关金融负债的目的主要是为了在近期内出售或回</w:t>
      </w:r>
      <w:r>
        <w:rPr>
          <w:w w:val="99"/>
        </w:rPr>
        <w:t> </w:t>
      </w:r>
      <w:r>
        <w:rPr>
          <w:w w:val="95"/>
        </w:rPr>
        <w:t>购；属于集中管理的可辨认金融工具组合的一部分，且有客观证据表明企业近期采用短期获利方式模式；</w:t>
      </w:r>
      <w:r>
        <w:rPr>
          <w:spacing w:val="61"/>
          <w:w w:val="95"/>
        </w:rPr>
        <w:t> </w:t>
      </w:r>
      <w:r>
        <w:rPr>
          <w:spacing w:val="61"/>
          <w:w w:val="95"/>
        </w:rPr>
      </w:r>
      <w:r>
        <w:rPr>
          <w:w w:val="95"/>
        </w:rPr>
        <w:t>属于衍生工具，但是，被指定且为有效套期工具的衍生工具、符合财务担保合同的衍生工具除外。交易性</w:t>
      </w:r>
      <w:r>
        <w:rPr>
          <w:spacing w:val="41"/>
          <w:w w:val="95"/>
        </w:rPr>
        <w:t> </w:t>
      </w:r>
      <w:r>
        <w:rPr>
          <w:spacing w:val="41"/>
          <w:w w:val="95"/>
        </w:rPr>
      </w:r>
      <w:r>
        <w:rPr>
          <w:w w:val="99"/>
        </w:rPr>
        <w:t>金融负债（含属于金融负债的衍生工具），按照公允价值进行后续计量，除与套期会计有关外，所有公允</w:t>
      </w:r>
      <w:r>
        <w:rPr>
          <w:spacing w:val="-97"/>
          <w:w w:val="99"/>
        </w:rPr>
        <w:t> </w:t>
      </w:r>
      <w:r>
        <w:rPr>
          <w:spacing w:val="-97"/>
          <w:w w:val="99"/>
        </w:rPr>
      </w:r>
      <w:r>
        <w:rPr/>
        <w:t>价值变动均计入当期损益。</w:t>
      </w:r>
    </w:p>
    <w:p>
      <w:pPr>
        <w:pStyle w:val="BodyText"/>
        <w:spacing w:line="273" w:lineRule="auto"/>
        <w:ind w:right="1135" w:firstLine="420"/>
        <w:jc w:val="both"/>
      </w:pPr>
      <w:r>
        <w:rPr>
          <w:w w:val="95"/>
        </w:rPr>
        <w:t>在初始确认时，为了提供更相关的会计信息，本公司将满足下列条件之一的金融负债不可撤销地指定</w:t>
      </w:r>
      <w:r>
        <w:rPr>
          <w:w w:val="99"/>
        </w:rPr>
        <w:t> </w:t>
      </w:r>
      <w:r>
        <w:rPr/>
        <w:t>为以公允价值计量且其变动计入当期损益的金融负债：</w:t>
      </w:r>
    </w:p>
    <w:p>
      <w:pPr>
        <w:pStyle w:val="BodyText"/>
        <w:spacing w:line="240" w:lineRule="auto"/>
        <w:ind w:right="0"/>
        <w:jc w:val="left"/>
      </w:pPr>
      <w:r>
        <w:rPr/>
        <w:t>能够消除或显著减少会计错配。</w:t>
      </w:r>
    </w:p>
    <w:p>
      <w:pPr>
        <w:spacing w:after="0" w:line="240" w:lineRule="auto"/>
        <w:jc w:val="left"/>
        <w:sectPr>
          <w:footerReference w:type="default" r:id="rId34"/>
          <w:pgSz w:w="11910" w:h="16840"/>
          <w:pgMar w:footer="1016" w:header="907" w:top="1100" w:bottom="1200" w:left="1020" w:right="0"/>
          <w:pgNumType w:start="150"/>
        </w:sectPr>
      </w:pPr>
    </w:p>
    <w:p>
      <w:pPr>
        <w:spacing w:line="240" w:lineRule="auto" w:before="10"/>
        <w:rPr>
          <w:rFonts w:ascii="宋体" w:hAnsi="宋体" w:cs="宋体" w:eastAsia="宋体" w:hint="default"/>
          <w:sz w:val="21"/>
          <w:szCs w:val="21"/>
        </w:rPr>
      </w:pPr>
    </w:p>
    <w:p>
      <w:pPr>
        <w:pStyle w:val="BodyText"/>
        <w:spacing w:line="273" w:lineRule="auto" w:before="34"/>
        <w:ind w:left="472" w:right="0" w:hanging="360"/>
        <w:jc w:val="left"/>
      </w:pPr>
      <w:r>
        <w:rPr>
          <w:w w:val="95"/>
        </w:rPr>
        <w:t>根据正式书面文件载明的企业风险管理或投资策略，以公允价值为基础对金融负债组合或金融资产和金融</w:t>
      </w:r>
      <w:r>
        <w:rPr>
          <w:spacing w:val="39"/>
          <w:w w:val="95"/>
        </w:rPr>
        <w:t> </w:t>
      </w:r>
      <w:r>
        <w:rPr>
          <w:spacing w:val="39"/>
          <w:w w:val="95"/>
        </w:rPr>
      </w:r>
      <w:r>
        <w:rPr/>
        <w:t>负债组合进行管理和业绩评价，并在企业内部以此为基础向关键管理人员报告。</w:t>
      </w:r>
    </w:p>
    <w:p>
      <w:pPr>
        <w:pStyle w:val="BodyText"/>
        <w:spacing w:line="273" w:lineRule="auto" w:before="127"/>
        <w:ind w:right="1132" w:firstLine="420"/>
        <w:jc w:val="both"/>
      </w:pPr>
      <w:r>
        <w:rPr>
          <w:w w:val="95"/>
        </w:rPr>
        <w:t>本公司对此类金融负债采用公允价值进行后续计量，除由本公司自身信用风险变动引起的公允价值变</w:t>
      </w:r>
      <w:r>
        <w:rPr>
          <w:w w:val="99"/>
        </w:rPr>
        <w:t> </w:t>
      </w:r>
      <w:r>
        <w:rPr>
          <w:w w:val="95"/>
        </w:rPr>
        <w:t>动计入其他综合收益之外，其他公允价值变动计入当期损益。除非由本公司自身信用风险变动引起的公允</w:t>
      </w:r>
      <w:r>
        <w:rPr>
          <w:spacing w:val="40"/>
          <w:w w:val="95"/>
        </w:rPr>
        <w:t> </w:t>
      </w:r>
      <w:r>
        <w:rPr>
          <w:spacing w:val="40"/>
          <w:w w:val="95"/>
        </w:rPr>
      </w:r>
      <w:r>
        <w:rPr>
          <w:w w:val="95"/>
        </w:rPr>
        <w:t>价值变动计入其他综合收益会造成或扩大损益中的会计错配，本公司将所有公允价值变动（包括自身信用</w:t>
      </w:r>
      <w:r>
        <w:rPr>
          <w:spacing w:val="36"/>
          <w:w w:val="95"/>
        </w:rPr>
        <w:t> </w:t>
      </w:r>
      <w:r>
        <w:rPr>
          <w:spacing w:val="36"/>
          <w:w w:val="95"/>
        </w:rPr>
      </w:r>
      <w:r>
        <w:rPr/>
        <w:t>风险变动的影响金额）计入当期损益。</w:t>
      </w:r>
    </w:p>
    <w:p>
      <w:pPr>
        <w:pStyle w:val="BodyText"/>
        <w:spacing w:line="273" w:lineRule="auto"/>
        <w:ind w:left="532" w:right="1019" w:firstLine="60"/>
        <w:jc w:val="left"/>
      </w:pPr>
      <w:r>
        <w:rPr/>
        <w:t>其他金融负债</w:t>
      </w:r>
      <w:r>
        <w:rPr>
          <w:w w:val="99"/>
        </w:rPr>
        <w:t> </w:t>
      </w:r>
      <w:r>
        <w:rPr>
          <w:spacing w:val="-3"/>
        </w:rPr>
        <w:t>除下列各项外，公司将金融负债分类为以摊余成本计量的金融负债，对此类金融负债采用实际利率法，</w:t>
      </w:r>
    </w:p>
    <w:p>
      <w:pPr>
        <w:pStyle w:val="BodyText"/>
        <w:spacing w:line="273" w:lineRule="auto"/>
        <w:ind w:right="0"/>
        <w:jc w:val="left"/>
      </w:pPr>
      <w:r>
        <w:rPr/>
        <w:t>按照摊余成本进行后续计量，终止确认或摊销产生的利得或损失计入当期损益：</w:t>
      </w:r>
      <w:r>
        <w:rPr>
          <w:w w:val="99"/>
        </w:rPr>
        <w:t> </w:t>
      </w:r>
      <w:r>
        <w:rPr/>
        <w:t>以公允价值计量且其变动计入当期损益的金融负债。</w:t>
      </w:r>
      <w:r>
        <w:rPr>
          <w:w w:val="99"/>
        </w:rPr>
        <w:t> </w:t>
      </w:r>
      <w:r>
        <w:rPr/>
        <w:t>金融资产转移不符合终止确认条件或继续涉入被转移金融资产所形成的金融负债。</w:t>
      </w:r>
      <w:r>
        <w:rPr>
          <w:w w:val="99"/>
        </w:rPr>
        <w:t> </w:t>
      </w:r>
      <w:r>
        <w:rPr>
          <w:w w:val="95"/>
        </w:rPr>
        <w:t>不属于本条前两类情形的财务担保合同，以及不属于本条第1）类情形的以低于市场利率贷款的贷款承诺。</w:t>
      </w:r>
      <w:r>
        <w:rPr/>
      </w:r>
    </w:p>
    <w:p>
      <w:pPr>
        <w:pStyle w:val="BodyText"/>
        <w:spacing w:line="273" w:lineRule="auto" w:before="8"/>
        <w:ind w:right="1132" w:firstLine="420"/>
        <w:jc w:val="both"/>
      </w:pPr>
      <w:r>
        <w:rPr>
          <w:w w:val="95"/>
        </w:rPr>
        <w:t>财务担保合同是指当特定债务人到期不能按照最初或修改后的债务工具条款偿付债务时，要求发行方</w:t>
      </w:r>
      <w:r>
        <w:rPr>
          <w:w w:val="99"/>
        </w:rPr>
        <w:t> </w:t>
      </w:r>
      <w:r>
        <w:rPr>
          <w:w w:val="95"/>
        </w:rPr>
        <w:t>向蒙受损失的合同持有人赔付特定金额的合同。不属于指定为以公允价值计量且其变动计入当期损益的金</w:t>
      </w:r>
      <w:r>
        <w:rPr>
          <w:spacing w:val="39"/>
          <w:w w:val="95"/>
        </w:rPr>
        <w:t> </w:t>
      </w:r>
      <w:r>
        <w:rPr>
          <w:spacing w:val="39"/>
          <w:w w:val="95"/>
        </w:rPr>
      </w:r>
      <w:r>
        <w:rPr>
          <w:w w:val="95"/>
        </w:rPr>
        <w:t>融负债的财务担保合同，在初始确认后按照损失准备金额以及初始确认金额扣除担保期内的累计摊销额后</w:t>
      </w:r>
      <w:r>
        <w:rPr>
          <w:spacing w:val="39"/>
          <w:w w:val="95"/>
        </w:rPr>
        <w:t> </w:t>
      </w:r>
      <w:r>
        <w:rPr>
          <w:spacing w:val="39"/>
          <w:w w:val="95"/>
        </w:rPr>
      </w:r>
      <w:r>
        <w:rPr/>
        <w:t>的余额孰高进行计量。</w:t>
      </w:r>
    </w:p>
    <w:p>
      <w:pPr>
        <w:pStyle w:val="Heading6"/>
        <w:spacing w:line="240" w:lineRule="auto" w:before="7"/>
        <w:ind w:right="0"/>
        <w:jc w:val="left"/>
        <w:rPr>
          <w:b w:val="0"/>
          <w:bCs w:val="0"/>
        </w:rPr>
      </w:pPr>
      <w:r>
        <w:rPr/>
        <w:t>3.金融资产和金融负债的终止确认</w:t>
      </w:r>
      <w:r>
        <w:rPr>
          <w:b w:val="0"/>
          <w:bCs w:val="0"/>
        </w:rPr>
      </w:r>
    </w:p>
    <w:p>
      <w:pPr>
        <w:pStyle w:val="BodyText"/>
        <w:spacing w:line="273" w:lineRule="auto" w:before="37"/>
        <w:ind w:right="1185" w:firstLine="420"/>
        <w:jc w:val="left"/>
      </w:pPr>
      <w:r>
        <w:rPr>
          <w:w w:val="95"/>
        </w:rPr>
        <w:t>（1）金融资产满足下列条件之一的，终止确认金融资产，即从其账户和资产负债表内予以转销：</w:t>
      </w:r>
      <w:r>
        <w:rPr>
          <w:spacing w:val="-94"/>
          <w:w w:val="95"/>
        </w:rPr>
        <w:t> </w:t>
      </w:r>
      <w:r>
        <w:rPr>
          <w:spacing w:val="-94"/>
          <w:w w:val="95"/>
        </w:rPr>
      </w:r>
      <w:r>
        <w:rPr/>
        <w:t>收取该金融资产现金流量的合同权利终止。</w:t>
      </w:r>
      <w:r>
        <w:rPr>
          <w:w w:val="99"/>
        </w:rPr>
        <w:t> </w:t>
      </w:r>
      <w:r>
        <w:rPr/>
        <w:t>该金融资产已转移，且该转移满足金融资产终止确认的规定。</w:t>
      </w:r>
    </w:p>
    <w:p>
      <w:pPr>
        <w:pStyle w:val="BodyText"/>
        <w:spacing w:line="273" w:lineRule="auto"/>
        <w:ind w:left="532" w:right="0"/>
        <w:jc w:val="left"/>
      </w:pPr>
      <w:r>
        <w:rPr/>
        <w:t>（2）金融负债终止确认条件</w:t>
      </w:r>
      <w:r>
        <w:rPr>
          <w:w w:val="99"/>
        </w:rPr>
        <w:t> </w:t>
      </w:r>
      <w:r>
        <w:rPr>
          <w:spacing w:val="-2"/>
          <w:w w:val="99"/>
        </w:rPr>
        <w:t>金融负债（或其一部分）的现时义务已经解除的，则终止确认该金融负债（或该部分金融负债）。</w:t>
      </w:r>
      <w:r>
        <w:rPr>
          <w:spacing w:val="-101"/>
          <w:w w:val="99"/>
        </w:rPr>
        <w:t> </w:t>
      </w:r>
      <w:r>
        <w:rPr>
          <w:spacing w:val="-101"/>
          <w:w w:val="99"/>
        </w:rPr>
      </w:r>
      <w:r>
        <w:rPr>
          <w:w w:val="95"/>
        </w:rPr>
        <w:t>本公司与借出方之间签订协议，以承担新金融负债方式替换原金融负债，且新金融负债与原金融负债</w:t>
      </w:r>
      <w:r>
        <w:rPr/>
      </w:r>
    </w:p>
    <w:p>
      <w:pPr>
        <w:pStyle w:val="BodyText"/>
        <w:spacing w:line="273" w:lineRule="auto"/>
        <w:ind w:right="1130"/>
        <w:jc w:val="both"/>
      </w:pPr>
      <w:r>
        <w:rPr>
          <w:w w:val="95"/>
        </w:rPr>
        <w:t>的合同条款实质上不同的，或对原金融负债（或其一部分）的合同条款做出实质性修改的，则终止确认原</w:t>
      </w:r>
      <w:r>
        <w:rPr>
          <w:spacing w:val="44"/>
          <w:w w:val="95"/>
        </w:rPr>
        <w:t> </w:t>
      </w:r>
      <w:r>
        <w:rPr>
          <w:spacing w:val="44"/>
          <w:w w:val="95"/>
        </w:rPr>
      </w:r>
      <w:r>
        <w:rPr>
          <w:w w:val="95"/>
        </w:rPr>
        <w:t>金融负债，同时确认一项新金融负债，账面价值与支付的对价（包括转出的非现金资产或承担的负债）之</w:t>
      </w:r>
      <w:r>
        <w:rPr>
          <w:spacing w:val="43"/>
          <w:w w:val="95"/>
        </w:rPr>
        <w:t> </w:t>
      </w:r>
      <w:r>
        <w:rPr>
          <w:spacing w:val="43"/>
          <w:w w:val="95"/>
        </w:rPr>
      </w:r>
      <w:r>
        <w:rPr/>
        <w:t>间的差额，计入当期损益。</w:t>
      </w:r>
    </w:p>
    <w:p>
      <w:pPr>
        <w:pStyle w:val="BodyText"/>
        <w:spacing w:line="273" w:lineRule="auto"/>
        <w:ind w:right="1130" w:firstLine="420"/>
        <w:jc w:val="both"/>
      </w:pPr>
      <w:r>
        <w:rPr>
          <w:w w:val="95"/>
        </w:rPr>
        <w:t>本公司回购金融负债一部分的，按照继续确认部分和终止确认部分在回购日各自的公允价值占整体公</w:t>
      </w:r>
      <w:r>
        <w:rPr>
          <w:w w:val="99"/>
        </w:rPr>
        <w:t> </w:t>
      </w:r>
      <w:r>
        <w:rPr>
          <w:spacing w:val="-5"/>
        </w:rPr>
        <w:t>允价值的比例，对该金融负债整体的账面价值进行分配。分配给终止确认部分的账面价值与支付的对价（包</w:t>
      </w:r>
      <w:r>
        <w:rPr>
          <w:w w:val="99"/>
        </w:rPr>
        <w:t> </w:t>
      </w:r>
      <w:r>
        <w:rPr/>
        <w:t>括转出的非现金资产或承担的负债）之间的差额，应当计入当期损益。</w:t>
      </w:r>
    </w:p>
    <w:p>
      <w:pPr>
        <w:spacing w:line="273" w:lineRule="auto" w:before="12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w w:val="95"/>
          <w:sz w:val="21"/>
          <w:szCs w:val="21"/>
        </w:rPr>
        <w:t>金融负债的现时义务全部或部分已经解除的，则终止确认该金融负债或其一部分；本公司若与债权人</w:t>
      </w:r>
      <w:r>
        <w:rPr>
          <w:rFonts w:ascii="宋体" w:hAnsi="宋体" w:cs="宋体" w:eastAsia="宋体" w:hint="default"/>
          <w:sz w:val="21"/>
          <w:szCs w:val="21"/>
        </w:rPr>
      </w:r>
    </w:p>
    <w:p>
      <w:pPr>
        <w:pStyle w:val="BodyText"/>
        <w:spacing w:line="273" w:lineRule="auto"/>
        <w:ind w:right="0"/>
        <w:jc w:val="left"/>
      </w:pPr>
      <w:r>
        <w:rPr>
          <w:w w:val="95"/>
        </w:rPr>
        <w:t>签定协议，以承担新金融负债方式替换现存金融负债，且新金融负债与现存金融负债的合同条款实质上不</w:t>
      </w:r>
      <w:r>
        <w:rPr>
          <w:spacing w:val="37"/>
          <w:w w:val="95"/>
        </w:rPr>
        <w:t> </w:t>
      </w:r>
      <w:r>
        <w:rPr>
          <w:spacing w:val="37"/>
          <w:w w:val="95"/>
        </w:rPr>
      </w:r>
      <w:r>
        <w:rPr/>
        <w:t>同的，则终止确认现存金融负债，并同时确认新金融负债。</w:t>
      </w:r>
    </w:p>
    <w:p>
      <w:pPr>
        <w:pStyle w:val="BodyText"/>
        <w:spacing w:line="273" w:lineRule="auto" w:before="8"/>
        <w:ind w:right="1135" w:firstLine="420"/>
        <w:jc w:val="both"/>
      </w:pPr>
      <w:r>
        <w:rPr>
          <w:w w:val="95"/>
        </w:rPr>
        <w:t>对现存金融负债全部或部分合同条款作出实质性修改的，则终止确认现存金融负债或其一部分，同时</w:t>
      </w:r>
      <w:r>
        <w:rPr>
          <w:w w:val="99"/>
        </w:rPr>
        <w:t> </w:t>
      </w:r>
      <w:r>
        <w:rPr/>
        <w:t>将修改条款后的金融负债确认为一项新金融负债。</w:t>
      </w:r>
    </w:p>
    <w:p>
      <w:pPr>
        <w:pStyle w:val="BodyText"/>
        <w:spacing w:line="273" w:lineRule="auto"/>
        <w:ind w:right="1135" w:firstLine="420"/>
        <w:jc w:val="both"/>
      </w:pPr>
      <w:r>
        <w:rPr>
          <w:w w:val="95"/>
        </w:rPr>
        <w:t>金融负债全部或部分终止确认时，终止确认的金融负债账面价值与支付对价（包括转出的非现金资产</w:t>
      </w:r>
      <w:r>
        <w:rPr>
          <w:w w:val="99"/>
        </w:rPr>
        <w:t> </w:t>
      </w:r>
      <w:r>
        <w:rPr/>
        <w:t>或承担的新金融负债）之间的差额，计入当期损益。</w:t>
      </w:r>
    </w:p>
    <w:p>
      <w:pPr>
        <w:pStyle w:val="BodyText"/>
        <w:spacing w:line="273" w:lineRule="auto"/>
        <w:ind w:right="1132" w:firstLine="420"/>
        <w:jc w:val="both"/>
      </w:pPr>
      <w:r>
        <w:rPr>
          <w:w w:val="95"/>
        </w:rPr>
        <w:t>本公司若回购部分金融负债的，在回购日按照继续确认部分与终止确认部分的相对公允价值，将该金</w:t>
      </w:r>
      <w:r>
        <w:rPr>
          <w:w w:val="99"/>
        </w:rPr>
        <w:t> </w:t>
      </w:r>
      <w:r>
        <w:rPr>
          <w:w w:val="95"/>
        </w:rPr>
        <w:t>融负债整体的账面价值进行分配。分配给终止确认部分的账面价值与支付的对价（包括转出的非现金资产</w:t>
      </w:r>
      <w:r>
        <w:rPr>
          <w:spacing w:val="36"/>
          <w:w w:val="95"/>
        </w:rPr>
        <w:t> </w:t>
      </w:r>
      <w:r>
        <w:rPr>
          <w:spacing w:val="36"/>
          <w:w w:val="95"/>
        </w:rPr>
      </w:r>
      <w:r>
        <w:rPr/>
        <w:t>或承担的新金融负债）之间的差额，计入当期损益。</w:t>
      </w:r>
    </w:p>
    <w:p>
      <w:pPr>
        <w:spacing w:line="273" w:lineRule="auto" w:before="12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存在活跃市场的金融资产或金融负债，以活跃市场的报价确定其公允价值，除非该项金融资产存在针</w:t>
      </w:r>
      <w:r>
        <w:rPr>
          <w:rFonts w:ascii="宋体" w:hAnsi="宋体" w:cs="宋体" w:eastAsia="宋体" w:hint="default"/>
          <w:sz w:val="21"/>
          <w:szCs w:val="21"/>
        </w:rPr>
      </w:r>
    </w:p>
    <w:p>
      <w:pPr>
        <w:pStyle w:val="BodyText"/>
        <w:spacing w:line="240" w:lineRule="auto"/>
        <w:ind w:right="0"/>
        <w:jc w:val="left"/>
      </w:pPr>
      <w:r>
        <w:rPr/>
        <w:t>对资产本身的限售期。活跃市场的报价包括易于且可定期从交易所、交易商、经纪人、行业集团、定价机</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892" w:right="714" w:hanging="420"/>
        <w:jc w:val="left"/>
      </w:pPr>
      <w:r>
        <w:rPr/>
        <w:t>构或监管机构等获得相关资产或负债的报价，且能代表在公平交易基础上实际并经常发生的市场交易。</w:t>
      </w:r>
      <w:r>
        <w:rPr>
          <w:w w:val="99"/>
        </w:rPr>
        <w:t> </w:t>
      </w:r>
      <w:r>
        <w:rPr/>
        <w:t>初始取得或衍生的金融资产或承担的金融负债，以市场交易价格作为确定其公允价值的基础。</w:t>
      </w:r>
      <w:r>
        <w:rPr>
          <w:w w:val="99"/>
        </w:rPr>
        <w:t> </w:t>
      </w:r>
      <w:r>
        <w:rPr>
          <w:w w:val="95"/>
        </w:rPr>
        <w:t>不存在活跃市场的金融资产或金融负债，采用估值技术确定其公允价值。在估值时，本公司采用在当</w:t>
      </w:r>
      <w:r>
        <w:rPr/>
      </w:r>
    </w:p>
    <w:p>
      <w:pPr>
        <w:pStyle w:val="BodyText"/>
        <w:spacing w:line="273" w:lineRule="auto"/>
        <w:ind w:left="472" w:right="1132"/>
        <w:jc w:val="both"/>
      </w:pPr>
      <w:r>
        <w:rPr>
          <w:w w:val="95"/>
        </w:rPr>
        <w:t>前情况下适用并且有足够可利用数据和其他信息支持的估值技术，选择与市场参与者在相关资产或负债的</w:t>
      </w:r>
      <w:r>
        <w:rPr>
          <w:spacing w:val="39"/>
          <w:w w:val="95"/>
        </w:rPr>
        <w:t> </w:t>
      </w:r>
      <w:r>
        <w:rPr>
          <w:spacing w:val="39"/>
          <w:w w:val="95"/>
        </w:rPr>
      </w:r>
      <w:r>
        <w:rPr>
          <w:w w:val="95"/>
        </w:rPr>
        <w:t>交易中所考虑的资产或负债特征相一致的输入值，并尽可能优先使用相关可观察输入值。在相关可观察输</w:t>
      </w:r>
      <w:r>
        <w:rPr>
          <w:spacing w:val="40"/>
          <w:w w:val="95"/>
        </w:rPr>
        <w:t> </w:t>
      </w:r>
      <w:r>
        <w:rPr>
          <w:spacing w:val="40"/>
          <w:w w:val="95"/>
        </w:rPr>
      </w:r>
      <w:r>
        <w:rPr/>
        <w:t>入值无法取得或取得不切实可行的情况下，使用不可观察输入值。</w:t>
      </w:r>
    </w:p>
    <w:p>
      <w:pPr>
        <w:pStyle w:val="BodyText"/>
        <w:spacing w:line="273" w:lineRule="auto"/>
        <w:ind w:left="892" w:right="714" w:hanging="420"/>
        <w:jc w:val="left"/>
      </w:pPr>
      <w:r>
        <w:rPr>
          <w:rFonts w:ascii="宋体" w:hAnsi="宋体" w:cs="宋体" w:eastAsia="宋体" w:hint="default"/>
          <w:b/>
          <w:bCs/>
        </w:rPr>
        <w:t>6.金融工具减值</w:t>
      </w:r>
      <w:r>
        <w:rPr>
          <w:rFonts w:ascii="宋体" w:hAnsi="宋体" w:cs="宋体" w:eastAsia="宋体" w:hint="default"/>
          <w:b/>
          <w:bCs/>
          <w:w w:val="99"/>
        </w:rPr>
        <w:t> </w:t>
      </w:r>
      <w:r>
        <w:rPr>
          <w:w w:val="95"/>
        </w:rPr>
        <w:t>本公司以预期信用损失为基础，对分类为以摊余成本计量的金融资产、分类为以公允价值计量且其变</w:t>
      </w:r>
      <w:r>
        <w:rPr/>
      </w:r>
    </w:p>
    <w:p>
      <w:pPr>
        <w:pStyle w:val="BodyText"/>
        <w:spacing w:line="273" w:lineRule="auto"/>
        <w:ind w:left="892" w:right="714" w:hanging="420"/>
        <w:jc w:val="left"/>
      </w:pPr>
      <w:r>
        <w:rPr/>
        <w:t>动计入其他综合收益的金融资产以及财务担保合同，进行减值会计处理并确认损失准备。</w:t>
      </w:r>
      <w:r>
        <w:rPr>
          <w:w w:val="99"/>
        </w:rPr>
        <w:t> </w:t>
      </w:r>
      <w:r>
        <w:rPr>
          <w:w w:val="95"/>
        </w:rPr>
        <w:t>预期信用损失，是指以发生违约的风险为权重的金融工具信用损失的加权平均值。信用损失，是指本</w:t>
      </w:r>
      <w:r>
        <w:rPr/>
      </w:r>
    </w:p>
    <w:p>
      <w:pPr>
        <w:pStyle w:val="BodyText"/>
        <w:spacing w:line="273" w:lineRule="auto"/>
        <w:ind w:left="472" w:right="1112"/>
        <w:jc w:val="both"/>
      </w:pPr>
      <w:r>
        <w:rPr>
          <w:w w:val="95"/>
        </w:rPr>
        <w:t>公司按照原实际利率折现的、根据合同应收的所有合同现金流量与预期收取的所有现金流量之间的差额，</w:t>
      </w:r>
      <w:r>
        <w:rPr>
          <w:spacing w:val="61"/>
          <w:w w:val="95"/>
        </w:rPr>
        <w:t> </w:t>
      </w:r>
      <w:r>
        <w:rPr>
          <w:spacing w:val="61"/>
          <w:w w:val="95"/>
        </w:rPr>
      </w:r>
      <w:r>
        <w:rPr>
          <w:w w:val="95"/>
        </w:rPr>
        <w:t>即全部现金短缺的现值。其中，对于本公司购买或源生的已发生信用减值的金融资产，应按照该金融资产</w:t>
      </w:r>
      <w:r>
        <w:rPr>
          <w:spacing w:val="43"/>
          <w:w w:val="95"/>
        </w:rPr>
        <w:t> </w:t>
      </w:r>
      <w:r>
        <w:rPr>
          <w:spacing w:val="43"/>
          <w:w w:val="95"/>
        </w:rPr>
      </w:r>
      <w:r>
        <w:rPr/>
        <w:t>经信用调整的实际利率折现。</w:t>
      </w:r>
    </w:p>
    <w:p>
      <w:pPr>
        <w:pStyle w:val="BodyText"/>
        <w:spacing w:line="273" w:lineRule="auto"/>
        <w:ind w:left="472" w:right="1132" w:firstLine="420"/>
        <w:jc w:val="both"/>
      </w:pPr>
      <w:r>
        <w:rPr>
          <w:w w:val="95"/>
        </w:rPr>
        <w:t>对由收入准则规范的交易形成的应收款项，本公司运用简化计量方法，按照相当于整个存续期内预期</w:t>
      </w:r>
      <w:r>
        <w:rPr>
          <w:w w:val="99"/>
        </w:rPr>
        <w:t> </w:t>
      </w:r>
      <w:r>
        <w:rPr/>
        <w:t>信用损失的金额计量损失准备。</w:t>
      </w:r>
    </w:p>
    <w:p>
      <w:pPr>
        <w:pStyle w:val="BodyText"/>
        <w:spacing w:line="273" w:lineRule="auto"/>
        <w:ind w:left="472" w:right="1132" w:firstLine="420"/>
        <w:jc w:val="both"/>
      </w:pPr>
      <w:r>
        <w:rPr>
          <w:w w:val="95"/>
        </w:rPr>
        <w:t>对于购买或源生的已发生信用减值的金融资产，在资产负债表日仅将自初始确认后整个存续期内预期</w:t>
      </w:r>
      <w:r>
        <w:rPr>
          <w:w w:val="99"/>
        </w:rPr>
        <w:t> </w:t>
      </w:r>
      <w:r>
        <w:rPr>
          <w:w w:val="95"/>
        </w:rPr>
        <w:t>信用损失的累计变动确认为损失准备。在每个资产负债表日，将整个存续期内预期信用损失的变动金额作</w:t>
      </w:r>
      <w:r>
        <w:rPr>
          <w:spacing w:val="40"/>
          <w:w w:val="95"/>
        </w:rPr>
        <w:t> </w:t>
      </w:r>
      <w:r>
        <w:rPr>
          <w:spacing w:val="40"/>
          <w:w w:val="95"/>
        </w:rPr>
      </w:r>
      <w:r>
        <w:rPr>
          <w:w w:val="95"/>
        </w:rPr>
        <w:t>为减值损失或利得计入当期损益。即使该资产负债表日确定的整个存续期内预期信用损失小于初始确认时</w:t>
      </w:r>
      <w:r>
        <w:rPr>
          <w:spacing w:val="39"/>
          <w:w w:val="95"/>
        </w:rPr>
        <w:t> </w:t>
      </w:r>
      <w:r>
        <w:rPr>
          <w:spacing w:val="39"/>
          <w:w w:val="95"/>
        </w:rPr>
      </w:r>
      <w:r>
        <w:rPr/>
        <w:t>估计现金流量所反映的预期信用损失的金额，也将预期信用损失的有利变动确认为减值利得。</w:t>
      </w:r>
    </w:p>
    <w:p>
      <w:pPr>
        <w:pStyle w:val="BodyText"/>
        <w:spacing w:line="273" w:lineRule="auto"/>
        <w:ind w:left="472" w:right="1132" w:firstLine="420"/>
        <w:jc w:val="both"/>
      </w:pPr>
      <w:r>
        <w:rPr>
          <w:w w:val="95"/>
        </w:rPr>
        <w:t>除上述采用简化计量方法和购买或源生的已发生信用减值以外的其他金融资产，本公司在每个资产负</w:t>
      </w:r>
      <w:r>
        <w:rPr>
          <w:w w:val="99"/>
        </w:rPr>
        <w:t> </w:t>
      </w:r>
      <w:r>
        <w:rPr>
          <w:spacing w:val="4"/>
        </w:rPr>
        <w:t>债表日评估相关金融工具的信用风险自初始确认后是否已显著增加，并按照下列情形分别计量其损失准</w:t>
      </w:r>
      <w:r>
        <w:rPr>
          <w:w w:val="99"/>
        </w:rPr>
        <w:t> </w:t>
      </w:r>
      <w:r>
        <w:rPr/>
        <w:t>备、确认预期信用损失及其变动：</w:t>
      </w:r>
    </w:p>
    <w:p>
      <w:pPr>
        <w:pStyle w:val="BodyText"/>
        <w:spacing w:line="273" w:lineRule="auto" w:before="8"/>
        <w:ind w:left="472" w:right="1126" w:hanging="360"/>
        <w:jc w:val="left"/>
      </w:pPr>
      <w:r>
        <w:rPr/>
        <w:t>如果该金融工具的信用风险自初始确认后并未显著增加，处于第一阶段，则按照相当于该金融工具未来</w:t>
      </w:r>
      <w:r>
        <w:rPr>
          <w:spacing w:val="-45"/>
        </w:rPr>
        <w:t> </w:t>
      </w:r>
      <w:r>
        <w:rPr/>
        <w:t>12</w:t>
      </w:r>
      <w:r>
        <w:rPr>
          <w:spacing w:val="-47"/>
        </w:rPr>
        <w:t> </w:t>
      </w:r>
      <w:r>
        <w:rPr/>
        <w:t>个</w:t>
      </w:r>
      <w:r>
        <w:rPr>
          <w:w w:val="99"/>
        </w:rPr>
        <w:t> </w:t>
      </w:r>
      <w:r>
        <w:rPr/>
        <w:t>月内预期信用损失的金额计量其损失准备，并按照账面余额和实际利率计算利息收入。</w:t>
      </w:r>
    </w:p>
    <w:p>
      <w:pPr>
        <w:pStyle w:val="BodyText"/>
        <w:spacing w:line="273" w:lineRule="auto"/>
        <w:ind w:left="0" w:right="1112"/>
        <w:jc w:val="right"/>
      </w:pPr>
      <w:r>
        <w:rPr>
          <w:spacing w:val="-2"/>
          <w:w w:val="95"/>
        </w:rPr>
        <w:t>如果该金融工具的信用风险自初始确认后已显著增加但尚未发生信用减值的，处于第二阶段，则按照相当于该</w:t>
      </w:r>
      <w:r>
        <w:rPr>
          <w:spacing w:val="46"/>
          <w:w w:val="95"/>
        </w:rPr>
        <w:t> </w:t>
      </w:r>
      <w:r>
        <w:rPr>
          <w:spacing w:val="46"/>
          <w:w w:val="95"/>
        </w:rPr>
      </w:r>
      <w:r>
        <w:rPr>
          <w:w w:val="95"/>
        </w:rPr>
        <w:t>金融工具整个存续期内预期信用损失的金额计量其损失准备，并按照账面余额和实际利率计算利息收入。</w:t>
      </w:r>
      <w:r>
        <w:rPr>
          <w:spacing w:val="-27"/>
          <w:w w:val="95"/>
        </w:rPr>
        <w:t> </w:t>
      </w:r>
      <w:r>
        <w:rPr>
          <w:spacing w:val="-27"/>
          <w:w w:val="95"/>
        </w:rPr>
      </w:r>
      <w:r>
        <w:rPr>
          <w:spacing w:val="-2"/>
          <w:w w:val="95"/>
        </w:rPr>
        <w:t>如果该金融工具自初始确认后已经发生信用减值的，处于第三阶段，本公司按照相当于该金融工具整个存续期</w:t>
      </w:r>
      <w:r>
        <w:rPr>
          <w:spacing w:val="-2"/>
        </w:rPr>
      </w:r>
    </w:p>
    <w:p>
      <w:pPr>
        <w:pStyle w:val="BodyText"/>
        <w:spacing w:line="273" w:lineRule="auto" w:before="8"/>
        <w:ind w:left="892" w:right="714" w:hanging="420"/>
        <w:jc w:val="left"/>
      </w:pPr>
      <w:r>
        <w:rPr/>
        <w:t>内预期信用损失的金额计量其损失准备，并按照摊余成本和实际利率计算利息收入。</w:t>
      </w:r>
      <w:r>
        <w:rPr>
          <w:w w:val="99"/>
        </w:rPr>
        <w:t> </w:t>
      </w:r>
      <w:r>
        <w:rPr>
          <w:w w:val="95"/>
        </w:rPr>
        <w:t>金融工具信用损失准备的增加或转回金额，作为减值损失或利得计入当期损益。除分类为以公允价值</w:t>
      </w:r>
      <w:r>
        <w:rPr/>
      </w:r>
    </w:p>
    <w:p>
      <w:pPr>
        <w:pStyle w:val="BodyText"/>
        <w:spacing w:line="273" w:lineRule="auto"/>
        <w:ind w:left="472" w:right="1132"/>
        <w:jc w:val="both"/>
      </w:pPr>
      <w:r>
        <w:rPr>
          <w:w w:val="95"/>
        </w:rPr>
        <w:t>计量且其变动计入其他综合收益的金融资产外，信用损失准备抵减金融资产的账面余额。对于分类为以公</w:t>
      </w:r>
      <w:r>
        <w:rPr>
          <w:spacing w:val="40"/>
          <w:w w:val="95"/>
        </w:rPr>
        <w:t> </w:t>
      </w:r>
      <w:r>
        <w:rPr>
          <w:spacing w:val="40"/>
          <w:w w:val="95"/>
        </w:rPr>
      </w:r>
      <w:r>
        <w:rPr>
          <w:w w:val="95"/>
        </w:rPr>
        <w:t>允价值计量且其变动计入其他综合收益的金融资产，本公司在其他综合收益中确认其信用损失准备，不减</w:t>
      </w:r>
      <w:r>
        <w:rPr>
          <w:spacing w:val="37"/>
          <w:w w:val="95"/>
        </w:rPr>
        <w:t> </w:t>
      </w:r>
      <w:r>
        <w:rPr>
          <w:spacing w:val="37"/>
          <w:w w:val="95"/>
        </w:rPr>
      </w:r>
      <w:r>
        <w:rPr/>
        <w:t>少该金融资产在资产负债表中列示的账面价值。</w:t>
      </w:r>
    </w:p>
    <w:p>
      <w:pPr>
        <w:pStyle w:val="BodyText"/>
        <w:spacing w:line="273" w:lineRule="auto"/>
        <w:ind w:left="472" w:right="1112" w:firstLine="420"/>
        <w:jc w:val="both"/>
      </w:pPr>
      <w:r>
        <w:rPr>
          <w:w w:val="95"/>
        </w:rPr>
        <w:t>本公司在前一会计期间已经按照相当于金融工具整个存续期内预期信用损失的金额计量了损失准备，</w:t>
      </w:r>
      <w:r>
        <w:rPr>
          <w:spacing w:val="-79"/>
          <w:w w:val="95"/>
        </w:rPr>
        <w:t> </w:t>
      </w:r>
      <w:r>
        <w:rPr>
          <w:spacing w:val="-79"/>
          <w:w w:val="95"/>
        </w:rPr>
      </w:r>
      <w:r>
        <w:rPr>
          <w:w w:val="95"/>
        </w:rPr>
        <w:t>但在当期资产负债表日，该金融工具已不再属于自初始确认后信用风险显著增加的情形的，本公司在当期</w:t>
      </w:r>
      <w:r>
        <w:rPr>
          <w:spacing w:val="37"/>
          <w:w w:val="95"/>
        </w:rPr>
        <w:t> </w:t>
      </w:r>
      <w:r>
        <w:rPr>
          <w:spacing w:val="37"/>
          <w:w w:val="95"/>
        </w:rPr>
      </w:r>
      <w:r>
        <w:rPr>
          <w:w w:val="95"/>
        </w:rPr>
        <w:t>资产负债表日按照相当于未来12个月内预期信用损失的金额计量该金融工具的损失准备，由此形成的损失</w:t>
      </w:r>
      <w:r>
        <w:rPr>
          <w:spacing w:val="39"/>
          <w:w w:val="95"/>
        </w:rPr>
        <w:t> </w:t>
      </w:r>
      <w:r>
        <w:rPr>
          <w:spacing w:val="39"/>
          <w:w w:val="95"/>
        </w:rPr>
      </w:r>
      <w:r>
        <w:rPr/>
        <w:t>准备的转回金额作为减值利得计入当期损益。</w:t>
      </w:r>
    </w:p>
    <w:p>
      <w:pPr>
        <w:pStyle w:val="BodyText"/>
        <w:spacing w:line="273" w:lineRule="auto"/>
        <w:ind w:left="892" w:right="714" w:firstLine="60"/>
        <w:jc w:val="left"/>
      </w:pPr>
      <w:r>
        <w:rPr/>
        <w:t>信用风险显著增加</w:t>
      </w:r>
      <w:r>
        <w:rPr>
          <w:w w:val="99"/>
        </w:rPr>
        <w:t> </w:t>
      </w:r>
      <w:r>
        <w:rPr>
          <w:w w:val="95"/>
        </w:rPr>
        <w:t>本公司利用可获得的合理且有依据的前瞻性信息，通过比较金融工具在资产负债表日发生违约的风险</w:t>
      </w:r>
      <w:r>
        <w:rPr/>
      </w:r>
    </w:p>
    <w:p>
      <w:pPr>
        <w:pStyle w:val="BodyText"/>
        <w:spacing w:line="273" w:lineRule="auto" w:before="8"/>
        <w:ind w:left="472" w:right="1028"/>
        <w:jc w:val="both"/>
      </w:pPr>
      <w:r>
        <w:rPr/>
        <w:t>与在初始确认日发生违约的风险，以确定金融工具的信用风险自初始确认后是否已显著增加。对于财务担</w:t>
      </w:r>
      <w:r>
        <w:rPr>
          <w:w w:val="99"/>
        </w:rPr>
        <w:t> </w:t>
      </w:r>
      <w:r>
        <w:rPr>
          <w:spacing w:val="-3"/>
        </w:rPr>
        <w:t>保合同，本公司在应用金融工具减值规定时，将本公司成为做出不可撤销承诺的一方之日作为初始确认日。</w:t>
      </w:r>
    </w:p>
    <w:p>
      <w:pPr>
        <w:pStyle w:val="BodyText"/>
        <w:spacing w:line="273" w:lineRule="auto"/>
        <w:ind w:left="472" w:right="714" w:firstLine="420"/>
        <w:jc w:val="left"/>
      </w:pPr>
      <w:r>
        <w:rPr/>
        <w:t>本公司在评估信用风险是否显著增加时会考虑如下因素：</w:t>
      </w:r>
      <w:r>
        <w:rPr>
          <w:w w:val="99"/>
        </w:rPr>
        <w:t> </w:t>
      </w:r>
      <w:r>
        <w:rPr/>
        <w:t>债务人经营成果实际或预期是否发生显著变化；</w:t>
      </w:r>
      <w:r>
        <w:rPr>
          <w:w w:val="99"/>
        </w:rPr>
        <w:t> </w:t>
      </w:r>
      <w:r>
        <w:rPr/>
        <w:t>债务人所处的监管、经济或技术环境是否发生显著不利变化；</w:t>
      </w:r>
      <w:r>
        <w:rPr>
          <w:w w:val="99"/>
        </w:rPr>
        <w:t> </w:t>
      </w:r>
      <w:r>
        <w:rPr>
          <w:w w:val="95"/>
        </w:rPr>
        <w:t>作为债务抵押的担保物价值或第三方提供的担保或信用增级质量是否发生显著变化，这些变化预期将降低</w:t>
      </w:r>
      <w:r>
        <w:rPr/>
      </w:r>
    </w:p>
    <w:p>
      <w:pPr>
        <w:spacing w:after="0" w:line="273" w:lineRule="auto"/>
        <w:jc w:val="left"/>
        <w:sectPr>
          <w:pgSz w:w="11910" w:h="16840"/>
          <w:pgMar w:header="907" w:footer="1016" w:top="1100" w:bottom="1200" w:left="660" w:right="0"/>
        </w:sectPr>
      </w:pPr>
    </w:p>
    <w:p>
      <w:pPr>
        <w:spacing w:line="240" w:lineRule="auto" w:before="10"/>
        <w:rPr>
          <w:rFonts w:ascii="宋体" w:hAnsi="宋体" w:cs="宋体" w:eastAsia="宋体" w:hint="default"/>
          <w:sz w:val="21"/>
          <w:szCs w:val="21"/>
        </w:rPr>
      </w:pPr>
    </w:p>
    <w:p>
      <w:pPr>
        <w:pStyle w:val="BodyText"/>
        <w:spacing w:line="273" w:lineRule="auto" w:before="34"/>
        <w:ind w:right="2654" w:firstLine="360"/>
        <w:jc w:val="left"/>
      </w:pPr>
      <w:r>
        <w:rPr>
          <w:w w:val="95"/>
        </w:rPr>
        <w:t>债务人按合同规定期限还款的经济动机或者影响违约概率；</w:t>
      </w:r>
      <w:r>
        <w:rPr>
          <w:w w:val="99"/>
        </w:rPr>
        <w:t> </w:t>
      </w:r>
      <w:r>
        <w:rPr/>
        <w:t>债务人预期表现和还款行为是否发生显著变化；</w:t>
      </w:r>
      <w:r>
        <w:rPr>
          <w:w w:val="99"/>
        </w:rPr>
        <w:t> </w:t>
      </w:r>
      <w:r>
        <w:rPr/>
        <w:t>本公司对金融工具信用管理方法是否发生变化等。</w:t>
      </w:r>
    </w:p>
    <w:p>
      <w:pPr>
        <w:pStyle w:val="BodyText"/>
        <w:spacing w:line="273" w:lineRule="auto"/>
        <w:ind w:right="1132" w:firstLine="420"/>
        <w:jc w:val="both"/>
      </w:pPr>
      <w:r>
        <w:rPr>
          <w:w w:val="95"/>
        </w:rPr>
        <w:t>于资产负债表日，若本公司判断金融工具只具有较低的信用风险，则本公司假定该金融工具的信用风</w:t>
      </w:r>
      <w:r>
        <w:rPr>
          <w:w w:val="99"/>
        </w:rPr>
        <w:t> </w:t>
      </w:r>
      <w:r>
        <w:rPr>
          <w:w w:val="95"/>
        </w:rPr>
        <w:t>险自初始确认后并未显著增加。如果金融工具的违约风险较低，借款人在短期内履行其合同现金流量义务</w:t>
      </w:r>
      <w:r>
        <w:rPr>
          <w:spacing w:val="37"/>
          <w:w w:val="95"/>
        </w:rPr>
        <w:t> </w:t>
      </w:r>
      <w:r>
        <w:rPr>
          <w:spacing w:val="37"/>
          <w:w w:val="95"/>
        </w:rPr>
      </w:r>
      <w:r>
        <w:rPr>
          <w:w w:val="95"/>
        </w:rPr>
        <w:t>的能力很强，并且即使较长时期内经济形势和经营环境存在不利变化，但未必一定降低借款人履行其合同</w:t>
      </w:r>
      <w:r>
        <w:rPr>
          <w:spacing w:val="40"/>
          <w:w w:val="95"/>
        </w:rPr>
        <w:t> </w:t>
      </w:r>
      <w:r>
        <w:rPr>
          <w:spacing w:val="40"/>
          <w:w w:val="95"/>
        </w:rPr>
      </w:r>
      <w:r>
        <w:rPr/>
        <w:t>现金流量义务的能力，则该金融工具被视为具有较低的信用风险。</w:t>
      </w:r>
    </w:p>
    <w:p>
      <w:pPr>
        <w:pStyle w:val="BodyText"/>
        <w:spacing w:line="273" w:lineRule="auto"/>
        <w:ind w:left="892" w:right="0" w:firstLine="60"/>
        <w:jc w:val="left"/>
      </w:pPr>
      <w:r>
        <w:rPr/>
        <w:t>已发生信用减值的金融资产</w:t>
      </w:r>
      <w:r>
        <w:rPr>
          <w:w w:val="99"/>
        </w:rPr>
        <w:t> </w:t>
      </w:r>
      <w:r>
        <w:rPr/>
        <w:t>当对金融资产预期未来现金流量具有不利影响的一项或多项事件发生时，该金融资产成为已发生</w:t>
      </w:r>
    </w:p>
    <w:p>
      <w:pPr>
        <w:pStyle w:val="BodyText"/>
        <w:spacing w:line="273" w:lineRule="auto"/>
        <w:ind w:right="2654" w:firstLine="360"/>
        <w:jc w:val="left"/>
      </w:pPr>
      <w:r>
        <w:rPr>
          <w:w w:val="95"/>
        </w:rPr>
        <w:t>信用减值的金融资产。金融资产已发生信用减值的证据包括下列可观察信息：</w:t>
      </w:r>
      <w:r>
        <w:rPr>
          <w:w w:val="99"/>
        </w:rPr>
        <w:t> </w:t>
      </w:r>
      <w:r>
        <w:rPr/>
        <w:t>发行方或债务人发生重大财务困难；</w:t>
      </w:r>
      <w:r>
        <w:rPr>
          <w:w w:val="99"/>
        </w:rPr>
        <w:t> </w:t>
      </w:r>
      <w:r>
        <w:rPr/>
        <w:t>债务人违反合同，如偿付利息或本金违约或逾期等；</w:t>
      </w:r>
    </w:p>
    <w:p>
      <w:pPr>
        <w:pStyle w:val="BodyText"/>
        <w:spacing w:line="273" w:lineRule="auto"/>
        <w:ind w:right="0"/>
        <w:jc w:val="left"/>
      </w:pPr>
      <w:r>
        <w:rPr>
          <w:w w:val="95"/>
        </w:rPr>
        <w:t>债权人出于与债务人财务困难有关的经济或合同考虑，给予债务人在任何其他情况下都不会做出的让步；</w:t>
      </w:r>
      <w:r>
        <w:rPr>
          <w:spacing w:val="61"/>
          <w:w w:val="95"/>
        </w:rPr>
        <w:t> </w:t>
      </w:r>
      <w:r>
        <w:rPr>
          <w:spacing w:val="61"/>
          <w:w w:val="95"/>
        </w:rPr>
      </w:r>
      <w:r>
        <w:rPr/>
        <w:t>债务人很可能破产或进行其他财务重组；</w:t>
      </w:r>
    </w:p>
    <w:p>
      <w:pPr>
        <w:pStyle w:val="BodyText"/>
        <w:spacing w:line="273" w:lineRule="auto"/>
        <w:ind w:right="0"/>
        <w:jc w:val="left"/>
      </w:pPr>
      <w:r>
        <w:rPr/>
        <w:t>发行方或债务人财务困难导致该金融资产的活跃市场消失；</w:t>
      </w:r>
      <w:r>
        <w:rPr>
          <w:w w:val="99"/>
        </w:rPr>
        <w:t> </w:t>
      </w:r>
      <w:r>
        <w:rPr>
          <w:w w:val="95"/>
        </w:rPr>
        <w:t>以大幅折扣购买或源生一项金融资产，该折扣反映了发生信用损失的事实。</w:t>
      </w:r>
      <w:r>
        <w:rPr/>
      </w:r>
    </w:p>
    <w:p>
      <w:pPr>
        <w:pStyle w:val="BodyText"/>
        <w:spacing w:line="273" w:lineRule="auto"/>
        <w:ind w:left="892" w:right="0"/>
        <w:jc w:val="left"/>
      </w:pPr>
      <w:r>
        <w:rPr/>
        <w:t>金融资产发生信用减值，有可能是多个事件的共同作用所致，未必是可单独识别的事件所致。</w:t>
      </w:r>
      <w:r>
        <w:rPr>
          <w:w w:val="99"/>
        </w:rPr>
        <w:t> </w:t>
      </w:r>
      <w:r>
        <w:rPr/>
        <w:t>预期信用损失的确定</w:t>
      </w:r>
      <w:r>
        <w:rPr>
          <w:w w:val="99"/>
        </w:rPr>
        <w:t> </w:t>
      </w:r>
      <w:r>
        <w:rPr/>
        <w:t>本公司基于单项和组合评估金融工具的预期信用损失，在评估预期信用损失时，考虑有关过去事</w:t>
      </w:r>
    </w:p>
    <w:p>
      <w:pPr>
        <w:pStyle w:val="BodyText"/>
        <w:spacing w:line="273" w:lineRule="auto"/>
        <w:ind w:left="892" w:right="0" w:hanging="420"/>
        <w:jc w:val="left"/>
      </w:pPr>
      <w:r>
        <w:rPr/>
        <w:t>项、当前状况以及未来经济状况预测的合理且有依据的信息。</w:t>
      </w:r>
      <w:r>
        <w:rPr>
          <w:w w:val="99"/>
        </w:rPr>
        <w:t> </w:t>
      </w:r>
      <w:r>
        <w:rPr/>
        <w:t>本公司以共同信用风险特征为依据，将金融工具分为不同组合。本公司采用的共同信用风险特征</w:t>
      </w:r>
    </w:p>
    <w:p>
      <w:pPr>
        <w:pStyle w:val="BodyText"/>
        <w:spacing w:line="273" w:lineRule="auto"/>
        <w:ind w:left="472" w:right="0"/>
        <w:jc w:val="left"/>
      </w:pPr>
      <w:r>
        <w:rPr/>
        <w:t>包括：金融工具类型、账龄组合等。相关金融工具的单项评估标准和组合信用风险特征详见相关金融</w:t>
      </w:r>
      <w:r>
        <w:rPr>
          <w:spacing w:val="-82"/>
        </w:rPr>
        <w:t> </w:t>
      </w:r>
      <w:r>
        <w:rPr>
          <w:spacing w:val="-82"/>
        </w:rPr>
      </w:r>
      <w:r>
        <w:rPr/>
        <w:t>工具的会计政策。</w:t>
      </w:r>
    </w:p>
    <w:p>
      <w:pPr>
        <w:pStyle w:val="BodyText"/>
        <w:spacing w:line="273" w:lineRule="auto"/>
        <w:ind w:left="892" w:right="0"/>
        <w:jc w:val="left"/>
      </w:pPr>
      <w:r>
        <w:rPr/>
        <w:t>本公司按照下列方法确定相关金融工具的预期信用损失：</w:t>
      </w:r>
      <w:r>
        <w:rPr>
          <w:w w:val="99"/>
        </w:rPr>
        <w:t> </w:t>
      </w:r>
      <w:r>
        <w:rPr>
          <w:spacing w:val="-2"/>
        </w:rPr>
        <w:t>1）对于金融资产，信用损失为本公司应收取的合同现金流量与预期收取的现金流量之间差额的现</w:t>
      </w:r>
    </w:p>
    <w:p>
      <w:pPr>
        <w:pStyle w:val="BodyText"/>
        <w:spacing w:line="240" w:lineRule="auto"/>
        <w:ind w:left="472" w:right="0"/>
        <w:jc w:val="left"/>
      </w:pPr>
      <w:r>
        <w:rPr/>
        <w:t>值。</w:t>
      </w:r>
    </w:p>
    <w:p>
      <w:pPr>
        <w:pStyle w:val="BodyText"/>
        <w:spacing w:line="240" w:lineRule="auto" w:before="37"/>
        <w:ind w:left="892" w:right="0"/>
        <w:jc w:val="left"/>
      </w:pPr>
      <w:r>
        <w:rPr/>
        <w:t>2）</w:t>
      </w:r>
      <w:r>
        <w:rPr>
          <w:spacing w:val="24"/>
        </w:rPr>
        <w:t> </w:t>
      </w:r>
      <w:r>
        <w:rPr/>
        <w:t>对于财务担保合同，信用损失为本公司就该合同持有人发生的信用损失向其做出赔付的预计</w:t>
      </w:r>
    </w:p>
    <w:p>
      <w:pPr>
        <w:pStyle w:val="BodyText"/>
        <w:spacing w:line="273" w:lineRule="auto" w:before="37"/>
        <w:ind w:left="892" w:right="0" w:hanging="420"/>
        <w:jc w:val="left"/>
      </w:pPr>
      <w:r>
        <w:rPr/>
        <w:t>付款额，减去本公司预期向该合同持有人、债务人或任何其他方收取的金额之间差额的现值。</w:t>
      </w:r>
      <w:r>
        <w:rPr>
          <w:w w:val="99"/>
        </w:rPr>
        <w:t> </w:t>
      </w:r>
      <w:r>
        <w:rPr>
          <w:spacing w:val="-2"/>
        </w:rPr>
        <w:t>3）对于资产负债表日已发生信用减值但并非购买或源生已发生信用减值的金融资产，信用损失为</w:t>
      </w:r>
    </w:p>
    <w:p>
      <w:pPr>
        <w:pStyle w:val="BodyText"/>
        <w:spacing w:line="273" w:lineRule="auto"/>
        <w:ind w:left="892" w:right="0" w:hanging="420"/>
        <w:jc w:val="left"/>
      </w:pPr>
      <w:r>
        <w:rPr/>
        <w:t>该金融资产账面余额与按原实际利率折现的估计未来现金流量的现值之间的差额。</w:t>
      </w:r>
      <w:r>
        <w:rPr>
          <w:w w:val="99"/>
        </w:rPr>
        <w:t> </w:t>
      </w:r>
      <w:r>
        <w:rPr/>
        <w:t>本公司计量金融工具预期信用损失的方法反映的因素包括：通过评价一系列可能的结果而确定的</w:t>
      </w:r>
    </w:p>
    <w:p>
      <w:pPr>
        <w:pStyle w:val="BodyText"/>
        <w:spacing w:line="273" w:lineRule="auto"/>
        <w:ind w:left="472" w:right="0"/>
        <w:jc w:val="left"/>
      </w:pPr>
      <w:r>
        <w:rPr/>
        <w:t>无偏概率加权平均金额；货币时间价值；在资产负债表日无须付出不必要的额外成本或努力即可获得</w:t>
      </w:r>
      <w:r>
        <w:rPr>
          <w:spacing w:val="-82"/>
        </w:rPr>
        <w:t> </w:t>
      </w:r>
      <w:r>
        <w:rPr>
          <w:spacing w:val="-82"/>
        </w:rPr>
      </w:r>
      <w:r>
        <w:rPr/>
        <w:t>的有关过去事项、当前状况以及未来经济状况预测的合理且有依据的信息。</w:t>
      </w:r>
    </w:p>
    <w:p>
      <w:pPr>
        <w:pStyle w:val="BodyText"/>
        <w:spacing w:line="273" w:lineRule="auto" w:before="128"/>
        <w:ind w:left="532" w:right="1185" w:firstLine="60"/>
        <w:jc w:val="left"/>
      </w:pPr>
      <w:r>
        <w:rPr/>
        <w:t>减记金融资产</w:t>
      </w:r>
      <w:r>
        <w:rPr>
          <w:w w:val="99"/>
        </w:rPr>
        <w:t> </w:t>
      </w:r>
      <w:r>
        <w:rPr>
          <w:w w:val="95"/>
        </w:rPr>
        <w:t>当本公司不再合理预期金融资产合同现金流量能够全部或部分收回的，直接减记该金融资产的账面余</w:t>
      </w:r>
      <w:r>
        <w:rPr/>
      </w:r>
    </w:p>
    <w:p>
      <w:pPr>
        <w:spacing w:line="273" w:lineRule="auto" w:before="7"/>
        <w:ind w:left="112" w:right="6659" w:firstLine="0"/>
        <w:jc w:val="left"/>
        <w:rPr>
          <w:rFonts w:ascii="宋体" w:hAnsi="宋体" w:cs="宋体" w:eastAsia="宋体" w:hint="default"/>
          <w:sz w:val="21"/>
          <w:szCs w:val="21"/>
        </w:rPr>
      </w:pPr>
      <w:r>
        <w:rPr>
          <w:rFonts w:ascii="宋体" w:hAnsi="宋体" w:cs="宋体" w:eastAsia="宋体" w:hint="default"/>
          <w:w w:val="95"/>
          <w:sz w:val="21"/>
          <w:szCs w:val="21"/>
        </w:rPr>
        <w:t>额。这种减记构成相关金融资产的终止确认。</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b/>
          <w:bCs/>
          <w:sz w:val="21"/>
          <w:szCs w:val="21"/>
        </w:rPr>
        <w:t>7.</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金融资产及金融负债的抵销</w:t>
      </w:r>
      <w:r>
        <w:rPr>
          <w:rFonts w:ascii="宋体" w:hAnsi="宋体" w:cs="宋体" w:eastAsia="宋体" w:hint="default"/>
          <w:sz w:val="21"/>
          <w:szCs w:val="21"/>
        </w:rPr>
      </w:r>
    </w:p>
    <w:p>
      <w:pPr>
        <w:pStyle w:val="BodyText"/>
        <w:spacing w:line="273" w:lineRule="auto"/>
        <w:ind w:right="0" w:firstLine="420"/>
        <w:jc w:val="left"/>
      </w:pPr>
      <w:r>
        <w:rPr>
          <w:w w:val="95"/>
        </w:rPr>
        <w:t>金融资产和金融负债在资产负债表内分别列示，没有相互抵销。但是，同时满足下列条件的，以相互</w:t>
      </w:r>
      <w:r>
        <w:rPr>
          <w:w w:val="99"/>
        </w:rPr>
        <w:t> </w:t>
      </w:r>
      <w:r>
        <w:rPr/>
        <w:t>抵销后的净额在资产负债表内列示：</w:t>
      </w:r>
    </w:p>
    <w:p>
      <w:pPr>
        <w:pStyle w:val="BodyText"/>
        <w:spacing w:line="240" w:lineRule="auto"/>
        <w:ind w:left="532" w:right="0"/>
        <w:jc w:val="left"/>
      </w:pPr>
      <w:r>
        <w:rPr/>
        <w:t>（1）本公司具有抵销已确认金额的法定权利，且该种法定权利是当前可执行的；</w:t>
      </w:r>
    </w:p>
    <w:p>
      <w:pPr>
        <w:pStyle w:val="BodyText"/>
        <w:spacing w:line="240" w:lineRule="auto" w:before="37"/>
        <w:ind w:left="532" w:right="0"/>
        <w:jc w:val="left"/>
      </w:pPr>
      <w:r>
        <w:rPr/>
        <w:t>（2）本公司计划以净额结算，或同时变现该金融资产和清偿该金融负债。</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11、应收票据" w:id="182"/>
      <w:bookmarkEnd w:id="182"/>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2、应收账款" w:id="183"/>
      <w:bookmarkEnd w:id="183"/>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022"/>
        <w:jc w:val="left"/>
      </w:pPr>
      <w:r>
        <w:rPr>
          <w:spacing w:val="-3"/>
        </w:rPr>
        <w:t>本公司对应收账款的预期信用损失的确定方法及会计处理方法详见本附注四／（十）6.金融工具减值。</w:t>
      </w:r>
      <w:r>
        <w:rPr>
          <w:w w:val="99"/>
        </w:rPr>
        <w:t> </w:t>
      </w:r>
      <w:r>
        <w:rPr/>
        <w:t>本公司对在初始确认后已经发生信用减值；在单项工具层面能以合理成本评估预期信用损失的充分证</w:t>
      </w:r>
    </w:p>
    <w:p>
      <w:pPr>
        <w:pStyle w:val="BodyText"/>
        <w:spacing w:line="273" w:lineRule="auto"/>
        <w:ind w:left="532" w:right="0" w:hanging="420"/>
        <w:jc w:val="left"/>
      </w:pPr>
      <w:r>
        <w:rPr/>
        <w:t>据的应收账款单独确定其信用损失。</w:t>
      </w:r>
      <w:r>
        <w:rPr>
          <w:w w:val="99"/>
        </w:rPr>
        <w:t> </w:t>
      </w:r>
      <w:r>
        <w:rPr>
          <w:w w:val="95"/>
        </w:rPr>
        <w:t>当在单项工具层面无法以合理成本评估预期信用损失的充分证据时，本公司参考历史信用损失经验，</w:t>
      </w:r>
      <w:r>
        <w:rPr/>
      </w:r>
    </w:p>
    <w:p>
      <w:pPr>
        <w:pStyle w:val="BodyText"/>
        <w:spacing w:line="273" w:lineRule="auto"/>
        <w:ind w:right="0"/>
        <w:jc w:val="left"/>
      </w:pPr>
      <w:r>
        <w:rPr>
          <w:w w:val="95"/>
        </w:rPr>
        <w:t>结合当前状况以及对未来经济状况的判断，依据信用风险特征将应收账款划分为若干组合，在组合基础上</w:t>
      </w:r>
      <w:r>
        <w:rPr>
          <w:spacing w:val="37"/>
          <w:w w:val="95"/>
        </w:rPr>
        <w:t> </w:t>
      </w:r>
      <w:r>
        <w:rPr>
          <w:spacing w:val="37"/>
          <w:w w:val="95"/>
        </w:rPr>
      </w:r>
      <w:r>
        <w:rPr/>
        <w:t>计算预期信用损失。确定组合的依据如下：</w:t>
      </w:r>
    </w:p>
    <w:tbl>
      <w:tblPr>
        <w:tblW w:w="0" w:type="auto"/>
        <w:jc w:val="left"/>
        <w:tblInd w:w="106" w:type="dxa"/>
        <w:tblLayout w:type="fixed"/>
        <w:tblCellMar>
          <w:top w:w="0" w:type="dxa"/>
          <w:left w:w="0" w:type="dxa"/>
          <w:bottom w:w="0" w:type="dxa"/>
          <w:right w:w="0" w:type="dxa"/>
        </w:tblCellMar>
        <w:tblLook w:val="01E0"/>
      </w:tblPr>
      <w:tblGrid>
        <w:gridCol w:w="1338"/>
        <w:gridCol w:w="2880"/>
        <w:gridCol w:w="4218"/>
      </w:tblGrid>
      <w:tr>
        <w:trPr>
          <w:trHeight w:val="354" w:hRule="exact"/>
        </w:trPr>
        <w:tc>
          <w:tcPr>
            <w:tcW w:w="1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01"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2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8" w:hRule="exact"/>
        </w:trPr>
        <w:tc>
          <w:tcPr>
            <w:tcW w:w="133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88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应收合并范围外的其他客户</w:t>
            </w:r>
          </w:p>
        </w:tc>
        <w:tc>
          <w:tcPr>
            <w:tcW w:w="4218" w:type="dxa"/>
            <w:tcBorders>
              <w:top w:val="single" w:sz="12"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参考历史信用损失经验，结合当前状况以及对未来经</w:t>
            </w:r>
          </w:p>
        </w:tc>
      </w:tr>
      <w:tr>
        <w:trPr>
          <w:trHeight w:val="312" w:hRule="exact"/>
        </w:trPr>
        <w:tc>
          <w:tcPr>
            <w:tcW w:w="1338"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c>
          <w:tcPr>
            <w:tcW w:w="421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济状况的预测，编制应收账款账龄与整个存续期预期</w:t>
            </w:r>
          </w:p>
        </w:tc>
      </w:tr>
      <w:tr>
        <w:trPr>
          <w:trHeight w:val="336" w:hRule="exact"/>
        </w:trPr>
        <w:tc>
          <w:tcPr>
            <w:tcW w:w="1338" w:type="dxa"/>
            <w:tcBorders>
              <w:top w:val="nil" w:sz="6" w:space="0" w:color="auto"/>
              <w:left w:val="single" w:sz="6" w:space="0" w:color="000000"/>
              <w:bottom w:val="single" w:sz="12" w:space="0" w:color="000000"/>
              <w:right w:val="single" w:sz="6" w:space="0" w:color="000000"/>
            </w:tcBorders>
          </w:tcPr>
          <w:p>
            <w:pPr/>
          </w:p>
        </w:tc>
        <w:tc>
          <w:tcPr>
            <w:tcW w:w="2880" w:type="dxa"/>
            <w:tcBorders>
              <w:top w:val="nil" w:sz="6" w:space="0" w:color="auto"/>
              <w:left w:val="single" w:sz="6" w:space="0" w:color="000000"/>
              <w:bottom w:val="single" w:sz="12" w:space="0" w:color="000000"/>
              <w:right w:val="single" w:sz="6" w:space="0" w:color="000000"/>
            </w:tcBorders>
          </w:tcPr>
          <w:p>
            <w:pPr/>
          </w:p>
        </w:tc>
        <w:tc>
          <w:tcPr>
            <w:tcW w:w="4218"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信用损失率对照表，计算预期信用损失。</w:t>
            </w:r>
          </w:p>
        </w:tc>
      </w:tr>
      <w:tr>
        <w:trPr>
          <w:trHeight w:val="338" w:hRule="exact"/>
        </w:trPr>
        <w:tc>
          <w:tcPr>
            <w:tcW w:w="133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88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应收合并范围内关联方</w:t>
            </w:r>
          </w:p>
        </w:tc>
        <w:tc>
          <w:tcPr>
            <w:tcW w:w="4218" w:type="dxa"/>
            <w:tcBorders>
              <w:top w:val="single" w:sz="12" w:space="0" w:color="000000"/>
              <w:left w:val="single" w:sz="6" w:space="0" w:color="000000"/>
              <w:bottom w:val="nil" w:sz="6" w:space="0" w:color="auto"/>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参考历史信用损失经验，结合当期状况及对未来经济</w:t>
            </w:r>
          </w:p>
        </w:tc>
      </w:tr>
      <w:tr>
        <w:trPr>
          <w:trHeight w:val="312" w:hRule="exact"/>
        </w:trPr>
        <w:tc>
          <w:tcPr>
            <w:tcW w:w="1338"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c>
          <w:tcPr>
            <w:tcW w:w="421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状况的预测，按照整个存续期预期损失率，计算预期</w:t>
            </w:r>
          </w:p>
        </w:tc>
      </w:tr>
      <w:tr>
        <w:trPr>
          <w:trHeight w:val="336" w:hRule="exact"/>
        </w:trPr>
        <w:tc>
          <w:tcPr>
            <w:tcW w:w="1338" w:type="dxa"/>
            <w:tcBorders>
              <w:top w:val="nil" w:sz="6" w:space="0" w:color="auto"/>
              <w:left w:val="single" w:sz="6" w:space="0" w:color="000000"/>
              <w:bottom w:val="single" w:sz="12" w:space="0" w:color="000000"/>
              <w:right w:val="single" w:sz="6" w:space="0" w:color="000000"/>
            </w:tcBorders>
          </w:tcPr>
          <w:p>
            <w:pPr/>
          </w:p>
        </w:tc>
        <w:tc>
          <w:tcPr>
            <w:tcW w:w="2880" w:type="dxa"/>
            <w:tcBorders>
              <w:top w:val="nil" w:sz="6" w:space="0" w:color="auto"/>
              <w:left w:val="single" w:sz="6" w:space="0" w:color="000000"/>
              <w:bottom w:val="single" w:sz="12" w:space="0" w:color="000000"/>
              <w:right w:val="single" w:sz="6" w:space="0" w:color="000000"/>
            </w:tcBorders>
          </w:tcPr>
          <w:p>
            <w:pPr/>
          </w:p>
        </w:tc>
        <w:tc>
          <w:tcPr>
            <w:tcW w:w="4218"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信用损失。</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6"/>
        <w:spacing w:line="240" w:lineRule="auto" w:before="34"/>
        <w:ind w:right="0"/>
        <w:jc w:val="left"/>
        <w:rPr>
          <w:b w:val="0"/>
          <w:bCs w:val="0"/>
        </w:rPr>
      </w:pPr>
      <w:bookmarkStart w:name="13、应收款项融资" w:id="184"/>
      <w:bookmarkEnd w:id="184"/>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532" w:right="0"/>
        <w:jc w:val="left"/>
      </w:pPr>
      <w:r>
        <w:rPr/>
        <w:t>本公司对应收款项融资的预期信用损失的确定方法及会计处理方法详见本附注五.注释10金融工具减</w:t>
      </w:r>
    </w:p>
    <w:p>
      <w:pPr>
        <w:pStyle w:val="BodyText"/>
        <w:spacing w:line="240" w:lineRule="auto" w:before="37"/>
        <w:ind w:right="0"/>
        <w:jc w:val="left"/>
      </w:pPr>
      <w:r>
        <w:rPr>
          <w:w w:val="99"/>
        </w:rPr>
        <w:t>值</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6"/>
        <w:spacing w:line="240" w:lineRule="auto" w:before="34"/>
        <w:ind w:right="0"/>
        <w:jc w:val="left"/>
        <w:rPr>
          <w:b w:val="0"/>
          <w:bCs w:val="0"/>
        </w:rPr>
      </w:pPr>
      <w:bookmarkStart w:name="14、其他应收款" w:id="185"/>
      <w:bookmarkEnd w:id="185"/>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40" w:lineRule="auto" w:before="91"/>
        <w:ind w:left="532" w:right="0"/>
        <w:jc w:val="left"/>
      </w:pPr>
      <w:r>
        <w:rPr/>
        <w:t>本公司对其他应收款的预期信用损失的确定方法及会计处理方法详见本附注四／（十）6.金融工具减</w:t>
      </w:r>
    </w:p>
    <w:p>
      <w:pPr>
        <w:pStyle w:val="BodyText"/>
        <w:spacing w:line="240" w:lineRule="auto" w:before="37"/>
        <w:ind w:right="0"/>
        <w:jc w:val="left"/>
      </w:pPr>
      <w:r>
        <w:rPr/>
        <w:t>值。</w:t>
      </w:r>
    </w:p>
    <w:p>
      <w:pPr>
        <w:pStyle w:val="BodyText"/>
        <w:spacing w:line="240" w:lineRule="auto" w:before="37"/>
        <w:ind w:left="532" w:right="0"/>
        <w:jc w:val="left"/>
      </w:pPr>
      <w:r>
        <w:rPr/>
        <w:t>本公司对在初始确认后已经发生信用减值、在单项工具层面能以合理成本评估预期信用损失的充分证</w:t>
      </w:r>
    </w:p>
    <w:p>
      <w:pPr>
        <w:pStyle w:val="BodyText"/>
        <w:spacing w:line="273" w:lineRule="auto" w:before="37"/>
        <w:ind w:left="532" w:right="0" w:hanging="420"/>
        <w:jc w:val="left"/>
      </w:pPr>
      <w:r>
        <w:rPr/>
        <w:t>据的其他应收款单独确定其信用损失。</w:t>
      </w:r>
      <w:r>
        <w:rPr>
          <w:w w:val="99"/>
        </w:rPr>
        <w:t> </w:t>
      </w:r>
      <w:r>
        <w:rPr>
          <w:w w:val="95"/>
        </w:rPr>
        <w:t>当在单项工具层面无法以合理成本评估预期信用损失的充分证据时，本公司参考历史信用损失经验，</w:t>
      </w:r>
      <w:r>
        <w:rPr/>
      </w:r>
    </w:p>
    <w:p>
      <w:pPr>
        <w:pStyle w:val="BodyText"/>
        <w:spacing w:line="273" w:lineRule="auto"/>
        <w:ind w:right="0"/>
        <w:jc w:val="left"/>
      </w:pPr>
      <w:r>
        <w:rPr>
          <w:w w:val="95"/>
        </w:rPr>
        <w:t>结合当前状况以及对未来经济状况的判断，依据信用风险特征将其他应收款划分为若干组合，在组合基础</w:t>
      </w:r>
      <w:r>
        <w:rPr>
          <w:spacing w:val="40"/>
          <w:w w:val="95"/>
        </w:rPr>
        <w:t> </w:t>
      </w:r>
      <w:r>
        <w:rPr>
          <w:spacing w:val="40"/>
          <w:w w:val="95"/>
        </w:rPr>
      </w:r>
      <w:r>
        <w:rPr/>
        <w:t>上计算预期信用损失。确定组合的依据如下：</w:t>
      </w:r>
    </w:p>
    <w:tbl>
      <w:tblPr>
        <w:tblW w:w="0" w:type="auto"/>
        <w:jc w:val="left"/>
        <w:tblInd w:w="106" w:type="dxa"/>
        <w:tblLayout w:type="fixed"/>
        <w:tblCellMar>
          <w:top w:w="0" w:type="dxa"/>
          <w:left w:w="0" w:type="dxa"/>
          <w:bottom w:w="0" w:type="dxa"/>
          <w:right w:w="0" w:type="dxa"/>
        </w:tblCellMar>
        <w:tblLook w:val="01E0"/>
      </w:tblPr>
      <w:tblGrid>
        <w:gridCol w:w="1338"/>
        <w:gridCol w:w="2880"/>
        <w:gridCol w:w="4218"/>
      </w:tblGrid>
      <w:tr>
        <w:trPr>
          <w:trHeight w:val="354" w:hRule="exact"/>
        </w:trPr>
        <w:tc>
          <w:tcPr>
            <w:tcW w:w="1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30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01"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2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7" w:hRule="exact"/>
        </w:trPr>
        <w:tc>
          <w:tcPr>
            <w:tcW w:w="133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88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其他应收合并范围外的往来方</w:t>
            </w:r>
          </w:p>
        </w:tc>
        <w:tc>
          <w:tcPr>
            <w:tcW w:w="4218" w:type="dxa"/>
            <w:tcBorders>
              <w:top w:val="single" w:sz="12"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参考历史信用损失经验，结合当前状况以及对未来经</w:t>
            </w:r>
          </w:p>
        </w:tc>
      </w:tr>
      <w:tr>
        <w:trPr>
          <w:trHeight w:val="312" w:hRule="exact"/>
        </w:trPr>
        <w:tc>
          <w:tcPr>
            <w:tcW w:w="1338"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c>
          <w:tcPr>
            <w:tcW w:w="421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济状况的预测，编制其他应收款账龄与整个存续期预</w:t>
            </w:r>
          </w:p>
        </w:tc>
      </w:tr>
      <w:tr>
        <w:trPr>
          <w:trHeight w:val="337" w:hRule="exact"/>
        </w:trPr>
        <w:tc>
          <w:tcPr>
            <w:tcW w:w="1338" w:type="dxa"/>
            <w:tcBorders>
              <w:top w:val="nil" w:sz="6" w:space="0" w:color="auto"/>
              <w:left w:val="single" w:sz="6" w:space="0" w:color="000000"/>
              <w:bottom w:val="single" w:sz="12" w:space="0" w:color="000000"/>
              <w:right w:val="single" w:sz="6" w:space="0" w:color="000000"/>
            </w:tcBorders>
          </w:tcPr>
          <w:p>
            <w:pPr/>
          </w:p>
        </w:tc>
        <w:tc>
          <w:tcPr>
            <w:tcW w:w="2880" w:type="dxa"/>
            <w:tcBorders>
              <w:top w:val="nil" w:sz="6" w:space="0" w:color="auto"/>
              <w:left w:val="single" w:sz="6" w:space="0" w:color="000000"/>
              <w:bottom w:val="single" w:sz="12" w:space="0" w:color="000000"/>
              <w:right w:val="single" w:sz="6" w:space="0" w:color="000000"/>
            </w:tcBorders>
          </w:tcPr>
          <w:p>
            <w:pPr/>
          </w:p>
        </w:tc>
        <w:tc>
          <w:tcPr>
            <w:tcW w:w="4218"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期信用损失率对照表，计算预期信用损失。</w:t>
            </w:r>
          </w:p>
        </w:tc>
      </w:tr>
      <w:tr>
        <w:trPr>
          <w:trHeight w:val="337" w:hRule="exact"/>
        </w:trPr>
        <w:tc>
          <w:tcPr>
            <w:tcW w:w="133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88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其他应收合并范围内关联方</w:t>
            </w:r>
          </w:p>
        </w:tc>
        <w:tc>
          <w:tcPr>
            <w:tcW w:w="4218" w:type="dxa"/>
            <w:tcBorders>
              <w:top w:val="single" w:sz="12"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参考历史信用损失经验，结合当期状况及对未来经济</w:t>
            </w:r>
          </w:p>
        </w:tc>
      </w:tr>
      <w:tr>
        <w:trPr>
          <w:trHeight w:val="312" w:hRule="exact"/>
        </w:trPr>
        <w:tc>
          <w:tcPr>
            <w:tcW w:w="1338"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c>
          <w:tcPr>
            <w:tcW w:w="4218"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状况的预测，按照整个存续期预期损失率，计算预期</w:t>
            </w:r>
          </w:p>
        </w:tc>
      </w:tr>
      <w:tr>
        <w:trPr>
          <w:trHeight w:val="337" w:hRule="exact"/>
        </w:trPr>
        <w:tc>
          <w:tcPr>
            <w:tcW w:w="1338" w:type="dxa"/>
            <w:tcBorders>
              <w:top w:val="nil" w:sz="6" w:space="0" w:color="auto"/>
              <w:left w:val="single" w:sz="6" w:space="0" w:color="000000"/>
              <w:bottom w:val="single" w:sz="12" w:space="0" w:color="000000"/>
              <w:right w:val="single" w:sz="6" w:space="0" w:color="000000"/>
            </w:tcBorders>
          </w:tcPr>
          <w:p>
            <w:pPr/>
          </w:p>
        </w:tc>
        <w:tc>
          <w:tcPr>
            <w:tcW w:w="2880" w:type="dxa"/>
            <w:tcBorders>
              <w:top w:val="nil" w:sz="6" w:space="0" w:color="auto"/>
              <w:left w:val="single" w:sz="6" w:space="0" w:color="000000"/>
              <w:bottom w:val="single" w:sz="12" w:space="0" w:color="000000"/>
              <w:right w:val="single" w:sz="6" w:space="0" w:color="000000"/>
            </w:tcBorders>
          </w:tcPr>
          <w:p>
            <w:pPr/>
          </w:p>
        </w:tc>
        <w:tc>
          <w:tcPr>
            <w:tcW w:w="4218"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信用损失。</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96"/>
        <w:ind w:right="0"/>
        <w:jc w:val="left"/>
        <w:rPr>
          <w:b w:val="0"/>
          <w:bCs w:val="0"/>
        </w:rPr>
      </w:pPr>
      <w:bookmarkStart w:name="15、存货" w:id="186"/>
      <w:bookmarkEnd w:id="186"/>
      <w:r>
        <w:rPr>
          <w:b w:val="0"/>
          <w:bCs w:val="0"/>
        </w:rPr>
      </w: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存货的分类</w:t>
      </w:r>
      <w:r>
        <w:rPr>
          <w:b w:val="0"/>
          <w:bCs w:val="0"/>
        </w:rPr>
      </w:r>
    </w:p>
    <w:p>
      <w:pPr>
        <w:pStyle w:val="BodyText"/>
        <w:spacing w:line="273" w:lineRule="auto" w:before="37"/>
        <w:ind w:left="472" w:right="1135" w:firstLine="420"/>
        <w:jc w:val="both"/>
      </w:pPr>
      <w:r>
        <w:rPr/>
        <w:t>存货是指本公司在日常活动中持有以备出售的产成品或商品、在制项目成本、在生产过程或提供</w:t>
      </w:r>
      <w:r>
        <w:rPr>
          <w:w w:val="99"/>
        </w:rPr>
        <w:t> </w:t>
      </w:r>
      <w:r>
        <w:rPr/>
        <w:t>劳务过程中耗用的材料和物料等。主要包括在制项目成本、原材料、低值易耗品、库存商品等。</w:t>
      </w:r>
    </w:p>
    <w:p>
      <w:pPr>
        <w:pStyle w:val="Heading6"/>
        <w:spacing w:line="240" w:lineRule="auto" w:before="7"/>
        <w:ind w:right="0"/>
        <w:jc w:val="left"/>
        <w:rPr>
          <w:b w:val="0"/>
          <w:bCs w:val="0"/>
        </w:rPr>
      </w:pPr>
      <w:r>
        <w:rPr/>
        <w:t>存货的计价方法</w:t>
      </w:r>
      <w:r>
        <w:rPr>
          <w:b w:val="0"/>
          <w:bCs w:val="0"/>
        </w:rPr>
      </w:r>
    </w:p>
    <w:p>
      <w:pPr>
        <w:pStyle w:val="BodyText"/>
        <w:spacing w:line="273" w:lineRule="auto" w:before="37"/>
        <w:ind w:left="472" w:right="1135" w:firstLine="420"/>
        <w:jc w:val="both"/>
      </w:pPr>
      <w:r>
        <w:rPr/>
        <w:t>存货在取得时，按成本进行初始计量，包括采购成本、加工成本和其他成本。存货发出时按个别</w:t>
      </w:r>
      <w:r>
        <w:rPr>
          <w:w w:val="99"/>
        </w:rPr>
        <w:t> </w:t>
      </w:r>
      <w:r>
        <w:rPr/>
        <w:t>认定法计价。</w:t>
      </w:r>
    </w:p>
    <w:p>
      <w:pPr>
        <w:spacing w:line="273" w:lineRule="auto" w:before="7"/>
        <w:ind w:left="892" w:right="0" w:hanging="780"/>
        <w:jc w:val="left"/>
        <w:rPr>
          <w:rFonts w:ascii="宋体" w:hAnsi="宋体" w:cs="宋体" w:eastAsia="宋体" w:hint="default"/>
          <w:sz w:val="21"/>
          <w:szCs w:val="21"/>
        </w:rPr>
      </w:pP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w w:val="95"/>
          <w:sz w:val="21"/>
          <w:szCs w:val="21"/>
        </w:rPr>
        <w:t>期末对存货进行全面清查后，按存货的成本与可变现净值孰低提取或调整存货跌价准备。产成品、</w:t>
      </w:r>
      <w:r>
        <w:rPr>
          <w:rFonts w:ascii="宋体" w:hAnsi="宋体" w:cs="宋体" w:eastAsia="宋体" w:hint="default"/>
          <w:spacing w:val="-1"/>
          <w:sz w:val="21"/>
          <w:szCs w:val="21"/>
        </w:rPr>
      </w:r>
    </w:p>
    <w:p>
      <w:pPr>
        <w:pStyle w:val="BodyText"/>
        <w:spacing w:line="273" w:lineRule="auto"/>
        <w:ind w:left="472" w:right="1135"/>
        <w:jc w:val="both"/>
      </w:pPr>
      <w:r>
        <w:rPr/>
        <w:t>库存商品和用于出售的材料等直接用于出售的商品存货，在正常生产经营过程中，以该存货的估计售</w:t>
      </w:r>
      <w:r>
        <w:rPr>
          <w:spacing w:val="-82"/>
        </w:rPr>
        <w:t> </w:t>
      </w:r>
      <w:r>
        <w:rPr>
          <w:spacing w:val="-82"/>
        </w:rPr>
      </w:r>
      <w:r>
        <w:rPr/>
        <w:t>价减去估计的销售费用和相关税费后的金额，确定其可变现净值；需要经过加工的材料存货，在正常</w:t>
      </w:r>
      <w:r>
        <w:rPr>
          <w:spacing w:val="-82"/>
        </w:rPr>
        <w:t> </w:t>
      </w:r>
      <w:r>
        <w:rPr>
          <w:spacing w:val="-82"/>
        </w:rPr>
      </w:r>
      <w:r>
        <w:rPr/>
        <w:t>生产经营过程中，以所生产的产成品的估计售价减去至完工时估计将要发生的成本、估计的销售费用</w:t>
      </w:r>
      <w:r>
        <w:rPr>
          <w:spacing w:val="-82"/>
        </w:rPr>
        <w:t> </w:t>
      </w:r>
      <w:r>
        <w:rPr>
          <w:spacing w:val="-82"/>
        </w:rPr>
      </w:r>
      <w:r>
        <w:rPr/>
        <w:t>和相关税费后的金额，确定其可变现净值；为执行销售合同或者劳务合同而持有的存货，其可变现净</w:t>
      </w:r>
      <w:r>
        <w:rPr>
          <w:spacing w:val="-82"/>
        </w:rPr>
        <w:t> </w:t>
      </w:r>
      <w:r>
        <w:rPr>
          <w:spacing w:val="-82"/>
        </w:rPr>
      </w:r>
      <w:r>
        <w:rPr/>
        <w:t>值以合同价格为基础计算，若持有存货的数量多于销售合同订购数量的，超出部分的存货的可变现净</w:t>
      </w:r>
      <w:r>
        <w:rPr>
          <w:spacing w:val="-82"/>
        </w:rPr>
        <w:t> </w:t>
      </w:r>
      <w:r>
        <w:rPr>
          <w:spacing w:val="-82"/>
        </w:rPr>
      </w:r>
      <w:r>
        <w:rPr/>
        <w:t>值以一般销售价格为基础计算。</w:t>
      </w:r>
    </w:p>
    <w:p>
      <w:pPr>
        <w:pStyle w:val="BodyText"/>
        <w:spacing w:line="273" w:lineRule="auto" w:before="8"/>
        <w:ind w:left="472" w:right="1135" w:firstLine="420"/>
        <w:jc w:val="both"/>
      </w:pPr>
      <w:r>
        <w:rPr/>
        <w:t>期末按照单个存货项目计提存货跌价准备；但对于数量繁多、单价较低的存货，按照存货类别计</w:t>
      </w:r>
      <w:r>
        <w:rPr>
          <w:w w:val="99"/>
        </w:rPr>
        <w:t> </w:t>
      </w:r>
      <w:r>
        <w:rPr/>
        <w:t>提存货跌价准备；与在同一地区生产和销售的产品系列相关、具有相同或类似最终用途或目的，且难</w:t>
      </w:r>
      <w:r>
        <w:rPr>
          <w:spacing w:val="-82"/>
        </w:rPr>
        <w:t> </w:t>
      </w:r>
      <w:r>
        <w:rPr>
          <w:spacing w:val="-82"/>
        </w:rPr>
      </w:r>
      <w:r>
        <w:rPr/>
        <w:t>以与其他项目分开计量的存货，则合并计提存货跌价准备。</w:t>
      </w:r>
    </w:p>
    <w:p>
      <w:pPr>
        <w:pStyle w:val="BodyText"/>
        <w:spacing w:line="273" w:lineRule="auto"/>
        <w:ind w:left="472" w:right="1135" w:firstLine="420"/>
        <w:jc w:val="both"/>
      </w:pPr>
      <w:r>
        <w:rPr/>
        <w:t>以前减记存货价值的影响因素已经消失的，减记的金额予以恢复，并在原已计提的存货跌价准备</w:t>
      </w:r>
      <w:r>
        <w:rPr>
          <w:w w:val="99"/>
        </w:rPr>
        <w:t> </w:t>
      </w:r>
      <w:r>
        <w:rPr/>
        <w:t>金额内转回，转回的金额计入当期损益。</w:t>
      </w:r>
    </w:p>
    <w:p>
      <w:pPr>
        <w:pStyle w:val="Heading6"/>
        <w:spacing w:line="240" w:lineRule="auto" w:before="8"/>
        <w:ind w:right="0"/>
        <w:jc w:val="left"/>
        <w:rPr>
          <w:b w:val="0"/>
          <w:bCs w:val="0"/>
        </w:rPr>
      </w:pPr>
      <w:r>
        <w:rPr/>
        <w:t>存货的盘存制度</w:t>
      </w:r>
      <w:r>
        <w:rPr>
          <w:b w:val="0"/>
          <w:bCs w:val="0"/>
        </w:rPr>
      </w:r>
    </w:p>
    <w:p>
      <w:pPr>
        <w:spacing w:line="273" w:lineRule="auto" w:before="37"/>
        <w:ind w:left="112" w:right="7802" w:firstLine="780"/>
        <w:jc w:val="left"/>
        <w:rPr>
          <w:rFonts w:ascii="宋体" w:hAnsi="宋体" w:cs="宋体" w:eastAsia="宋体" w:hint="default"/>
          <w:sz w:val="21"/>
          <w:szCs w:val="21"/>
        </w:rPr>
      </w:pPr>
      <w:r>
        <w:rPr>
          <w:rFonts w:ascii="宋体" w:hAnsi="宋体" w:cs="宋体" w:eastAsia="宋体" w:hint="default"/>
          <w:sz w:val="21"/>
          <w:szCs w:val="21"/>
        </w:rPr>
        <w:t>采用永续盘存制</w:t>
      </w:r>
      <w:r>
        <w:rPr>
          <w:rFonts w:ascii="宋体" w:hAnsi="宋体" w:cs="宋体" w:eastAsia="宋体" w:hint="default"/>
          <w:w w:val="99"/>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ind w:left="532" w:right="0"/>
        <w:jc w:val="left"/>
      </w:pPr>
      <w:r>
        <w:rPr/>
        <w:t>低值易耗品采用一次转销法；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0"/>
        <w:jc w:val="left"/>
        <w:rPr>
          <w:b w:val="0"/>
          <w:bCs w:val="0"/>
        </w:rPr>
      </w:pPr>
      <w:bookmarkStart w:name="16、合同资产" w:id="187"/>
      <w:bookmarkEnd w:id="187"/>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7、合同成本" w:id="188"/>
      <w:bookmarkEnd w:id="188"/>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8、持有待售资产" w:id="189"/>
      <w:bookmarkEnd w:id="189"/>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spacing w:line="273" w:lineRule="auto" w:before="0"/>
        <w:ind w:left="532" w:right="2654" w:hanging="420"/>
        <w:jc w:val="left"/>
        <w:rPr>
          <w:rFonts w:ascii="宋体" w:hAnsi="宋体" w:cs="宋体" w:eastAsia="宋体" w:hint="default"/>
          <w:sz w:val="21"/>
          <w:szCs w:val="21"/>
        </w:rPr>
      </w:pPr>
      <w:r>
        <w:rPr>
          <w:rFonts w:ascii="宋体" w:hAnsi="宋体" w:cs="宋体" w:eastAsia="宋体" w:hint="default"/>
          <w:b/>
          <w:bCs/>
          <w:sz w:val="21"/>
          <w:szCs w:val="21"/>
        </w:rPr>
        <w:t>1.划分为持有待售确认标准</w:t>
      </w:r>
      <w:r>
        <w:rPr>
          <w:rFonts w:ascii="宋体" w:hAnsi="宋体" w:cs="宋体" w:eastAsia="宋体" w:hint="default"/>
          <w:b/>
          <w:bCs/>
          <w:w w:val="99"/>
          <w:sz w:val="21"/>
          <w:szCs w:val="21"/>
        </w:rPr>
        <w:t> </w:t>
      </w:r>
      <w:r>
        <w:rPr>
          <w:rFonts w:ascii="宋体" w:hAnsi="宋体" w:cs="宋体" w:eastAsia="宋体" w:hint="default"/>
          <w:w w:val="95"/>
          <w:sz w:val="21"/>
          <w:szCs w:val="21"/>
        </w:rPr>
        <w:t>本公司将同时满足下列条件的非流动资产或处置组确认为持有待售组成部分：</w:t>
      </w:r>
      <w:r>
        <w:rPr>
          <w:rFonts w:ascii="宋体" w:hAnsi="宋体" w:cs="宋体" w:eastAsia="宋体" w:hint="default"/>
          <w:sz w:val="21"/>
          <w:szCs w:val="21"/>
        </w:rPr>
      </w:r>
    </w:p>
    <w:p>
      <w:pPr>
        <w:pStyle w:val="BodyText"/>
        <w:spacing w:line="240" w:lineRule="auto"/>
        <w:ind w:left="532" w:right="0"/>
        <w:jc w:val="left"/>
      </w:pPr>
      <w:r>
        <w:rPr/>
        <w:t>（1）根据类似交易中出售此类资产或处置组的惯例，在当前状况下即可立即出售；</w:t>
      </w:r>
    </w:p>
    <w:p>
      <w:pPr>
        <w:pStyle w:val="BodyText"/>
        <w:spacing w:line="273" w:lineRule="auto" w:before="37"/>
        <w:ind w:right="0" w:firstLine="420"/>
        <w:jc w:val="left"/>
      </w:pPr>
      <w:r>
        <w:rPr>
          <w:spacing w:val="2"/>
          <w:w w:val="95"/>
        </w:rPr>
        <w:t>（2）出售极可能发生，即本公司已经就一项出售计划作出决议，且获得确定的购买承诺，预计出售</w:t>
      </w:r>
      <w:r>
        <w:rPr>
          <w:spacing w:val="-84"/>
          <w:w w:val="95"/>
        </w:rPr>
        <w:t> </w:t>
      </w:r>
      <w:r>
        <w:rPr>
          <w:spacing w:val="-84"/>
          <w:w w:val="95"/>
        </w:rPr>
      </w:r>
      <w:r>
        <w:rPr/>
        <w:t>将在一年内完成。</w:t>
      </w:r>
    </w:p>
    <w:p>
      <w:pPr>
        <w:pStyle w:val="BodyText"/>
        <w:spacing w:line="273" w:lineRule="auto"/>
        <w:ind w:right="1185" w:firstLine="420"/>
        <w:jc w:val="left"/>
        <w:rPr>
          <w:rFonts w:ascii="宋体" w:hAnsi="宋体" w:cs="宋体" w:eastAsia="宋体" w:hint="default"/>
        </w:rPr>
      </w:pPr>
      <w:r>
        <w:rPr>
          <w:w w:val="95"/>
        </w:rPr>
        <w:t>确定的购买承诺，是指本公司与其他方签订的具有法律约束力的购买协议，该协议包含交易价格、时</w:t>
      </w:r>
      <w:r>
        <w:rPr>
          <w:spacing w:val="-97"/>
          <w:w w:val="95"/>
        </w:rPr>
        <w:t> </w:t>
      </w:r>
      <w:r>
        <w:rPr>
          <w:spacing w:val="-97"/>
          <w:w w:val="95"/>
        </w:rPr>
      </w:r>
      <w:r>
        <w:rPr/>
        <w:t>间和足够严厉的违约惩罚等重要条款，使协议出现重大调整或者撤销的可能性极小。</w:t>
      </w:r>
      <w:r>
        <w:rPr>
          <w:w w:val="99"/>
        </w:rPr>
        <w:t> </w:t>
      </w:r>
      <w:r>
        <w:rPr>
          <w:rFonts w:ascii="宋体" w:hAnsi="宋体" w:cs="宋体" w:eastAsia="宋体" w:hint="default"/>
          <w:b/>
          <w:bCs/>
        </w:rPr>
        <w:t>2.持有待售核算方法</w:t>
      </w:r>
      <w:r>
        <w:rPr>
          <w:rFonts w:ascii="宋体" w:hAnsi="宋体" w:cs="宋体" w:eastAsia="宋体" w:hint="default"/>
        </w:rPr>
      </w:r>
    </w:p>
    <w:p>
      <w:pPr>
        <w:spacing w:after="0" w:line="273" w:lineRule="auto"/>
        <w:jc w:val="left"/>
        <w:rPr>
          <w:rFonts w:ascii="宋体" w:hAnsi="宋体" w:cs="宋体" w:eastAsia="宋体" w:hint="default"/>
        </w:rPr>
        <w:sectPr>
          <w:pgSz w:w="11910" w:h="16840"/>
          <w:pgMar w:header="907" w:footer="1016" w:top="1100" w:bottom="1200" w:left="1020" w:right="0"/>
        </w:sectPr>
      </w:pPr>
    </w:p>
    <w:p>
      <w:pPr>
        <w:spacing w:line="240" w:lineRule="auto" w:before="10"/>
        <w:rPr>
          <w:rFonts w:ascii="宋体" w:hAnsi="宋体" w:cs="宋体" w:eastAsia="宋体" w:hint="default"/>
          <w:b/>
          <w:bCs/>
          <w:sz w:val="21"/>
          <w:szCs w:val="21"/>
        </w:rPr>
      </w:pPr>
    </w:p>
    <w:p>
      <w:pPr>
        <w:pStyle w:val="BodyText"/>
        <w:spacing w:line="273" w:lineRule="auto" w:before="34"/>
        <w:ind w:right="1130" w:firstLine="420"/>
        <w:jc w:val="both"/>
      </w:pPr>
      <w:r>
        <w:rPr>
          <w:w w:val="95"/>
        </w:rPr>
        <w:t>对于持有待售的非流动资产或处置组不计提折旧或摊销，其账面价值高于公允价值减去出售费用后的</w:t>
      </w:r>
      <w:r>
        <w:rPr>
          <w:w w:val="99"/>
        </w:rPr>
        <w:t> </w:t>
      </w:r>
      <w:r>
        <w:rPr>
          <w:w w:val="95"/>
        </w:rPr>
        <w:t>净额的，应当将账面价值减记至公允价值减去出售费用后的净额，减记的金额确认为资产减值损失，计入</w:t>
      </w:r>
      <w:r>
        <w:rPr>
          <w:spacing w:val="43"/>
          <w:w w:val="95"/>
        </w:rPr>
        <w:t> </w:t>
      </w:r>
      <w:r>
        <w:rPr>
          <w:spacing w:val="43"/>
          <w:w w:val="95"/>
        </w:rPr>
      </w:r>
      <w:r>
        <w:rPr/>
        <w:t>当期损益，同时计提持有待售资产减值准备。</w:t>
      </w:r>
    </w:p>
    <w:p>
      <w:pPr>
        <w:pStyle w:val="BodyText"/>
        <w:spacing w:line="273" w:lineRule="auto"/>
        <w:ind w:right="1132" w:firstLine="420"/>
        <w:jc w:val="both"/>
      </w:pPr>
      <w:r>
        <w:rPr>
          <w:w w:val="95"/>
        </w:rPr>
        <w:t>对于取得日划分为持有待售类别的非流动资产或处置组，在初始计量时比较假定其不划分为持有待售</w:t>
      </w:r>
      <w:r>
        <w:rPr>
          <w:w w:val="99"/>
        </w:rPr>
        <w:t> </w:t>
      </w:r>
      <w:r>
        <w:rPr/>
        <w:t>类别情况下的初始计量金额和公允价值减去出售费用后的净额，以两者孰低计量。</w:t>
      </w:r>
    </w:p>
    <w:p>
      <w:pPr>
        <w:pStyle w:val="BodyText"/>
        <w:spacing w:line="273" w:lineRule="auto"/>
        <w:ind w:right="1132" w:firstLine="420"/>
        <w:jc w:val="both"/>
      </w:pPr>
      <w:r>
        <w:rPr>
          <w:w w:val="95"/>
        </w:rPr>
        <w:t>上述原则适用于所有非流动资产，但不包括采用公允价值模式进行后续计量的投资性房地产、采用公</w:t>
      </w:r>
      <w:r>
        <w:rPr>
          <w:w w:val="99"/>
        </w:rPr>
        <w:t> </w:t>
      </w:r>
      <w:r>
        <w:rPr>
          <w:w w:val="95"/>
        </w:rPr>
        <w:t>允价值减去出售费用后的净额计量的生物资产、职工薪酬形成的资产、递延所得税资产、由金融工具相关</w:t>
      </w:r>
      <w:r>
        <w:rPr>
          <w:spacing w:val="40"/>
          <w:w w:val="95"/>
        </w:rPr>
        <w:t> </w:t>
      </w:r>
      <w:r>
        <w:rPr>
          <w:spacing w:val="40"/>
          <w:w w:val="95"/>
        </w:rPr>
      </w:r>
      <w:r>
        <w:rPr/>
        <w:t>会计准则规范的金融资产、由保险合同相关会计准则规范的保险合同所产生的权利。</w:t>
      </w: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bookmarkStart w:name="19、债权投资" w:id="190"/>
      <w:bookmarkEnd w:id="190"/>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20、其他债权投资" w:id="191"/>
      <w:bookmarkEnd w:id="191"/>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1、长期应收款" w:id="192"/>
      <w:bookmarkEnd w:id="192"/>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532" w:right="0"/>
        <w:jc w:val="left"/>
      </w:pPr>
      <w:r>
        <w:rPr/>
        <w:t>本公司对其他债权投资的预期信用损失的确定方法及会计处理方法详见本附注五.注释10</w:t>
      </w:r>
      <w:r>
        <w:rPr>
          <w:rFonts w:ascii="Times New Roman" w:hAnsi="Times New Roman" w:cs="Times New Roman" w:eastAsia="Times New Roman" w:hint="default"/>
        </w:rPr>
        <w:t>.</w:t>
      </w:r>
      <w:r>
        <w:rPr/>
        <w:t>金融工具减</w:t>
      </w:r>
    </w:p>
    <w:p>
      <w:pPr>
        <w:pStyle w:val="BodyText"/>
        <w:spacing w:line="240" w:lineRule="auto" w:before="21"/>
        <w:ind w:right="0"/>
        <w:jc w:val="left"/>
      </w:pPr>
      <w:r>
        <w:rPr/>
        <w:t>值。</w:t>
      </w:r>
    </w:p>
    <w:p>
      <w:pPr>
        <w:pStyle w:val="BodyText"/>
        <w:spacing w:line="240" w:lineRule="auto" w:before="37"/>
        <w:ind w:left="532" w:right="0"/>
        <w:jc w:val="left"/>
      </w:pPr>
      <w:r>
        <w:rPr/>
        <w:t>本公司对单项金额重大且在初始确认后已经发生信用减值、在单项工具层面能以合理成本评估预期信</w:t>
      </w:r>
    </w:p>
    <w:p>
      <w:pPr>
        <w:pStyle w:val="BodyText"/>
        <w:spacing w:line="273" w:lineRule="auto" w:before="37"/>
        <w:ind w:left="532" w:right="0" w:hanging="420"/>
        <w:jc w:val="left"/>
      </w:pPr>
      <w:r>
        <w:rPr/>
        <w:t>用损失的充分证据的长期应收款单独确定其信用损失。</w:t>
      </w:r>
      <w:r>
        <w:rPr>
          <w:w w:val="99"/>
        </w:rPr>
        <w:t> </w:t>
      </w:r>
      <w:r>
        <w:rPr>
          <w:w w:val="95"/>
        </w:rPr>
        <w:t>当在单项工具层面无法以合理成本评估预期信用损失的充分证据时，本公司参考历史信用损失经验，</w:t>
      </w:r>
      <w:r>
        <w:rPr/>
      </w:r>
    </w:p>
    <w:p>
      <w:pPr>
        <w:pStyle w:val="BodyText"/>
        <w:spacing w:line="273" w:lineRule="auto"/>
        <w:ind w:right="0"/>
        <w:jc w:val="left"/>
      </w:pPr>
      <w:r>
        <w:rPr>
          <w:w w:val="95"/>
        </w:rPr>
        <w:t>结合当前状况以及对未来经济状况的判断，依据信用风险特征将长期应收款划分为若干组合，在组合基础</w:t>
      </w:r>
      <w:r>
        <w:rPr>
          <w:spacing w:val="40"/>
          <w:w w:val="95"/>
        </w:rPr>
        <w:t> </w:t>
      </w:r>
      <w:r>
        <w:rPr>
          <w:spacing w:val="40"/>
          <w:w w:val="95"/>
        </w:rPr>
      </w:r>
      <w:r>
        <w:rPr/>
        <w:t>上计算预期信用损失。确定组合的依据如下：</w:t>
      </w:r>
    </w:p>
    <w:tbl>
      <w:tblPr>
        <w:tblW w:w="0" w:type="auto"/>
        <w:jc w:val="left"/>
        <w:tblInd w:w="106" w:type="dxa"/>
        <w:tblLayout w:type="fixed"/>
        <w:tblCellMar>
          <w:top w:w="0" w:type="dxa"/>
          <w:left w:w="0" w:type="dxa"/>
          <w:bottom w:w="0" w:type="dxa"/>
          <w:right w:w="0" w:type="dxa"/>
        </w:tblCellMar>
        <w:tblLook w:val="01E0"/>
      </w:tblPr>
      <w:tblGrid>
        <w:gridCol w:w="1304"/>
        <w:gridCol w:w="2807"/>
        <w:gridCol w:w="4111"/>
      </w:tblGrid>
      <w:tr>
        <w:trPr>
          <w:trHeight w:val="354" w:hRule="exact"/>
        </w:trPr>
        <w:tc>
          <w:tcPr>
            <w:tcW w:w="1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28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8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76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1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4"/>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7" w:hRule="exact"/>
        </w:trPr>
        <w:tc>
          <w:tcPr>
            <w:tcW w:w="130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280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长期应收合并范围外的其他客户</w:t>
            </w:r>
          </w:p>
        </w:tc>
        <w:tc>
          <w:tcPr>
            <w:tcW w:w="4111" w:type="dxa"/>
            <w:tcBorders>
              <w:top w:val="single" w:sz="12" w:space="0" w:color="000000"/>
              <w:left w:val="single" w:sz="6" w:space="0" w:color="000000"/>
              <w:bottom w:val="nil" w:sz="6" w:space="0" w:color="auto"/>
              <w:right w:val="nil" w:sz="6" w:space="0" w:color="auto"/>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w:t>
            </w:r>
          </w:p>
        </w:tc>
      </w:tr>
      <w:tr>
        <w:trPr>
          <w:trHeight w:val="312" w:hRule="exact"/>
        </w:trPr>
        <w:tc>
          <w:tcPr>
            <w:tcW w:w="1304" w:type="dxa"/>
            <w:tcBorders>
              <w:top w:val="nil" w:sz="6" w:space="0" w:color="auto"/>
              <w:left w:val="single" w:sz="6" w:space="0" w:color="000000"/>
              <w:bottom w:val="nil" w:sz="6" w:space="0" w:color="auto"/>
              <w:right w:val="single" w:sz="6" w:space="0" w:color="000000"/>
            </w:tcBorders>
          </w:tcPr>
          <w:p>
            <w:pPr/>
          </w:p>
        </w:tc>
        <w:tc>
          <w:tcPr>
            <w:tcW w:w="2807" w:type="dxa"/>
            <w:tcBorders>
              <w:top w:val="nil" w:sz="6" w:space="0" w:color="auto"/>
              <w:left w:val="single" w:sz="6" w:space="0" w:color="000000"/>
              <w:bottom w:val="nil" w:sz="6" w:space="0" w:color="auto"/>
              <w:right w:val="single" w:sz="6" w:space="0" w:color="000000"/>
            </w:tcBorders>
          </w:tcPr>
          <w:p>
            <w:pPr/>
          </w:p>
        </w:tc>
        <w:tc>
          <w:tcPr>
            <w:tcW w:w="411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济状况的预测，编制应收账款账龄与整个存续期预期</w:t>
            </w:r>
          </w:p>
        </w:tc>
      </w:tr>
      <w:tr>
        <w:trPr>
          <w:trHeight w:val="337" w:hRule="exact"/>
        </w:trPr>
        <w:tc>
          <w:tcPr>
            <w:tcW w:w="1304" w:type="dxa"/>
            <w:tcBorders>
              <w:top w:val="nil" w:sz="6" w:space="0" w:color="auto"/>
              <w:left w:val="single" w:sz="6" w:space="0" w:color="000000"/>
              <w:bottom w:val="single" w:sz="12" w:space="0" w:color="000000"/>
              <w:right w:val="single" w:sz="6" w:space="0" w:color="000000"/>
            </w:tcBorders>
          </w:tcPr>
          <w:p>
            <w:pPr/>
          </w:p>
        </w:tc>
        <w:tc>
          <w:tcPr>
            <w:tcW w:w="2807" w:type="dxa"/>
            <w:tcBorders>
              <w:top w:val="nil" w:sz="6" w:space="0" w:color="auto"/>
              <w:left w:val="single" w:sz="6" w:space="0" w:color="000000"/>
              <w:bottom w:val="single" w:sz="12" w:space="0" w:color="000000"/>
              <w:right w:val="single" w:sz="6" w:space="0" w:color="000000"/>
            </w:tcBorders>
          </w:tcPr>
          <w:p>
            <w:pPr/>
          </w:p>
        </w:tc>
        <w:tc>
          <w:tcPr>
            <w:tcW w:w="4111"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信用损失率对照表，计算预期信用损失。</w:t>
            </w:r>
          </w:p>
        </w:tc>
      </w:tr>
      <w:tr>
        <w:trPr>
          <w:trHeight w:val="337" w:hRule="exact"/>
        </w:trPr>
        <w:tc>
          <w:tcPr>
            <w:tcW w:w="130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280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长期应收合并范围内关联方</w:t>
            </w:r>
          </w:p>
        </w:tc>
        <w:tc>
          <w:tcPr>
            <w:tcW w:w="4111" w:type="dxa"/>
            <w:tcBorders>
              <w:top w:val="single" w:sz="12" w:space="0" w:color="000000"/>
              <w:left w:val="single" w:sz="6" w:space="0" w:color="000000"/>
              <w:bottom w:val="nil" w:sz="6" w:space="0" w:color="auto"/>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参考历史信用损失经验，结合当期状况及对未来经济</w:t>
            </w:r>
          </w:p>
        </w:tc>
      </w:tr>
      <w:tr>
        <w:trPr>
          <w:trHeight w:val="312" w:hRule="exact"/>
        </w:trPr>
        <w:tc>
          <w:tcPr>
            <w:tcW w:w="1304" w:type="dxa"/>
            <w:tcBorders>
              <w:top w:val="nil" w:sz="6" w:space="0" w:color="auto"/>
              <w:left w:val="single" w:sz="6" w:space="0" w:color="000000"/>
              <w:bottom w:val="nil" w:sz="6" w:space="0" w:color="auto"/>
              <w:right w:val="single" w:sz="6" w:space="0" w:color="000000"/>
            </w:tcBorders>
          </w:tcPr>
          <w:p>
            <w:pPr/>
          </w:p>
        </w:tc>
        <w:tc>
          <w:tcPr>
            <w:tcW w:w="2807" w:type="dxa"/>
            <w:tcBorders>
              <w:top w:val="nil" w:sz="6" w:space="0" w:color="auto"/>
              <w:left w:val="single" w:sz="6" w:space="0" w:color="000000"/>
              <w:bottom w:val="nil" w:sz="6" w:space="0" w:color="auto"/>
              <w:right w:val="single" w:sz="6" w:space="0" w:color="000000"/>
            </w:tcBorders>
          </w:tcPr>
          <w:p>
            <w:pPr/>
          </w:p>
        </w:tc>
        <w:tc>
          <w:tcPr>
            <w:tcW w:w="411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状况的预测，按照整个存续期预期损失率，计算预期</w:t>
            </w:r>
          </w:p>
        </w:tc>
      </w:tr>
      <w:tr>
        <w:trPr>
          <w:trHeight w:val="337" w:hRule="exact"/>
        </w:trPr>
        <w:tc>
          <w:tcPr>
            <w:tcW w:w="1304" w:type="dxa"/>
            <w:tcBorders>
              <w:top w:val="nil" w:sz="6" w:space="0" w:color="auto"/>
              <w:left w:val="single" w:sz="6" w:space="0" w:color="000000"/>
              <w:bottom w:val="single" w:sz="12" w:space="0" w:color="000000"/>
              <w:right w:val="single" w:sz="6" w:space="0" w:color="000000"/>
            </w:tcBorders>
          </w:tcPr>
          <w:p>
            <w:pPr/>
          </w:p>
        </w:tc>
        <w:tc>
          <w:tcPr>
            <w:tcW w:w="2807" w:type="dxa"/>
            <w:tcBorders>
              <w:top w:val="nil" w:sz="6" w:space="0" w:color="auto"/>
              <w:left w:val="single" w:sz="6" w:space="0" w:color="000000"/>
              <w:bottom w:val="single" w:sz="12" w:space="0" w:color="000000"/>
              <w:right w:val="single" w:sz="6" w:space="0" w:color="000000"/>
            </w:tcBorders>
          </w:tcPr>
          <w:p>
            <w:pPr/>
          </w:p>
        </w:tc>
        <w:tc>
          <w:tcPr>
            <w:tcW w:w="4111"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信用损失。</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6"/>
        <w:spacing w:line="240" w:lineRule="auto" w:before="34"/>
        <w:ind w:right="0"/>
        <w:jc w:val="left"/>
        <w:rPr>
          <w:b w:val="0"/>
          <w:bCs w:val="0"/>
        </w:rPr>
      </w:pPr>
      <w:bookmarkStart w:name="22、长期股权投资" w:id="193"/>
      <w:bookmarkEnd w:id="193"/>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890" w:right="0"/>
        <w:jc w:val="left"/>
        <w:rPr>
          <w:b w:val="0"/>
          <w:bCs w:val="0"/>
        </w:rPr>
      </w:pPr>
      <w:r>
        <w:rPr/>
        <w:t>初始投资成本的确定</w:t>
      </w:r>
      <w:r>
        <w:rPr>
          <w:b w:val="0"/>
          <w:bCs w:val="0"/>
        </w:rPr>
      </w:r>
    </w:p>
    <w:p>
      <w:pPr>
        <w:pStyle w:val="BodyText"/>
        <w:spacing w:line="273" w:lineRule="auto" w:before="37"/>
        <w:ind w:left="472" w:right="0" w:firstLine="420"/>
        <w:jc w:val="left"/>
      </w:pPr>
      <w:r>
        <w:rPr>
          <w:spacing w:val="-1"/>
          <w:w w:val="95"/>
        </w:rPr>
        <w:t>（1）企业合并形成的长期股权投资，具体会计政策详见本附注四／（五）同一控制下和非同一控</w:t>
      </w:r>
      <w:r>
        <w:rPr>
          <w:w w:val="99"/>
        </w:rPr>
        <w:t> </w:t>
      </w:r>
      <w:r>
        <w:rPr/>
        <w:t>制下企业合并的会计处理方法</w:t>
      </w:r>
    </w:p>
    <w:p>
      <w:pPr>
        <w:pStyle w:val="BodyText"/>
        <w:spacing w:line="273" w:lineRule="auto"/>
        <w:ind w:left="892" w:right="0"/>
        <w:jc w:val="left"/>
      </w:pPr>
      <w:r>
        <w:rPr/>
        <w:t>（2）其他方式取得的长期股权投资</w:t>
      </w:r>
      <w:r>
        <w:rPr>
          <w:w w:val="99"/>
        </w:rPr>
        <w:t> </w:t>
      </w:r>
      <w:r>
        <w:rPr/>
        <w:t>以支付现金方式取得的长期股权投资，按照实际支付的购买价款作为初始投资成本。初始投资成</w:t>
      </w:r>
    </w:p>
    <w:p>
      <w:pPr>
        <w:pStyle w:val="BodyText"/>
        <w:spacing w:line="273" w:lineRule="auto"/>
        <w:ind w:left="892" w:right="0" w:hanging="420"/>
        <w:jc w:val="left"/>
      </w:pPr>
      <w:r>
        <w:rPr/>
        <w:t>本包括与取得长期股权投资直接相关的费用、税金及其他必要支出。</w:t>
      </w:r>
      <w:r>
        <w:rPr>
          <w:w w:val="99"/>
        </w:rPr>
        <w:t> </w:t>
      </w:r>
      <w:r>
        <w:rPr/>
        <w:t>以发行权益性证券取得的长期股权投资，按照发行权益性证券的公允价值作为初始投资成本；发</w:t>
      </w:r>
    </w:p>
    <w:p>
      <w:pPr>
        <w:pStyle w:val="BodyText"/>
        <w:spacing w:line="273" w:lineRule="auto"/>
        <w:ind w:left="892" w:right="0" w:hanging="420"/>
        <w:jc w:val="left"/>
      </w:pPr>
      <w:r>
        <w:rPr/>
        <w:t>行或取得自身权益工具时发生的交易费用，可直接归属于权益性交易的从权益中扣减。</w:t>
      </w:r>
      <w:r>
        <w:rPr>
          <w:w w:val="99"/>
        </w:rPr>
        <w:t> </w:t>
      </w:r>
      <w:r>
        <w:rPr/>
        <w:t>在非货币性资产交换具备商业实质和换入资产或换出资产的公允价值能够可靠计量的前提下，非</w:t>
      </w:r>
    </w:p>
    <w:p>
      <w:pPr>
        <w:pStyle w:val="BodyText"/>
        <w:spacing w:line="273" w:lineRule="auto"/>
        <w:ind w:left="472" w:right="0"/>
        <w:jc w:val="left"/>
      </w:pPr>
      <w:r>
        <w:rPr/>
        <w:t>货币性资产交换换入的长期股权投资以换出资产的公允价值为基础确定其初始投资成本，除非有确凿</w:t>
      </w:r>
      <w:r>
        <w:rPr>
          <w:spacing w:val="-82"/>
        </w:rPr>
        <w:t> </w:t>
      </w:r>
      <w:r>
        <w:rPr>
          <w:spacing w:val="-82"/>
        </w:rPr>
      </w:r>
      <w:r>
        <w:rPr/>
        <w:t>证据表明换入资产的公允价值更加可靠；不满足上述前提的非货币性资产交换，以换出资产的账面价</w:t>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892" w:right="1185" w:hanging="420"/>
        <w:jc w:val="left"/>
        <w:rPr>
          <w:rFonts w:ascii="宋体" w:hAnsi="宋体" w:cs="宋体" w:eastAsia="宋体" w:hint="default"/>
        </w:rPr>
      </w:pPr>
      <w:r>
        <w:rPr/>
        <w:t>值和应支付的相关税费作为换入长期股权投资的初始投资成本。</w:t>
      </w:r>
      <w:r>
        <w:rPr>
          <w:w w:val="99"/>
        </w:rPr>
        <w:t> </w:t>
      </w:r>
      <w:r>
        <w:rPr>
          <w:w w:val="95"/>
        </w:rPr>
        <w:t>通过债务重组取得的长期股权投资，其初始投资成本按照公允价值为基础确定。</w:t>
      </w:r>
      <w:r>
        <w:rPr>
          <w:w w:val="99"/>
        </w:rPr>
        <w:t> </w:t>
      </w:r>
      <w:r>
        <w:rPr>
          <w:rFonts w:ascii="宋体" w:hAnsi="宋体" w:cs="宋体" w:eastAsia="宋体" w:hint="default"/>
          <w:b/>
          <w:bCs/>
        </w:rPr>
        <w:t>后续计量及损益确认</w:t>
      </w:r>
      <w:r>
        <w:rPr>
          <w:rFonts w:ascii="宋体" w:hAnsi="宋体" w:cs="宋体" w:eastAsia="宋体" w:hint="default"/>
        </w:rPr>
      </w:r>
    </w:p>
    <w:p>
      <w:pPr>
        <w:pStyle w:val="BodyText"/>
        <w:spacing w:line="273" w:lineRule="auto"/>
        <w:ind w:left="892" w:right="1120"/>
        <w:jc w:val="left"/>
      </w:pPr>
      <w:r>
        <w:rPr/>
        <w:t>（1）成本法</w:t>
      </w:r>
      <w:r>
        <w:rPr>
          <w:w w:val="99"/>
        </w:rPr>
        <w:t> </w:t>
      </w:r>
      <w:r>
        <w:rPr/>
        <w:t>本公司能够对被投资单位实施控制的长期股权投资采用成本法核算，并按照初始投资成本计价，</w:t>
      </w:r>
    </w:p>
    <w:p>
      <w:pPr>
        <w:pStyle w:val="BodyText"/>
        <w:spacing w:line="273" w:lineRule="auto"/>
        <w:ind w:left="892" w:right="0" w:hanging="420"/>
        <w:jc w:val="left"/>
      </w:pPr>
      <w:r>
        <w:rPr/>
        <w:t>追加或收回投资调整长期股权投资的成本。</w:t>
      </w:r>
      <w:r>
        <w:rPr>
          <w:w w:val="99"/>
        </w:rPr>
        <w:t> </w:t>
      </w:r>
      <w:r>
        <w:rPr/>
        <w:t>除取得投资时实际支付的价款或对价中包含的已宣告但尚未发放的现金股利或利润外，本公司按</w:t>
      </w:r>
    </w:p>
    <w:p>
      <w:pPr>
        <w:pStyle w:val="BodyText"/>
        <w:spacing w:line="240" w:lineRule="auto"/>
        <w:ind w:left="472" w:right="0"/>
        <w:jc w:val="left"/>
      </w:pPr>
      <w:r>
        <w:rPr/>
        <w:t>照享有被投资单位宣告分派的现金股利或利润确认为当期投资收益。</w:t>
      </w:r>
    </w:p>
    <w:p>
      <w:pPr>
        <w:pStyle w:val="BodyText"/>
        <w:spacing w:line="273" w:lineRule="auto" w:before="37"/>
        <w:ind w:left="892" w:right="1120"/>
        <w:jc w:val="left"/>
      </w:pPr>
      <w:r>
        <w:rPr/>
        <w:t>（2）权益法</w:t>
      </w:r>
      <w:r>
        <w:rPr>
          <w:w w:val="99"/>
        </w:rPr>
        <w:t> </w:t>
      </w:r>
      <w:r>
        <w:rPr/>
        <w:t>本公司对联营企业和合营企业的长期股权投资采用权益法核算；对于其中一部分通过风险投资机</w:t>
      </w:r>
    </w:p>
    <w:p>
      <w:pPr>
        <w:pStyle w:val="BodyText"/>
        <w:spacing w:line="273" w:lineRule="auto"/>
        <w:ind w:left="472" w:right="0"/>
        <w:jc w:val="left"/>
      </w:pPr>
      <w:r>
        <w:rPr/>
        <w:t>构、共同基金、信托公司或包括投连险基金在内的类似主体间接持有的联营企业的权益性投资，采用</w:t>
      </w:r>
      <w:r>
        <w:rPr>
          <w:spacing w:val="-82"/>
        </w:rPr>
        <w:t> </w:t>
      </w:r>
      <w:r>
        <w:rPr>
          <w:spacing w:val="-82"/>
        </w:rPr>
      </w:r>
      <w:r>
        <w:rPr/>
        <w:t>公允价值计量且其变动计入损益。</w:t>
      </w:r>
    </w:p>
    <w:p>
      <w:pPr>
        <w:pStyle w:val="BodyText"/>
        <w:spacing w:line="273" w:lineRule="auto"/>
        <w:ind w:left="472" w:right="1135" w:firstLine="420"/>
        <w:jc w:val="both"/>
      </w:pPr>
      <w:r>
        <w:rPr/>
        <w:t>长期股权投资的初始投资成本大于投资时应享有被投资单位可辨认净资产公允价值份额的差额，</w:t>
      </w:r>
      <w:r>
        <w:rPr>
          <w:w w:val="99"/>
        </w:rPr>
        <w:t> </w:t>
      </w:r>
      <w:r>
        <w:rPr/>
        <w:t>不调整长期股权投资的初始投资成本；初始投资成本小于投资时应享有被投资单位可辨认净资产公允</w:t>
      </w:r>
      <w:r>
        <w:rPr>
          <w:spacing w:val="-82"/>
        </w:rPr>
        <w:t> </w:t>
      </w:r>
      <w:r>
        <w:rPr>
          <w:spacing w:val="-82"/>
        </w:rPr>
      </w:r>
      <w:r>
        <w:rPr/>
        <w:t>价值份额的差额，计入当期损益。</w:t>
      </w:r>
    </w:p>
    <w:p>
      <w:pPr>
        <w:pStyle w:val="BodyText"/>
        <w:spacing w:line="273" w:lineRule="auto"/>
        <w:ind w:left="472" w:right="1135" w:firstLine="420"/>
        <w:jc w:val="both"/>
      </w:pPr>
      <w:r>
        <w:rPr/>
        <w:t>本公司取得长期股权投资后，按照应享有或应分担的被投资单位实现的净损益和其他综合收益的</w:t>
      </w:r>
      <w:r>
        <w:rPr>
          <w:w w:val="99"/>
        </w:rPr>
        <w:t> </w:t>
      </w:r>
      <w:r>
        <w:rPr/>
        <w:t>份额，分别确认投资收益和其他综合收益，同时调整长期股权投资的账面价值；并按照被投资单位宣</w:t>
      </w:r>
      <w:r>
        <w:rPr>
          <w:spacing w:val="-82"/>
        </w:rPr>
        <w:t> </w:t>
      </w:r>
      <w:r>
        <w:rPr>
          <w:spacing w:val="-82"/>
        </w:rPr>
      </w:r>
      <w:r>
        <w:rPr/>
        <w:t>告分派的利润或现金股利计算应享有的部分，相应减少长期股权投资的账面价值；对于被投资单位除</w:t>
      </w:r>
      <w:r>
        <w:rPr>
          <w:spacing w:val="-82"/>
        </w:rPr>
        <w:t> </w:t>
      </w:r>
      <w:r>
        <w:rPr>
          <w:spacing w:val="-82"/>
        </w:rPr>
      </w:r>
      <w:r>
        <w:rPr/>
        <w:t>净损益、其他综合收益和利润分配以外所有者权益的其他变动，调整长期股权投资的账面价值并计入</w:t>
      </w:r>
      <w:r>
        <w:rPr>
          <w:spacing w:val="-82"/>
        </w:rPr>
        <w:t> </w:t>
      </w:r>
      <w:r>
        <w:rPr>
          <w:spacing w:val="-82"/>
        </w:rPr>
      </w:r>
      <w:r>
        <w:rPr/>
        <w:t>所有者权益。</w:t>
      </w:r>
    </w:p>
    <w:p>
      <w:pPr>
        <w:pStyle w:val="BodyText"/>
        <w:spacing w:line="273" w:lineRule="auto"/>
        <w:ind w:left="472" w:right="1028" w:firstLine="420"/>
        <w:jc w:val="both"/>
      </w:pPr>
      <w:r>
        <w:rPr/>
        <w:t>本公司在确认应享有被投资单位净损益的份额时，以取得投资时被投资单位各项可辨认资产等的</w:t>
      </w:r>
      <w:r>
        <w:rPr>
          <w:w w:val="99"/>
        </w:rPr>
        <w:t> </w:t>
      </w:r>
      <w:r>
        <w:rPr/>
        <w:t>公允价值为基础，对被投资单位的净利润进行调整后确认。本公司与联营企业、合营企业之间发生的</w:t>
      </w:r>
      <w:r>
        <w:rPr>
          <w:spacing w:val="-82"/>
        </w:rPr>
        <w:t> </w:t>
      </w:r>
      <w:r>
        <w:rPr>
          <w:spacing w:val="-82"/>
        </w:rPr>
      </w:r>
      <w:r>
        <w:rPr>
          <w:spacing w:val="-1"/>
          <w:w w:val="95"/>
        </w:rPr>
        <w:t>未实现内部交易损益按照应享有的比例计算归属于本公司的部分予以抵销，在此基础上确认投资损益。</w:t>
      </w:r>
      <w:r>
        <w:rPr>
          <w:spacing w:val="-1"/>
        </w:rPr>
      </w:r>
    </w:p>
    <w:p>
      <w:pPr>
        <w:pStyle w:val="BodyText"/>
        <w:spacing w:line="273" w:lineRule="auto"/>
        <w:ind w:left="472" w:right="1120" w:firstLine="420"/>
        <w:jc w:val="left"/>
      </w:pPr>
      <w:r>
        <w:rPr/>
        <w:t>本公司确认应分担被投资单位发生的亏损时，按照以下顺序进行处理：首先，冲减长期股权投资</w:t>
      </w:r>
      <w:r>
        <w:rPr>
          <w:w w:val="99"/>
        </w:rPr>
        <w:t> </w:t>
      </w:r>
      <w:r>
        <w:rPr/>
        <w:t>的账面价值。其次，长期股权投资的账面价值不足以冲减的，以其他实质上构成对被投资单位净投资</w:t>
      </w:r>
      <w:r>
        <w:rPr>
          <w:spacing w:val="-82"/>
        </w:rPr>
        <w:t> </w:t>
      </w:r>
      <w:r>
        <w:rPr>
          <w:spacing w:val="-82"/>
        </w:rPr>
      </w:r>
      <w:r>
        <w:rPr>
          <w:spacing w:val="-1"/>
          <w:w w:val="95"/>
        </w:rPr>
        <w:t>的长期权益账面价值为限继续确认投资损失，冲减长期应收项目等的账面价值。最后，经过上述处理，</w:t>
      </w:r>
      <w:r>
        <w:rPr>
          <w:spacing w:val="32"/>
          <w:w w:val="95"/>
        </w:rPr>
        <w:t> </w:t>
      </w:r>
      <w:r>
        <w:rPr>
          <w:spacing w:val="32"/>
          <w:w w:val="95"/>
        </w:rPr>
      </w:r>
      <w:r>
        <w:rPr/>
        <w:t>按照投资合同或协议约定企业仍承担额外义务的，按预计承担的义务确认预计负债，计入当期投资损</w:t>
      </w:r>
      <w:r>
        <w:rPr>
          <w:spacing w:val="-82"/>
        </w:rPr>
        <w:t> </w:t>
      </w:r>
      <w:r>
        <w:rPr>
          <w:spacing w:val="-82"/>
        </w:rPr>
      </w:r>
      <w:r>
        <w:rPr/>
        <w:t>失。</w:t>
      </w:r>
    </w:p>
    <w:p>
      <w:pPr>
        <w:pStyle w:val="BodyText"/>
        <w:spacing w:line="273" w:lineRule="auto"/>
        <w:ind w:left="472" w:right="0" w:firstLine="420"/>
        <w:jc w:val="left"/>
      </w:pPr>
      <w:r>
        <w:rPr>
          <w:spacing w:val="-1"/>
          <w:w w:val="95"/>
        </w:rPr>
        <w:t>被投资单位以后期间实现盈利的，公司在扣除未确认的亏损分担额后，按与上述相反的顺序处理，</w:t>
      </w:r>
      <w:r>
        <w:rPr>
          <w:w w:val="99"/>
        </w:rPr>
        <w:t> </w:t>
      </w:r>
      <w:r>
        <w:rPr/>
        <w:t>减记已确认预计负债的账面余额、恢复其他实质上构成对被投资单位净投资的长期权益及长期股权投</w:t>
      </w:r>
      <w:r>
        <w:rPr>
          <w:spacing w:val="-82"/>
        </w:rPr>
        <w:t> </w:t>
      </w:r>
      <w:r>
        <w:rPr>
          <w:spacing w:val="-82"/>
        </w:rPr>
      </w:r>
      <w:r>
        <w:rPr/>
        <w:t>资的账面价值后，恢复确认投资收益。</w:t>
      </w:r>
    </w:p>
    <w:p>
      <w:pPr>
        <w:spacing w:line="273" w:lineRule="auto" w:before="7"/>
        <w:ind w:left="112" w:right="7591" w:firstLine="422"/>
        <w:jc w:val="left"/>
        <w:rPr>
          <w:rFonts w:ascii="宋体" w:hAnsi="宋体" w:cs="宋体" w:eastAsia="宋体" w:hint="default"/>
          <w:sz w:val="21"/>
          <w:szCs w:val="21"/>
        </w:rPr>
      </w:pPr>
      <w:r>
        <w:rPr>
          <w:rFonts w:ascii="宋体" w:hAnsi="宋体" w:cs="宋体" w:eastAsia="宋体" w:hint="default"/>
          <w:b/>
          <w:bCs/>
          <w:sz w:val="21"/>
          <w:szCs w:val="21"/>
        </w:rPr>
        <w:t>长期股权投资核算方法的转换</w:t>
      </w:r>
      <w:r>
        <w:rPr>
          <w:rFonts w:ascii="宋体" w:hAnsi="宋体" w:cs="宋体" w:eastAsia="宋体" w:hint="default"/>
          <w:b/>
          <w:bCs/>
          <w:w w:val="99"/>
          <w:sz w:val="21"/>
          <w:szCs w:val="21"/>
        </w:rPr>
        <w:t> </w:t>
      </w:r>
      <w:r>
        <w:rPr>
          <w:rFonts w:ascii="宋体" w:hAnsi="宋体" w:cs="宋体" w:eastAsia="宋体" w:hint="default"/>
          <w:sz w:val="21"/>
          <w:szCs w:val="21"/>
        </w:rPr>
        <w:t>公允价值计量转权益法核算</w:t>
      </w:r>
    </w:p>
    <w:p>
      <w:pPr>
        <w:pStyle w:val="BodyText"/>
        <w:spacing w:line="273" w:lineRule="auto" w:before="8"/>
        <w:ind w:left="472" w:right="1132" w:firstLine="420"/>
        <w:jc w:val="both"/>
      </w:pPr>
      <w:r>
        <w:rPr/>
        <w:t>本公司原持有的对被投资单位不具有控制、共同控制或重大影响的按金融工具确认和计量准则进</w:t>
      </w:r>
      <w:r>
        <w:rPr>
          <w:w w:val="99"/>
        </w:rPr>
        <w:t> </w:t>
      </w:r>
      <w:r>
        <w:rPr/>
        <w:t>行会计处理的权益性投资，因追加投资等原因能够对被投资单位施加重大影响或实施共同控制但不构</w:t>
      </w:r>
      <w:r>
        <w:rPr>
          <w:spacing w:val="-82"/>
        </w:rPr>
        <w:t> </w:t>
      </w:r>
      <w:r>
        <w:rPr>
          <w:spacing w:val="-82"/>
        </w:rPr>
      </w:r>
      <w:r>
        <w:rPr/>
        <w:t>成控制的，按照《企业会计准则第22号——金融工具确认和计量》确定的原持有的股权投资的公允价</w:t>
      </w:r>
      <w:r>
        <w:rPr>
          <w:spacing w:val="-79"/>
        </w:rPr>
        <w:t> </w:t>
      </w:r>
      <w:r>
        <w:rPr>
          <w:spacing w:val="-79"/>
        </w:rPr>
      </w:r>
      <w:r>
        <w:rPr/>
        <w:t>值加上新增投资成本之和，作为改按权益法核算的初始投资成本。</w:t>
      </w:r>
    </w:p>
    <w:p>
      <w:pPr>
        <w:pStyle w:val="BodyText"/>
        <w:spacing w:line="273" w:lineRule="auto"/>
        <w:ind w:left="472" w:right="1135" w:firstLine="420"/>
        <w:jc w:val="both"/>
      </w:pPr>
      <w:r>
        <w:rPr/>
        <w:t>原持有的股权投资分类为可供出售金融资产的，其公允价值与账面价值之间的差额，以及原计入</w:t>
      </w:r>
      <w:r>
        <w:rPr>
          <w:w w:val="99"/>
        </w:rPr>
        <w:t> </w:t>
      </w:r>
      <w:r>
        <w:rPr/>
        <w:t>其他综合收益的累计公允价值变动转入改按权益法核算的当期损益。</w:t>
      </w:r>
    </w:p>
    <w:p>
      <w:pPr>
        <w:pStyle w:val="BodyText"/>
        <w:spacing w:line="273" w:lineRule="auto"/>
        <w:ind w:left="472" w:right="1135" w:firstLine="420"/>
        <w:jc w:val="both"/>
      </w:pPr>
      <w:r>
        <w:rPr/>
        <w:t>按权益法核算的初始投资成本小于按照追加投资后全新的持股比例计算确定的应享有被投资单位</w:t>
      </w:r>
      <w:r>
        <w:rPr>
          <w:w w:val="99"/>
        </w:rPr>
        <w:t> </w:t>
      </w:r>
      <w:r>
        <w:rPr/>
        <w:t>在追加投资日可辨认净资产公允价值份额之间的差额，调整长期股权投资的账面价值，并计入当期营</w:t>
      </w:r>
      <w:r>
        <w:rPr>
          <w:spacing w:val="-82"/>
        </w:rPr>
        <w:t> </w:t>
      </w:r>
      <w:r>
        <w:rPr>
          <w:spacing w:val="-82"/>
        </w:rPr>
      </w:r>
      <w:r>
        <w:rPr/>
        <w:t>业外收入。</w:t>
      </w:r>
    </w:p>
    <w:p>
      <w:pPr>
        <w:pStyle w:val="BodyText"/>
        <w:spacing w:line="273" w:lineRule="auto"/>
        <w:ind w:left="892" w:right="0" w:hanging="780"/>
        <w:jc w:val="left"/>
      </w:pPr>
      <w:r>
        <w:rPr/>
        <w:t>公允价值计量或权益法核算转成本法核算</w:t>
      </w:r>
      <w:r>
        <w:rPr>
          <w:w w:val="99"/>
        </w:rPr>
        <w:t> </w:t>
      </w:r>
      <w:r>
        <w:rPr/>
        <w:t>本公司原持有的对被投资单位不具有控制、共同控制或重大影响的按金融工具确认和计量准则进</w:t>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472" w:right="1135"/>
        <w:jc w:val="both"/>
      </w:pPr>
      <w:r>
        <w:rPr/>
        <w:t>行会计处理的权益性投资，或原持有对联营企业、合营企业的长期股权投资，因追加投资等原因能够</w:t>
      </w:r>
      <w:r>
        <w:rPr>
          <w:spacing w:val="-82"/>
        </w:rPr>
        <w:t> </w:t>
      </w:r>
      <w:r>
        <w:rPr>
          <w:spacing w:val="-82"/>
        </w:rPr>
      </w:r>
      <w:r>
        <w:rPr/>
        <w:t>对非同一控制下的被投资单位实施控制的，在编制个别财务报表时，按照原持有的股权投资账面价值</w:t>
      </w:r>
      <w:r>
        <w:rPr>
          <w:spacing w:val="-82"/>
        </w:rPr>
        <w:t> </w:t>
      </w:r>
      <w:r>
        <w:rPr>
          <w:spacing w:val="-82"/>
        </w:rPr>
      </w:r>
      <w:r>
        <w:rPr/>
        <w:t>加上新增投资成本之和，作为改按成本法核算的初始投资成本。</w:t>
      </w:r>
    </w:p>
    <w:p>
      <w:pPr>
        <w:pStyle w:val="BodyText"/>
        <w:spacing w:line="273" w:lineRule="auto"/>
        <w:ind w:left="472" w:right="1135" w:firstLine="420"/>
        <w:jc w:val="both"/>
      </w:pPr>
      <w:r>
        <w:rPr/>
        <w:t>购买日之前持有的股权投资因采用权益法核算而确认的其他综合收益，在处置该项投资时采用与</w:t>
      </w:r>
      <w:r>
        <w:rPr>
          <w:w w:val="99"/>
        </w:rPr>
        <w:t> </w:t>
      </w:r>
      <w:r>
        <w:rPr/>
        <w:t>被投资单位直接处置相关资产或负债相同的基础进行会计处理。</w:t>
      </w:r>
    </w:p>
    <w:p>
      <w:pPr>
        <w:pStyle w:val="BodyText"/>
        <w:spacing w:line="273" w:lineRule="auto"/>
        <w:ind w:left="472" w:right="1135" w:firstLine="420"/>
        <w:jc w:val="both"/>
      </w:pPr>
      <w:r>
        <w:rPr/>
        <w:t>购买日之前持有的股权投资按照《企业会计准则第22号——金融工具确认和计量》的有关规定进</w:t>
      </w:r>
      <w:r>
        <w:rPr>
          <w:w w:val="99"/>
        </w:rPr>
        <w:t> </w:t>
      </w:r>
      <w:r>
        <w:rPr/>
        <w:t>行会计处理的，原计入其他综合收益的累计公允价值变动在改按成本法核算时转入当期损益。</w:t>
      </w:r>
    </w:p>
    <w:p>
      <w:pPr>
        <w:pStyle w:val="BodyText"/>
        <w:spacing w:line="240" w:lineRule="auto"/>
        <w:ind w:right="0"/>
        <w:jc w:val="left"/>
      </w:pPr>
      <w:r>
        <w:rPr/>
        <w:t>权益法核算转公允价值计量</w:t>
      </w:r>
    </w:p>
    <w:p>
      <w:pPr>
        <w:pStyle w:val="BodyText"/>
        <w:spacing w:line="273" w:lineRule="auto" w:before="37"/>
        <w:ind w:left="472" w:right="1135" w:firstLine="420"/>
        <w:jc w:val="both"/>
      </w:pPr>
      <w:r>
        <w:rPr/>
        <w:t>本公司因处置部分股权投资等原因丧失了对被投资单位的共同控制或重大影响的，处置后的剩余</w:t>
      </w:r>
      <w:r>
        <w:rPr>
          <w:w w:val="99"/>
        </w:rPr>
        <w:t> </w:t>
      </w:r>
      <w:r>
        <w:rPr/>
        <w:t>股权改按《企业会计准则第22号——金融工具确认和计量》核算，其在丧失共同控制或重大影响之日</w:t>
      </w:r>
      <w:r>
        <w:rPr>
          <w:spacing w:val="-82"/>
        </w:rPr>
        <w:t> </w:t>
      </w:r>
      <w:r>
        <w:rPr>
          <w:spacing w:val="-82"/>
        </w:rPr>
      </w:r>
      <w:r>
        <w:rPr/>
        <w:t>的公允价值与账面价值之间的差额计入当期损益。</w:t>
      </w:r>
    </w:p>
    <w:p>
      <w:pPr>
        <w:pStyle w:val="BodyText"/>
        <w:spacing w:line="273" w:lineRule="auto"/>
        <w:ind w:left="472" w:right="1135" w:firstLine="420"/>
        <w:jc w:val="both"/>
      </w:pPr>
      <w:r>
        <w:rPr/>
        <w:t>原股权投资因采用权益法核算而确认的其他综合收益，在终止采用权益法核算时采用与被投资单</w:t>
      </w:r>
      <w:r>
        <w:rPr>
          <w:w w:val="99"/>
        </w:rPr>
        <w:t> </w:t>
      </w:r>
      <w:r>
        <w:rPr/>
        <w:t>位直接处置相关资产或负债相同的基础进行会计处理。</w:t>
      </w:r>
    </w:p>
    <w:p>
      <w:pPr>
        <w:pStyle w:val="BodyText"/>
        <w:spacing w:line="240" w:lineRule="auto"/>
        <w:ind w:right="0"/>
        <w:jc w:val="left"/>
      </w:pPr>
      <w:r>
        <w:rPr/>
        <w:t>成本法转权益法</w:t>
      </w:r>
    </w:p>
    <w:p>
      <w:pPr>
        <w:pStyle w:val="BodyText"/>
        <w:spacing w:line="273" w:lineRule="auto" w:before="37"/>
        <w:ind w:left="472" w:right="1135" w:firstLine="420"/>
        <w:jc w:val="both"/>
      </w:pPr>
      <w:r>
        <w:rPr/>
        <w:t>本公司因处置部分权益性投资等原因丧失了对被投资单位的控制的，在编制个别财务报表时，处</w:t>
      </w:r>
      <w:r>
        <w:rPr>
          <w:w w:val="99"/>
        </w:rPr>
        <w:t> </w:t>
      </w:r>
      <w:r>
        <w:rPr/>
        <w:t>置后的剩余股权能够对被投资单位实施共同控制或施加重大影响的，改按权益法核算，并对该剩余股</w:t>
      </w:r>
      <w:r>
        <w:rPr>
          <w:spacing w:val="-82"/>
        </w:rPr>
        <w:t> </w:t>
      </w:r>
      <w:r>
        <w:rPr>
          <w:spacing w:val="-82"/>
        </w:rPr>
      </w:r>
      <w:r>
        <w:rPr/>
        <w:t>权视同自取得时即采用权益法核算进行调整。</w:t>
      </w:r>
    </w:p>
    <w:p>
      <w:pPr>
        <w:pStyle w:val="BodyText"/>
        <w:spacing w:line="273" w:lineRule="auto" w:before="8"/>
        <w:ind w:left="532" w:right="0" w:hanging="420"/>
        <w:jc w:val="left"/>
      </w:pPr>
      <w:r>
        <w:rPr/>
        <w:t>成本法转公允价值计量</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1025"/>
        <w:jc w:val="left"/>
        <w:rPr>
          <w:rFonts w:ascii="宋体" w:hAnsi="宋体" w:cs="宋体" w:eastAsia="宋体" w:hint="default"/>
        </w:rPr>
      </w:pPr>
      <w:r>
        <w:rPr/>
        <w:t>的剩余股权不能对被投资单位实施共同控制或施加重大影响的，改按《企业会计准则第22号——金融工具</w:t>
      </w:r>
      <w:r>
        <w:rPr>
          <w:w w:val="99"/>
        </w:rPr>
        <w:t> </w:t>
      </w:r>
      <w:r>
        <w:rPr>
          <w:spacing w:val="-3"/>
        </w:rPr>
        <w:t>确认和计量》的有关规定进行会计处理，其在丧失控制之日的公允价值与账面价值间的差额计入当期损益。</w:t>
      </w:r>
      <w:r>
        <w:rPr>
          <w:w w:val="99"/>
        </w:rPr>
        <w:t> </w:t>
      </w:r>
      <w:r>
        <w:rPr>
          <w:rFonts w:ascii="宋体" w:hAnsi="宋体" w:cs="宋体" w:eastAsia="宋体" w:hint="default"/>
          <w:b/>
          <w:bCs/>
        </w:rPr>
        <w:t>4.长期股权投资的处置</w:t>
      </w:r>
      <w:r>
        <w:rPr>
          <w:rFonts w:ascii="宋体" w:hAnsi="宋体" w:cs="宋体" w:eastAsia="宋体" w:hint="default"/>
        </w:rPr>
      </w:r>
    </w:p>
    <w:p>
      <w:pPr>
        <w:pStyle w:val="BodyText"/>
        <w:spacing w:line="273" w:lineRule="auto" w:before="8"/>
        <w:ind w:right="1130" w:firstLine="420"/>
        <w:jc w:val="both"/>
      </w:pPr>
      <w:r>
        <w:rPr>
          <w:w w:val="95"/>
        </w:rPr>
        <w:t>处置长期股权投资，其账面价值与实际取得价款之间的差额，应当计入当期损益。采用权益法核算的</w:t>
      </w:r>
      <w:r>
        <w:rPr>
          <w:spacing w:val="-97"/>
          <w:w w:val="95"/>
        </w:rPr>
        <w:t> </w:t>
      </w:r>
      <w:r>
        <w:rPr>
          <w:spacing w:val="-97"/>
          <w:w w:val="95"/>
        </w:rPr>
      </w:r>
      <w:r>
        <w:rPr>
          <w:w w:val="95"/>
        </w:rPr>
        <w:t>长期股权投资，在处置该项投资时，采用与被投资单位直接处置相关资产或负债相同的基础，按相应比例</w:t>
      </w:r>
      <w:r>
        <w:rPr>
          <w:spacing w:val="40"/>
          <w:w w:val="95"/>
        </w:rPr>
        <w:t> </w:t>
      </w:r>
      <w:r>
        <w:rPr>
          <w:spacing w:val="40"/>
          <w:w w:val="95"/>
        </w:rPr>
      </w:r>
      <w:r>
        <w:rPr/>
        <w:t>对原计入其他综合收益的部分进行会计处理。</w:t>
      </w:r>
    </w:p>
    <w:p>
      <w:pPr>
        <w:pStyle w:val="BodyText"/>
        <w:spacing w:line="273" w:lineRule="auto"/>
        <w:ind w:right="1132" w:firstLine="420"/>
        <w:jc w:val="both"/>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73" w:lineRule="auto" w:before="8"/>
        <w:ind w:left="592" w:right="2654"/>
        <w:jc w:val="left"/>
      </w:pPr>
      <w:r>
        <w:rPr/>
        <w:t>这些交易是同时或者在考虑了彼此影响的情况下订立的；</w:t>
      </w:r>
      <w:r>
        <w:rPr>
          <w:w w:val="99"/>
        </w:rPr>
        <w:t> </w:t>
      </w:r>
      <w:r>
        <w:rPr/>
        <w:t>这些交易整体才能达成一项完整的商业结果；</w:t>
      </w:r>
      <w:r>
        <w:rPr>
          <w:w w:val="99"/>
        </w:rPr>
        <w:t> </w:t>
      </w:r>
      <w:r>
        <w:rPr/>
        <w:t>一项交易的发生取决于其他至少一项交易的发生；</w:t>
      </w:r>
      <w:r>
        <w:rPr>
          <w:w w:val="99"/>
        </w:rPr>
        <w:t> </w:t>
      </w:r>
      <w:r>
        <w:rPr>
          <w:w w:val="95"/>
        </w:rPr>
        <w:t>一项交易单独看是不经济的，但是和其他交易一并考虑时是经济的。</w:t>
      </w:r>
      <w:r>
        <w:rPr/>
      </w:r>
    </w:p>
    <w:p>
      <w:pPr>
        <w:pStyle w:val="BodyText"/>
        <w:spacing w:line="273" w:lineRule="auto"/>
        <w:ind w:right="1135" w:firstLine="420"/>
        <w:jc w:val="both"/>
      </w:pPr>
      <w:r>
        <w:rPr>
          <w:w w:val="95"/>
        </w:rPr>
        <w:t>因处置部分股权投资或其他原因丧失了对原有子公司控制权的，不属于一揽子交易的，区分个别财务</w:t>
      </w:r>
      <w:r>
        <w:rPr>
          <w:w w:val="99"/>
        </w:rPr>
        <w:t> </w:t>
      </w:r>
      <w:r>
        <w:rPr/>
        <w:t>报表和合并财务报表进行相关会计处理：</w:t>
      </w:r>
    </w:p>
    <w:p>
      <w:pPr>
        <w:pStyle w:val="BodyText"/>
        <w:spacing w:line="273" w:lineRule="auto" w:before="8"/>
        <w:ind w:right="1130" w:firstLine="420"/>
        <w:jc w:val="both"/>
      </w:pPr>
      <w:r>
        <w:rPr>
          <w:spacing w:val="2"/>
          <w:w w:val="95"/>
        </w:rPr>
        <w:t>（1）在个别财务报表中，对于处置的股权，其账面价值与实际取得价款之间的差额计入当期损益。</w:t>
      </w:r>
      <w:r>
        <w:rPr>
          <w:spacing w:val="-84"/>
          <w:w w:val="95"/>
        </w:rPr>
        <w:t> </w:t>
      </w:r>
      <w:r>
        <w:rPr>
          <w:spacing w:val="-84"/>
          <w:w w:val="95"/>
        </w:rPr>
      </w:r>
      <w:r>
        <w:rPr>
          <w:w w:val="95"/>
        </w:rPr>
        <w:t>处置后的剩余股权能够对被投资单位实施共同控制或施加重大影响的，改按权益法核算，并对该剩余股权</w:t>
      </w:r>
      <w:r>
        <w:rPr>
          <w:spacing w:val="40"/>
          <w:w w:val="95"/>
        </w:rPr>
        <w:t> </w:t>
      </w:r>
      <w:r>
        <w:rPr>
          <w:spacing w:val="40"/>
          <w:w w:val="95"/>
        </w:rPr>
      </w:r>
      <w:r>
        <w:rPr>
          <w:w w:val="95"/>
        </w:rPr>
        <w:t>视同自取得时即采用权益法核算进行调整；处置后的剩余股权不能对被投资单位实施共同控制或施加重大</w:t>
      </w:r>
      <w:r>
        <w:rPr>
          <w:spacing w:val="39"/>
          <w:w w:val="95"/>
        </w:rPr>
        <w:t> </w:t>
      </w:r>
      <w:r>
        <w:rPr>
          <w:spacing w:val="39"/>
          <w:w w:val="95"/>
        </w:rPr>
      </w:r>
      <w:r>
        <w:rPr>
          <w:w w:val="95"/>
        </w:rPr>
        <w:t>影响的，改按《企业会计准则第22号——金融工具确认和计量》的有关规定进行会计处理，其在丧失控制</w:t>
      </w:r>
      <w:r>
        <w:rPr>
          <w:spacing w:val="45"/>
          <w:w w:val="95"/>
        </w:rPr>
        <w:t> </w:t>
      </w:r>
      <w:r>
        <w:rPr>
          <w:spacing w:val="45"/>
          <w:w w:val="95"/>
        </w:rPr>
      </w:r>
      <w:r>
        <w:rPr/>
        <w:t>之日的公允价值与账面价值间的差额计入当期损益。</w:t>
      </w:r>
    </w:p>
    <w:p>
      <w:pPr>
        <w:pStyle w:val="BodyText"/>
        <w:spacing w:line="273" w:lineRule="auto" w:before="8"/>
        <w:ind w:right="1112" w:firstLine="420"/>
        <w:jc w:val="both"/>
      </w:pPr>
      <w:r>
        <w:rPr>
          <w:spacing w:val="2"/>
        </w:rPr>
        <w:t>（2）在合并财务报表中，对于在丧失对子公司控制权以前的各项交易，处置价款与处置长期股权投</w:t>
      </w:r>
      <w:r>
        <w:rPr>
          <w:w w:val="99"/>
        </w:rPr>
        <w:t> </w:t>
      </w:r>
      <w:r>
        <w:rPr>
          <w:spacing w:val="4"/>
        </w:rPr>
        <w:t>资相应对享有子公司自购买日或合并日开始持续计算的净资产份额之间的差额，调整资本公积（股本溢</w:t>
      </w:r>
      <w:r>
        <w:rPr>
          <w:w w:val="99"/>
        </w:rPr>
        <w:t> 价），资本公积不足冲减的，调整留存收益；在丧失对子公司控制权时，对于剩余股权，按照其在丧失控</w:t>
      </w:r>
      <w:r>
        <w:rPr>
          <w:spacing w:val="-94"/>
          <w:w w:val="99"/>
        </w:rPr>
        <w:t> </w:t>
      </w:r>
      <w:r>
        <w:rPr>
          <w:spacing w:val="-94"/>
          <w:w w:val="99"/>
        </w:rPr>
      </w:r>
      <w:r>
        <w:rPr>
          <w:w w:val="95"/>
        </w:rPr>
        <w:t>制权日的公允价值进行重新计量。处置股权取得的对价与剩余股权公允价值之和，减去按原持股比例计算</w:t>
      </w:r>
      <w:r>
        <w:rPr>
          <w:spacing w:val="37"/>
          <w:w w:val="95"/>
        </w:rPr>
        <w:t> </w:t>
      </w:r>
      <w:r>
        <w:rPr>
          <w:spacing w:val="37"/>
          <w:w w:val="95"/>
        </w:rPr>
      </w:r>
      <w:r>
        <w:rPr>
          <w:w w:val="95"/>
        </w:rPr>
        <w:t>应享有原有子公司自购买日开始持续计算的净资产的份额之间的差额，计入丧失控制权当期的投资收益，</w:t>
      </w:r>
      <w:r>
        <w:rPr>
          <w:spacing w:val="61"/>
          <w:w w:val="95"/>
        </w:rPr>
        <w:t> </w:t>
      </w:r>
      <w:r>
        <w:rPr>
          <w:spacing w:val="61"/>
          <w:w w:val="95"/>
        </w:rPr>
      </w:r>
      <w:r>
        <w:rPr/>
        <w:t>同时冲减商誉。与原有子公司股权投资相关的其他综合收益等，在丧失控制权时转为当期投资收益。</w:t>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2" w:firstLine="420"/>
        <w:jc w:val="both"/>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73" w:lineRule="auto"/>
        <w:ind w:right="1135" w:firstLine="420"/>
        <w:jc w:val="both"/>
      </w:pPr>
      <w:r>
        <w:rPr>
          <w:spacing w:val="2"/>
          <w:w w:val="95"/>
        </w:rPr>
        <w:t>（1）在个别财务报表中，在丧失控制权之前每一次处置价款与处置的股权对应的长期股权投资账面</w:t>
      </w:r>
      <w:r>
        <w:rPr>
          <w:spacing w:val="-84"/>
          <w:w w:val="95"/>
        </w:rPr>
        <w:t> </w:t>
      </w:r>
      <w:r>
        <w:rPr>
          <w:spacing w:val="-84"/>
          <w:w w:val="95"/>
        </w:rPr>
      </w:r>
      <w:r>
        <w:rPr/>
        <w:t>价值之间的差额，确认为其他综合收益，在丧失控制权时一并转入丧失控制权当期的损益。</w:t>
      </w:r>
    </w:p>
    <w:p>
      <w:pPr>
        <w:pStyle w:val="BodyText"/>
        <w:spacing w:line="273" w:lineRule="auto"/>
        <w:ind w:right="0" w:firstLine="420"/>
        <w:jc w:val="left"/>
        <w:rPr>
          <w:rFonts w:ascii="宋体" w:hAnsi="宋体" w:cs="宋体" w:eastAsia="宋体" w:hint="default"/>
        </w:rPr>
      </w:pPr>
      <w:r>
        <w:rPr>
          <w:spacing w:val="2"/>
          <w:w w:val="95"/>
        </w:rPr>
        <w:t>（2）在合并财务报表中，在丧失控制权之前每一次处置价款与处置投资对应的享有该子公司净资产</w:t>
      </w:r>
      <w:r>
        <w:rPr>
          <w:spacing w:val="-84"/>
          <w:w w:val="95"/>
        </w:rPr>
        <w:t> </w:t>
      </w:r>
      <w:r>
        <w:rPr>
          <w:spacing w:val="-84"/>
          <w:w w:val="95"/>
        </w:rPr>
      </w:r>
      <w:r>
        <w:rPr/>
        <w:t>份额的差额，确认为其他综合收益，在丧失控制权时一并转入丧失控制权当期的损益。</w:t>
      </w:r>
      <w:r>
        <w:rPr>
          <w:w w:val="99"/>
        </w:rPr>
        <w:t> </w:t>
      </w:r>
      <w:r>
        <w:rPr>
          <w:rFonts w:ascii="宋体" w:hAnsi="宋体" w:cs="宋体" w:eastAsia="宋体" w:hint="default"/>
          <w:b/>
          <w:bCs/>
        </w:rPr>
        <w:t>5.共同控制、重大影响的判断标准</w:t>
      </w:r>
      <w:r>
        <w:rPr>
          <w:rFonts w:ascii="宋体" w:hAnsi="宋体" w:cs="宋体" w:eastAsia="宋体" w:hint="default"/>
        </w:rPr>
      </w:r>
    </w:p>
    <w:p>
      <w:pPr>
        <w:pStyle w:val="BodyText"/>
        <w:spacing w:line="273" w:lineRule="auto"/>
        <w:ind w:right="1130" w:firstLine="420"/>
        <w:jc w:val="both"/>
      </w:pPr>
      <w:r>
        <w:rPr>
          <w:w w:val="95"/>
        </w:rPr>
        <w:t>如果本公司按照相关约定与其他参与方集体控制某项安排，并且对该安排回报具有重大影响的活动决</w:t>
      </w:r>
      <w:r>
        <w:rPr>
          <w:w w:val="99"/>
        </w:rPr>
        <w:t> </w:t>
      </w:r>
      <w:r>
        <w:rPr>
          <w:w w:val="95"/>
        </w:rPr>
        <w:t>策，需要经过分享控制权的参与方一致同意时才存在，则视为本公司与其他参与方共同控制某项安排，该</w:t>
      </w:r>
      <w:r>
        <w:rPr>
          <w:spacing w:val="43"/>
          <w:w w:val="95"/>
        </w:rPr>
        <w:t> </w:t>
      </w:r>
      <w:r>
        <w:rPr>
          <w:spacing w:val="43"/>
          <w:w w:val="95"/>
        </w:rPr>
      </w:r>
      <w:r>
        <w:rPr/>
        <w:t>安排即属于合营安排。</w:t>
      </w:r>
    </w:p>
    <w:p>
      <w:pPr>
        <w:pStyle w:val="BodyText"/>
        <w:spacing w:line="273" w:lineRule="auto"/>
        <w:ind w:right="1130" w:firstLine="420"/>
        <w:jc w:val="both"/>
      </w:pPr>
      <w:r>
        <w:rPr>
          <w:w w:val="95"/>
        </w:rPr>
        <w:t>合营安排通过单独主体达成的，根据相关约定判断本公司对该单独主体的净资产享有权利时，将该单</w:t>
      </w:r>
      <w:r>
        <w:rPr>
          <w:w w:val="99"/>
        </w:rPr>
        <w:t> </w:t>
      </w: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43"/>
          <w:w w:val="95"/>
        </w:rPr>
        <w:t> </w:t>
      </w:r>
      <w:r>
        <w:rPr>
          <w:spacing w:val="43"/>
          <w:w w:val="95"/>
        </w:rPr>
      </w:r>
      <w:r>
        <w:rPr/>
        <w:t>规定进行会计处理。</w:t>
      </w:r>
    </w:p>
    <w:p>
      <w:pPr>
        <w:pStyle w:val="BodyText"/>
        <w:spacing w:line="273" w:lineRule="auto"/>
        <w:ind w:right="1029" w:firstLine="420"/>
        <w:jc w:val="both"/>
      </w:pPr>
      <w:r>
        <w:rPr/>
        <w:t>重大影响，是指投资方对被投资单位的财务和经营政策有参与决策的权力，但并不能够控制或者与其</w:t>
      </w:r>
      <w:r>
        <w:rPr>
          <w:w w:val="99"/>
        </w:rPr>
        <w:t> </w:t>
      </w:r>
      <w:r>
        <w:rPr/>
        <w:t>他方一起共同控制这些政策的制定。本公司通过以下一种或多种情形，并综合考虑所有事实和情况后，判</w:t>
      </w:r>
      <w:r>
        <w:rPr>
          <w:w w:val="99"/>
        </w:rPr>
        <w:t> </w:t>
      </w:r>
      <w:r>
        <w:rPr>
          <w:spacing w:val="-5"/>
          <w:w w:val="99"/>
        </w:rPr>
        <w:t>断对被投资单位具有重大影响。（1）在被投资单位的董事会或类似权力机构中派有代表；（2）参与被投资</w:t>
      </w:r>
      <w:r>
        <w:rPr>
          <w:spacing w:val="-72"/>
          <w:w w:val="99"/>
        </w:rPr>
        <w:t> </w:t>
      </w:r>
      <w:r>
        <w:rPr>
          <w:spacing w:val="-72"/>
          <w:w w:val="99"/>
        </w:rPr>
      </w:r>
      <w:r>
        <w:rPr>
          <w:spacing w:val="-2"/>
          <w:w w:val="99"/>
        </w:rPr>
        <w:t>单位财务和经营政策制定过程；（3）与被投资单位之间发生重要交易；（4）向被投资单位派出管理人员；</w:t>
      </w:r>
      <w:r>
        <w:rPr>
          <w:spacing w:val="-2"/>
        </w:rPr>
      </w:r>
    </w:p>
    <w:p>
      <w:pPr>
        <w:pStyle w:val="BodyText"/>
        <w:spacing w:line="240" w:lineRule="auto"/>
        <w:ind w:right="0"/>
        <w:jc w:val="left"/>
      </w:pPr>
      <w:r>
        <w:rPr/>
        <w:t>（5）向被投资单位提供关键技术资料。</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3、投资性房地产" w:id="194"/>
      <w:bookmarkEnd w:id="194"/>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24、固定资产" w:id="195"/>
      <w:bookmarkEnd w:id="195"/>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满足下列条件时予以确认：</w:t>
      </w:r>
    </w:p>
    <w:p>
      <w:pPr>
        <w:spacing w:before="57"/>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6"/>
        <w:spacing w:line="240" w:lineRule="auto"/>
        <w:ind w:right="0"/>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18~31.67%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23.75%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b/>
          <w:bCs/>
          <w:sz w:val="21"/>
          <w:szCs w:val="21"/>
        </w:rPr>
      </w:pPr>
    </w:p>
    <w:p>
      <w:pPr>
        <w:pStyle w:val="Heading6"/>
        <w:spacing w:line="240" w:lineRule="auto" w:before="34"/>
        <w:ind w:right="0"/>
        <w:jc w:val="both"/>
        <w:rPr>
          <w:b w:val="0"/>
          <w:bCs w:val="0"/>
        </w:rPr>
      </w:pPr>
      <w:bookmarkStart w:name="（3）融资租入固定资产的认定依据、计价和折旧方法" w:id="198"/>
      <w:bookmarkEnd w:id="19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w:t>
      </w:r>
    </w:p>
    <w:p>
      <w:pPr>
        <w:spacing w:before="117"/>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）在租赁期届满时，租赁资产的所有权转移给本公司。</w:t>
      </w:r>
    </w:p>
    <w:p>
      <w:pPr>
        <w:spacing w:line="300" w:lineRule="auto" w:before="101"/>
        <w:ind w:left="112" w:right="11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）本公司有购买租赁资产的选择权，所订立的购买价款预计将远低于行使选择权时租赁资产的公允价值，因而在租赁开 始日就可以合理确定本公司将会行使这种选择权。</w:t>
      </w:r>
    </w:p>
    <w:p>
      <w:pPr>
        <w:spacing w:before="72"/>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）即使资产的所有权不转移，但租赁期占租赁资产使用寿命的大部分。</w:t>
      </w:r>
    </w:p>
    <w:p>
      <w:pPr>
        <w:spacing w:before="103"/>
        <w:ind w:left="11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）本公司在租赁开始日的最低租赁付款额现值，几乎相当于租赁开始日租赁资产公允价值。</w:t>
      </w:r>
    </w:p>
    <w:p>
      <w:pPr>
        <w:spacing w:line="324" w:lineRule="auto"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）租赁资产性质特殊，如果不作较大改造，只有本公司才能使用。 </w:t>
      </w:r>
      <w:r>
        <w:rPr>
          <w:rFonts w:ascii="宋体" w:hAnsi="宋体" w:cs="宋体" w:eastAsia="宋体" w:hint="default"/>
          <w:spacing w:val="-2"/>
          <w:sz w:val="18"/>
          <w:szCs w:val="18"/>
        </w:rPr>
        <w:t>融资租赁租入的固定资产，按租赁开始日租赁资产公允价值与最低租赁付款额的现值两者中较低者，作为入账价值。最低租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赁付款额作为长期应付款的入账价值，其差额作为未确认融资费用。在租赁谈判和签订租赁合同过程中发生的，可归属于租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赁项目的手续费、律师费、差旅费、印花税等初始直接费用，计入租入资产价值。未确认融资费用在租赁期内各个期间采用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实际利率法进行分摊。</w:t>
      </w:r>
    </w:p>
    <w:p>
      <w:pPr>
        <w:spacing w:line="316" w:lineRule="auto" w:before="54"/>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本公司采用与自有固定资产相一致的折旧政策计提融资租入固定资产折旧。能够合理确定租赁期届满时取得租赁资产所有权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的，在租赁资产使用寿命内计提折旧。无法合理确定租赁期届满时能够取得租赁资产所有权的，在租赁期与租赁资产使用寿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命两者中较短的期间内计提折旧。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6"/>
        <w:spacing w:line="240" w:lineRule="auto"/>
        <w:ind w:right="0"/>
        <w:jc w:val="both"/>
        <w:rPr>
          <w:b w:val="0"/>
          <w:bCs w:val="0"/>
        </w:rPr>
      </w:pPr>
      <w:bookmarkStart w:name="25、在建工程" w:id="199"/>
      <w:bookmarkEnd w:id="199"/>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92" w:right="0" w:firstLine="2"/>
        <w:jc w:val="left"/>
      </w:pP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w:t>
      </w:r>
    </w:p>
    <w:p>
      <w:pPr>
        <w:pStyle w:val="BodyText"/>
        <w:spacing w:line="273" w:lineRule="auto"/>
        <w:ind w:left="472" w:right="0"/>
        <w:jc w:val="left"/>
      </w:pPr>
      <w:r>
        <w:rPr/>
        <w:t>发生的必要支出构成，包括工程用物资成本、人工成本、交纳的相关税费、应予资本化的借款费用以</w:t>
      </w:r>
      <w:r>
        <w:rPr>
          <w:spacing w:val="-82"/>
        </w:rPr>
        <w:t> </w:t>
      </w:r>
      <w:r>
        <w:rPr>
          <w:spacing w:val="-82"/>
        </w:rPr>
      </w:r>
      <w:r>
        <w:rPr/>
        <w:t>及应分摊的间接费用等。本公司的在建工程以项目分类核算。</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w w:val="95"/>
          <w:sz w:val="21"/>
          <w:szCs w:val="21"/>
        </w:rPr>
        <w:t>在建工程项目按建造该项资产达到预定可使用状态前所发生的全部支出，作为固定资产的入账价值。</w:t>
      </w:r>
      <w:r>
        <w:rPr>
          <w:rFonts w:ascii="宋体" w:hAnsi="宋体" w:cs="宋体" w:eastAsia="宋体" w:hint="default"/>
          <w:sz w:val="21"/>
          <w:szCs w:val="21"/>
        </w:rPr>
      </w:r>
    </w:p>
    <w:p>
      <w:pPr>
        <w:pStyle w:val="BodyText"/>
        <w:spacing w:line="273" w:lineRule="auto"/>
        <w:ind w:right="1130"/>
        <w:jc w:val="both"/>
      </w:pPr>
      <w:r>
        <w:rPr>
          <w:w w:val="95"/>
        </w:rPr>
        <w:t>所建造的在建工程已达到预定可使用状态，但尚未办理竣工决算的，自达到预定可使用状态之日起，根据</w:t>
      </w:r>
      <w:r>
        <w:rPr>
          <w:spacing w:val="43"/>
          <w:w w:val="95"/>
        </w:rPr>
        <w:t> </w:t>
      </w:r>
      <w:r>
        <w:rPr>
          <w:spacing w:val="43"/>
          <w:w w:val="95"/>
        </w:rPr>
      </w:r>
      <w:r>
        <w:rPr>
          <w:w w:val="95"/>
        </w:rPr>
        <w:t>工程预算、造价或者工程实际成本等，按估计的价值转入固定资产，并按本公司固定资产折旧政策计提固</w:t>
      </w:r>
      <w:r>
        <w:rPr>
          <w:spacing w:val="43"/>
          <w:w w:val="95"/>
        </w:rPr>
        <w:t> </w:t>
      </w:r>
      <w:r>
        <w:rPr>
          <w:spacing w:val="43"/>
          <w:w w:val="95"/>
        </w:rPr>
      </w:r>
      <w:r>
        <w:rPr/>
        <w:t>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bookmarkStart w:name="26、借款费用" w:id="200"/>
      <w:bookmarkEnd w:id="200"/>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24"/>
          <w:szCs w:val="24"/>
        </w:rPr>
      </w:pPr>
    </w:p>
    <w:p>
      <w:pPr>
        <w:spacing w:line="273" w:lineRule="auto" w:before="0"/>
        <w:ind w:left="892" w:right="0" w:hanging="3"/>
        <w:jc w:val="left"/>
        <w:rPr>
          <w:rFonts w:ascii="宋体" w:hAnsi="宋体" w:cs="宋体" w:eastAsia="宋体" w:hint="default"/>
          <w:sz w:val="21"/>
          <w:szCs w:val="21"/>
        </w:rPr>
      </w:pP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本公司发生的借款费用，可直接归属于符合资本化条件的资产的购建或者生产的，予以资本化，</w:t>
      </w:r>
    </w:p>
    <w:p>
      <w:pPr>
        <w:pStyle w:val="BodyText"/>
        <w:spacing w:line="273" w:lineRule="auto"/>
        <w:ind w:left="892" w:right="0" w:hanging="420"/>
        <w:jc w:val="left"/>
      </w:pPr>
      <w:r>
        <w:rPr/>
        <w:t>计入相关资产成本；其他借款费用，在发生时根据其发生额确认为费用，计入当期损益。</w:t>
      </w:r>
      <w:r>
        <w:rPr>
          <w:w w:val="99"/>
        </w:rPr>
        <w:t> </w:t>
      </w:r>
      <w:r>
        <w:rPr/>
        <w:t>符合资本化条件的资产，是指需要经过相当长时间的购建或者生产活动才能达到预定可使用或者</w:t>
      </w:r>
    </w:p>
    <w:p>
      <w:pPr>
        <w:pStyle w:val="BodyText"/>
        <w:spacing w:line="273" w:lineRule="auto"/>
        <w:ind w:left="892" w:right="2654" w:hanging="420"/>
        <w:jc w:val="left"/>
      </w:pPr>
      <w:r>
        <w:rPr>
          <w:w w:val="95"/>
        </w:rPr>
        <w:t>可销售状态的固定资产、投资性房地产和存货等资产。</w:t>
      </w:r>
      <w:r>
        <w:rPr>
          <w:spacing w:val="38"/>
          <w:w w:val="95"/>
        </w:rPr>
        <w:t> </w:t>
      </w:r>
      <w:r>
        <w:rPr>
          <w:spacing w:val="38"/>
          <w:w w:val="95"/>
        </w:rPr>
      </w:r>
      <w:r>
        <w:rPr/>
        <w:t>借款费用同时满足下列条件时开始资本化：</w:t>
      </w:r>
    </w:p>
    <w:p>
      <w:pPr>
        <w:pStyle w:val="BodyText"/>
        <w:spacing w:line="273" w:lineRule="auto"/>
        <w:ind w:left="472" w:right="0" w:firstLine="420"/>
        <w:jc w:val="left"/>
      </w:pPr>
      <w:r>
        <w:rPr>
          <w:spacing w:val="-1"/>
          <w:w w:val="95"/>
        </w:rPr>
        <w:t>（1）资产支出已经发生，资产支出包括为购建或者生产符合资本化条件的资产而以支付现金、转</w:t>
      </w:r>
      <w:r>
        <w:rPr>
          <w:w w:val="99"/>
        </w:rPr>
        <w:t> </w:t>
      </w:r>
      <w:r>
        <w:rPr/>
        <w:t>移非现金资产或者承担带息债务形式发生的支出；</w:t>
      </w:r>
    </w:p>
    <w:p>
      <w:pPr>
        <w:pStyle w:val="BodyText"/>
        <w:spacing w:line="240" w:lineRule="auto"/>
        <w:ind w:left="892" w:right="0"/>
        <w:jc w:val="left"/>
      </w:pPr>
      <w:r>
        <w:rPr/>
        <w:t>（2）借款费用已经发生；</w:t>
      </w:r>
    </w:p>
    <w:p>
      <w:pPr>
        <w:pStyle w:val="BodyText"/>
        <w:spacing w:line="240" w:lineRule="auto" w:before="37"/>
        <w:ind w:left="892" w:right="0"/>
        <w:jc w:val="left"/>
      </w:pPr>
      <w:r>
        <w:rPr/>
        <w:t>（3）为使资产达到预定可使用或者可销售状态所必要的购建或者生产活动已经开始。</w:t>
      </w:r>
    </w:p>
    <w:p>
      <w:pPr>
        <w:spacing w:after="0" w:line="240" w:lineRule="auto"/>
        <w:jc w:val="left"/>
        <w:sectPr>
          <w:footerReference w:type="default" r:id="rId35"/>
          <w:pgSz w:w="11910" w:h="16840"/>
          <w:pgMar w:footer="1016" w:header="907" w:top="1100" w:bottom="1200" w:left="1020" w:right="0"/>
          <w:pgNumType w:start="160"/>
        </w:sectPr>
      </w:pPr>
    </w:p>
    <w:p>
      <w:pPr>
        <w:spacing w:line="240" w:lineRule="auto" w:before="10"/>
        <w:rPr>
          <w:rFonts w:ascii="宋体" w:hAnsi="宋体" w:cs="宋体" w:eastAsia="宋体" w:hint="default"/>
          <w:sz w:val="21"/>
          <w:szCs w:val="21"/>
        </w:rPr>
      </w:pPr>
    </w:p>
    <w:p>
      <w:pPr>
        <w:pStyle w:val="BodyText"/>
        <w:spacing w:line="273" w:lineRule="auto" w:before="34"/>
        <w:ind w:left="892" w:right="0" w:firstLine="2"/>
        <w:jc w:val="left"/>
      </w:pP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w:t>
      </w:r>
    </w:p>
    <w:p>
      <w:pPr>
        <w:pStyle w:val="BodyText"/>
        <w:spacing w:line="273" w:lineRule="auto"/>
        <w:ind w:left="892" w:right="1120" w:hanging="420"/>
        <w:jc w:val="left"/>
      </w:pPr>
      <w:r>
        <w:rPr/>
        <w:t>间不包括在内。</w:t>
      </w:r>
      <w:r>
        <w:rPr>
          <w:w w:val="99"/>
        </w:rPr>
        <w:t> </w:t>
      </w:r>
      <w:r>
        <w:rPr>
          <w:spacing w:val="-1"/>
          <w:w w:val="95"/>
        </w:rPr>
        <w:t>当购建或者生产符合资本化条件的资产达到预定可使用或者可销售状态时，借款费用停止资本化。</w:t>
      </w:r>
      <w:r>
        <w:rPr>
          <w:w w:val="99"/>
        </w:rPr>
        <w:t> </w:t>
      </w:r>
      <w:r>
        <w:rPr/>
        <w:t>当购建或者生产符合资本化条件的资产中部分项目分别完工且可单独使用时，该部分资产借款费</w:t>
      </w:r>
    </w:p>
    <w:p>
      <w:pPr>
        <w:pStyle w:val="BodyText"/>
        <w:spacing w:line="273" w:lineRule="auto"/>
        <w:ind w:left="892" w:right="1120" w:hanging="420"/>
        <w:jc w:val="left"/>
      </w:pPr>
      <w:r>
        <w:rPr/>
        <w:t>用停止资本化。</w:t>
      </w:r>
      <w:r>
        <w:rPr>
          <w:w w:val="99"/>
        </w:rPr>
        <w:t> </w:t>
      </w:r>
      <w:r>
        <w:rPr/>
        <w:t>购建或者生产的资产的各部分分别完工，但必须等到整体完工后才可使用或可对外销售的，在该</w:t>
      </w:r>
    </w:p>
    <w:p>
      <w:pPr>
        <w:spacing w:line="273" w:lineRule="auto" w:before="7"/>
        <w:ind w:left="895" w:right="6824" w:hanging="423"/>
        <w:jc w:val="left"/>
        <w:rPr>
          <w:rFonts w:ascii="宋体" w:hAnsi="宋体" w:cs="宋体" w:eastAsia="宋体" w:hint="default"/>
          <w:sz w:val="21"/>
          <w:szCs w:val="21"/>
        </w:rPr>
      </w:pPr>
      <w:r>
        <w:rPr>
          <w:rFonts w:ascii="宋体" w:hAnsi="宋体" w:cs="宋体" w:eastAsia="宋体" w:hint="default"/>
          <w:sz w:val="21"/>
          <w:szCs w:val="21"/>
        </w:rPr>
        <w:t>资产整体完工时停止借款费用资本化。</w:t>
      </w:r>
      <w:r>
        <w:rPr>
          <w:rFonts w:ascii="宋体" w:hAnsi="宋体" w:cs="宋体" w:eastAsia="宋体" w:hint="default"/>
          <w:w w:val="99"/>
          <w:sz w:val="21"/>
          <w:szCs w:val="21"/>
        </w:rPr>
        <w:t> </w:t>
      </w:r>
      <w:r>
        <w:rPr>
          <w:rFonts w:ascii="宋体" w:hAnsi="宋体" w:cs="宋体" w:eastAsia="宋体" w:hint="default"/>
          <w:b/>
          <w:bCs/>
          <w:sz w:val="21"/>
          <w:szCs w:val="21"/>
        </w:rPr>
        <w:t>暂停资本化期间</w:t>
      </w:r>
      <w:r>
        <w:rPr>
          <w:rFonts w:ascii="宋体" w:hAnsi="宋体" w:cs="宋体" w:eastAsia="宋体" w:hint="default"/>
          <w:sz w:val="21"/>
          <w:szCs w:val="21"/>
        </w:rPr>
      </w:r>
    </w:p>
    <w:p>
      <w:pPr>
        <w:pStyle w:val="BodyText"/>
        <w:spacing w:line="273" w:lineRule="auto"/>
        <w:ind w:left="472" w:right="1132" w:firstLine="420"/>
        <w:jc w:val="both"/>
      </w:pPr>
      <w:r>
        <w:rPr>
          <w:spacing w:val="-2"/>
        </w:rPr>
        <w:t>符合资本化条件的资产在购建或生产过程中发生的非正常中断、且中断时间连续超过3个月的，则</w:t>
      </w:r>
      <w:r>
        <w:rPr>
          <w:w w:val="99"/>
        </w:rPr>
        <w:t> </w:t>
      </w:r>
      <w:r>
        <w:rPr/>
        <w:t>借款费用暂停资本化；该项中断如是所购建或生产的符合资本化条件的资产达到预定可使用状态或者</w:t>
      </w:r>
      <w:r>
        <w:rPr>
          <w:spacing w:val="-82"/>
        </w:rPr>
        <w:t> </w:t>
      </w:r>
      <w:r>
        <w:rPr>
          <w:spacing w:val="-82"/>
        </w:rPr>
      </w:r>
      <w:r>
        <w:rPr/>
        <w:t>可销售状态必要的程序，则借款费用继续资本化。在中断期间发生的借款费用确认为当期损益，直至</w:t>
      </w:r>
      <w:r>
        <w:rPr>
          <w:spacing w:val="-82"/>
        </w:rPr>
        <w:t> </w:t>
      </w:r>
      <w:r>
        <w:rPr>
          <w:spacing w:val="-82"/>
        </w:rPr>
      </w:r>
      <w:r>
        <w:rPr/>
        <w:t>资产的购建或者生产活动重新开始后借款费用继续资本化。</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专门借款的利息费用（扣除尚未动用的借款资金存入银行取得的利息收入或者进行暂时性投资取得的</w:t>
      </w:r>
      <w:r>
        <w:rPr>
          <w:rFonts w:ascii="宋体" w:hAnsi="宋体" w:cs="宋体" w:eastAsia="宋体" w:hint="default"/>
          <w:sz w:val="21"/>
          <w:szCs w:val="21"/>
        </w:rPr>
      </w:r>
    </w:p>
    <w:p>
      <w:pPr>
        <w:pStyle w:val="BodyText"/>
        <w:spacing w:line="273" w:lineRule="auto"/>
        <w:ind w:right="1185"/>
        <w:jc w:val="left"/>
      </w:pPr>
      <w:r>
        <w:rPr>
          <w:w w:val="95"/>
        </w:rPr>
        <w:t>投资收益）及其辅助费用在所购建或者生产的符合资本化条件的资产达到预定可使用或者可销售状态前，</w:t>
      </w:r>
      <w:r>
        <w:rPr>
          <w:spacing w:val="61"/>
          <w:w w:val="95"/>
        </w:rPr>
        <w:t> </w:t>
      </w:r>
      <w:r>
        <w:rPr>
          <w:spacing w:val="61"/>
          <w:w w:val="95"/>
        </w:rPr>
      </w:r>
      <w:r>
        <w:rPr/>
        <w:t>予以资本化。</w:t>
      </w:r>
    </w:p>
    <w:p>
      <w:pPr>
        <w:pStyle w:val="BodyText"/>
        <w:spacing w:line="273" w:lineRule="auto" w:before="8"/>
        <w:ind w:right="0" w:firstLine="420"/>
        <w:jc w:val="left"/>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ind w:right="1185" w:firstLine="420"/>
        <w:jc w:val="left"/>
      </w:pPr>
      <w:r>
        <w:rPr>
          <w:w w:val="95"/>
        </w:rPr>
        <w:t>借款存在折价或者溢价的，按照实际利率法确定每一会计期间应摊销的折价或者溢价金额，调整每期</w:t>
      </w:r>
      <w:r>
        <w:rPr>
          <w:w w:val="99"/>
        </w:rPr>
        <w:t> </w:t>
      </w:r>
      <w:r>
        <w:rPr/>
        <w:t>利息金额。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27、生物资产" w:id="201"/>
      <w:bookmarkEnd w:id="201"/>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28、油气资产" w:id="202"/>
      <w:bookmarkEnd w:id="202"/>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9、使用权资产" w:id="203"/>
      <w:bookmarkEnd w:id="203"/>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30、无形资产" w:id="204"/>
      <w:bookmarkEnd w:id="204"/>
      <w:r>
        <w:rPr>
          <w:b w:val="0"/>
          <w:bCs w:val="0"/>
        </w:rPr>
      </w:r>
      <w:r>
        <w:rPr>
          <w:rFonts w:ascii="Times New Roman" w:hAnsi="Times New Roman" w:cs="Times New Roman" w:eastAsia="Times New Roman" w:hint="default"/>
        </w:rPr>
        <w:t>30</w:t>
      </w:r>
      <w:r>
        <w:rPr/>
        <w:t>、无形资产</w:t>
      </w:r>
      <w:r>
        <w:rPr>
          <w:b w:val="0"/>
          <w:bCs w:val="0"/>
        </w:rPr>
      </w:r>
    </w:p>
    <w:p>
      <w:pPr>
        <w:spacing w:line="590" w:lineRule="atLeast" w:before="24"/>
        <w:ind w:left="532" w:right="0" w:hanging="420"/>
        <w:jc w:val="left"/>
        <w:rPr>
          <w:rFonts w:ascii="宋体" w:hAnsi="宋体" w:cs="宋体" w:eastAsia="宋体" w:hint="default"/>
          <w:sz w:val="21"/>
          <w:szCs w:val="21"/>
        </w:rPr>
      </w:pPr>
      <w:bookmarkStart w:name="（1）计价方法、使用寿命、减值测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w w:val="95"/>
          <w:sz w:val="21"/>
          <w:szCs w:val="21"/>
        </w:rPr>
        <w:t>无形资产是指本公司拥有或者控制的没有实物形态的可辨认非货币性资产，包括土地使用权、计算机</w:t>
      </w:r>
      <w:r>
        <w:rPr>
          <w:rFonts w:ascii="宋体" w:hAnsi="宋体" w:cs="宋体" w:eastAsia="宋体" w:hint="default"/>
          <w:sz w:val="21"/>
          <w:szCs w:val="21"/>
        </w:rPr>
      </w:r>
    </w:p>
    <w:p>
      <w:pPr>
        <w:spacing w:line="273" w:lineRule="auto" w:before="37"/>
        <w:ind w:left="112" w:right="6344" w:firstLine="0"/>
        <w:jc w:val="left"/>
        <w:rPr>
          <w:rFonts w:ascii="宋体" w:hAnsi="宋体" w:cs="宋体" w:eastAsia="宋体" w:hint="default"/>
          <w:sz w:val="21"/>
          <w:szCs w:val="21"/>
        </w:rPr>
      </w:pPr>
      <w:r>
        <w:rPr>
          <w:rFonts w:ascii="宋体" w:hAnsi="宋体" w:cs="宋体" w:eastAsia="宋体" w:hint="default"/>
          <w:sz w:val="21"/>
          <w:szCs w:val="21"/>
        </w:rPr>
        <w:t>软件、特许权、商标、专有技术、客户关系等。</w:t>
      </w:r>
      <w:r>
        <w:rPr>
          <w:rFonts w:ascii="宋体" w:hAnsi="宋体" w:cs="宋体" w:eastAsia="宋体" w:hint="default"/>
          <w:w w:val="99"/>
          <w:sz w:val="21"/>
          <w:szCs w:val="21"/>
        </w:rPr>
        <w:t> </w:t>
      </w:r>
      <w:r>
        <w:rPr>
          <w:rFonts w:ascii="宋体" w:hAnsi="宋体" w:cs="宋体" w:eastAsia="宋体" w:hint="default"/>
          <w:b/>
          <w:bCs/>
          <w:sz w:val="21"/>
          <w:szCs w:val="21"/>
        </w:rPr>
        <w:t>无形资产的初始计量</w:t>
      </w:r>
      <w:r>
        <w:rPr>
          <w:rFonts w:ascii="宋体" w:hAnsi="宋体" w:cs="宋体" w:eastAsia="宋体" w:hint="default"/>
          <w:sz w:val="21"/>
          <w:szCs w:val="21"/>
        </w:rPr>
      </w:r>
    </w:p>
    <w:p>
      <w:pPr>
        <w:pStyle w:val="BodyText"/>
        <w:spacing w:line="273" w:lineRule="auto"/>
        <w:ind w:left="472" w:right="1135" w:firstLine="420"/>
        <w:jc w:val="both"/>
      </w:pPr>
      <w:r>
        <w:rPr/>
        <w:t>外购无形资产的成本，包括购买价款、相关税费以及直接归属于使该项资产达到预定用途所发生</w:t>
      </w:r>
      <w:r>
        <w:rPr>
          <w:w w:val="99"/>
        </w:rPr>
        <w:t> </w:t>
      </w:r>
      <w:r>
        <w:rPr/>
        <w:t>的其他支出。购买无形资产的价款超过正常信用条件延期支付，实质上具有融资性质的，无形资产的</w:t>
      </w:r>
      <w:r>
        <w:rPr>
          <w:spacing w:val="-82"/>
        </w:rPr>
        <w:t> </w:t>
      </w:r>
      <w:r>
        <w:rPr>
          <w:spacing w:val="-82"/>
        </w:rPr>
      </w:r>
      <w:r>
        <w:rPr/>
        <w:t>成本以购买价款的现值为基础确定。</w:t>
      </w:r>
    </w:p>
    <w:p>
      <w:pPr>
        <w:pStyle w:val="BodyText"/>
        <w:spacing w:line="273" w:lineRule="auto"/>
        <w:ind w:left="472" w:right="1135" w:firstLine="420"/>
        <w:jc w:val="both"/>
      </w:pPr>
      <w:r>
        <w:rPr/>
        <w:t>债务重组取得债务人用以抵债的无形资产，以该无形资产的公允价值为基础确定其入账价值，并</w:t>
      </w:r>
      <w:r>
        <w:rPr>
          <w:w w:val="99"/>
        </w:rPr>
        <w:t> </w:t>
      </w:r>
      <w:r>
        <w:rPr/>
        <w:t>将重组债务的账面价值与该用以抵债的无形资产公允价值之间的差额，计入当期损益。</w:t>
      </w:r>
    </w:p>
    <w:p>
      <w:pPr>
        <w:pStyle w:val="BodyText"/>
        <w:spacing w:line="273" w:lineRule="auto"/>
        <w:ind w:left="472" w:right="1135" w:firstLine="420"/>
        <w:jc w:val="both"/>
      </w:pPr>
      <w:r>
        <w:rPr/>
        <w:t>在非货币性资产交换具备商业实质且换入资产或换出资产的公允价值能够可靠计量的前提下，非</w:t>
      </w:r>
      <w:r>
        <w:rPr>
          <w:w w:val="99"/>
        </w:rPr>
        <w:t> </w:t>
      </w:r>
      <w:r>
        <w:rPr/>
        <w:t>货币性资产交换换入的无形资产以换出资产的公允价值为基础确定其入账价值，除非有确凿证据表明</w:t>
      </w:r>
      <w:r>
        <w:rPr>
          <w:spacing w:val="-82"/>
        </w:rPr>
        <w:t> </w:t>
      </w:r>
      <w:r>
        <w:rPr>
          <w:spacing w:val="-82"/>
        </w:rPr>
      </w:r>
      <w:r>
        <w:rPr/>
        <w:t>换入资产的公允价值更加可靠；不满足上述前提的非货币性资产交换，以换出资产的账面价值和应支</w:t>
      </w:r>
      <w:r>
        <w:rPr>
          <w:spacing w:val="-82"/>
        </w:rPr>
        <w:t> </w:t>
      </w:r>
      <w:r>
        <w:rPr>
          <w:spacing w:val="-82"/>
        </w:rPr>
      </w:r>
      <w:r>
        <w:rPr/>
        <w:t>付的相关税费作为换入无形资产的成本，不确认损益。</w:t>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472" w:right="1135" w:firstLine="420"/>
        <w:jc w:val="both"/>
      </w:pPr>
      <w:r>
        <w:rPr/>
        <w:t>以同一控制下的企业吸收合并方式取得的无形资产按被合并方的账面价值确定其入账价值；以非</w:t>
      </w:r>
      <w:r>
        <w:rPr>
          <w:w w:val="99"/>
        </w:rPr>
        <w:t> </w:t>
      </w:r>
      <w:r>
        <w:rPr/>
        <w:t>同一控制下的企业吸收合并方式取得的无形资产按公允价值确定其入账价值。</w:t>
      </w:r>
    </w:p>
    <w:p>
      <w:pPr>
        <w:pStyle w:val="BodyText"/>
        <w:spacing w:line="273" w:lineRule="auto"/>
        <w:ind w:left="472" w:right="1135" w:firstLine="420"/>
        <w:jc w:val="both"/>
      </w:pPr>
      <w:r>
        <w:rPr/>
        <w:t>内部自行开发的无形资产，其成本包括：开发该无形资产时耗用的材料、劳务成本、注册费、在</w:t>
      </w:r>
      <w:r>
        <w:rPr>
          <w:w w:val="99"/>
        </w:rPr>
        <w:t> </w:t>
      </w:r>
      <w:r>
        <w:rPr/>
        <w:t>开发过程中使用的其他专利权和特许权的摊销以及满足资本化条件的利息费用，以及为使该无形资产</w:t>
      </w:r>
      <w:r>
        <w:rPr>
          <w:spacing w:val="-82"/>
        </w:rPr>
        <w:t> </w:t>
      </w:r>
      <w:r>
        <w:rPr>
          <w:spacing w:val="-82"/>
        </w:rPr>
      </w:r>
      <w:r>
        <w:rPr/>
        <w:t>达到预定用途前所发生的其他直接费用。</w:t>
      </w:r>
    </w:p>
    <w:p>
      <w:pPr>
        <w:pStyle w:val="BodyText"/>
        <w:spacing w:line="273" w:lineRule="auto"/>
        <w:ind w:left="532" w:right="1185" w:hanging="420"/>
        <w:jc w:val="left"/>
      </w:pPr>
      <w:r>
        <w:rPr>
          <w:rFonts w:ascii="宋体" w:hAnsi="宋体" w:cs="宋体" w:eastAsia="宋体" w:hint="default"/>
          <w:b/>
          <w:bCs/>
        </w:rPr>
        <w:t>无形资产的后续计量</w:t>
      </w:r>
      <w:r>
        <w:rPr>
          <w:rFonts w:ascii="宋体" w:hAnsi="宋体" w:cs="宋体" w:eastAsia="宋体" w:hint="default"/>
          <w:b/>
          <w:bCs/>
          <w:w w:val="99"/>
        </w:rPr>
        <w:t> </w:t>
      </w:r>
      <w:r>
        <w:rPr>
          <w:w w:val="95"/>
        </w:rPr>
        <w:t>本公司在取得无形资产时分析判断其使用寿命，划分为使用寿命有限和使用寿命不确定的无形资产。</w:t>
      </w:r>
      <w:r>
        <w:rPr/>
      </w:r>
    </w:p>
    <w:p>
      <w:pPr>
        <w:pStyle w:val="BodyText"/>
        <w:spacing w:line="273" w:lineRule="auto"/>
        <w:ind w:left="532" w:right="0" w:hanging="420"/>
        <w:jc w:val="left"/>
      </w:pPr>
      <w:r>
        <w:rPr/>
        <w:t>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40" w:lineRule="auto"/>
        <w:ind w:right="0"/>
        <w:jc w:val="left"/>
      </w:pPr>
      <w:r>
        <w:rPr/>
        <w:t>资产预计寿命及依据如下：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694"/>
        <w:gridCol w:w="2835"/>
        <w:gridCol w:w="2693"/>
      </w:tblGrid>
      <w:tr>
        <w:trPr>
          <w:trHeight w:val="354" w:hRule="exact"/>
        </w:trPr>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6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3" w:right="0"/>
              <w:jc w:val="center"/>
              <w:rPr>
                <w:rFonts w:ascii="宋体" w:hAnsi="宋体" w:cs="宋体" w:eastAsia="宋体" w:hint="default"/>
                <w:sz w:val="18"/>
                <w:szCs w:val="18"/>
              </w:rPr>
            </w:pPr>
            <w:r>
              <w:rPr>
                <w:rFonts w:ascii="宋体" w:hAnsi="宋体" w:cs="宋体" w:eastAsia="宋体" w:hint="default"/>
                <w:sz w:val="18"/>
                <w:szCs w:val="18"/>
              </w:rPr>
              <w:t>依  据</w:t>
            </w:r>
          </w:p>
        </w:tc>
      </w:tr>
      <w:tr>
        <w:trPr>
          <w:trHeight w:val="36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708"/>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相关权证上注明的使用期限</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353" w:right="0"/>
              <w:jc w:val="center"/>
              <w:rPr>
                <w:rFonts w:ascii="宋体" w:hAnsi="宋体" w:cs="宋体" w:eastAsia="宋体" w:hint="default"/>
                <w:sz w:val="18"/>
                <w:szCs w:val="18"/>
              </w:rPr>
            </w:pPr>
            <w:r>
              <w:rPr>
                <w:rFonts w:ascii="宋体" w:hAnsi="宋体" w:cs="宋体" w:eastAsia="宋体" w:hint="default"/>
                <w:sz w:val="18"/>
                <w:szCs w:val="18"/>
              </w:rPr>
              <w:t>可使用期限</w:t>
            </w:r>
          </w:p>
        </w:tc>
      </w:tr>
      <w:tr>
        <w:trPr>
          <w:trHeight w:val="36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6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3-10</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354" w:right="0"/>
              <w:jc w:val="center"/>
              <w:rPr>
                <w:rFonts w:ascii="宋体" w:hAnsi="宋体" w:cs="宋体" w:eastAsia="宋体" w:hint="default"/>
                <w:sz w:val="18"/>
                <w:szCs w:val="18"/>
              </w:rPr>
            </w:pPr>
            <w:r>
              <w:rPr>
                <w:rFonts w:ascii="宋体"/>
                <w:sz w:val="18"/>
              </w:rPr>
              <w:t>--</w:t>
            </w:r>
          </w:p>
        </w:tc>
      </w:tr>
      <w:tr>
        <w:trPr>
          <w:trHeight w:val="36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249"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5</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354" w:right="0"/>
              <w:jc w:val="center"/>
              <w:rPr>
                <w:rFonts w:ascii="宋体" w:hAnsi="宋体" w:cs="宋体" w:eastAsia="宋体" w:hint="default"/>
                <w:sz w:val="18"/>
                <w:szCs w:val="18"/>
              </w:rPr>
            </w:pPr>
            <w:r>
              <w:rPr>
                <w:rFonts w:ascii="宋体"/>
                <w:sz w:val="18"/>
              </w:rPr>
              <w:t>--</w:t>
            </w:r>
          </w:p>
        </w:tc>
      </w:tr>
      <w:tr>
        <w:trPr>
          <w:trHeight w:val="36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61"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353"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797"/>
              <w:jc w:val="right"/>
              <w:rPr>
                <w:rFonts w:ascii="宋体" w:hAnsi="宋体" w:cs="宋体" w:eastAsia="宋体" w:hint="default"/>
                <w:sz w:val="18"/>
                <w:szCs w:val="18"/>
              </w:rPr>
            </w:pPr>
            <w:r>
              <w:rPr>
                <w:rFonts w:ascii="宋体" w:hAnsi="宋体" w:cs="宋体" w:eastAsia="宋体" w:hint="default"/>
                <w:sz w:val="18"/>
                <w:szCs w:val="18"/>
              </w:rPr>
              <w:t>专有技术</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353"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797"/>
              <w:jc w:val="right"/>
              <w:rPr>
                <w:rFonts w:ascii="宋体" w:hAnsi="宋体" w:cs="宋体" w:eastAsia="宋体" w:hint="default"/>
                <w:sz w:val="18"/>
                <w:szCs w:val="18"/>
              </w:rPr>
            </w:pPr>
            <w:r>
              <w:rPr>
                <w:rFonts w:ascii="宋体" w:hAnsi="宋体" w:cs="宋体" w:eastAsia="宋体" w:hint="default"/>
                <w:sz w:val="18"/>
                <w:szCs w:val="18"/>
              </w:rPr>
              <w:t>客户关系</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5-8</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353"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7"/>
        <w:rPr>
          <w:rFonts w:ascii="宋体" w:hAnsi="宋体" w:cs="宋体" w:eastAsia="宋体" w:hint="default"/>
          <w:sz w:val="5"/>
          <w:szCs w:val="5"/>
        </w:rPr>
      </w:pPr>
    </w:p>
    <w:p>
      <w:pPr>
        <w:pStyle w:val="BodyText"/>
        <w:spacing w:line="273" w:lineRule="auto" w:before="34"/>
        <w:ind w:right="0" w:firstLine="420"/>
        <w:jc w:val="left"/>
      </w:pPr>
      <w:r>
        <w:rPr>
          <w:w w:val="95"/>
        </w:rPr>
        <w:t>每期末，对使用寿命有限的无形资产的使用寿命及摊销方法进行复核，如与原先估计数存在差异的，</w:t>
      </w:r>
      <w:r>
        <w:rPr>
          <w:spacing w:val="-79"/>
          <w:w w:val="95"/>
        </w:rPr>
        <w:t> </w:t>
      </w:r>
      <w:r>
        <w:rPr>
          <w:spacing w:val="-79"/>
          <w:w w:val="95"/>
        </w:rPr>
      </w:r>
      <w:r>
        <w:rPr/>
        <w:t>进行相应的调整。</w:t>
      </w:r>
    </w:p>
    <w:p>
      <w:pPr>
        <w:pStyle w:val="BodyText"/>
        <w:spacing w:line="273" w:lineRule="auto"/>
        <w:ind w:left="532" w:right="1185" w:hanging="420"/>
        <w:jc w:val="left"/>
      </w:pPr>
      <w:r>
        <w:rPr/>
        <w:t>2.使用寿命不确定的无形资产</w:t>
      </w:r>
      <w:r>
        <w:rPr>
          <w:w w:val="99"/>
        </w:rPr>
        <w:t> </w:t>
      </w:r>
      <w:r>
        <w:rPr/>
        <w:t>无法预见无形资产为企业带来经济利益期限的，视为使用寿命不确定的无形资产。</w:t>
      </w:r>
      <w:r>
        <w:rPr>
          <w:w w:val="99"/>
        </w:rPr>
        <w:t> </w:t>
      </w:r>
      <w:r>
        <w:rPr>
          <w:w w:val="95"/>
        </w:rPr>
        <w:t>对于使用寿命不确定的无形资产，在持有期间内不摊销，每期末对无形资产的寿命进行复核。如果期</w:t>
      </w:r>
      <w:r>
        <w:rPr/>
      </w:r>
    </w:p>
    <w:p>
      <w:pPr>
        <w:pStyle w:val="BodyText"/>
        <w:spacing w:line="240" w:lineRule="auto"/>
        <w:ind w:right="0"/>
        <w:jc w:val="left"/>
      </w:pPr>
      <w:r>
        <w:rPr/>
        <w:t>末重新复核后仍为不确定的，在每个会计期间继续进行减值测试。</w:t>
      </w:r>
    </w:p>
    <w:p>
      <w:pPr>
        <w:spacing w:line="240" w:lineRule="auto" w:before="10"/>
        <w:rPr>
          <w:rFonts w:ascii="宋体" w:hAnsi="宋体" w:cs="宋体" w:eastAsia="宋体" w:hint="default"/>
          <w:sz w:val="26"/>
          <w:szCs w:val="26"/>
        </w:rPr>
      </w:pPr>
    </w:p>
    <w:p>
      <w:pPr>
        <w:pStyle w:val="Heading6"/>
        <w:spacing w:line="590" w:lineRule="atLeast"/>
        <w:ind w:right="2654"/>
        <w:jc w:val="left"/>
        <w:rPr>
          <w:b w:val="0"/>
          <w:bCs w:val="0"/>
        </w:rPr>
      </w:pPr>
      <w:bookmarkStart w:name="（2）内部研究开发支出会计政策" w:id="206"/>
      <w:bookmarkEnd w:id="206"/>
      <w:r>
        <w:rPr>
          <w:b w:val="0"/>
          <w:bCs w:val="0"/>
        </w:rPr>
      </w:r>
      <w:r>
        <w:rPr/>
        <w:t>（</w:t>
      </w:r>
      <w:r>
        <w:rPr>
          <w:rFonts w:ascii="Times New Roman" w:hAnsi="Times New Roman" w:cs="Times New Roman" w:eastAsia="Times New Roman" w:hint="default"/>
        </w:rPr>
        <w:t>2</w:t>
      </w:r>
      <w:r>
        <w:rPr/>
        <w:t>）内部研究开发支出会计政策</w:t>
      </w:r>
      <w:r>
        <w:rPr>
          <w:w w:val="99"/>
        </w:rPr>
        <w:t> </w:t>
      </w:r>
      <w:r>
        <w:rPr>
          <w:w w:val="95"/>
        </w:rPr>
        <w:t>划分公司内部研究开发项目的研究阶段和开发阶段具体标准</w:t>
      </w:r>
      <w:r>
        <w:rPr>
          <w:b w:val="0"/>
          <w:bCs w:val="0"/>
        </w:rPr>
      </w:r>
    </w:p>
    <w:p>
      <w:pPr>
        <w:pStyle w:val="BodyText"/>
        <w:spacing w:line="273" w:lineRule="auto" w:before="37"/>
        <w:ind w:left="892" w:right="0"/>
        <w:jc w:val="left"/>
      </w:pPr>
      <w:r>
        <w:rPr>
          <w:spacing w:val="-1"/>
          <w:w w:val="95"/>
        </w:rPr>
        <w:t>研究阶段：为获取并理解新的科学或技术知识等而进行的独创性的有计划调查、研究活动的阶段。</w:t>
      </w:r>
      <w:r>
        <w:rPr>
          <w:spacing w:val="9"/>
          <w:w w:val="95"/>
        </w:rPr>
        <w:t> </w:t>
      </w:r>
      <w:r>
        <w:rPr>
          <w:spacing w:val="9"/>
          <w:w w:val="95"/>
        </w:rPr>
      </w:r>
      <w:r>
        <w:rPr/>
        <w:t>开发阶段：在进行商业性生产或使用前，将研究成果或其他知识应用于某项计划或设计，以生产</w:t>
      </w:r>
    </w:p>
    <w:p>
      <w:pPr>
        <w:pStyle w:val="BodyText"/>
        <w:spacing w:line="273" w:lineRule="auto"/>
        <w:ind w:left="892" w:right="0" w:hanging="420"/>
        <w:jc w:val="left"/>
      </w:pPr>
      <w:r>
        <w:rPr/>
        <w:t>出新的或具有实质性改进的材料、装置、产品等活动的阶段。</w:t>
      </w:r>
      <w:r>
        <w:rPr>
          <w:w w:val="99"/>
        </w:rPr>
        <w:t> </w:t>
      </w:r>
      <w:r>
        <w:rPr>
          <w:w w:val="95"/>
        </w:rPr>
        <w:t>内部研究开发项目研究阶段的支出，在发生时计入当期损益。</w:t>
      </w:r>
      <w:r>
        <w:rPr/>
      </w:r>
    </w:p>
    <w:p>
      <w:pPr>
        <w:spacing w:line="273" w:lineRule="auto" w:before="7"/>
        <w:ind w:left="532" w:right="1185" w:hanging="420"/>
        <w:jc w:val="left"/>
        <w:rPr>
          <w:rFonts w:ascii="宋体" w:hAnsi="宋体" w:cs="宋体" w:eastAsia="宋体" w:hint="default"/>
          <w:sz w:val="21"/>
          <w:szCs w:val="21"/>
        </w:rPr>
      </w:pP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w w:val="95"/>
          <w:sz w:val="21"/>
          <w:szCs w:val="21"/>
        </w:rPr>
        <w:t>内部研究开发项目开发阶段的支出，同时满足下列条件时确认为无形资产：</w:t>
      </w:r>
      <w:r>
        <w:rPr>
          <w:rFonts w:ascii="宋体" w:hAnsi="宋体" w:cs="宋体" w:eastAsia="宋体" w:hint="default"/>
          <w:sz w:val="21"/>
          <w:szCs w:val="21"/>
        </w:rPr>
      </w:r>
    </w:p>
    <w:p>
      <w:pPr>
        <w:pStyle w:val="BodyText"/>
        <w:spacing w:line="240" w:lineRule="auto"/>
        <w:ind w:left="532" w:right="0"/>
        <w:jc w:val="left"/>
      </w:pPr>
      <w:r>
        <w:rPr/>
        <w:t>（1）完成该无形资产以使其能够使用或出售在技术上具有可行性；</w:t>
      </w:r>
    </w:p>
    <w:p>
      <w:pPr>
        <w:pStyle w:val="BodyText"/>
        <w:spacing w:line="240" w:lineRule="auto" w:before="37"/>
        <w:ind w:left="532" w:right="0"/>
        <w:jc w:val="left"/>
      </w:pPr>
      <w:r>
        <w:rPr/>
        <w:t>（2）具有完成该无形资产并使用或出售的意图；</w:t>
      </w:r>
    </w:p>
    <w:p>
      <w:pPr>
        <w:pStyle w:val="BodyText"/>
        <w:spacing w:line="273" w:lineRule="auto" w:before="37"/>
        <w:ind w:right="0" w:firstLine="420"/>
        <w:jc w:val="left"/>
      </w:pPr>
      <w:r>
        <w:rPr>
          <w:spacing w:val="2"/>
          <w:w w:val="95"/>
        </w:rPr>
        <w:t>（3）无形资产产生经济利益的方式，包括能够证明运用该无形资产生产的产品存在市场或无形资产</w:t>
      </w:r>
      <w:r>
        <w:rPr>
          <w:spacing w:val="-84"/>
          <w:w w:val="95"/>
        </w:rPr>
        <w:t> </w:t>
      </w:r>
      <w:r>
        <w:rPr>
          <w:spacing w:val="-84"/>
          <w:w w:val="95"/>
        </w:rPr>
      </w:r>
      <w:r>
        <w:rPr/>
        <w:t>自身存在市场，无形资产将在内部使用的，能够证明其有用性；</w:t>
      </w:r>
    </w:p>
    <w:p>
      <w:pPr>
        <w:pStyle w:val="BodyText"/>
        <w:spacing w:line="273" w:lineRule="auto"/>
        <w:ind w:right="1185" w:firstLine="420"/>
        <w:jc w:val="left"/>
      </w:pPr>
      <w:r>
        <w:rPr>
          <w:spacing w:val="2"/>
          <w:w w:val="95"/>
        </w:rPr>
        <w:t>（4）有足够的技术、财务资源和其他资源支持，以完成该无形资产的开发，并有能力使用或出售该</w:t>
      </w:r>
      <w:r>
        <w:rPr>
          <w:spacing w:val="-84"/>
          <w:w w:val="95"/>
        </w:rPr>
        <w:t> </w:t>
      </w:r>
      <w:r>
        <w:rPr>
          <w:spacing w:val="-84"/>
          <w:w w:val="95"/>
        </w:rPr>
      </w:r>
      <w:r>
        <w:rPr/>
        <w:t>无形资产；</w:t>
      </w:r>
    </w:p>
    <w:p>
      <w:pPr>
        <w:pStyle w:val="BodyText"/>
        <w:spacing w:line="273" w:lineRule="auto"/>
        <w:ind w:left="532" w:right="0"/>
        <w:jc w:val="left"/>
      </w:pPr>
      <w:r>
        <w:rPr/>
        <w:t>（5）归属于该无形资产开发阶段的支出能够可靠地计量。</w:t>
      </w:r>
      <w:r>
        <w:rPr>
          <w:w w:val="99"/>
        </w:rPr>
        <w:t> </w:t>
      </w:r>
      <w:r>
        <w:rPr>
          <w:w w:val="95"/>
        </w:rPr>
        <w:t>不满足上述条件的开发阶段的支出，于发生时计入当期损益。以前期间已计入损益的开发支出不在以</w:t>
      </w:r>
      <w:r>
        <w:rPr/>
      </w:r>
    </w:p>
    <w:p>
      <w:pPr>
        <w:pStyle w:val="BodyText"/>
        <w:spacing w:line="240" w:lineRule="auto"/>
        <w:ind w:right="0"/>
        <w:jc w:val="left"/>
      </w:pPr>
      <w:r>
        <w:rPr/>
        <w:t>后期间重新确认为资产。已资本化的开发阶段的支出在资产负债表上列示为开发支出，自该项目达到预定</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40" w:lineRule="auto" w:before="34"/>
        <w:ind w:right="0"/>
        <w:jc w:val="left"/>
      </w:pPr>
      <w:r>
        <w:rPr/>
        <w:t>用途之日起转为无形资产。</w:t>
      </w:r>
    </w:p>
    <w:p>
      <w:pPr>
        <w:spacing w:line="240" w:lineRule="auto" w:before="10"/>
        <w:rPr>
          <w:rFonts w:ascii="宋体" w:hAnsi="宋体" w:cs="宋体" w:eastAsia="宋体" w:hint="default"/>
          <w:sz w:val="26"/>
          <w:szCs w:val="26"/>
        </w:rPr>
      </w:pPr>
    </w:p>
    <w:p>
      <w:pPr>
        <w:pStyle w:val="BodyText"/>
        <w:spacing w:line="590" w:lineRule="atLeast" w:before="0"/>
        <w:ind w:left="532" w:right="1185" w:hanging="420"/>
        <w:jc w:val="left"/>
      </w:pPr>
      <w:bookmarkStart w:name="31、长期资产减值" w:id="207"/>
      <w:bookmarkEnd w:id="207"/>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99"/>
        </w:rPr>
        <w:t> </w:t>
      </w:r>
      <w:r>
        <w:rPr>
          <w:w w:val="95"/>
        </w:rPr>
        <w:t>本公司在资产负债表日判断长期资产是否存在可能发生减值的迹象。如果长期资产存在减值迹象的，</w:t>
      </w:r>
      <w:r>
        <w:rPr/>
      </w:r>
    </w:p>
    <w:p>
      <w:pPr>
        <w:pStyle w:val="BodyText"/>
        <w:spacing w:line="273" w:lineRule="auto" w:before="37"/>
        <w:ind w:right="0"/>
        <w:jc w:val="left"/>
      </w:pPr>
      <w:r>
        <w:rPr>
          <w:w w:val="95"/>
        </w:rPr>
        <w:t>以单项资产为基础估计其可收回金额；难以对单项资产的可收回金额进行估计的，以该资产所属的资产组</w:t>
      </w:r>
      <w:r>
        <w:rPr>
          <w:spacing w:val="37"/>
          <w:w w:val="95"/>
        </w:rPr>
        <w:t> </w:t>
      </w:r>
      <w:r>
        <w:rPr>
          <w:spacing w:val="37"/>
          <w:w w:val="95"/>
        </w:rPr>
      </w:r>
      <w:r>
        <w:rPr/>
        <w:t>为基础确定资产组的可收回金额。</w:t>
      </w:r>
    </w:p>
    <w:p>
      <w:pPr>
        <w:pStyle w:val="BodyText"/>
        <w:spacing w:line="273" w:lineRule="auto"/>
        <w:ind w:right="1132" w:firstLine="420"/>
        <w:jc w:val="both"/>
      </w:pPr>
      <w:r>
        <w:rPr>
          <w:w w:val="95"/>
        </w:rPr>
        <w:t>资产可收回金额的估计，根据其公允价值减去处置费用后的净额与资产预计未来现金流量的现值两者</w:t>
      </w:r>
      <w:r>
        <w:rPr>
          <w:w w:val="99"/>
        </w:rPr>
        <w:t> </w:t>
      </w:r>
      <w:r>
        <w:rPr/>
        <w:t>之间较高者确定。</w:t>
      </w:r>
    </w:p>
    <w:p>
      <w:pPr>
        <w:pStyle w:val="BodyText"/>
        <w:spacing w:line="273" w:lineRule="auto"/>
        <w:ind w:right="1132" w:firstLine="420"/>
        <w:jc w:val="both"/>
      </w:pPr>
      <w:r>
        <w:rPr>
          <w:w w:val="95"/>
        </w:rPr>
        <w:t>可收回金额的计量结果表明，长期资产的可收回金额低于其账面价值的，将长期资产的账面价值减记</w:t>
      </w:r>
      <w:r>
        <w:rPr>
          <w:w w:val="99"/>
        </w:rPr>
        <w:t> </w:t>
      </w:r>
      <w:r>
        <w:rPr>
          <w:w w:val="95"/>
        </w:rPr>
        <w:t>至可收回金额，减记的金额确认为资产减值损失，计入当期损益，同时计提相应的资产减值准备。资产减</w:t>
      </w:r>
      <w:r>
        <w:rPr>
          <w:spacing w:val="42"/>
          <w:w w:val="95"/>
        </w:rPr>
        <w:t> </w:t>
      </w:r>
      <w:r>
        <w:rPr>
          <w:spacing w:val="42"/>
          <w:w w:val="95"/>
        </w:rPr>
      </w:r>
      <w:r>
        <w:rPr/>
        <w:t>值损失一经确认，在以后会计期间不得转回。</w:t>
      </w:r>
    </w:p>
    <w:p>
      <w:pPr>
        <w:pStyle w:val="BodyText"/>
        <w:spacing w:line="273" w:lineRule="auto"/>
        <w:ind w:right="1135" w:firstLine="420"/>
        <w:jc w:val="both"/>
      </w:pPr>
      <w:r>
        <w:rPr>
          <w:w w:val="95"/>
        </w:rPr>
        <w:t>资产减值损失确认后，减值资产的折旧或者摊销费用在未来期间作相应调整，以使该资产在剩余使用</w:t>
      </w:r>
      <w:r>
        <w:rPr>
          <w:w w:val="99"/>
        </w:rPr>
        <w:t> </w:t>
      </w:r>
      <w:r>
        <w:rPr>
          <w:spacing w:val="-4"/>
          <w:w w:val="99"/>
        </w:rPr>
        <w:t>寿命内，系统地分摊调整后的资产账面价值（扣除预计净残值）。</w:t>
      </w:r>
      <w:r>
        <w:rPr>
          <w:spacing w:val="-4"/>
        </w:rPr>
      </w:r>
    </w:p>
    <w:p>
      <w:pPr>
        <w:pStyle w:val="BodyText"/>
        <w:spacing w:line="240" w:lineRule="auto"/>
        <w:ind w:left="532" w:right="0"/>
        <w:jc w:val="left"/>
      </w:pPr>
      <w:r>
        <w:rPr/>
        <w:t>因企业合并所形成的商誉和使用寿命不确定的无形资产，无论是否存在减值迹象，每年都进行减值测</w:t>
      </w:r>
    </w:p>
    <w:p>
      <w:pPr>
        <w:pStyle w:val="BodyText"/>
        <w:spacing w:line="273" w:lineRule="auto" w:before="37"/>
        <w:ind w:right="1185"/>
        <w:jc w:val="left"/>
      </w:pPr>
      <w:r>
        <w:rPr/>
        <w:t>试。</w:t>
      </w:r>
      <w:r>
        <w:rPr>
          <w:w w:val="99"/>
        </w:rPr>
        <w:t> </w:t>
      </w:r>
      <w:r>
        <w:rPr>
          <w:w w:val="95"/>
        </w:rPr>
        <w:t>在对商誉进行减值测试时，将商誉的账面价值分摊至预期从企业合并的协同效应中受益的资产组或资产组</w:t>
      </w:r>
      <w:r>
        <w:rPr>
          <w:spacing w:val="37"/>
          <w:w w:val="95"/>
        </w:rPr>
        <w:t> </w:t>
      </w:r>
      <w:r>
        <w:rPr>
          <w:spacing w:val="37"/>
          <w:w w:val="95"/>
        </w:rPr>
      </w:r>
      <w:r>
        <w:rPr>
          <w:w w:val="95"/>
        </w:rPr>
        <w:t>组合。在对包含商誉的相关资产组或者资产组组合进行减值测试时，如与商誉相关的资产组或者资产组组</w:t>
      </w:r>
      <w:r>
        <w:rPr>
          <w:spacing w:val="37"/>
          <w:w w:val="95"/>
        </w:rPr>
        <w:t> </w:t>
      </w:r>
      <w:r>
        <w:rPr>
          <w:spacing w:val="37"/>
          <w:w w:val="95"/>
        </w:rPr>
      </w:r>
      <w:r>
        <w:rPr>
          <w:w w:val="95"/>
        </w:rPr>
        <w:t>合存在减值迹象的，先对不包含商誉的资产组或者资产组组合进行减值测试，计算可收回金额，并与相关</w:t>
      </w:r>
      <w:r>
        <w:rPr>
          <w:spacing w:val="37"/>
          <w:w w:val="95"/>
        </w:rPr>
        <w:t> </w:t>
      </w:r>
      <w:r>
        <w:rPr>
          <w:spacing w:val="37"/>
          <w:w w:val="95"/>
        </w:rPr>
      </w:r>
      <w:r>
        <w:rPr>
          <w:w w:val="95"/>
        </w:rPr>
        <w:t>账面价值相比较，确认相应的减值损失。再对包含商誉的资产组或者资产组组合进行减值测试，比较这些</w:t>
      </w:r>
      <w:r>
        <w:rPr>
          <w:spacing w:val="37"/>
          <w:w w:val="95"/>
        </w:rPr>
        <w:t> </w:t>
      </w:r>
      <w:r>
        <w:rPr>
          <w:spacing w:val="37"/>
          <w:w w:val="95"/>
        </w:rPr>
      </w:r>
      <w:r>
        <w:rPr>
          <w:w w:val="95"/>
        </w:rPr>
        <w:t>相关资产组或者资产组组合的账面价值（包括所分摊的商誉的账面价值部分）与其可收回金额，如相关资</w:t>
      </w:r>
      <w:r>
        <w:rPr>
          <w:spacing w:val="37"/>
          <w:w w:val="95"/>
        </w:rPr>
        <w:t> </w:t>
      </w:r>
      <w:r>
        <w:rPr>
          <w:spacing w:val="37"/>
          <w:w w:val="95"/>
        </w:rPr>
      </w:r>
      <w:r>
        <w:rPr/>
        <w:t>产组或者资产组组合的可收回金额低于其账面价值的，确认商誉的减值损失。</w:t>
      </w:r>
    </w:p>
    <w:p>
      <w:pPr>
        <w:spacing w:line="240" w:lineRule="auto" w:before="9"/>
        <w:rPr>
          <w:rFonts w:ascii="宋体" w:hAnsi="宋体" w:cs="宋体" w:eastAsia="宋体" w:hint="default"/>
          <w:sz w:val="24"/>
          <w:szCs w:val="24"/>
        </w:rPr>
      </w:pPr>
    </w:p>
    <w:p>
      <w:pPr>
        <w:pStyle w:val="BodyText"/>
        <w:spacing w:line="590" w:lineRule="atLeast" w:before="0"/>
        <w:ind w:left="324" w:right="1185" w:hanging="212"/>
        <w:jc w:val="left"/>
      </w:pPr>
      <w:bookmarkStart w:name="32、长期待摊费用" w:id="208"/>
      <w:bookmarkEnd w:id="208"/>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99"/>
        </w:rPr>
        <w:t> </w:t>
      </w:r>
      <w:r>
        <w:rPr>
          <w:w w:val="95"/>
        </w:rPr>
        <w:t>长期待摊费用，是指本公司已经发生但应由本期和以后各期负担的分摊期限在1年以上的各项费用，以</w:t>
      </w:r>
      <w:r>
        <w:rPr/>
      </w:r>
    </w:p>
    <w:p>
      <w:pPr>
        <w:pStyle w:val="BodyText"/>
        <w:spacing w:line="273" w:lineRule="auto" w:before="37"/>
        <w:ind w:right="0"/>
        <w:jc w:val="left"/>
      </w:pPr>
      <w:r>
        <w:rPr>
          <w:w w:val="95"/>
        </w:rPr>
        <w:t>及本公司共同经营利益份额中确认的单独所持有的资产，具体为共同经营项目系统建设成本。长期待摊费</w:t>
      </w:r>
      <w:r>
        <w:rPr>
          <w:spacing w:val="40"/>
          <w:w w:val="95"/>
        </w:rPr>
        <w:t> </w:t>
      </w:r>
      <w:r>
        <w:rPr>
          <w:spacing w:val="40"/>
          <w:w w:val="95"/>
        </w:rPr>
      </w:r>
      <w:r>
        <w:rPr/>
        <w:t>用在受益期内按直线法分期摊销。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33、合同负债" w:id="209"/>
      <w:bookmarkEnd w:id="209"/>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34、职工薪酬" w:id="210"/>
      <w:bookmarkEnd w:id="210"/>
      <w:r>
        <w:rPr>
          <w:b w:val="0"/>
          <w:bCs w:val="0"/>
        </w:rPr>
      </w:r>
      <w:r>
        <w:rPr>
          <w:rFonts w:ascii="Times New Roman" w:hAnsi="Times New Roman" w:cs="Times New Roman" w:eastAsia="Times New Roman" w:hint="default"/>
        </w:rPr>
        <w:t>34</w:t>
      </w:r>
      <w:r>
        <w:rPr/>
        <w:t>、职工薪酬</w:t>
      </w:r>
      <w:r>
        <w:rPr>
          <w:b w:val="0"/>
          <w:bCs w:val="0"/>
        </w:rPr>
      </w:r>
    </w:p>
    <w:p>
      <w:pPr>
        <w:spacing w:line="590" w:lineRule="atLeast" w:before="24"/>
        <w:ind w:left="532" w:right="1132" w:hanging="420"/>
        <w:jc w:val="left"/>
        <w:rPr>
          <w:rFonts w:ascii="宋体" w:hAnsi="宋体" w:cs="宋体" w:eastAsia="宋体" w:hint="default"/>
          <w:sz w:val="21"/>
          <w:szCs w:val="21"/>
        </w:rPr>
      </w:pPr>
      <w:bookmarkStart w:name="（1）短期薪酬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短期薪酬是指本公司在职工提供相关服务的年度报告期间结束后十二个月内需要全部予以支付的职</w:t>
      </w:r>
    </w:p>
    <w:p>
      <w:pPr>
        <w:pStyle w:val="BodyText"/>
        <w:spacing w:line="273" w:lineRule="auto" w:before="37"/>
        <w:ind w:right="1025"/>
        <w:jc w:val="left"/>
      </w:pPr>
      <w:r>
        <w:rPr>
          <w:spacing w:val="-3"/>
        </w:rPr>
        <w:t>工薪酬，离职后福利和辞退福利除外。本公司在职工提供服务的会计期间，将应付的短期薪酬确认为负债，</w:t>
      </w:r>
      <w:r>
        <w:rPr>
          <w:w w:val="99"/>
        </w:rPr>
        <w:t> </w:t>
      </w:r>
      <w:r>
        <w:rPr/>
        <w:t>并根据职工提供服务的受益对象计入相关资产成本和费用。</w:t>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离职后福利的会计处理方法" w:id="212"/>
      <w:bookmarkEnd w:id="21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w w:val="95"/>
        </w:rPr>
        <w:t>离职后福利是指本公司为获得职工提供的服务而在职工退休或与企业解除劳动关系后，提供的各种形</w:t>
      </w:r>
      <w:r>
        <w:rPr>
          <w:w w:val="99"/>
        </w:rPr>
        <w:t> </w:t>
      </w:r>
      <w:r>
        <w:rPr/>
        <w:t>式的报酬和福利，短期薪酬和辞退福利除外。</w:t>
      </w:r>
    </w:p>
    <w:p>
      <w:pPr>
        <w:pStyle w:val="BodyText"/>
        <w:spacing w:line="273" w:lineRule="auto"/>
        <w:ind w:left="532" w:right="0"/>
        <w:jc w:val="left"/>
      </w:pPr>
      <w:r>
        <w:rPr/>
        <w:t>本公司的离职后福利计划全部为设定提存计划。</w:t>
      </w:r>
      <w:r>
        <w:rPr>
          <w:w w:val="99"/>
        </w:rPr>
        <w:t> </w:t>
      </w:r>
      <w:r>
        <w:rPr>
          <w:w w:val="95"/>
        </w:rPr>
        <w:t>离职后福利设定提存计划主要为参加由各地劳动及社会保障机构组织实施的社会基本养老保险、失业</w:t>
      </w:r>
      <w:r>
        <w:rPr/>
      </w:r>
    </w:p>
    <w:p>
      <w:pPr>
        <w:pStyle w:val="BodyText"/>
        <w:spacing w:line="273" w:lineRule="auto"/>
        <w:ind w:right="0"/>
        <w:jc w:val="left"/>
      </w:pPr>
      <w:r>
        <w:rPr>
          <w:w w:val="95"/>
        </w:rPr>
        <w:t>保险等。在职工为本公司提供服务的会计期间，将根据设定提存计划计算的应缴存金额确认为负债，并计</w:t>
      </w:r>
      <w:r>
        <w:rPr>
          <w:spacing w:val="43"/>
          <w:w w:val="95"/>
        </w:rPr>
        <w:t> </w:t>
      </w:r>
      <w:r>
        <w:rPr>
          <w:spacing w:val="43"/>
          <w:w w:val="95"/>
        </w:rPr>
      </w:r>
      <w:r>
        <w:rPr/>
        <w:t>入当期损益或相关资产成本。</w:t>
      </w:r>
    </w:p>
    <w:p>
      <w:pPr>
        <w:pStyle w:val="BodyText"/>
        <w:spacing w:line="240" w:lineRule="auto"/>
        <w:ind w:left="532" w:right="0"/>
        <w:jc w:val="left"/>
      </w:pPr>
      <w:r>
        <w:rPr/>
        <w:t>本公司按照国家规定的标准定期缴付上述款项后，不再有其他的支付义务。</w:t>
      </w:r>
    </w:p>
    <w:p>
      <w:pPr>
        <w:spacing w:line="240" w:lineRule="auto" w:before="12"/>
        <w:rPr>
          <w:rFonts w:ascii="宋体" w:hAnsi="宋体" w:cs="宋体" w:eastAsia="宋体" w:hint="default"/>
          <w:sz w:val="26"/>
          <w:szCs w:val="26"/>
        </w:rPr>
      </w:pPr>
    </w:p>
    <w:p>
      <w:pPr>
        <w:spacing w:line="590" w:lineRule="atLeast" w:before="0"/>
        <w:ind w:left="532" w:right="0" w:hanging="420"/>
        <w:jc w:val="left"/>
        <w:rPr>
          <w:rFonts w:ascii="宋体" w:hAnsi="宋体" w:cs="宋体" w:eastAsia="宋体" w:hint="default"/>
          <w:sz w:val="21"/>
          <w:szCs w:val="21"/>
        </w:rPr>
      </w:pPr>
      <w:bookmarkStart w:name="（3）辞退福利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辞退福利是指本公司在职工劳动合同到期之前解除与职工的劳动关系，或者为鼓励职工自愿接受裁减</w:t>
      </w:r>
      <w:r>
        <w:rPr>
          <w:rFonts w:ascii="宋体" w:hAnsi="宋体" w:cs="宋体" w:eastAsia="宋体" w:hint="default"/>
          <w:sz w:val="21"/>
          <w:szCs w:val="21"/>
        </w:rPr>
      </w:r>
    </w:p>
    <w:p>
      <w:pPr>
        <w:pStyle w:val="BodyText"/>
        <w:spacing w:line="273" w:lineRule="auto" w:before="37"/>
        <w:ind w:right="1185"/>
        <w:jc w:val="left"/>
      </w:pPr>
      <w:r>
        <w:rPr>
          <w:w w:val="95"/>
        </w:rPr>
        <w:t>而给予职工的补偿，在本公司不能单方面撤回解除劳动关系计划或裁减建议时和确认与涉及支付辞退福利</w:t>
      </w:r>
      <w:r>
        <w:rPr>
          <w:spacing w:val="39"/>
          <w:w w:val="95"/>
        </w:rPr>
        <w:t> </w:t>
      </w:r>
      <w:r>
        <w:rPr>
          <w:spacing w:val="39"/>
          <w:w w:val="95"/>
        </w:rPr>
      </w:r>
      <w:r>
        <w:rPr>
          <w:w w:val="95"/>
        </w:rPr>
        <w:t>的重组相关的成本费用时两者孰早日，确认因解除与职工的劳动关系给予补偿而产生的负债，同时计入当</w:t>
      </w:r>
      <w:r>
        <w:rPr>
          <w:spacing w:val="40"/>
          <w:w w:val="95"/>
        </w:rPr>
        <w:t> </w:t>
      </w:r>
      <w:r>
        <w:rPr>
          <w:spacing w:val="40"/>
          <w:w w:val="95"/>
        </w:rPr>
      </w:r>
      <w:r>
        <w:rPr/>
        <w:t>期损益。</w:t>
      </w:r>
      <w:r>
        <w:rPr>
          <w:w w:val="99"/>
        </w:rPr>
        <w:t> </w:t>
      </w:r>
      <w:r>
        <w:rPr>
          <w:w w:val="95"/>
        </w:rPr>
        <w:t>本公司向接受内部退休安排的职工提供内退福利。内退福利是指，向未达到国家规定的退休年龄、经本公</w:t>
      </w:r>
      <w:r>
        <w:rPr>
          <w:spacing w:val="40"/>
          <w:w w:val="95"/>
        </w:rPr>
        <w:t> </w:t>
      </w:r>
      <w:r>
        <w:rPr>
          <w:spacing w:val="40"/>
          <w:w w:val="95"/>
        </w:rPr>
      </w:r>
      <w:r>
        <w:rPr>
          <w:w w:val="95"/>
        </w:rPr>
        <w:t>司管理层批准自愿退出工作岗位的职工支付的工资及为其缴纳的社会保险费等。本公司自内部退休安排开</w:t>
      </w:r>
      <w:r>
        <w:rPr>
          <w:spacing w:val="39"/>
          <w:w w:val="95"/>
        </w:rPr>
        <w:t> </w:t>
      </w:r>
      <w:r>
        <w:rPr>
          <w:spacing w:val="39"/>
          <w:w w:val="95"/>
        </w:rPr>
      </w:r>
      <w:r>
        <w:rPr>
          <w:w w:val="95"/>
        </w:rPr>
        <w:t>始之日起至职工达到正常退休年龄止，向内退职工支付内部退养福利。对于内退福利，本公司比照辞退福</w:t>
      </w:r>
      <w:r>
        <w:rPr>
          <w:spacing w:val="37"/>
          <w:w w:val="95"/>
        </w:rPr>
        <w:t> </w:t>
      </w:r>
      <w:r>
        <w:rPr>
          <w:spacing w:val="37"/>
          <w:w w:val="95"/>
        </w:rPr>
      </w:r>
      <w:r>
        <w:rPr>
          <w:w w:val="95"/>
        </w:rPr>
        <w:t>利进行会计处理，在符合辞退福利相关确认条件时，将自职工停止提供服务日至正常退休日期间拟支付的</w:t>
      </w:r>
      <w:r>
        <w:rPr>
          <w:spacing w:val="40"/>
          <w:w w:val="95"/>
        </w:rPr>
        <w:t> </w:t>
      </w:r>
      <w:r>
        <w:rPr>
          <w:spacing w:val="40"/>
          <w:w w:val="95"/>
        </w:rPr>
      </w:r>
      <w:r>
        <w:rPr>
          <w:w w:val="95"/>
        </w:rPr>
        <w:t>内退职工工资和缴纳的社会保险费等，确认为负债，一次性计入当期损益。内退福利的精算假设变化及福</w:t>
      </w:r>
      <w:r>
        <w:rPr>
          <w:spacing w:val="37"/>
          <w:w w:val="95"/>
        </w:rPr>
        <w:t> </w:t>
      </w:r>
      <w:r>
        <w:rPr>
          <w:spacing w:val="37"/>
          <w:w w:val="95"/>
        </w:rPr>
      </w:r>
      <w:r>
        <w:rPr/>
        <w:t>利标准调整引起的差异于发生时计入当期损益。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4）其他长期职工福利的会计处理方法" w:id="214"/>
      <w:bookmarkEnd w:id="21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0"/>
        <w:jc w:val="left"/>
      </w:pP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73" w:lineRule="auto"/>
        <w:ind w:right="1132"/>
        <w:jc w:val="both"/>
      </w:pPr>
      <w:r>
        <w:rPr>
          <w:w w:val="95"/>
        </w:rPr>
        <w:t>确认为负债，并计入当期损益或相关资产成本；除上述情形外的其他长期职工福利，在资产负债表日使用</w:t>
      </w:r>
      <w:r>
        <w:rPr>
          <w:spacing w:val="40"/>
          <w:w w:val="95"/>
        </w:rPr>
        <w:t> </w:t>
      </w:r>
      <w:r>
        <w:rPr>
          <w:spacing w:val="40"/>
          <w:w w:val="95"/>
        </w:rPr>
      </w:r>
      <w:r>
        <w:rPr>
          <w:w w:val="95"/>
        </w:rPr>
        <w:t>预期累计福利单位法进行精算，将设定受益计划产生的福利义务归属于职工提供服务的期间，并计入当期</w:t>
      </w:r>
      <w:r>
        <w:rPr>
          <w:spacing w:val="40"/>
          <w:w w:val="95"/>
        </w:rPr>
        <w:t> </w:t>
      </w:r>
      <w:r>
        <w:rPr>
          <w:spacing w:val="40"/>
          <w:w w:val="95"/>
        </w:rPr>
      </w:r>
      <w:r>
        <w:rPr/>
        <w:t>损益或相关资产成本。</w:t>
      </w: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bookmarkStart w:name="35、租赁负债" w:id="215"/>
      <w:bookmarkEnd w:id="215"/>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36、预计负债" w:id="216"/>
      <w:bookmarkEnd w:id="216"/>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3554" w:hanging="420"/>
        <w:jc w:val="left"/>
      </w:pPr>
      <w:r>
        <w:rPr>
          <w:rFonts w:ascii="宋体" w:hAnsi="宋体" w:cs="宋体" w:eastAsia="宋体" w:hint="default"/>
          <w:b/>
          <w:bCs/>
        </w:rPr>
        <w:t>1.预计负债的确认标准</w:t>
      </w:r>
      <w:r>
        <w:rPr>
          <w:rFonts w:ascii="宋体" w:hAnsi="宋体" w:cs="宋体" w:eastAsia="宋体" w:hint="default"/>
          <w:b/>
          <w:bCs/>
          <w:w w:val="99"/>
        </w:rPr>
        <w:t> </w:t>
      </w:r>
      <w:r>
        <w:rPr>
          <w:w w:val="95"/>
        </w:rPr>
        <w:t>与或有事项相关的义务同时满足下列条件时，本公司确认为预计负债：</w:t>
      </w:r>
      <w:r>
        <w:rPr>
          <w:w w:val="99"/>
        </w:rPr>
        <w:t> </w:t>
      </w:r>
      <w:r>
        <w:rPr/>
        <w:t>该义务是本公司承担的现时义务；</w:t>
      </w:r>
      <w:r>
        <w:rPr>
          <w:w w:val="99"/>
        </w:rPr>
        <w:t> </w:t>
      </w:r>
      <w:r>
        <w:rPr/>
        <w:t>履行该义务很可能导致经济利益流出本公司；</w:t>
      </w:r>
      <w:r>
        <w:rPr>
          <w:w w:val="99"/>
        </w:rPr>
        <w:t> </w:t>
      </w:r>
      <w:r>
        <w:rPr/>
        <w:t>该义务的金额能够可靠地计量。</w:t>
      </w:r>
    </w:p>
    <w:p>
      <w:pPr>
        <w:spacing w:line="273" w:lineRule="auto" w:before="7"/>
        <w:ind w:left="532" w:right="2654" w:hanging="420"/>
        <w:jc w:val="left"/>
        <w:rPr>
          <w:rFonts w:ascii="宋体" w:hAnsi="宋体" w:cs="宋体" w:eastAsia="宋体" w:hint="default"/>
          <w:sz w:val="21"/>
          <w:szCs w:val="21"/>
        </w:rPr>
      </w:pPr>
      <w:r>
        <w:rPr>
          <w:rFonts w:ascii="宋体" w:hAnsi="宋体" w:cs="宋体" w:eastAsia="宋体" w:hint="default"/>
          <w:b/>
          <w:bCs/>
          <w:sz w:val="21"/>
          <w:szCs w:val="21"/>
        </w:rPr>
        <w:t>2.预计负债的计量方法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本公司预计负债按履行相关现时义务所需的支出的最佳估计数进行初始计量。</w:t>
      </w:r>
      <w:r>
        <w:rPr>
          <w:rFonts w:ascii="宋体" w:hAnsi="宋体" w:cs="宋体" w:eastAsia="宋体" w:hint="default"/>
          <w:sz w:val="21"/>
          <w:szCs w:val="21"/>
        </w:rPr>
      </w:r>
    </w:p>
    <w:p>
      <w:pPr>
        <w:pStyle w:val="BodyText"/>
        <w:spacing w:line="240" w:lineRule="auto"/>
        <w:ind w:left="532" w:right="0"/>
        <w:jc w:val="left"/>
      </w:pPr>
      <w:r>
        <w:rPr/>
        <w:t>本公司在确定最佳估计数时，综合考虑与或有事项有关的风险、不确定性和货币时间价值等因素。对</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532" w:right="1120" w:hanging="420"/>
        <w:jc w:val="left"/>
      </w:pPr>
      <w:r>
        <w:rPr/>
        <w:t>于货币时间价值影响重大的，通过对相关未来现金流出进行折现后确定最佳估计数。</w:t>
      </w:r>
      <w:r>
        <w:rPr>
          <w:w w:val="99"/>
        </w:rPr>
        <w:t> </w:t>
      </w:r>
      <w:r>
        <w:rPr/>
        <w:t>最佳估计数分别以下情况处理：</w:t>
      </w:r>
      <w:r>
        <w:rPr>
          <w:w w:val="99"/>
        </w:rPr>
        <w:t> 所需支出存在一个连续范围（或区间），且该范围内各种结果发生的可能性相同的，则最佳估计数按</w:t>
      </w:r>
      <w:r>
        <w:rPr/>
      </w:r>
    </w:p>
    <w:p>
      <w:pPr>
        <w:pStyle w:val="BodyText"/>
        <w:spacing w:line="273" w:lineRule="auto"/>
        <w:ind w:left="532" w:right="0" w:hanging="420"/>
        <w:jc w:val="left"/>
      </w:pPr>
      <w:r>
        <w:rPr/>
        <w:t>照该范围的中间值即上下限金额的平均数确定。</w:t>
      </w:r>
      <w:r>
        <w:rPr>
          <w:w w:val="99"/>
        </w:rPr>
        <w:t> 所需支出不存在一个连续范围（或区间），或虽然存在一个连续范围但该范围内各种结果发生的可能</w:t>
      </w:r>
      <w:r>
        <w:rPr/>
      </w:r>
    </w:p>
    <w:p>
      <w:pPr>
        <w:pStyle w:val="BodyText"/>
        <w:spacing w:line="273" w:lineRule="auto"/>
        <w:ind w:right="0"/>
        <w:jc w:val="left"/>
      </w:pP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pStyle w:val="BodyText"/>
        <w:spacing w:line="273" w:lineRule="auto"/>
        <w:ind w:right="1132" w:firstLine="420"/>
        <w:jc w:val="both"/>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line="240" w:lineRule="auto" w:before="6"/>
        <w:rPr>
          <w:rFonts w:ascii="宋体" w:hAnsi="宋体" w:cs="宋体" w:eastAsia="宋体" w:hint="default"/>
          <w:sz w:val="24"/>
          <w:szCs w:val="24"/>
        </w:rPr>
      </w:pPr>
    </w:p>
    <w:p>
      <w:pPr>
        <w:pStyle w:val="Heading6"/>
        <w:spacing w:line="590" w:lineRule="atLeast"/>
        <w:ind w:right="9278"/>
        <w:jc w:val="left"/>
        <w:rPr>
          <w:b w:val="0"/>
          <w:bCs w:val="0"/>
        </w:rPr>
      </w:pPr>
      <w:bookmarkStart w:name="37、股份支付" w:id="217"/>
      <w:bookmarkEnd w:id="217"/>
      <w:r>
        <w:rPr>
          <w:b w:val="0"/>
          <w:bCs w:val="0"/>
        </w:rPr>
      </w:r>
      <w:r>
        <w:rPr>
          <w:rFonts w:ascii="Times New Roman" w:hAnsi="Times New Roman" w:cs="Times New Roman" w:eastAsia="Times New Roman" w:hint="default"/>
        </w:rPr>
        <w:t>37</w:t>
      </w:r>
      <w:r>
        <w:rPr/>
        <w:t>、股份支付</w:t>
      </w:r>
      <w:r>
        <w:rPr>
          <w:w w:val="99"/>
        </w:rPr>
        <w:t> </w:t>
      </w:r>
      <w:r>
        <w:rPr/>
        <w:t>股份支付的种类</w:t>
      </w:r>
      <w:r>
        <w:rPr>
          <w:b w:val="0"/>
          <w:bCs w:val="0"/>
        </w:rPr>
      </w:r>
    </w:p>
    <w:p>
      <w:pPr>
        <w:spacing w:line="273" w:lineRule="auto" w:before="37"/>
        <w:ind w:left="112" w:right="1185" w:firstLine="780"/>
        <w:jc w:val="left"/>
        <w:rPr>
          <w:rFonts w:ascii="宋体" w:hAnsi="宋体" w:cs="宋体" w:eastAsia="宋体" w:hint="default"/>
          <w:sz w:val="21"/>
          <w:szCs w:val="21"/>
        </w:rPr>
      </w:pPr>
      <w:r>
        <w:rPr>
          <w:rFonts w:ascii="宋体" w:hAnsi="宋体" w:cs="宋体" w:eastAsia="宋体" w:hint="default"/>
          <w:w w:val="95"/>
          <w:sz w:val="21"/>
          <w:szCs w:val="21"/>
        </w:rPr>
        <w:t>本公司的股份支付分为以权益结算的股份支付和以现金结算的股份支付。</w:t>
      </w:r>
      <w:r>
        <w:rPr>
          <w:rFonts w:ascii="宋体" w:hAnsi="宋体" w:cs="宋体" w:eastAsia="宋体" w:hint="default"/>
          <w:w w:val="99"/>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273" w:lineRule="auto"/>
        <w:ind w:left="472" w:right="1135" w:firstLine="420"/>
        <w:jc w:val="both"/>
      </w:pPr>
      <w:r>
        <w:rPr/>
        <w:t>对于授予的存在活跃市场的期权等权益工具，按照活跃市场中的报价确定其公允价值。对于授予</w:t>
      </w:r>
      <w:r>
        <w:rPr>
          <w:w w:val="99"/>
        </w:rPr>
        <w:t> </w:t>
      </w:r>
      <w:r>
        <w:rPr/>
        <w:t>的不存在活跃市场的期权等权益工具，采用期权定价模型等确定其公允价值，选用的期权定价模型考</w:t>
      </w:r>
      <w:r>
        <w:rPr>
          <w:spacing w:val="-82"/>
        </w:rPr>
        <w:t> </w:t>
      </w:r>
      <w:r>
        <w:rPr>
          <w:spacing w:val="-82"/>
        </w:rPr>
      </w:r>
      <w:r>
        <w:rPr>
          <w:spacing w:val="-8"/>
          <w:w w:val="99"/>
        </w:rPr>
        <w:t>虑以下因素：（1）期权的行权价格；（2）期权的有效期；（3）标的股份的现行价格；（4）股价预计波</w:t>
      </w:r>
      <w:r>
        <w:rPr>
          <w:spacing w:val="-73"/>
          <w:w w:val="99"/>
        </w:rPr>
        <w:t> </w:t>
      </w:r>
      <w:r>
        <w:rPr>
          <w:spacing w:val="-73"/>
          <w:w w:val="99"/>
        </w:rPr>
      </w:r>
      <w:r>
        <w:rPr>
          <w:spacing w:val="-7"/>
          <w:w w:val="99"/>
        </w:rPr>
        <w:t>动率；（5）股份的预计股利；（6）期权有效期内的无风险利率。</w:t>
      </w:r>
      <w:r>
        <w:rPr>
          <w:spacing w:val="-7"/>
        </w:rPr>
      </w:r>
    </w:p>
    <w:p>
      <w:pPr>
        <w:pStyle w:val="BodyText"/>
        <w:spacing w:line="273" w:lineRule="auto"/>
        <w:ind w:left="472" w:right="1135" w:firstLine="420"/>
        <w:jc w:val="both"/>
      </w:pPr>
      <w:r>
        <w:rPr/>
        <w:t>在确定权益工具授予日的公允价值时，考虑股份支付协议规定的可行权条件中的市场条件和非可</w:t>
      </w:r>
      <w:r>
        <w:rPr>
          <w:w w:val="99"/>
        </w:rPr>
        <w:t> </w:t>
      </w:r>
      <w:r>
        <w:rPr/>
        <w:t>行权条件的影响。股份支付存在非可行权条件的，只要职工或其他方满足了所有可行权条件中的非市</w:t>
      </w:r>
      <w:r>
        <w:rPr>
          <w:spacing w:val="-82"/>
        </w:rPr>
        <w:t> </w:t>
      </w:r>
      <w:r>
        <w:rPr>
          <w:spacing w:val="-82"/>
        </w:rPr>
      </w:r>
      <w:r>
        <w:rPr>
          <w:spacing w:val="-4"/>
          <w:w w:val="99"/>
        </w:rPr>
        <w:t>场条件（如服务期限等），即确认已得到服务相对应的成本费用。</w:t>
      </w:r>
      <w:r>
        <w:rPr>
          <w:spacing w:val="-4"/>
        </w:rPr>
      </w:r>
    </w:p>
    <w:p>
      <w:pPr>
        <w:spacing w:line="273" w:lineRule="auto" w:before="7"/>
        <w:ind w:left="892" w:right="0" w:hanging="780"/>
        <w:jc w:val="left"/>
        <w:rPr>
          <w:rFonts w:ascii="宋体" w:hAnsi="宋体" w:cs="宋体" w:eastAsia="宋体" w:hint="default"/>
          <w:sz w:val="21"/>
          <w:szCs w:val="21"/>
        </w:rPr>
      </w:pP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z w:val="21"/>
          <w:szCs w:val="21"/>
        </w:rPr>
        <w:t>等待期内每个资产负债表日，根据最新取得的可行权职工人数变动等后续信息作出最佳估计，修</w:t>
      </w:r>
    </w:p>
    <w:p>
      <w:pPr>
        <w:pStyle w:val="BodyText"/>
        <w:spacing w:line="273" w:lineRule="auto"/>
        <w:ind w:right="1185" w:firstLine="360"/>
        <w:jc w:val="left"/>
        <w:rPr>
          <w:rFonts w:ascii="宋体" w:hAnsi="宋体" w:cs="宋体" w:eastAsia="宋体" w:hint="default"/>
        </w:rPr>
      </w:pPr>
      <w:r>
        <w:rPr>
          <w:spacing w:val="-1"/>
          <w:w w:val="95"/>
        </w:rPr>
        <w:t>正预计可行权的权益工具数量。在可行权日，最终预计可行权权益工具的数量与实际可行权数量一致。</w:t>
      </w:r>
      <w:r>
        <w:rPr>
          <w:spacing w:val="-30"/>
          <w:w w:val="95"/>
        </w:rPr>
        <w:t> </w:t>
      </w:r>
      <w:r>
        <w:rPr>
          <w:spacing w:val="-30"/>
          <w:w w:val="95"/>
        </w:rPr>
      </w:r>
      <w:r>
        <w:rPr>
          <w:rFonts w:ascii="宋体" w:hAnsi="宋体" w:cs="宋体" w:eastAsia="宋体" w:hint="default"/>
          <w:b/>
          <w:bCs/>
        </w:rPr>
        <w:t>会计处理方法</w:t>
      </w:r>
      <w:r>
        <w:rPr>
          <w:rFonts w:ascii="宋体" w:hAnsi="宋体" w:cs="宋体" w:eastAsia="宋体" w:hint="default"/>
        </w:rPr>
      </w:r>
    </w:p>
    <w:p>
      <w:pPr>
        <w:pStyle w:val="BodyText"/>
        <w:spacing w:line="273" w:lineRule="auto"/>
        <w:ind w:right="1130" w:firstLine="420"/>
        <w:jc w:val="both"/>
      </w:pPr>
      <w:r>
        <w:rPr>
          <w:w w:val="95"/>
        </w:rPr>
        <w:t>以权益结算的股份支付，按授予职工权益工具的公允价值计量。授予后立即可行权的，在授予日按照</w:t>
      </w:r>
      <w:r>
        <w:rPr>
          <w:spacing w:val="-97"/>
          <w:w w:val="95"/>
        </w:rPr>
        <w:t> </w:t>
      </w:r>
      <w:r>
        <w:rPr>
          <w:spacing w:val="-97"/>
          <w:w w:val="95"/>
        </w:rPr>
      </w:r>
      <w:r>
        <w:rPr>
          <w:w w:val="95"/>
        </w:rPr>
        <w:t>权益工具的公允价值计入相关成本或费用，相应增加资本公积。在完成等待期内的服务或达到规定业绩条</w:t>
      </w:r>
      <w:r>
        <w:rPr>
          <w:spacing w:val="37"/>
          <w:w w:val="95"/>
        </w:rPr>
        <w:t> </w:t>
      </w:r>
      <w:r>
        <w:rPr>
          <w:spacing w:val="37"/>
          <w:w w:val="95"/>
        </w:rPr>
      </w:r>
      <w:r>
        <w:rPr>
          <w:w w:val="95"/>
        </w:rPr>
        <w:t>件才可行权的，在等待期内的每个资产负债表日，以对可行权权益工具数量的最佳估计为基础，按照权益</w:t>
      </w:r>
      <w:r>
        <w:rPr>
          <w:spacing w:val="43"/>
          <w:w w:val="95"/>
        </w:rPr>
        <w:t> </w:t>
      </w:r>
      <w:r>
        <w:rPr>
          <w:spacing w:val="43"/>
          <w:w w:val="95"/>
        </w:rPr>
      </w:r>
      <w:r>
        <w:rPr>
          <w:w w:val="95"/>
        </w:rPr>
        <w:t>工具授予日的公允价值，将当期取得的服务计入相关成本或费用和资本公积。在可行权日之后不再对已确</w:t>
      </w:r>
      <w:r>
        <w:rPr>
          <w:spacing w:val="37"/>
          <w:w w:val="95"/>
        </w:rPr>
        <w:t> </w:t>
      </w:r>
      <w:r>
        <w:rPr>
          <w:spacing w:val="37"/>
          <w:w w:val="95"/>
        </w:rPr>
      </w:r>
      <w:r>
        <w:rPr/>
        <w:t>认的相关成本或费用和所有者权益总额进行调整。</w:t>
      </w:r>
    </w:p>
    <w:p>
      <w:pPr>
        <w:pStyle w:val="BodyText"/>
        <w:spacing w:line="273" w:lineRule="auto"/>
        <w:ind w:right="1025" w:firstLine="420"/>
        <w:jc w:val="left"/>
      </w:pPr>
      <w:r>
        <w:rPr/>
        <w:t>以现金结算的股份支付，按照本公司承担的以股份或其他权益工具为基础计算确定的负债的公允价值</w:t>
      </w:r>
      <w:r>
        <w:rPr>
          <w:w w:val="99"/>
        </w:rPr>
        <w:t> </w:t>
      </w:r>
      <w:r>
        <w:rPr>
          <w:spacing w:val="-3"/>
        </w:rPr>
        <w:t>计量。授予后立即可行权的，在授予日以本公司承担负债的公允价值计入相关成本或费用，相应增加负债。</w:t>
      </w:r>
      <w:r>
        <w:rPr>
          <w:w w:val="99"/>
        </w:rPr>
        <w:t> </w:t>
      </w:r>
      <w:r>
        <w:rPr/>
        <w:t>在完成等待期内的服务或达到规定业绩条件以后才可行权的以现金结算的股份支付，在等待期内的每个资</w:t>
      </w:r>
      <w:r>
        <w:rPr>
          <w:w w:val="99"/>
        </w:rPr>
        <w:t> </w:t>
      </w:r>
      <w:r>
        <w:rPr/>
        <w:t>产负债表日，以对可行权情况的最佳估计为基础，按照本公司承担负债的公允价值金额，将当期取得的服</w:t>
      </w:r>
      <w:r>
        <w:rPr>
          <w:w w:val="99"/>
        </w:rPr>
        <w:t> </w:t>
      </w:r>
      <w:r>
        <w:rPr/>
        <w:t>务计入成本或费用和相应的负债。在相关负债结算前的每个资产负债表日以及结算日，对负债的公允价值</w:t>
      </w:r>
      <w:r>
        <w:rPr>
          <w:w w:val="99"/>
        </w:rPr>
        <w:t> </w:t>
      </w:r>
      <w:r>
        <w:rPr/>
        <w:t>重新计量，其变动计入当期损益。</w:t>
      </w:r>
    </w:p>
    <w:p>
      <w:pPr>
        <w:pStyle w:val="BodyText"/>
        <w:spacing w:line="273" w:lineRule="auto"/>
        <w:ind w:right="1132" w:firstLine="420"/>
        <w:jc w:val="both"/>
      </w:pPr>
      <w:r>
        <w:rPr>
          <w:w w:val="95"/>
        </w:rPr>
        <w:t>若在等待期内取消了授予的权益工具，本公司对取消所授予的权益性工具作为加速行权处理，将剩余</w:t>
      </w:r>
      <w:r>
        <w:rPr>
          <w:w w:val="99"/>
        </w:rPr>
        <w:t> </w:t>
      </w:r>
      <w:r>
        <w:rPr>
          <w:w w:val="95"/>
        </w:rPr>
        <w:t>等待期内应确认的金额立即计入当期损益，同时确认资本公积。职工或其他方能够选择满足非可行权条件</w:t>
      </w:r>
      <w:r>
        <w:rPr>
          <w:spacing w:val="37"/>
          <w:w w:val="95"/>
        </w:rPr>
        <w:t> </w:t>
      </w:r>
      <w:r>
        <w:rPr>
          <w:spacing w:val="37"/>
          <w:w w:val="95"/>
        </w:rPr>
      </w:r>
      <w:r>
        <w:rPr/>
        <w:t>但在等待期内未满足的，本公司将其作为授予权益工具的取消处理。</w:t>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8、优先股、永续债等其他金融工具" w:id="218"/>
      <w:bookmarkEnd w:id="218"/>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0"/>
        <w:jc w:val="both"/>
      </w:pPr>
      <w:r>
        <w:rPr>
          <w:w w:val="95"/>
        </w:rPr>
        <w:t>本公司按照金融工具准则的规定，根据所发行优先股、永续债等金融工具的合同条款及其所反映的经</w:t>
      </w:r>
      <w:r>
        <w:rPr>
          <w:w w:val="99"/>
        </w:rPr>
        <w:t> </w:t>
      </w:r>
      <w:r>
        <w:rPr>
          <w:w w:val="95"/>
        </w:rPr>
        <w:t>济实质而非仅以法律形式，结合金融负债和权益工具的定义，在初始确认时将该金融工具或其组成部分分</w:t>
      </w:r>
      <w:r>
        <w:rPr>
          <w:spacing w:val="40"/>
          <w:w w:val="95"/>
        </w:rPr>
        <w:t> </w:t>
      </w:r>
      <w:r>
        <w:rPr>
          <w:spacing w:val="40"/>
          <w:w w:val="95"/>
        </w:rPr>
      </w:r>
      <w:r>
        <w:rPr/>
        <w:t>类为金融负债或权益工具：</w:t>
      </w:r>
    </w:p>
    <w:p>
      <w:pPr>
        <w:pStyle w:val="Heading6"/>
        <w:spacing w:line="240" w:lineRule="auto" w:before="7"/>
        <w:ind w:right="0"/>
        <w:jc w:val="left"/>
        <w:rPr>
          <w:b w:val="0"/>
          <w:bCs w:val="0"/>
        </w:rPr>
      </w:pPr>
      <w:r>
        <w:rPr/>
        <w:t>符合下列条件之一，将发行的金融工具分类为金融负债：</w:t>
      </w:r>
      <w:r>
        <w:rPr>
          <w:b w:val="0"/>
          <w:bCs w:val="0"/>
        </w:rPr>
      </w:r>
    </w:p>
    <w:p>
      <w:pPr>
        <w:pStyle w:val="BodyText"/>
        <w:spacing w:line="240" w:lineRule="auto" w:before="37"/>
        <w:ind w:left="892" w:right="0"/>
        <w:jc w:val="left"/>
      </w:pPr>
      <w:r>
        <w:rPr/>
        <w:t>（1）向其他方交付现金或其他金融资产的合同义务；</w:t>
      </w:r>
    </w:p>
    <w:p>
      <w:pPr>
        <w:pStyle w:val="BodyText"/>
        <w:spacing w:line="240" w:lineRule="auto" w:before="37"/>
        <w:ind w:left="892" w:right="0"/>
        <w:jc w:val="left"/>
      </w:pPr>
      <w:r>
        <w:rPr/>
        <w:t>（2）在潜在不利条件下，与其他方交换金融资产或金融负债的合同义务；</w:t>
      </w:r>
    </w:p>
    <w:p>
      <w:pPr>
        <w:pStyle w:val="BodyText"/>
        <w:spacing w:line="273" w:lineRule="auto" w:before="37"/>
        <w:ind w:left="472" w:right="1132" w:firstLine="420"/>
        <w:jc w:val="both"/>
      </w:pPr>
      <w:r>
        <w:rPr>
          <w:spacing w:val="-1"/>
          <w:w w:val="95"/>
        </w:rPr>
        <w:t>（3）将来须用或可用企业自身权益工具进行结算的非衍生工具合同，且企业根据该合同将交付可</w:t>
      </w:r>
      <w:r>
        <w:rPr>
          <w:w w:val="99"/>
        </w:rPr>
        <w:t> </w:t>
      </w:r>
      <w:r>
        <w:rPr/>
        <w:t>变数量的自身权益工具；</w:t>
      </w:r>
    </w:p>
    <w:p>
      <w:pPr>
        <w:pStyle w:val="BodyText"/>
        <w:spacing w:line="273" w:lineRule="auto"/>
        <w:ind w:left="472" w:right="1132" w:firstLine="420"/>
        <w:jc w:val="both"/>
      </w:pPr>
      <w:r>
        <w:rPr>
          <w:spacing w:val="-1"/>
          <w:w w:val="95"/>
        </w:rPr>
        <w:t>（4）将来须用或可用企业自身权益工具进行结算的衍生工具合同，但以固定数量的自身权益工具</w:t>
      </w:r>
      <w:r>
        <w:rPr>
          <w:w w:val="99"/>
        </w:rPr>
        <w:t> </w:t>
      </w:r>
      <w:r>
        <w:rPr/>
        <w:t>交换固定金额的现金或其他金融资产的衍生工具合同除外。</w:t>
      </w:r>
    </w:p>
    <w:p>
      <w:pPr>
        <w:pStyle w:val="Heading6"/>
        <w:spacing w:line="240" w:lineRule="auto" w:before="7"/>
        <w:ind w:right="0"/>
        <w:jc w:val="left"/>
        <w:rPr>
          <w:b w:val="0"/>
          <w:bCs w:val="0"/>
        </w:rPr>
      </w:pPr>
      <w:r>
        <w:rPr/>
        <w:t>同时满足下列条件的，将发行的金融工具分类为权益工具：</w:t>
      </w:r>
      <w:r>
        <w:rPr>
          <w:b w:val="0"/>
          <w:bCs w:val="0"/>
        </w:rPr>
      </w:r>
    </w:p>
    <w:p>
      <w:pPr>
        <w:pStyle w:val="BodyText"/>
        <w:spacing w:line="273" w:lineRule="auto" w:before="37"/>
        <w:ind w:left="472" w:right="1132" w:firstLine="420"/>
        <w:jc w:val="both"/>
      </w:pPr>
      <w:r>
        <w:rPr>
          <w:spacing w:val="-1"/>
          <w:w w:val="95"/>
        </w:rPr>
        <w:t>（1）该金融工具不包括交付现金或其他金融资产给其他方，或在潜在不利条件下与其他方交换金</w:t>
      </w:r>
      <w:r>
        <w:rPr>
          <w:w w:val="99"/>
        </w:rPr>
        <w:t> </w:t>
      </w:r>
      <w:r>
        <w:rPr/>
        <w:t>融资产或金融负债的合同义务；</w:t>
      </w:r>
    </w:p>
    <w:p>
      <w:pPr>
        <w:pStyle w:val="BodyText"/>
        <w:spacing w:line="273" w:lineRule="auto"/>
        <w:ind w:left="472" w:right="1132" w:firstLine="420"/>
        <w:jc w:val="both"/>
      </w:pPr>
      <w:r>
        <w:rPr>
          <w:spacing w:val="-1"/>
          <w:w w:val="95"/>
        </w:rPr>
        <w:t>（2）将来须用或可用企业自身权益工具结算该金融工具的，如该金融工具为非衍生工具，不包括</w:t>
      </w:r>
      <w:r>
        <w:rPr>
          <w:w w:val="99"/>
        </w:rPr>
        <w:t> </w:t>
      </w:r>
      <w:r>
        <w:rPr/>
        <w:t>交付可变数量的自身权益工具进行结算的合同义务；如为衍生工具，企业只能通过以固定数量的自身</w:t>
      </w:r>
      <w:r>
        <w:rPr>
          <w:spacing w:val="-82"/>
        </w:rPr>
        <w:t> </w:t>
      </w:r>
      <w:r>
        <w:rPr>
          <w:spacing w:val="-82"/>
        </w:rPr>
      </w:r>
      <w:r>
        <w:rPr/>
        <w:t>权益工具交换固定金额的现金或其他金融资产结算该金融工具。</w:t>
      </w:r>
    </w:p>
    <w:p>
      <w:pPr>
        <w:pStyle w:val="Heading6"/>
        <w:spacing w:line="240" w:lineRule="auto" w:before="8"/>
        <w:ind w:right="0"/>
        <w:jc w:val="left"/>
        <w:rPr>
          <w:b w:val="0"/>
          <w:bCs w:val="0"/>
        </w:rPr>
      </w:pPr>
      <w:r>
        <w:rPr/>
        <w:t>会计处理方法</w:t>
      </w:r>
      <w:r>
        <w:rPr>
          <w:b w:val="0"/>
          <w:bCs w:val="0"/>
        </w:rPr>
      </w:r>
    </w:p>
    <w:p>
      <w:pPr>
        <w:pStyle w:val="BodyText"/>
        <w:spacing w:line="273" w:lineRule="auto" w:before="37"/>
        <w:ind w:right="1112" w:firstLine="420"/>
        <w:jc w:val="both"/>
      </w:pPr>
      <w:r>
        <w:rPr>
          <w:w w:val="95"/>
        </w:rPr>
        <w:t>对于归类为权益工具的金融工具，其利息支出或股利分配都应当作为发行企业的利润分配，其回购、</w:t>
      </w:r>
      <w:r>
        <w:rPr>
          <w:spacing w:val="-79"/>
          <w:w w:val="95"/>
        </w:rPr>
        <w:t> </w:t>
      </w:r>
      <w:r>
        <w:rPr>
          <w:spacing w:val="-79"/>
          <w:w w:val="95"/>
        </w:rPr>
      </w:r>
      <w:r>
        <w:rPr/>
        <w:t>注销等作为权益的变动处理，手续费、佣金等交易费用从权益中扣除；</w:t>
      </w:r>
    </w:p>
    <w:p>
      <w:pPr>
        <w:pStyle w:val="BodyText"/>
        <w:spacing w:line="273" w:lineRule="auto"/>
        <w:ind w:right="1132" w:firstLine="420"/>
        <w:jc w:val="both"/>
      </w:pPr>
      <w:r>
        <w:rPr>
          <w:w w:val="95"/>
        </w:rPr>
        <w:t>对于归类为金融负债的金融工具，其利息支出或股利分配原则上按照借款费用进行处理，其回购或赎</w:t>
      </w:r>
      <w:r>
        <w:rPr>
          <w:w w:val="99"/>
        </w:rPr>
        <w:t> </w:t>
      </w:r>
      <w:r>
        <w:rPr/>
        <w:t>回产生的利得或损失等计入当期损益，手续费、佣金等交易费用计入所发行工具的初始计量金额。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bookmarkStart w:name="39、收入" w:id="219"/>
      <w:bookmarkEnd w:id="219"/>
      <w:r>
        <w:rPr>
          <w:b w:val="0"/>
          <w:bCs w:val="0"/>
        </w:rPr>
      </w: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73" w:lineRule="auto" w:before="78"/>
        <w:ind w:left="892" w:right="0" w:hanging="780"/>
        <w:jc w:val="left"/>
        <w:rPr>
          <w:rFonts w:ascii="宋体" w:hAnsi="宋体" w:cs="宋体" w:eastAsia="宋体" w:hint="default"/>
          <w:sz w:val="21"/>
          <w:szCs w:val="21"/>
        </w:rPr>
      </w:pP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z w:val="21"/>
          <w:szCs w:val="21"/>
        </w:rPr>
        <w:t>公司已将商品所有权上的主要风险和报酬转移给购买方；公司既没有保留与所有权相联系的继续</w:t>
      </w:r>
    </w:p>
    <w:p>
      <w:pPr>
        <w:pStyle w:val="BodyText"/>
        <w:spacing w:line="273" w:lineRule="auto"/>
        <w:ind w:left="472" w:right="0"/>
        <w:jc w:val="left"/>
      </w:pPr>
      <w:r>
        <w:rPr/>
        <w:t>管理权，也没有对已售出的商品实施有效控制；收入的金额能够可靠地计量；相关的经济利益很可能</w:t>
      </w:r>
      <w:r>
        <w:rPr>
          <w:spacing w:val="-82"/>
        </w:rPr>
        <w:t> </w:t>
      </w:r>
      <w:r>
        <w:rPr>
          <w:spacing w:val="-82"/>
        </w:rPr>
      </w:r>
      <w:r>
        <w:rPr/>
        <w:t>流入企业；相关的已发生或将发生的成本能够可靠地计量时，确认商品销售收入实现。</w:t>
      </w:r>
    </w:p>
    <w:p>
      <w:pPr>
        <w:pStyle w:val="BodyText"/>
        <w:spacing w:line="273" w:lineRule="auto"/>
        <w:ind w:left="472" w:right="1135" w:firstLine="420"/>
        <w:jc w:val="both"/>
      </w:pPr>
      <w:r>
        <w:rPr/>
        <w:t>本公司商品销售业务主要包括专项功能软件销售以及外购软硬件销售。不需要安装的商品销售以</w:t>
      </w:r>
      <w:r>
        <w:rPr>
          <w:w w:val="99"/>
        </w:rPr>
        <w:t> </w:t>
      </w:r>
      <w:r>
        <w:rPr/>
        <w:t>产品交付并经购货方签收后确认收入，需要安装调试的商品销售业务在安装调试完成并经购货方验收</w:t>
      </w:r>
      <w:r>
        <w:rPr>
          <w:spacing w:val="-82"/>
        </w:rPr>
        <w:t> </w:t>
      </w:r>
      <w:r>
        <w:rPr>
          <w:spacing w:val="-82"/>
        </w:rPr>
      </w:r>
      <w:r>
        <w:rPr/>
        <w:t>合格后确认收入。</w:t>
      </w:r>
    </w:p>
    <w:p>
      <w:pPr>
        <w:spacing w:line="273" w:lineRule="auto" w:before="7"/>
        <w:ind w:left="892" w:right="0" w:hanging="780"/>
        <w:jc w:val="left"/>
        <w:rPr>
          <w:rFonts w:ascii="宋体" w:hAnsi="宋体" w:cs="宋体" w:eastAsia="宋体" w:hint="default"/>
          <w:sz w:val="21"/>
          <w:szCs w:val="21"/>
        </w:rPr>
      </w:pP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与交易相关的经济利益很可能流入企业，收入的金额能够可靠地计量时，分别下列情况确定让渡</w:t>
      </w:r>
    </w:p>
    <w:p>
      <w:pPr>
        <w:pStyle w:val="BodyText"/>
        <w:spacing w:line="240" w:lineRule="auto"/>
        <w:ind w:left="472" w:right="0"/>
        <w:jc w:val="left"/>
      </w:pPr>
      <w:r>
        <w:rPr/>
        <w:t>资产使用权收入金额：</w:t>
      </w:r>
    </w:p>
    <w:p>
      <w:pPr>
        <w:pStyle w:val="BodyText"/>
        <w:spacing w:line="240" w:lineRule="auto" w:before="37"/>
        <w:ind w:left="892" w:right="0"/>
        <w:jc w:val="left"/>
      </w:pPr>
      <w:r>
        <w:rPr/>
        <w:t>（1）利息收入金额，按照他人使用本企业货币资金的时间和实际利率计算确定。</w:t>
      </w:r>
    </w:p>
    <w:p>
      <w:pPr>
        <w:spacing w:line="273" w:lineRule="auto" w:before="37"/>
        <w:ind w:left="112" w:right="2729" w:firstLine="780"/>
        <w:jc w:val="left"/>
        <w:rPr>
          <w:rFonts w:ascii="宋体" w:hAnsi="宋体" w:cs="宋体" w:eastAsia="宋体" w:hint="default"/>
          <w:sz w:val="21"/>
          <w:szCs w:val="21"/>
        </w:rPr>
      </w:pPr>
      <w:r>
        <w:rPr>
          <w:rFonts w:ascii="宋体" w:hAnsi="宋体" w:cs="宋体" w:eastAsia="宋体" w:hint="default"/>
          <w:sz w:val="21"/>
          <w:szCs w:val="21"/>
        </w:rPr>
        <w:t>（2）使用费收入金额，按照有关合同或协议约定的收费时间和方法计算确定。</w:t>
      </w:r>
      <w:r>
        <w:rPr>
          <w:rFonts w:ascii="宋体" w:hAnsi="宋体" w:cs="宋体" w:eastAsia="宋体" w:hint="default"/>
          <w:w w:val="99"/>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sz w:val="21"/>
          <w:szCs w:val="21"/>
        </w:rPr>
      </w:r>
    </w:p>
    <w:p>
      <w:pPr>
        <w:pStyle w:val="BodyText"/>
        <w:spacing w:line="273" w:lineRule="auto"/>
        <w:ind w:right="1130" w:firstLine="420"/>
        <w:jc w:val="both"/>
      </w:pPr>
      <w:r>
        <w:rPr>
          <w:w w:val="95"/>
        </w:rPr>
        <w:t>本公司提供劳务收入主要包括：技术开发收入、技术服务收入。本公司在资产负债表日提供劳务交易</w:t>
      </w:r>
      <w:r>
        <w:rPr>
          <w:spacing w:val="-97"/>
          <w:w w:val="95"/>
        </w:rPr>
        <w:t> </w:t>
      </w:r>
      <w:r>
        <w:rPr>
          <w:spacing w:val="-97"/>
          <w:w w:val="95"/>
        </w:rPr>
      </w:r>
      <w:r>
        <w:rPr/>
        <w:t>的结果能够可靠估计的，采用完工百分比法确认劳务收入。具体方法如下：</w:t>
      </w:r>
    </w:p>
    <w:p>
      <w:pPr>
        <w:pStyle w:val="BodyText"/>
        <w:spacing w:line="240" w:lineRule="auto"/>
        <w:ind w:left="532" w:right="0"/>
        <w:jc w:val="left"/>
      </w:pPr>
      <w:r>
        <w:rPr/>
        <w:t>（1）技术开发收入</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12" w:firstLine="420"/>
        <w:jc w:val="both"/>
      </w:pPr>
      <w:r>
        <w:rPr>
          <w:w w:val="95"/>
        </w:rPr>
        <w:t>本公司技术开发收入是指根据与用户签订的技术开发、技术转让合同，对用户的业务进行充分实地调</w:t>
      </w:r>
      <w:r>
        <w:rPr>
          <w:w w:val="99"/>
        </w:rPr>
        <w:t> </w:t>
      </w:r>
      <w:r>
        <w:rPr>
          <w:w w:val="95"/>
        </w:rPr>
        <w:t>查，并根据用户的实际需求进行专门的软件设计与开发，由此开发出来的软件不具有通用性。公司技术开</w:t>
      </w:r>
      <w:r>
        <w:rPr>
          <w:spacing w:val="40"/>
          <w:w w:val="95"/>
        </w:rPr>
        <w:t> </w:t>
      </w:r>
      <w:r>
        <w:rPr>
          <w:spacing w:val="40"/>
          <w:w w:val="95"/>
        </w:rPr>
      </w:r>
      <w:r>
        <w:rPr>
          <w:w w:val="95"/>
        </w:rPr>
        <w:t>发业务一般包括需求分析、客户化开发、系统环境测试、上线推广、维护等阶段。定制化技术开发，本公</w:t>
      </w:r>
      <w:r>
        <w:rPr>
          <w:spacing w:val="43"/>
          <w:w w:val="95"/>
        </w:rPr>
        <w:t> </w:t>
      </w:r>
      <w:r>
        <w:rPr>
          <w:spacing w:val="43"/>
          <w:w w:val="95"/>
        </w:rPr>
      </w:r>
      <w:r>
        <w:rPr>
          <w:w w:val="95"/>
        </w:rPr>
        <w:t>司在完成系统环境测试验收后，根据具体合同约定的工作阶段，在取得客户的验收文件并获取收取货款权</w:t>
      </w:r>
      <w:r>
        <w:rPr>
          <w:spacing w:val="37"/>
          <w:w w:val="95"/>
        </w:rPr>
        <w:t> </w:t>
      </w:r>
      <w:r>
        <w:rPr>
          <w:spacing w:val="37"/>
          <w:w w:val="95"/>
        </w:rPr>
      </w:r>
      <w:r>
        <w:rPr>
          <w:w w:val="95"/>
        </w:rPr>
        <w:t>利时确认收入；定量或定期技术开发，本公司根据用户定期对本公司提供技术开发项目的进度确认文件，</w:t>
      </w:r>
      <w:r>
        <w:rPr>
          <w:spacing w:val="61"/>
          <w:w w:val="95"/>
        </w:rPr>
        <w:t> </w:t>
      </w:r>
      <w:r>
        <w:rPr>
          <w:spacing w:val="61"/>
          <w:w w:val="95"/>
        </w:rPr>
      </w:r>
      <w:r>
        <w:rPr/>
        <w:t>按经确认的工作量及合同约定的单价计算确认收入。</w:t>
      </w:r>
    </w:p>
    <w:p>
      <w:pPr>
        <w:pStyle w:val="BodyText"/>
        <w:spacing w:line="273" w:lineRule="auto"/>
        <w:ind w:left="532" w:right="0"/>
        <w:jc w:val="left"/>
      </w:pPr>
      <w:r>
        <w:rPr/>
        <w:t>（2）技术服务收入</w:t>
      </w:r>
      <w:r>
        <w:rPr>
          <w:w w:val="99"/>
        </w:rPr>
        <w:t> </w:t>
      </w:r>
      <w:r>
        <w:rPr>
          <w:w w:val="95"/>
        </w:rPr>
        <w:t>技术服务主要是指根据与委托方签订的技术服务合同，向委托方提供技术咨询、系统维护、实施和产</w:t>
      </w:r>
      <w:r>
        <w:rPr/>
      </w:r>
    </w:p>
    <w:p>
      <w:pPr>
        <w:pStyle w:val="BodyText"/>
        <w:spacing w:line="273" w:lineRule="auto"/>
        <w:ind w:right="1025"/>
        <w:jc w:val="left"/>
      </w:pPr>
      <w:r>
        <w:rPr/>
        <w:t>品售后服务等业务。技术服务收入根据合同中约定的合同总额与服务期间，</w:t>
      </w:r>
      <w:r>
        <w:rPr>
          <w:spacing w:val="-36"/>
        </w:rPr>
        <w:t> </w:t>
      </w:r>
      <w:r>
        <w:rPr/>
        <w:t>委托方对服务进度进行确认，</w:t>
      </w:r>
      <w:r>
        <w:rPr>
          <w:w w:val="99"/>
        </w:rPr>
        <w:t> </w:t>
      </w:r>
      <w:r>
        <w:rPr/>
        <w:t>经委托方确认后，公司开出结算票据或已取得收款的依据时，确认收入。</w:t>
      </w:r>
    </w:p>
    <w:p>
      <w:pPr>
        <w:pStyle w:val="BodyText"/>
        <w:tabs>
          <w:tab w:pos="1372" w:val="left" w:leader="none"/>
        </w:tabs>
        <w:spacing w:line="273" w:lineRule="auto"/>
        <w:ind w:right="1185" w:firstLine="420"/>
        <w:jc w:val="left"/>
      </w:pPr>
      <w:r>
        <w:rPr/>
        <w:t>（3）</w:t>
        <w:tab/>
        <w:t>战略合作收入</w:t>
      </w:r>
      <w:r>
        <w:rPr>
          <w:w w:val="99"/>
        </w:rPr>
        <w:t> </w:t>
      </w:r>
      <w:r>
        <w:rPr>
          <w:w w:val="95"/>
        </w:rPr>
        <w:t>战略合作收入主要是指公司在客户的业务基础上进行系统开发，并拓展开发产品，相关产品的收益以合作</w:t>
      </w:r>
      <w:r>
        <w:rPr>
          <w:spacing w:val="37"/>
          <w:w w:val="95"/>
        </w:rPr>
        <w:t> </w:t>
      </w:r>
      <w:r>
        <w:rPr>
          <w:spacing w:val="37"/>
          <w:w w:val="95"/>
        </w:rPr>
      </w:r>
      <w:r>
        <w:rPr/>
        <w:t>分成的形式取得。战略合作收入于相关产品产生收益，在取得客户的验收文件并获取收款权利时确认。</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40、政府补助" w:id="220"/>
      <w:bookmarkEnd w:id="220"/>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892" w:right="1120" w:hanging="3"/>
        <w:jc w:val="left"/>
      </w:pPr>
      <w:r>
        <w:rPr>
          <w:rFonts w:ascii="宋体" w:hAnsi="宋体" w:cs="宋体" w:eastAsia="宋体" w:hint="default"/>
          <w:b/>
          <w:bCs/>
        </w:rPr>
        <w:t>类型</w:t>
      </w:r>
      <w:r>
        <w:rPr>
          <w:rFonts w:ascii="宋体" w:hAnsi="宋体" w:cs="宋体" w:eastAsia="宋体" w:hint="default"/>
          <w:b/>
          <w:bCs/>
          <w:w w:val="99"/>
        </w:rPr>
        <w:t> </w:t>
      </w:r>
      <w:r>
        <w:rPr/>
        <w:t>政府补助，是本公司从政府无偿取得的货币性资产与非货币性资产。根据相关政府文件规定的补</w:t>
      </w:r>
    </w:p>
    <w:p>
      <w:pPr>
        <w:pStyle w:val="BodyText"/>
        <w:spacing w:line="273" w:lineRule="auto" w:before="8"/>
        <w:ind w:left="892" w:right="0" w:hanging="420"/>
        <w:jc w:val="left"/>
      </w:pPr>
      <w:r>
        <w:rPr/>
        <w:t>助对象，将政府补助划分为与资产相关的政府补助和与收益相关的政府补助。</w:t>
      </w:r>
      <w:r>
        <w:rPr>
          <w:w w:val="99"/>
        </w:rPr>
        <w:t> </w:t>
      </w:r>
      <w:r>
        <w:rPr/>
        <w:t>对于政府文件未明确补助对象的政府补助，公司根据实际补助对象划分为与资产相关的政府补助</w:t>
      </w:r>
    </w:p>
    <w:p>
      <w:pPr>
        <w:pStyle w:val="BodyText"/>
        <w:spacing w:line="273" w:lineRule="auto"/>
        <w:ind w:left="892" w:right="0" w:hanging="420"/>
        <w:jc w:val="left"/>
      </w:pPr>
      <w:r>
        <w:rPr/>
        <w:t>或与收益相关的政府补助。</w:t>
      </w:r>
      <w:r>
        <w:rPr>
          <w:w w:val="99"/>
        </w:rPr>
        <w:t> </w:t>
      </w:r>
      <w:r>
        <w:rPr/>
        <w:t>与资产相关的政府补助，是指本公司取得的、用于购建或以其他方式形成长期资产的政府补助。</w:t>
      </w:r>
    </w:p>
    <w:p>
      <w:pPr>
        <w:pStyle w:val="BodyText"/>
        <w:spacing w:line="273" w:lineRule="auto"/>
        <w:ind w:left="895" w:right="2654" w:hanging="423"/>
        <w:jc w:val="left"/>
        <w:rPr>
          <w:rFonts w:ascii="宋体" w:hAnsi="宋体" w:cs="宋体" w:eastAsia="宋体" w:hint="default"/>
        </w:rPr>
      </w:pPr>
      <w:r>
        <w:rPr>
          <w:w w:val="95"/>
        </w:rPr>
        <w:t>与收益相关的政府补助，是指除与资产相关的政府补助之外的政府补助。</w:t>
      </w:r>
      <w:r>
        <w:rPr>
          <w:spacing w:val="18"/>
          <w:w w:val="95"/>
        </w:rPr>
        <w:t> </w:t>
      </w:r>
      <w:r>
        <w:rPr>
          <w:spacing w:val="18"/>
          <w:w w:val="95"/>
        </w:rPr>
      </w:r>
      <w:r>
        <w:rPr>
          <w:rFonts w:ascii="宋体" w:hAnsi="宋体" w:cs="宋体" w:eastAsia="宋体" w:hint="default"/>
          <w:b/>
          <w:bCs/>
        </w:rPr>
        <w:t>政府补助的确认</w:t>
      </w:r>
      <w:r>
        <w:rPr>
          <w:rFonts w:ascii="宋体" w:hAnsi="宋体" w:cs="宋体" w:eastAsia="宋体" w:hint="default"/>
        </w:rPr>
      </w:r>
    </w:p>
    <w:p>
      <w:pPr>
        <w:pStyle w:val="BodyText"/>
        <w:spacing w:line="273" w:lineRule="auto"/>
        <w:ind w:left="472" w:right="1135" w:firstLine="420"/>
        <w:jc w:val="both"/>
      </w:pPr>
      <w:r>
        <w:rPr/>
        <w:t>对期末有证据表明公司能够符合财政扶持政策规定的相关条件且预计能够收到财政扶持资金的，</w:t>
      </w:r>
      <w:r>
        <w:rPr>
          <w:w w:val="99"/>
        </w:rPr>
        <w:t> </w:t>
      </w:r>
      <w:r>
        <w:rPr/>
        <w:t>按应收金额确认政府补助。除此之外，政府补助均在实际收到时确认。</w:t>
      </w:r>
    </w:p>
    <w:p>
      <w:pPr>
        <w:pStyle w:val="BodyText"/>
        <w:spacing w:line="273" w:lineRule="auto"/>
        <w:ind w:left="472" w:right="1130" w:firstLine="420"/>
        <w:jc w:val="both"/>
      </w:pPr>
      <w:r>
        <w:rPr/>
        <w:t>政府补助为货币性资产的，按照收到或应收的金额计量。政府补助为非货币性资产的，按照公允</w:t>
      </w:r>
      <w:r>
        <w:rPr>
          <w:w w:val="99"/>
        </w:rPr>
        <w:t> </w:t>
      </w:r>
      <w:r>
        <w:rPr>
          <w:spacing w:val="-1"/>
          <w:w w:val="95"/>
        </w:rPr>
        <w:t>价值计量；公允价值不能够可靠取得的，按照名义金额（人民币1元）计量。按照名义金额计量的政府</w:t>
      </w:r>
      <w:r>
        <w:rPr>
          <w:spacing w:val="27"/>
          <w:w w:val="95"/>
        </w:rPr>
        <w:t> </w:t>
      </w:r>
      <w:r>
        <w:rPr>
          <w:spacing w:val="27"/>
          <w:w w:val="95"/>
        </w:rPr>
      </w:r>
      <w:r>
        <w:rPr/>
        <w:t>补助，直接计入当期损益。</w:t>
      </w:r>
    </w:p>
    <w:p>
      <w:pPr>
        <w:pStyle w:val="BodyText"/>
        <w:spacing w:line="273" w:lineRule="auto" w:before="8"/>
        <w:ind w:left="532" w:right="1185" w:firstLine="2"/>
        <w:jc w:val="left"/>
      </w:pPr>
      <w:r>
        <w:rPr>
          <w:rFonts w:ascii="宋体" w:hAnsi="宋体" w:cs="宋体" w:eastAsia="宋体" w:hint="default"/>
          <w:b/>
          <w:bCs/>
        </w:rPr>
        <w:t>会计处理方法</w:t>
      </w:r>
      <w:r>
        <w:rPr>
          <w:rFonts w:ascii="宋体" w:hAnsi="宋体" w:cs="宋体" w:eastAsia="宋体" w:hint="default"/>
          <w:b/>
          <w:bCs/>
          <w:w w:val="99"/>
        </w:rPr>
        <w:t> </w:t>
      </w:r>
      <w:r>
        <w:rPr>
          <w:w w:val="95"/>
        </w:rPr>
        <w:t>本公司根据经济业务的实质，确定某一类政府补助业务应当采用总额法还是净额法进行会计处理。通</w:t>
      </w:r>
      <w:r>
        <w:rPr/>
      </w:r>
    </w:p>
    <w:p>
      <w:pPr>
        <w:pStyle w:val="BodyText"/>
        <w:spacing w:line="273" w:lineRule="auto"/>
        <w:ind w:left="532" w:right="0" w:hanging="420"/>
        <w:jc w:val="left"/>
      </w:pPr>
      <w:r>
        <w:rPr/>
        <w:t>常情况下，本公司对于同类或类似政府补助业务只选用一种方法，且对该业务一贯地运用该方法。</w:t>
      </w:r>
      <w:r>
        <w:rPr>
          <w:w w:val="99"/>
        </w:rPr>
        <w:t> </w:t>
      </w:r>
      <w:r>
        <w:rPr>
          <w:w w:val="95"/>
        </w:rPr>
        <w:t>与资产相关的政府补助，确认为递延收益，按照所建造或购买的资产使用年限内按照合理、系统的方</w:t>
      </w:r>
      <w:r>
        <w:rPr/>
      </w:r>
    </w:p>
    <w:p>
      <w:pPr>
        <w:pStyle w:val="BodyText"/>
        <w:spacing w:line="273" w:lineRule="auto"/>
        <w:ind w:left="532" w:right="0" w:hanging="420"/>
        <w:jc w:val="left"/>
      </w:pPr>
      <w:r>
        <w:rPr/>
        <w:t>法分期计入损益或冲减相关资产账面价值；</w:t>
      </w:r>
      <w:r>
        <w:rPr>
          <w:w w:val="99"/>
        </w:rPr>
        <w:t> </w:t>
      </w:r>
      <w:r>
        <w:rPr>
          <w:w w:val="95"/>
        </w:rPr>
        <w:t>与收益相关的政府补助，用于补偿企业以后期间的相关费用或损失的，确认为递延收益，在确认相关</w:t>
      </w:r>
      <w:r>
        <w:rPr/>
      </w:r>
    </w:p>
    <w:p>
      <w:pPr>
        <w:pStyle w:val="BodyText"/>
        <w:spacing w:line="273" w:lineRule="auto"/>
        <w:ind w:right="0"/>
        <w:jc w:val="left"/>
      </w:pPr>
      <w:r>
        <w:rPr>
          <w:w w:val="95"/>
        </w:rPr>
        <w:t>费用或损失的期间计入当期损益或冲减相关成本；用于补偿企业已发生的相关费用或损失的，取得时直接</w:t>
      </w:r>
      <w:r>
        <w:rPr>
          <w:spacing w:val="40"/>
          <w:w w:val="95"/>
        </w:rPr>
        <w:t> </w:t>
      </w:r>
      <w:r>
        <w:rPr>
          <w:spacing w:val="40"/>
          <w:w w:val="95"/>
        </w:rPr>
      </w:r>
      <w:r>
        <w:rPr/>
        <w:t>计入当期损益或冲减相关成本。</w:t>
      </w:r>
    </w:p>
    <w:p>
      <w:pPr>
        <w:pStyle w:val="BodyText"/>
        <w:spacing w:line="273" w:lineRule="auto"/>
        <w:ind w:right="1135" w:firstLine="420"/>
        <w:jc w:val="both"/>
      </w:pPr>
      <w:r>
        <w:rPr>
          <w:w w:val="95"/>
        </w:rPr>
        <w:t>与企业日常活动相关的政府补助计入其他收益或冲减相关成本费用；与企业日常活动无关的政府补助</w:t>
      </w:r>
      <w:r>
        <w:rPr>
          <w:w w:val="99"/>
        </w:rPr>
        <w:t> </w:t>
      </w:r>
      <w:r>
        <w:rPr/>
        <w:t>计入营业外收支。</w:t>
      </w:r>
    </w:p>
    <w:p>
      <w:pPr>
        <w:pStyle w:val="BodyText"/>
        <w:spacing w:line="273" w:lineRule="auto" w:before="8"/>
        <w:ind w:right="1135" w:firstLine="420"/>
        <w:jc w:val="both"/>
      </w:pPr>
      <w:r>
        <w:rPr>
          <w:w w:val="95"/>
        </w:rPr>
        <w:t>收到与政策性优惠贷款贴息相关的政府补助冲减相关借款费用；取得贷款银行提供的政策性优惠利率</w:t>
      </w:r>
      <w:r>
        <w:rPr>
          <w:w w:val="99"/>
        </w:rPr>
        <w:t> </w:t>
      </w:r>
      <w:r>
        <w:rPr>
          <w:w w:val="95"/>
        </w:rPr>
        <w:t>贷款的，以实际收到的借款金额作为借款的入账价值，按照借款本金和该政策性优惠利率计算相关借款费   </w:t>
      </w:r>
      <w:r>
        <w:rPr>
          <w:spacing w:val="37"/>
          <w:w w:val="95"/>
        </w:rPr>
        <w:t> </w:t>
      </w:r>
      <w:r>
        <w:rPr>
          <w:spacing w:val="37"/>
          <w:w w:val="95"/>
        </w:rPr>
      </w:r>
      <w:r>
        <w:rPr/>
        <w:t>用。</w:t>
      </w:r>
    </w:p>
    <w:p>
      <w:pPr>
        <w:pStyle w:val="BodyText"/>
        <w:spacing w:line="240" w:lineRule="auto"/>
        <w:ind w:left="532" w:right="0"/>
        <w:jc w:val="left"/>
      </w:pPr>
      <w:r>
        <w:rPr/>
        <w:t>已确认的政府补助需要返还时，初始确认时冲减相关资产账面价值的，调整资产账面价值；存在相关</w:t>
      </w:r>
    </w:p>
    <w:p>
      <w:pPr>
        <w:spacing w:after="0" w:line="240"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85"/>
        <w:jc w:val="left"/>
      </w:pPr>
      <w:r>
        <w:rPr>
          <w:w w:val="95"/>
        </w:rPr>
        <w:t>递延收益余额的，冲减相关递延收益账面余额，超出部分计入当期损益；不存在相关递延收益的，直接计</w:t>
      </w:r>
      <w:r>
        <w:rPr>
          <w:spacing w:val="41"/>
          <w:w w:val="95"/>
        </w:rPr>
        <w:t> </w:t>
      </w:r>
      <w:r>
        <w:rPr>
          <w:spacing w:val="41"/>
          <w:w w:val="95"/>
        </w:rPr>
      </w:r>
      <w:r>
        <w:rPr/>
        <w:t>入当期损益。</w:t>
      </w:r>
    </w:p>
    <w:p>
      <w:pPr>
        <w:spacing w:line="240" w:lineRule="auto" w:before="6"/>
        <w:rPr>
          <w:rFonts w:ascii="宋体" w:hAnsi="宋体" w:cs="宋体" w:eastAsia="宋体" w:hint="default"/>
          <w:sz w:val="24"/>
          <w:szCs w:val="24"/>
        </w:rPr>
      </w:pPr>
    </w:p>
    <w:p>
      <w:pPr>
        <w:spacing w:line="590" w:lineRule="atLeast" w:before="0"/>
        <w:ind w:left="532" w:right="1128" w:hanging="420"/>
        <w:jc w:val="left"/>
        <w:rPr>
          <w:rFonts w:ascii="宋体" w:hAnsi="宋体" w:cs="宋体" w:eastAsia="宋体" w:hint="default"/>
          <w:sz w:val="21"/>
          <w:szCs w:val="21"/>
        </w:rPr>
      </w:pPr>
      <w:bookmarkStart w:name="41、递延所得税资产/递延所得税负债" w:id="221"/>
      <w:bookmarkEnd w:id="221"/>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4"/>
          <w:sz w:val="21"/>
          <w:szCs w:val="21"/>
        </w:rPr>
        <w:t>递延所得税资产和递延所得税负债根据资产和负债的计税基础与其账面价值的差额(暂时性差异)计</w:t>
      </w:r>
    </w:p>
    <w:p>
      <w:pPr>
        <w:pStyle w:val="BodyText"/>
        <w:spacing w:line="273" w:lineRule="auto" w:before="37"/>
        <w:ind w:right="1185"/>
        <w:jc w:val="left"/>
      </w:pPr>
      <w:r>
        <w:rPr>
          <w:w w:val="95"/>
        </w:rPr>
        <w:t>算确认。于资产负债表日，递延所得税资产和递延所得税负债，按照预期收回该资产或清偿该负债期间的</w:t>
      </w:r>
      <w:r>
        <w:rPr>
          <w:spacing w:val="43"/>
          <w:w w:val="95"/>
        </w:rPr>
        <w:t> </w:t>
      </w:r>
      <w:r>
        <w:rPr>
          <w:spacing w:val="43"/>
          <w:w w:val="95"/>
        </w:rPr>
      </w:r>
      <w:r>
        <w:rPr/>
        <w:t>适用税率计量。</w:t>
      </w:r>
    </w:p>
    <w:p>
      <w:pPr>
        <w:pStyle w:val="Heading6"/>
        <w:spacing w:line="240" w:lineRule="auto" w:before="7"/>
        <w:ind w:right="0"/>
        <w:jc w:val="left"/>
        <w:rPr>
          <w:b w:val="0"/>
          <w:bCs w:val="0"/>
        </w:rPr>
      </w:pPr>
      <w:r>
        <w:rPr/>
        <w:t>确认递延所得税资产的依据</w:t>
      </w:r>
      <w:r>
        <w:rPr>
          <w:b w:val="0"/>
          <w:bCs w:val="0"/>
        </w:rPr>
      </w:r>
    </w:p>
    <w:p>
      <w:pPr>
        <w:pStyle w:val="BodyText"/>
        <w:spacing w:line="273" w:lineRule="auto" w:before="37"/>
        <w:ind w:left="472" w:right="1132" w:firstLine="420"/>
        <w:jc w:val="both"/>
      </w:pPr>
      <w:r>
        <w:rPr/>
        <w:t>本公司以很可能取得用来抵扣可抵扣暂时性差异、能够结转以后年度的可抵扣亏损和税款抵减的</w:t>
      </w:r>
      <w:r>
        <w:rPr>
          <w:w w:val="99"/>
        </w:rPr>
        <w:t> </w:t>
      </w:r>
      <w:r>
        <w:rPr/>
        <w:t>应纳税所得额为限，确认由可抵扣暂时性差异产生的递延所得税资产。但是，同时具有下列特征的交</w:t>
      </w:r>
      <w:r>
        <w:rPr>
          <w:spacing w:val="-82"/>
        </w:rPr>
        <w:t> </w:t>
      </w:r>
      <w:r>
        <w:rPr>
          <w:spacing w:val="-82"/>
        </w:rPr>
      </w:r>
      <w:r>
        <w:rPr>
          <w:spacing w:val="-4"/>
          <w:w w:val="99"/>
        </w:rPr>
        <w:t>易中因资产或负债的初始确认所产生的递延所得税资产不予确认：（1）该交易不是企业合并；（2）交</w:t>
      </w:r>
      <w:r>
        <w:rPr>
          <w:spacing w:val="-60"/>
          <w:w w:val="99"/>
        </w:rPr>
        <w:t> </w:t>
      </w:r>
      <w:r>
        <w:rPr>
          <w:spacing w:val="-60"/>
          <w:w w:val="99"/>
        </w:rPr>
      </w:r>
      <w:r>
        <w:rPr/>
        <w:t>易发生时既不影响会计利润也不影响应纳税所得额或可抵扣亏损。</w:t>
      </w:r>
    </w:p>
    <w:p>
      <w:pPr>
        <w:pStyle w:val="BodyText"/>
        <w:spacing w:line="273" w:lineRule="auto" w:before="8"/>
        <w:ind w:left="472" w:right="1135" w:firstLine="420"/>
        <w:jc w:val="both"/>
      </w:pPr>
      <w:r>
        <w:rPr/>
        <w:t>对于与联营企业投资相关的可抵扣暂时性差异，同时满足下列条件的，确认相应的递延所得税资</w:t>
      </w:r>
      <w:r>
        <w:rPr>
          <w:w w:val="99"/>
        </w:rPr>
        <w:t> </w:t>
      </w:r>
      <w:r>
        <w:rPr/>
        <w:t>产：暂时性差异在可预见的未来很可能转回，且未来很可能获得用来抵扣可抵扣暂时性差异的应纳税</w:t>
      </w:r>
      <w:r>
        <w:rPr>
          <w:spacing w:val="-82"/>
        </w:rPr>
        <w:t> </w:t>
      </w:r>
      <w:r>
        <w:rPr>
          <w:spacing w:val="-82"/>
        </w:rPr>
      </w:r>
      <w:r>
        <w:rPr/>
        <w:t>所得额。</w:t>
      </w:r>
    </w:p>
    <w:p>
      <w:pPr>
        <w:pStyle w:val="Heading6"/>
        <w:spacing w:line="240" w:lineRule="auto" w:before="7"/>
        <w:ind w:right="0"/>
        <w:jc w:val="left"/>
        <w:rPr>
          <w:b w:val="0"/>
          <w:bCs w:val="0"/>
        </w:rPr>
      </w:pPr>
      <w:r>
        <w:rPr/>
        <w:t>确认递延所得税负债的依据</w:t>
      </w:r>
      <w:r>
        <w:rPr>
          <w:b w:val="0"/>
          <w:bCs w:val="0"/>
        </w:rPr>
      </w:r>
    </w:p>
    <w:p>
      <w:pPr>
        <w:pStyle w:val="BodyText"/>
        <w:spacing w:line="240" w:lineRule="auto" w:before="37"/>
        <w:ind w:left="892" w:right="0"/>
        <w:jc w:val="left"/>
      </w:pPr>
      <w:r>
        <w:rPr/>
        <w:t>公司将当期与以前期间应交未交的应纳税暂时性差异确认为递延所得税负债。但不包括：</w:t>
      </w:r>
    </w:p>
    <w:p>
      <w:pPr>
        <w:pStyle w:val="BodyText"/>
        <w:spacing w:line="240" w:lineRule="auto" w:before="37"/>
        <w:ind w:left="892" w:right="0"/>
        <w:jc w:val="left"/>
      </w:pPr>
      <w:r>
        <w:rPr/>
        <w:t>（1）商誉的初始确认所形成的暂时性差异；</w:t>
      </w:r>
    </w:p>
    <w:p>
      <w:pPr>
        <w:pStyle w:val="BodyText"/>
        <w:spacing w:line="273" w:lineRule="auto" w:before="37"/>
        <w:ind w:left="472" w:right="1132" w:firstLine="420"/>
        <w:jc w:val="both"/>
      </w:pPr>
      <w:r>
        <w:rPr>
          <w:spacing w:val="-1"/>
          <w:w w:val="95"/>
        </w:rPr>
        <w:t>（2）非企业合并形成的交易或事项，且该交易或事项发生时既不影响会计利润，也不影响应纳税</w:t>
      </w:r>
      <w:r>
        <w:rPr>
          <w:w w:val="99"/>
        </w:rPr>
        <w:t> </w:t>
      </w:r>
      <w:r>
        <w:rPr/>
        <w:t>所得额（或可抵扣亏损）所形成的暂时性差异；</w:t>
      </w:r>
    </w:p>
    <w:p>
      <w:pPr>
        <w:pStyle w:val="BodyText"/>
        <w:spacing w:line="273" w:lineRule="auto"/>
        <w:ind w:left="472" w:right="1132" w:firstLine="420"/>
        <w:jc w:val="both"/>
      </w:pPr>
      <w:r>
        <w:rPr>
          <w:spacing w:val="-1"/>
          <w:w w:val="95"/>
        </w:rPr>
        <w:t>（3）对于与子公司、联营企业投资相关的应纳税暂时性差异，该暂时性差异转回的时间能够控制</w:t>
      </w:r>
      <w:r>
        <w:rPr>
          <w:w w:val="99"/>
        </w:rPr>
        <w:t> </w:t>
      </w:r>
      <w:r>
        <w:rPr/>
        <w:t>并且该暂时性差异在可预见的未来很可能不会转回。</w:t>
      </w:r>
    </w:p>
    <w:p>
      <w:pPr>
        <w:pStyle w:val="Heading6"/>
        <w:spacing w:line="240" w:lineRule="auto" w:before="128"/>
        <w:ind w:right="0"/>
        <w:jc w:val="left"/>
        <w:rPr>
          <w:b w:val="0"/>
          <w:bCs w:val="0"/>
        </w:rPr>
      </w:pPr>
      <w:r>
        <w:rPr/>
        <w:t>同时满足下列条件时，将递延所得税资产及递延所得税负债以抵销后的净额列示</w:t>
      </w:r>
      <w:r>
        <w:rPr>
          <w:b w:val="0"/>
          <w:bCs w:val="0"/>
        </w:rPr>
      </w:r>
    </w:p>
    <w:p>
      <w:pPr>
        <w:pStyle w:val="BodyText"/>
        <w:spacing w:line="240" w:lineRule="auto" w:before="37"/>
        <w:ind w:left="532" w:right="0"/>
        <w:jc w:val="left"/>
      </w:pPr>
      <w:r>
        <w:rPr/>
        <w:t>（1）企业拥有以净额结算当期所得税资产及当期所得税负债的法定权利；</w:t>
      </w:r>
    </w:p>
    <w:p>
      <w:pPr>
        <w:pStyle w:val="BodyText"/>
        <w:spacing w:line="273" w:lineRule="auto" w:before="37"/>
        <w:ind w:right="0"/>
        <w:jc w:val="left"/>
      </w:pPr>
      <w:r>
        <w:rPr/>
        <w:t>（2）递延所得税资产和递延所得税负债是与同一税收征管部门对同一纳税主体征收的所得税相关或者对</w:t>
      </w:r>
      <w:r>
        <w:rPr>
          <w:w w:val="99"/>
        </w:rPr>
        <w:t> </w:t>
      </w:r>
      <w:r>
        <w:rPr>
          <w:w w:val="95"/>
        </w:rPr>
        <w:t>不同的纳税主体相关，但在未来每一具有重要性的递延所得税资产和递延所得税负债转回的期间内，涉及</w:t>
      </w:r>
      <w:r>
        <w:rPr>
          <w:spacing w:val="38"/>
          <w:w w:val="95"/>
        </w:rPr>
        <w:t> </w:t>
      </w:r>
      <w:r>
        <w:rPr>
          <w:spacing w:val="38"/>
          <w:w w:val="95"/>
        </w:rPr>
      </w:r>
      <w:r>
        <w:rPr/>
        <w:t>的纳税主体体意图以净额结算当期所得税资产及当期所得税负债或是同时取得资产、清偿债务。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bookmarkStart w:name="42、租赁" w:id="222"/>
      <w:bookmarkEnd w:id="222"/>
      <w:r>
        <w:rPr>
          <w:b w:val="0"/>
          <w:bCs w:val="0"/>
        </w:rPr>
      </w: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经营租赁的会计处理方法" w:id="223"/>
      <w:bookmarkEnd w:id="22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019"/>
        <w:jc w:val="left"/>
      </w:pPr>
      <w:r>
        <w:rPr/>
        <w:t>（1）经营租入资产</w:t>
      </w:r>
      <w:r>
        <w:rPr>
          <w:w w:val="99"/>
        </w:rPr>
        <w:t> </w:t>
      </w:r>
      <w:r>
        <w:rPr>
          <w:spacing w:val="-3"/>
        </w:rPr>
        <w:t>公司租入资产所支付的租赁费，在不扣除免租期的整个租赁期内，按直线法进行分摊，计入当期费用。</w:t>
      </w:r>
    </w:p>
    <w:p>
      <w:pPr>
        <w:pStyle w:val="BodyText"/>
        <w:spacing w:line="273" w:lineRule="auto"/>
        <w:ind w:left="532" w:right="0" w:hanging="420"/>
        <w:jc w:val="left"/>
      </w:pPr>
      <w:r>
        <w:rPr/>
        <w:t>公司支付的与租赁交易相关的初始直接费用，计入当期费用。</w:t>
      </w:r>
      <w:r>
        <w:rPr>
          <w:w w:val="99"/>
        </w:rPr>
        <w:t> </w:t>
      </w:r>
      <w:r>
        <w:rPr>
          <w:w w:val="95"/>
        </w:rPr>
        <w:t>资产出租方承担了应由公司承担的与租赁相关的费用时，公司将该部分费用从租金总额中扣除，按扣</w:t>
      </w:r>
      <w:r>
        <w:rPr/>
      </w:r>
    </w:p>
    <w:p>
      <w:pPr>
        <w:pStyle w:val="BodyText"/>
        <w:spacing w:line="240" w:lineRule="auto"/>
        <w:ind w:right="0"/>
        <w:jc w:val="left"/>
      </w:pPr>
      <w:r>
        <w:rPr/>
        <w:t>除后的租金费用在租赁期内分摊，计入当期费用。</w:t>
      </w:r>
    </w:p>
    <w:p>
      <w:pPr>
        <w:pStyle w:val="BodyText"/>
        <w:spacing w:line="273" w:lineRule="auto" w:before="37"/>
        <w:ind w:left="532" w:right="0"/>
        <w:jc w:val="left"/>
      </w:pPr>
      <w:r>
        <w:rPr/>
        <w:t>（2）经营租出资产</w:t>
      </w:r>
      <w:r>
        <w:rPr>
          <w:w w:val="99"/>
        </w:rPr>
        <w:t> </w:t>
      </w:r>
      <w:r>
        <w:rPr>
          <w:w w:val="95"/>
        </w:rPr>
        <w:t>公司出租资产所收取的租赁费，在不扣除免租期的整个租赁期内，按直线法进行分摊，确认为租赁收</w:t>
      </w:r>
      <w:r>
        <w:rPr/>
      </w:r>
    </w:p>
    <w:p>
      <w:pPr>
        <w:pStyle w:val="BodyText"/>
        <w:spacing w:line="273" w:lineRule="auto"/>
        <w:ind w:right="0"/>
        <w:jc w:val="left"/>
      </w:pPr>
      <w:r>
        <w:rPr>
          <w:w w:val="95"/>
        </w:rPr>
        <w:t>入。公司支付的与租赁交易相关的初始直接费用，计入当期费用；如金额较大的，则予以资本化，在整个</w:t>
      </w:r>
      <w:r>
        <w:rPr>
          <w:spacing w:val="44"/>
          <w:w w:val="95"/>
        </w:rPr>
        <w:t> </w:t>
      </w:r>
      <w:r>
        <w:rPr>
          <w:spacing w:val="44"/>
          <w:w w:val="95"/>
        </w:rPr>
      </w:r>
      <w:r>
        <w:rPr/>
        <w:t>租赁期间内按照与租赁收入确认相同的基础分期计入当期收益。</w:t>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5" w:firstLine="420"/>
        <w:jc w:val="both"/>
      </w:pPr>
      <w:r>
        <w:rPr>
          <w:w w:val="95"/>
        </w:rPr>
        <w:t>公司承担了应由承租方承担的与租赁相关的费用时，公司将该部分费用从租金收入总额中扣除，按扣</w:t>
      </w:r>
      <w:r>
        <w:rPr>
          <w:w w:val="99"/>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25" w:firstLine="420"/>
        <w:jc w:val="left"/>
      </w:pPr>
      <w:r>
        <w:rPr>
          <w:spacing w:val="2"/>
        </w:rPr>
        <w:t>（1）融资租入资产：公司在承租开始日，将租赁资产公允价值与最低租赁付款额现值两者中较低者</w:t>
      </w:r>
      <w:r>
        <w:rPr>
          <w:w w:val="99"/>
        </w:rPr>
        <w:t> </w:t>
      </w:r>
      <w:r>
        <w:rPr>
          <w:spacing w:val="-3"/>
        </w:rPr>
        <w:t>作为租入资产的入账价值，将最低租赁付款额作为长期应付款的入账价值，其差额作为未确认的融资费用。</w:t>
      </w:r>
    </w:p>
    <w:p>
      <w:pPr>
        <w:pStyle w:val="BodyText"/>
        <w:spacing w:line="273" w:lineRule="auto"/>
        <w:ind w:left="532" w:right="0"/>
        <w:jc w:val="left"/>
      </w:pPr>
      <w:r>
        <w:rPr/>
        <w:t>融资租入资产的认定依据、计价和折旧方法详见本附注四／（十八）固定资产。</w:t>
      </w:r>
      <w:r>
        <w:rPr>
          <w:w w:val="99"/>
        </w:rPr>
        <w:t> </w:t>
      </w:r>
      <w:r>
        <w:rPr>
          <w:w w:val="95"/>
        </w:rPr>
        <w:t>公司采用实际利率法对未确认的融资费用，在资产租赁期间内摊销，计入财务费用。</w:t>
      </w:r>
      <w:r>
        <w:rPr/>
      </w:r>
    </w:p>
    <w:p>
      <w:pPr>
        <w:pStyle w:val="BodyText"/>
        <w:spacing w:line="273" w:lineRule="auto"/>
        <w:ind w:right="1132" w:firstLine="420"/>
        <w:jc w:val="both"/>
      </w:pPr>
      <w:r>
        <w:rPr>
          <w:spacing w:val="2"/>
          <w:w w:val="95"/>
        </w:rPr>
        <w:t>（2）融资租出资产：公司在租赁开始日，将应收融资租赁款，未担保余值之和与其现值的差额确认</w:t>
      </w:r>
      <w:r>
        <w:rPr>
          <w:spacing w:val="-84"/>
          <w:w w:val="95"/>
        </w:rPr>
        <w:t> </w:t>
      </w:r>
      <w:r>
        <w:rPr>
          <w:spacing w:val="-84"/>
          <w:w w:val="95"/>
        </w:rPr>
      </w:r>
      <w:r>
        <w:rPr>
          <w:w w:val="95"/>
        </w:rPr>
        <w:t>为未实现融资收益，在将来收到租金的各期间内确认为租赁收入，公司发生的与出租交易相关的初始直接</w:t>
      </w:r>
      <w:r>
        <w:rPr>
          <w:spacing w:val="40"/>
          <w:w w:val="95"/>
        </w:rPr>
        <w:t> </w:t>
      </w:r>
      <w:r>
        <w:rPr>
          <w:spacing w:val="40"/>
          <w:w w:val="95"/>
        </w:rPr>
      </w:r>
      <w:r>
        <w:rPr/>
        <w:t>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bookmarkStart w:name="43、其他重要的会计政策和会计估计" w:id="225"/>
      <w:bookmarkEnd w:id="225"/>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44、重要会计政策和会计估计变更" w:id="226"/>
      <w:bookmarkEnd w:id="226"/>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27"/>
      <w:bookmarkEnd w:id="22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日起执行财</w:t>
            </w:r>
          </w:p>
        </w:tc>
        <w:tc>
          <w:tcPr>
            <w:tcW w:w="3189" w:type="dxa"/>
            <w:vMerge w:val="restart"/>
            <w:tcBorders>
              <w:top w:val="single" w:sz="4" w:space="0" w:color="000000"/>
              <w:left w:val="single" w:sz="4" w:space="0" w:color="000000"/>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年修订的《企业会计准则第</w:t>
            </w:r>
          </w:p>
        </w:tc>
        <w:tc>
          <w:tcPr>
            <w:tcW w:w="3189"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号——非货币性资产交换</w:t>
            </w:r>
            <w:r>
              <w:rPr>
                <w:rFonts w:ascii="宋体" w:hAnsi="宋体" w:cs="宋体" w:eastAsia="宋体" w:hint="default"/>
                <w:spacing w:val="-89"/>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tc>
        <w:tc>
          <w:tcPr>
            <w:tcW w:w="3189"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本公司执行新债务重组及非货币性资</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日起执行财政部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w:t>
            </w:r>
          </w:p>
        </w:tc>
        <w:tc>
          <w:tcPr>
            <w:tcW w:w="3189"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产交换准则对本报告期内财务报表无</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4"/>
                <w:sz w:val="18"/>
                <w:szCs w:val="18"/>
              </w:rPr>
              <w:t>订的《企业会计准则第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号——债务</w:t>
            </w:r>
          </w:p>
        </w:tc>
        <w:tc>
          <w:tcPr>
            <w:tcW w:w="3189"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影响</w:t>
            </w:r>
          </w:p>
        </w:tc>
      </w:tr>
      <w:tr>
        <w:trPr>
          <w:trHeight w:val="308"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重组</w:t>
            </w:r>
            <w:r>
              <w:rPr>
                <w:rFonts w:ascii="宋体" w:hAnsi="宋体" w:cs="宋体" w:eastAsia="宋体" w:hint="default"/>
                <w:spacing w:val="-89"/>
                <w:sz w:val="18"/>
                <w:szCs w:val="18"/>
              </w:rPr>
              <w:t>》</w:t>
            </w:r>
            <w:r>
              <w:rPr>
                <w:rFonts w:ascii="宋体" w:hAnsi="宋体" w:cs="宋体" w:eastAsia="宋体" w:hint="default"/>
                <w:sz w:val="18"/>
                <w:szCs w:val="18"/>
              </w:rPr>
              <w:t>。该项会计政策变更采用未来适</w:t>
            </w:r>
          </w:p>
        </w:tc>
        <w:tc>
          <w:tcPr>
            <w:tcW w:w="3189"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用法处理</w:t>
            </w:r>
          </w:p>
        </w:tc>
        <w:tc>
          <w:tcPr>
            <w:tcW w:w="3189" w:type="dxa"/>
            <w:vMerge/>
            <w:tcBorders>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：原在可供出售金融资产核算的权益</w:t>
            </w: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工具投资</w:t>
            </w:r>
            <w:r>
              <w:rPr>
                <w:rFonts w:ascii="宋体" w:hAnsi="宋体" w:cs="宋体" w:eastAsia="宋体" w:hint="default"/>
                <w:spacing w:val="-87"/>
                <w:sz w:val="18"/>
                <w:szCs w:val="18"/>
              </w:rPr>
              <w:t>，</w:t>
            </w:r>
            <w:r>
              <w:rPr>
                <w:rFonts w:ascii="宋体" w:hAnsi="宋体" w:cs="宋体" w:eastAsia="宋体" w:hint="default"/>
                <w:sz w:val="18"/>
                <w:szCs w:val="18"/>
              </w:rPr>
              <w:t>因管理层持有该金融资产不</w:t>
            </w:r>
          </w:p>
        </w:tc>
      </w:tr>
      <w:tr>
        <w:trPr>
          <w:trHeight w:val="302"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以出售为目的</w:t>
            </w:r>
            <w:r>
              <w:rPr>
                <w:rFonts w:ascii="宋体" w:hAnsi="宋体" w:cs="宋体" w:eastAsia="宋体" w:hint="default"/>
                <w:spacing w:val="-87"/>
                <w:sz w:val="18"/>
                <w:szCs w:val="18"/>
              </w:rPr>
              <w:t>，</w:t>
            </w:r>
            <w:r>
              <w:rPr>
                <w:rFonts w:ascii="宋体" w:hAnsi="宋体" w:cs="宋体" w:eastAsia="宋体" w:hint="default"/>
                <w:sz w:val="18"/>
                <w:szCs w:val="18"/>
              </w:rPr>
              <w:t>应分类为以公允价值计</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年颁布</w:t>
            </w:r>
            <w:r>
              <w:rPr>
                <w:rFonts w:ascii="宋体" w:hAnsi="宋体" w:cs="宋体" w:eastAsia="宋体" w:hint="default"/>
                <w:spacing w:val="-84"/>
                <w:sz w:val="18"/>
                <w:szCs w:val="18"/>
              </w:rPr>
              <w:t>了</w:t>
            </w:r>
            <w:r>
              <w:rPr>
                <w:rFonts w:ascii="宋体" w:hAnsi="宋体" w:cs="宋体" w:eastAsia="宋体" w:hint="default"/>
                <w:sz w:val="18"/>
                <w:szCs w:val="18"/>
              </w:rPr>
              <w:t>《企业会计准</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量且其变动计入其他综合收益的金融</w:t>
            </w: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号——金融工具确认和计量</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资产，故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日可供出售金</w:t>
            </w:r>
          </w:p>
        </w:tc>
      </w:tr>
      <w:tr>
        <w:trPr>
          <w:trHeight w:val="1243"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（修订</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《企业会计准则第</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p>
          <w:p>
            <w:pPr>
              <w:pStyle w:val="TableParagraph"/>
              <w:spacing w:line="316" w:lineRule="auto" w:before="63"/>
              <w:ind w:left="101" w:right="10"/>
              <w:jc w:val="left"/>
              <w:rPr>
                <w:rFonts w:ascii="宋体" w:hAnsi="宋体" w:cs="宋体" w:eastAsia="宋体" w:hint="default"/>
                <w:sz w:val="18"/>
                <w:szCs w:val="18"/>
              </w:rPr>
            </w:pPr>
            <w:r>
              <w:rPr>
                <w:rFonts w:ascii="宋体" w:hAnsi="宋体" w:cs="宋体" w:eastAsia="宋体" w:hint="default"/>
                <w:sz w:val="18"/>
                <w:szCs w:val="18"/>
              </w:rPr>
              <w:t>—套期会计（修订</w:t>
            </w:r>
            <w:r>
              <w:rPr>
                <w:rFonts w:ascii="宋体" w:hAnsi="宋体" w:cs="宋体" w:eastAsia="宋体" w:hint="default"/>
                <w:spacing w:val="-89"/>
                <w:sz w:val="18"/>
                <w:szCs w:val="18"/>
              </w:rPr>
              <w:t>）</w:t>
            </w:r>
            <w:r>
              <w:rPr>
                <w:rFonts w:ascii="宋体" w:hAnsi="宋体" w:cs="宋体" w:eastAsia="宋体" w:hint="default"/>
                <w:sz w:val="18"/>
                <w:szCs w:val="18"/>
              </w:rPr>
              <w:t>》及《企业会计准</w:t>
            </w:r>
            <w:r>
              <w:rPr>
                <w:rFonts w:ascii="宋体" w:hAnsi="宋体" w:cs="宋体" w:eastAsia="宋体" w:hint="default"/>
                <w:sz w:val="18"/>
                <w:szCs w:val="18"/>
              </w:rPr>
              <w:t> 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号——金融工具列</w:t>
            </w:r>
            <w:r>
              <w:rPr>
                <w:rFonts w:ascii="宋体" w:hAnsi="宋体" w:cs="宋体" w:eastAsia="宋体" w:hint="default"/>
                <w:spacing w:val="-41"/>
                <w:sz w:val="18"/>
                <w:szCs w:val="18"/>
              </w:rPr>
              <w:t>报</w:t>
            </w:r>
            <w:r>
              <w:rPr>
                <w:rFonts w:ascii="宋体" w:hAnsi="宋体" w:cs="宋体" w:eastAsia="宋体" w:hint="default"/>
                <w:sz w:val="18"/>
                <w:szCs w:val="18"/>
              </w:rPr>
              <w:t>（修订</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（统称“新金融工具准则</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，公司自</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2" w:right="0"/>
              <w:jc w:val="left"/>
              <w:rPr>
                <w:rFonts w:ascii="宋体" w:hAnsi="宋体" w:cs="宋体" w:eastAsia="宋体" w:hint="default"/>
                <w:sz w:val="18"/>
                <w:szCs w:val="18"/>
              </w:rPr>
            </w:pPr>
            <w:r>
              <w:rPr>
                <w:rFonts w:ascii="宋体" w:hAnsi="宋体" w:cs="宋体" w:eastAsia="宋体" w:hint="default"/>
                <w:sz w:val="18"/>
                <w:szCs w:val="18"/>
              </w:rPr>
              <w:t>该会计政策变更由公司于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102"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日召开第二届董事会第二十四次会 议、第二届监事会第十九次会议批准</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312" w:lineRule="auto" w:before="15"/>
              <w:ind w:left="103" w:right="100"/>
              <w:jc w:val="left"/>
              <w:rPr>
                <w:rFonts w:ascii="宋体" w:hAnsi="宋体" w:cs="宋体" w:eastAsia="宋体" w:hint="default"/>
                <w:sz w:val="18"/>
                <w:szCs w:val="18"/>
              </w:rPr>
            </w:pPr>
            <w:r>
              <w:rPr>
                <w:rFonts w:ascii="宋体" w:hAnsi="宋体" w:cs="宋体" w:eastAsia="宋体" w:hint="default"/>
                <w:sz w:val="18"/>
                <w:szCs w:val="18"/>
              </w:rPr>
              <w:t>融资产余额重分类至其他权益工具投 资。</w:t>
            </w:r>
            <w:r>
              <w:rPr>
                <w:rFonts w:ascii="Times New Roman" w:hAnsi="Times New Roman" w:cs="Times New Roman" w:eastAsia="Times New Roman" w:hint="default"/>
                <w:sz w:val="18"/>
                <w:szCs w:val="18"/>
              </w:rPr>
              <w:t>2</w:t>
            </w:r>
            <w:r>
              <w:rPr>
                <w:rFonts w:ascii="宋体" w:hAnsi="宋体" w:cs="宋体" w:eastAsia="宋体" w:hint="default"/>
                <w:sz w:val="18"/>
                <w:szCs w:val="18"/>
              </w:rPr>
              <w:t>：执行新金融工具准则于首次执 行日对相应金融工具按预期信用损失 </w:t>
            </w:r>
            <w:r>
              <w:rPr>
                <w:rFonts w:ascii="宋体" w:hAnsi="宋体" w:cs="宋体" w:eastAsia="宋体" w:hint="default"/>
                <w:spacing w:val="-6"/>
                <w:sz w:val="18"/>
                <w:szCs w:val="18"/>
              </w:rPr>
              <w:t>重新计量的减值准备，高于与执行原金</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日起执行新金融工具</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融工具准则下计提的减值准备金额</w:t>
            </w:r>
            <w:r>
              <w:rPr>
                <w:rFonts w:ascii="宋体" w:hAnsi="宋体" w:cs="宋体" w:eastAsia="宋体" w:hint="default"/>
                <w:spacing w:val="-87"/>
                <w:sz w:val="18"/>
                <w:szCs w:val="18"/>
              </w:rPr>
              <w:t>，</w:t>
            </w:r>
            <w:r>
              <w:rPr>
                <w:rFonts w:ascii="宋体" w:hAnsi="宋体" w:cs="宋体" w:eastAsia="宋体" w:hint="default"/>
                <w:sz w:val="18"/>
                <w:szCs w:val="18"/>
              </w:rPr>
              <w:t>根</w:t>
            </w:r>
          </w:p>
        </w:tc>
      </w:tr>
      <w:tr>
        <w:trPr>
          <w:trHeight w:val="32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准则，对会计政策相关内容进行调整。</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据衔接规定，应计入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留存收益，相应调增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应收账款预期信用损失</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13,102,327.76</w:t>
            </w:r>
          </w:p>
        </w:tc>
      </w:tr>
      <w:tr>
        <w:trPr>
          <w:trHeight w:val="320"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元，调增递延所得税资产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1,965,317.80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4"/>
                <w:sz w:val="18"/>
                <w:szCs w:val="18"/>
              </w:rPr>
              <w:t>元，调减未分配利润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11,137,009.96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2019年起执行新金融工具准则、新收入准则或新租赁准则调整执行当年年初财务" w:id="229"/>
      <w:bookmarkEnd w:id="22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6"/>
          <w:pgSz w:w="11910" w:h="16840"/>
          <w:pgMar w:footer="1016" w:header="907" w:top="1100" w:bottom="1200" w:left="1020" w:right="0"/>
          <w:pgNumType w:start="170"/>
        </w:sectPr>
      </w:pPr>
    </w:p>
    <w:p>
      <w:pPr>
        <w:spacing w:line="360" w:lineRule="auto" w:before="44"/>
        <w:ind w:left="112" w:right="-18" w:firstLine="0"/>
        <w:jc w:val="left"/>
        <w:rPr>
          <w:rFonts w:ascii="宋体" w:hAnsi="宋体" w:cs="宋体" w:eastAsia="宋体" w:hint="default"/>
          <w:sz w:val="18"/>
          <w:szCs w:val="18"/>
        </w:rPr>
      </w:pPr>
      <w:r>
        <w:rPr>
          <w:rFonts w:ascii="宋体" w:hAnsi="宋体" w:cs="宋体" w:eastAsia="宋体" w:hint="default"/>
          <w:sz w:val="18"/>
          <w:szCs w:val="18"/>
        </w:rPr>
        <w:t>√ 适用 □ 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645" w:space="7274"/>
            <w:col w:w="197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407,308,560.68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407,308,560.68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545,859,103.03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532,756,775.27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-13,102,327.76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13,989,105.93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13,989,105.93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18,736,663.82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18,615,740.72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120,923.10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186,149,797.86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186,149,797.86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7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65,378,716.20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65,499,639.30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1,237,421,947.52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1,237,421,947.52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28,472,058.60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-28,472,058.60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21,069,415.37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21,069,415.37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28,472,058.60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28,472,058.60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4,948,147.98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4,948,147.98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33,308,695.91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33,308,695.91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6,662,575.80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6,662,575.80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41,684,149.19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41,684,149.19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10,417,471.72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10,417,471.72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18,626,654.85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20,591,972.65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1,965,317.80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168,989,169.42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168,989,169.42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1,406,411,116.94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1,406,411,116.94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419,735,429.52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421,917,795.13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13,569,521.18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13,569,521.18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22,408,884.33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22,408,884.33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47,399,147.13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47,399,147.13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24,828,775.76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24,828,775.76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59,852,539.62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57,670,174.01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2,182,365.61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25,346,372.37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25,346,372.37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613,140,669.91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613,140,669.91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48,473,220.20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48,473,220.20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325,333.00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325,333.00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7,126,765.21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7,126,765.21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55,925,318.41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55,925,318.41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669,065,988.32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669,065,988.32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201,463,957.00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201,463,957.00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354,360,072.83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354,360,072.83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44,639,624.11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44,639,624.11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406,939.68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406,939.68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22,613,994.83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22,613,994.83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186,810,343.76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175,673,333.80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-11,137,009.96</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721,015,683.99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721,015,683.99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16,329,444.63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16,329,444.63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737,345,128.62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737,345,128.62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1,406,411,116.94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1,406,411,116.94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73" w:lineRule="auto" w:before="91"/>
        <w:ind w:right="1133" w:firstLine="420"/>
        <w:jc w:val="both"/>
      </w:pPr>
      <w:r>
        <w:rPr>
          <w:spacing w:val="2"/>
          <w:w w:val="95"/>
        </w:rPr>
        <w:t>1：原在可供出售金融资产核算的权益工具投资，因管理层持有该金融资产不以出售为目的，应分类</w:t>
      </w:r>
      <w:r>
        <w:rPr>
          <w:spacing w:val="-82"/>
          <w:w w:val="95"/>
        </w:rPr>
        <w:t> </w:t>
      </w:r>
      <w:r>
        <w:rPr>
          <w:spacing w:val="-82"/>
          <w:w w:val="95"/>
        </w:rPr>
      </w:r>
      <w:r>
        <w:rPr>
          <w:w w:val="95"/>
        </w:rPr>
        <w:t>为以公允价值计量且其变动计入其他综合收益的金融资产，故2019年1月1日可供出售金融资产余额重分类</w:t>
      </w:r>
      <w:r>
        <w:rPr>
          <w:spacing w:val="37"/>
          <w:w w:val="95"/>
        </w:rPr>
        <w:t> </w:t>
      </w:r>
      <w:r>
        <w:rPr>
          <w:spacing w:val="37"/>
          <w:w w:val="95"/>
        </w:rPr>
      </w:r>
      <w:r>
        <w:rPr/>
        <w:t>至其他权益工具投资。</w:t>
      </w:r>
    </w:p>
    <w:p>
      <w:pPr>
        <w:pStyle w:val="BodyText"/>
        <w:spacing w:line="273" w:lineRule="auto" w:before="8"/>
        <w:ind w:right="1129" w:firstLine="420"/>
        <w:jc w:val="both"/>
      </w:pPr>
      <w:r>
        <w:rPr>
          <w:spacing w:val="2"/>
          <w:w w:val="95"/>
        </w:rPr>
        <w:t>2：执行新金融工具准则于首次执行日对相应金融工具按预期信用损失重新计量的减值准备，高于与</w:t>
      </w:r>
      <w:r>
        <w:rPr>
          <w:spacing w:val="-82"/>
          <w:w w:val="95"/>
        </w:rPr>
        <w:t> </w:t>
      </w:r>
      <w:r>
        <w:rPr>
          <w:spacing w:val="-82"/>
          <w:w w:val="95"/>
        </w:rPr>
      </w:r>
      <w:r>
        <w:rPr>
          <w:spacing w:val="-4"/>
          <w:w w:val="95"/>
        </w:rPr>
        <w:t>执行原金融工具准则下计提的减值准备金额，根据衔接规定，应计入2019年1月1日留存收益，相应调增2019</w:t>
      </w:r>
      <w:r>
        <w:rPr>
          <w:spacing w:val="65"/>
          <w:w w:val="95"/>
        </w:rPr>
        <w:t> </w:t>
      </w:r>
      <w:r>
        <w:rPr>
          <w:spacing w:val="65"/>
          <w:w w:val="95"/>
        </w:rPr>
      </w:r>
      <w:r>
        <w:rPr/>
        <w:t>年1月1日应收账款预期信用损失13,102,327.76元，调增递延所得税资产1,965,317.80元，调减未分配利</w:t>
      </w:r>
      <w:r>
        <w:rPr>
          <w:spacing w:val="-43"/>
        </w:rPr>
        <w:t> </w:t>
      </w:r>
      <w:r>
        <w:rPr>
          <w:spacing w:val="-43"/>
        </w:rPr>
      </w:r>
      <w:r>
        <w:rPr/>
        <w:t>润11,137,009.96元。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5" w:right="0"/>
              <w:jc w:val="left"/>
              <w:rPr>
                <w:rFonts w:ascii="Times New Roman" w:hAnsi="Times New Roman" w:cs="Times New Roman" w:eastAsia="Times New Roman" w:hint="default"/>
                <w:sz w:val="18"/>
                <w:szCs w:val="18"/>
              </w:rPr>
            </w:pPr>
            <w:r>
              <w:rPr>
                <w:rFonts w:ascii="Times New Roman"/>
                <w:sz w:val="18"/>
              </w:rPr>
              <w:t>323,257,923.62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5" w:right="0"/>
              <w:jc w:val="left"/>
              <w:rPr>
                <w:rFonts w:ascii="Times New Roman" w:hAnsi="Times New Roman" w:cs="Times New Roman" w:eastAsia="Times New Roman" w:hint="default"/>
                <w:sz w:val="18"/>
                <w:szCs w:val="18"/>
              </w:rPr>
            </w:pPr>
            <w:r>
              <w:rPr>
                <w:rFonts w:ascii="Times New Roman"/>
                <w:sz w:val="18"/>
              </w:rPr>
              <w:t>323,257,923.62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560,560,400.82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547,723,422.80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-12,836,978.02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13,187,105.76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13,187,105.76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118,513,967.40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118,513,967.40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176,787,054.51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176,787,054.51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1,252,306,452.11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1,252,306,452.11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27,305,280.00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-27,305,280.00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61,577,340.37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61,577,340.37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27,305,280.00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27,305,280.00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2,380,107.83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2,380,107.83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390,567.28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390,567.28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8,678,699.71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8,678,699.71</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16,909,058.40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18,834,605.10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1,925,546.70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121,041,053.59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121,041,053.59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1,373,347,505.70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1,373,347,505.70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369,735,429.52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371,917,795.13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7,721,180.42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7,721,180.42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18,872,517.90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18,872,517.90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45,911,859.75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45,911,859.75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24,048,396.67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24,048,396.67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112,276,488.65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110,094,123.04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92"/>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2,182,365.61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2"/>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25,346,372.37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25,346,372.37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603,912,245.28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603,912,245.28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48,473,220.20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48,473,220.20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2"/>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325,333.00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325,333.00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48,798,553.20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48,798,553.20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652,710,798.48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652,710,798.48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201,463,957.00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201,463,957.00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354,360,072.83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354,360,072.83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44,639,624.11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44,639,624.11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22,613,994.83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22,613,994.83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186,838,306.67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175,926,875.35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4" w:right="0"/>
              <w:jc w:val="left"/>
              <w:rPr>
                <w:rFonts w:ascii="Times New Roman" w:hAnsi="Times New Roman" w:cs="Times New Roman" w:eastAsia="Times New Roman" w:hint="default"/>
                <w:sz w:val="18"/>
                <w:szCs w:val="18"/>
              </w:rPr>
            </w:pPr>
            <w:r>
              <w:rPr>
                <w:rFonts w:ascii="Times New Roman"/>
                <w:sz w:val="18"/>
              </w:rPr>
              <w:t>-10,911,431.32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720,636,707.22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720,636,707.22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1,373,347,505.70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1,373,347,505.70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12" w:right="1124" w:firstLine="0"/>
        <w:jc w:val="left"/>
        <w:rPr>
          <w:rFonts w:ascii="宋体" w:hAnsi="宋体" w:cs="宋体" w:eastAsia="宋体" w:hint="default"/>
          <w:sz w:val="18"/>
          <w:szCs w:val="18"/>
        </w:rPr>
      </w:pPr>
      <w:r>
        <w:rPr>
          <w:rFonts w:ascii="宋体" w:hAnsi="宋体" w:cs="宋体" w:eastAsia="宋体" w:hint="default"/>
          <w:sz w:val="18"/>
          <w:szCs w:val="18"/>
        </w:rPr>
        <w:t>调整情况说明 注1：原在可供出售金融资产核算的权益工具投资，因管理层持有该金融资产不以出售为目的，应分类为以公允价值计量且 其变动计入其他综合收益的金融资产，故2019年1月1日可供出售金融资产余额重分类至其他权益工具投资。</w:t>
      </w:r>
    </w:p>
    <w:p>
      <w:pPr>
        <w:spacing w:line="316" w:lineRule="auto" w:before="2"/>
        <w:ind w:left="112" w:right="1124" w:firstLine="0"/>
        <w:jc w:val="left"/>
        <w:rPr>
          <w:rFonts w:ascii="宋体" w:hAnsi="宋体" w:cs="宋体" w:eastAsia="宋体" w:hint="default"/>
          <w:sz w:val="18"/>
          <w:szCs w:val="18"/>
        </w:rPr>
      </w:pPr>
      <w:r>
        <w:rPr>
          <w:rFonts w:ascii="宋体" w:hAnsi="宋体" w:cs="宋体" w:eastAsia="宋体" w:hint="default"/>
          <w:sz w:val="18"/>
          <w:szCs w:val="18"/>
        </w:rPr>
        <w:t>注2：执行新金融工具准则于首次执行日对相应金融工具按预期信用损失重新计量的减值准备，高于与执行原金融工具准则 下计提的减值准备金额，根据衔接规定，应计入2019年1月1日留存收益，相应调增2019年1月1日应收账款预期信用损失 12,836,978.02元，调增递延所得税资产1,925,546.70元，调减未分配利润10,911,431.32元。</w:t>
      </w:r>
    </w:p>
    <w:p>
      <w:pPr>
        <w:spacing w:line="240" w:lineRule="auto" w:before="6"/>
        <w:rPr>
          <w:rFonts w:ascii="宋体" w:hAnsi="宋体" w:cs="宋体" w:eastAsia="宋体" w:hint="default"/>
          <w:sz w:val="22"/>
          <w:szCs w:val="22"/>
        </w:rPr>
      </w:pPr>
    </w:p>
    <w:p>
      <w:pPr>
        <w:pStyle w:val="Heading6"/>
        <w:spacing w:line="240" w:lineRule="auto"/>
        <w:ind w:right="0"/>
        <w:jc w:val="left"/>
        <w:rPr>
          <w:b w:val="0"/>
          <w:bCs w:val="0"/>
        </w:rPr>
      </w:pPr>
      <w:bookmarkStart w:name="（4）2019年起执行新金融工具准则或新租赁准则追溯调整前期比较数据说明" w:id="230"/>
      <w:bookmarkEnd w:id="23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624" w:lineRule="exact" w:before="57"/>
        <w:ind w:left="112" w:right="9134" w:firstLine="0"/>
        <w:jc w:val="left"/>
        <w:rPr>
          <w:rFonts w:ascii="宋体" w:hAnsi="宋体" w:cs="宋体" w:eastAsia="宋体" w:hint="default"/>
          <w:sz w:val="24"/>
          <w:szCs w:val="24"/>
        </w:rPr>
      </w:pPr>
      <w:r>
        <w:rPr>
          <w:rFonts w:ascii="宋体" w:hAnsi="宋体" w:cs="宋体" w:eastAsia="宋体" w:hint="default"/>
          <w:sz w:val="18"/>
          <w:szCs w:val="18"/>
        </w:rPr>
        <w:t>□ 适用 √ 不适用 </w:t>
      </w:r>
      <w:bookmarkStart w:name="45、其他" w:id="231"/>
      <w:bookmarkEnd w:id="231"/>
      <w:r>
        <w:rPr>
          <w:rFonts w:ascii="宋体" w:hAnsi="宋体" w:cs="宋体" w:eastAsia="宋体" w:hint="default"/>
          <w:sz w:val="18"/>
          <w:szCs w:val="18"/>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32"/>
      <w:bookmarkEnd w:id="23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Heading6"/>
        <w:spacing w:line="240" w:lineRule="auto"/>
        <w:ind w:right="0"/>
        <w:jc w:val="left"/>
        <w:rPr>
          <w:b w:val="0"/>
          <w:bCs w:val="0"/>
        </w:rPr>
      </w:pPr>
      <w:bookmarkStart w:name="1、主要税种及税率" w:id="233"/>
      <w:bookmarkEnd w:id="23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2"/>
              <w:jc w:val="left"/>
              <w:rPr>
                <w:rFonts w:ascii="宋体" w:hAnsi="宋体" w:cs="宋体" w:eastAsia="宋体" w:hint="default"/>
                <w:sz w:val="18"/>
                <w:szCs w:val="18"/>
              </w:rPr>
            </w:pPr>
            <w:r>
              <w:rPr>
                <w:rFonts w:ascii="宋体" w:hAnsi="宋体" w:cs="宋体" w:eastAsia="宋体" w:hint="default"/>
                <w:spacing w:val="-6"/>
                <w:sz w:val="18"/>
                <w:szCs w:val="18"/>
              </w:rPr>
              <w:t>销售收入、技术服务收入、技术开发收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入、技术转让收入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、免税</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大陆云盾（重庆）信息安全技术研究院有限公司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北京科蓝软件系统（苏州）有限公司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22%</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0"/>
        <w:jc w:val="left"/>
      </w:pPr>
      <w:r>
        <w:rPr/>
        <w:t>1.</w:t>
      </w:r>
      <w:r>
        <w:rPr>
          <w:spacing w:val="-1"/>
        </w:rPr>
        <w:t> </w:t>
      </w:r>
      <w:r>
        <w:rPr/>
        <w:t>增值税</w:t>
      </w:r>
    </w:p>
    <w:p>
      <w:pPr>
        <w:pStyle w:val="BodyText"/>
        <w:spacing w:line="273" w:lineRule="auto" w:before="37"/>
        <w:ind w:right="1112" w:firstLine="420"/>
        <w:jc w:val="both"/>
      </w:pPr>
      <w:r>
        <w:rPr>
          <w:spacing w:val="2"/>
          <w:w w:val="95"/>
        </w:rPr>
        <w:t>（1）根据财政部、国家税务总局财税字[1999]第273号文《关于贯彻落实&lt;中共中央国务院关于加强</w:t>
      </w:r>
      <w:r>
        <w:rPr>
          <w:spacing w:val="-95"/>
          <w:w w:val="95"/>
        </w:rPr>
        <w:t> </w:t>
      </w:r>
      <w:r>
        <w:rPr>
          <w:spacing w:val="-95"/>
          <w:w w:val="95"/>
        </w:rPr>
      </w:r>
      <w:r>
        <w:rPr>
          <w:spacing w:val="2"/>
        </w:rPr>
        <w:t>技术创新，发展高科技，实现产业化的决定&gt;有关税收问题的通知》和《国家税务总局关于取消“单位和</w:t>
      </w:r>
      <w:r>
        <w:rPr>
          <w:w w:val="99"/>
        </w:rPr>
        <w:t> </w:t>
      </w:r>
      <w:r>
        <w:rPr>
          <w:spacing w:val="-2"/>
          <w:w w:val="99"/>
        </w:rPr>
        <w:t>个人从事技术转让、技术开发业务免征营业税审批”后有关税收管理问题的通知》（国税函[2004]825号）</w:t>
      </w:r>
      <w:r>
        <w:rPr>
          <w:spacing w:val="-84"/>
          <w:w w:val="99"/>
        </w:rPr>
        <w:t> </w:t>
      </w:r>
      <w:r>
        <w:rPr>
          <w:spacing w:val="-84"/>
          <w:w w:val="99"/>
        </w:rPr>
      </w:r>
      <w:r>
        <w:rPr>
          <w:w w:val="95"/>
        </w:rPr>
        <w:t>的规定：从事技术转让、技术开发业务和与之相关的技术咨询、技术服务业务取得的收入，免征营业税。</w:t>
      </w:r>
      <w:r>
        <w:rPr>
          <w:spacing w:val="61"/>
          <w:w w:val="95"/>
        </w:rPr>
        <w:t> </w:t>
      </w:r>
      <w:r>
        <w:rPr>
          <w:spacing w:val="61"/>
          <w:w w:val="95"/>
        </w:rPr>
      </w:r>
      <w:r>
        <w:rPr>
          <w:spacing w:val="2"/>
          <w:w w:val="95"/>
        </w:rPr>
        <w:t>根据财政部和国家税务总局财税[2011]110号文《营业税改征增值税试点方案》规定，国家给予试点行业</w:t>
      </w:r>
      <w:r>
        <w:rPr>
          <w:spacing w:val="39"/>
          <w:w w:val="95"/>
        </w:rPr>
        <w:t> </w:t>
      </w:r>
      <w:r>
        <w:rPr>
          <w:spacing w:val="39"/>
          <w:w w:val="95"/>
        </w:rPr>
      </w:r>
      <w:r>
        <w:rPr>
          <w:w w:val="95"/>
        </w:rPr>
        <w:t>的原营业税优惠政策可以延续。本公司从2012年9月1日起营业税改征增值税，适用于原营业税免税政策的</w:t>
      </w:r>
      <w:r>
        <w:rPr>
          <w:spacing w:val="37"/>
          <w:w w:val="95"/>
        </w:rPr>
        <w:t> </w:t>
      </w:r>
      <w:r>
        <w:rPr>
          <w:spacing w:val="37"/>
          <w:w w:val="95"/>
        </w:rPr>
      </w:r>
      <w:r>
        <w:rPr/>
        <w:t>收入继续免征增值税。</w:t>
      </w:r>
    </w:p>
    <w:p>
      <w:pPr>
        <w:pStyle w:val="BodyText"/>
        <w:spacing w:line="273" w:lineRule="auto"/>
        <w:ind w:right="1130" w:firstLine="420"/>
        <w:jc w:val="both"/>
      </w:pPr>
      <w:r>
        <w:rPr>
          <w:w w:val="95"/>
        </w:rPr>
        <w:t>（2）根据财政部、国家税务总局财税[2011]100号文《关于软件产品增值税政策的通知》的规定，自</w:t>
      </w:r>
      <w:r>
        <w:rPr>
          <w:spacing w:val="-95"/>
          <w:w w:val="95"/>
        </w:rPr>
        <w:t> </w:t>
      </w:r>
      <w:r>
        <w:rPr>
          <w:spacing w:val="-95"/>
          <w:w w:val="95"/>
        </w:rPr>
      </w:r>
      <w:r>
        <w:rPr>
          <w:spacing w:val="2"/>
          <w:w w:val="95"/>
        </w:rPr>
        <w:t>2011年1月1日起，增值税一般纳税人销售其自行开发生产的软件产品，按17%税率征收增值税后，对其增</w:t>
      </w:r>
      <w:r>
        <w:rPr>
          <w:spacing w:val="41"/>
          <w:w w:val="95"/>
        </w:rPr>
        <w:t> </w:t>
      </w:r>
      <w:r>
        <w:rPr>
          <w:spacing w:val="41"/>
          <w:w w:val="95"/>
        </w:rPr>
      </w:r>
      <w:r>
        <w:rPr>
          <w:w w:val="95"/>
        </w:rPr>
        <w:t>值税实际税负超过3%的部分实行即征即退政策。增值税一般纳税人将进口软件产品进行本地化改造后对外</w:t>
      </w:r>
      <w:r>
        <w:rPr>
          <w:spacing w:val="39"/>
          <w:w w:val="95"/>
        </w:rPr>
        <w:t> </w:t>
      </w:r>
      <w:r>
        <w:rPr>
          <w:spacing w:val="39"/>
          <w:w w:val="95"/>
        </w:rPr>
      </w:r>
      <w:r>
        <w:rPr>
          <w:w w:val="95"/>
        </w:rPr>
        <w:t>销售，其销售的软件产品可享受上述规定的增值税即征即退政策。纳税人受托开发软件产品，著作权属于</w:t>
      </w:r>
      <w:r>
        <w:rPr>
          <w:spacing w:val="40"/>
          <w:w w:val="95"/>
        </w:rPr>
        <w:t> </w:t>
      </w:r>
      <w:r>
        <w:rPr>
          <w:spacing w:val="40"/>
          <w:w w:val="95"/>
        </w:rPr>
      </w:r>
      <w:r>
        <w:rPr>
          <w:w w:val="95"/>
        </w:rPr>
        <w:t>受托方的征收增值税，著作权属于委托方或属于双方共同拥有的不征收增值税；对经过国家版权局注册登</w:t>
      </w:r>
      <w:r>
        <w:rPr>
          <w:spacing w:val="40"/>
          <w:w w:val="95"/>
        </w:rPr>
        <w:t> </w:t>
      </w:r>
      <w:r>
        <w:rPr>
          <w:spacing w:val="40"/>
          <w:w w:val="95"/>
        </w:rPr>
      </w:r>
      <w:r>
        <w:rPr/>
        <w:t>记，纳税人在销售时一并转让著作权、所有权的，不征收增值税。</w:t>
      </w:r>
    </w:p>
    <w:p>
      <w:pPr>
        <w:pStyle w:val="BodyText"/>
        <w:spacing w:line="273" w:lineRule="auto"/>
        <w:ind w:right="0" w:firstLine="420"/>
        <w:jc w:val="left"/>
      </w:pPr>
      <w:r>
        <w:rPr>
          <w:spacing w:val="-5"/>
          <w:w w:val="99"/>
        </w:rPr>
        <w:t>（3）根据财政部、税务总局、海关总署《关于深化增值税改革有关政策的公告》（财政部、税务总局、</w:t>
      </w:r>
      <w:r>
        <w:rPr>
          <w:w w:val="99"/>
        </w:rPr>
        <w:t> </w:t>
      </w:r>
      <w:r>
        <w:rPr/>
        <w:t>海关总署公告2019年第39号）的规定，本公司自2019年4月1日起发生增值税应税销售行为或者进口货物，</w:t>
      </w:r>
      <w:r>
        <w:rPr>
          <w:w w:val="99"/>
        </w:rPr>
        <w:t> </w:t>
      </w:r>
      <w:r>
        <w:rPr/>
        <w:t>原适用16%和10%税率的，税率分别调整为13%、9%。</w:t>
      </w:r>
    </w:p>
    <w:p>
      <w:pPr>
        <w:pStyle w:val="BodyText"/>
        <w:spacing w:line="240" w:lineRule="auto" w:before="127"/>
        <w:ind w:left="532" w:right="0"/>
        <w:jc w:val="left"/>
      </w:pPr>
      <w:r>
        <w:rPr/>
        <w:t>2.</w:t>
      </w:r>
      <w:r>
        <w:rPr>
          <w:spacing w:val="-1"/>
        </w:rPr>
        <w:t> </w:t>
      </w:r>
      <w:r>
        <w:rPr/>
        <w:t>所得税</w:t>
      </w:r>
    </w:p>
    <w:p>
      <w:pPr>
        <w:pStyle w:val="BodyText"/>
        <w:spacing w:line="273" w:lineRule="auto" w:before="37"/>
        <w:ind w:right="1112" w:firstLine="420"/>
        <w:jc w:val="both"/>
      </w:pPr>
      <w:r>
        <w:rPr>
          <w:w w:val="95"/>
        </w:rPr>
        <w:t>（1）2018年9月10日，本公司获取北京市科学技术委员会、北京市财政局、国家税务总局北京市税务</w:t>
      </w:r>
      <w:r>
        <w:rPr>
          <w:w w:val="99"/>
        </w:rPr>
        <w:t> </w:t>
      </w:r>
      <w:r>
        <w:rPr>
          <w:spacing w:val="-2"/>
          <w:w w:val="99"/>
        </w:rPr>
        <w:t>局联合批准颁发的编号为GR201811001351的《高新技术企业证书》，继续享受所得税15%的税收优惠政策，</w:t>
      </w:r>
      <w:r>
        <w:rPr>
          <w:spacing w:val="-76"/>
          <w:w w:val="99"/>
        </w:rPr>
        <w:t> </w:t>
      </w:r>
      <w:r>
        <w:rPr>
          <w:spacing w:val="-76"/>
          <w:w w:val="99"/>
        </w:rPr>
      </w:r>
      <w:r>
        <w:rPr/>
        <w:t>有效期为3年，优惠期间为2018年度、2019年度、2020年度。</w:t>
      </w:r>
    </w:p>
    <w:p>
      <w:pPr>
        <w:pStyle w:val="BodyText"/>
        <w:spacing w:line="273" w:lineRule="auto"/>
        <w:ind w:right="1131" w:firstLine="420"/>
        <w:jc w:val="both"/>
      </w:pPr>
      <w:r>
        <w:rPr>
          <w:spacing w:val="2"/>
          <w:w w:val="95"/>
        </w:rPr>
        <w:t>（2）2017年10月31日，经深圳市科技创新委员会、深圳市财政委员会、深圳市国家税务局、深圳市</w:t>
      </w:r>
      <w:r>
        <w:rPr>
          <w:spacing w:val="-92"/>
          <w:w w:val="95"/>
        </w:rPr>
        <w:t> </w:t>
      </w:r>
      <w:r>
        <w:rPr>
          <w:spacing w:val="-92"/>
          <w:w w:val="95"/>
        </w:rPr>
      </w:r>
      <w:r>
        <w:rPr>
          <w:w w:val="95"/>
        </w:rPr>
        <w:t>地方税务局批准，本公司之子公司深圳科蓝金信科技发展有限公司取得了编号为GR201744203621的高新技</w:t>
      </w:r>
      <w:r>
        <w:rPr>
          <w:spacing w:val="37"/>
          <w:w w:val="95"/>
        </w:rPr>
        <w:t> </w:t>
      </w:r>
      <w:r>
        <w:rPr>
          <w:spacing w:val="37"/>
          <w:w w:val="95"/>
        </w:rPr>
      </w:r>
      <w:r>
        <w:rPr>
          <w:spacing w:val="-4"/>
          <w:w w:val="95"/>
        </w:rPr>
        <w:t>术企业证书，可以自获取当年起享受所得税15%的税收优惠政策，有效期为3年，优惠期间为2017年度、2018</w:t>
      </w:r>
      <w:r>
        <w:rPr>
          <w:spacing w:val="-4"/>
        </w:rPr>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40" w:lineRule="auto" w:before="34"/>
        <w:ind w:right="0"/>
        <w:jc w:val="left"/>
      </w:pPr>
      <w:r>
        <w:rPr/>
        <w:t>年度、2019年度。</w:t>
      </w:r>
    </w:p>
    <w:p>
      <w:pPr>
        <w:spacing w:line="240" w:lineRule="auto" w:before="0"/>
        <w:rPr>
          <w:rFonts w:ascii="宋体" w:hAnsi="宋体" w:cs="宋体" w:eastAsia="宋体" w:hint="default"/>
          <w:sz w:val="20"/>
          <w:szCs w:val="20"/>
        </w:rPr>
      </w:pPr>
    </w:p>
    <w:p>
      <w:pPr>
        <w:spacing w:before="1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13"/>
        <w:rPr>
          <w:rFonts w:ascii="宋体" w:hAnsi="宋体" w:cs="宋体" w:eastAsia="宋体" w:hint="default"/>
          <w:sz w:val="25"/>
          <w:szCs w:val="25"/>
        </w:rPr>
      </w:pPr>
    </w:p>
    <w:p>
      <w:pPr>
        <w:spacing w:line="487" w:lineRule="auto" w:before="0"/>
        <w:ind w:left="112" w:right="7862" w:firstLine="0"/>
        <w:jc w:val="left"/>
        <w:rPr>
          <w:rFonts w:ascii="宋体" w:hAnsi="宋体" w:cs="宋体" w:eastAsia="宋体" w:hint="default"/>
          <w:sz w:val="21"/>
          <w:szCs w:val="21"/>
        </w:rPr>
      </w:pPr>
      <w:bookmarkStart w:name="3、其他" w:id="235"/>
      <w:bookmarkEnd w:id="2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36"/>
      <w:bookmarkEnd w:id="236"/>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7"/>
      <w:bookmarkEnd w:id="2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6,773.55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257,484,153.97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402,234,569.43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3,860,887.43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5,067,217.70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261,348,244.61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407,308,560.68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23,046,911.85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31,000,326.27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720"/>
              <w:jc w:val="left"/>
              <w:rPr>
                <w:rFonts w:ascii="宋体" w:hAnsi="宋体" w:cs="宋体" w:eastAsia="宋体" w:hint="default"/>
                <w:sz w:val="18"/>
                <w:szCs w:val="18"/>
              </w:rPr>
            </w:pPr>
            <w:r>
              <w:rPr>
                <w:rFonts w:ascii="宋体" w:hAnsi="宋体" w:cs="宋体" w:eastAsia="宋体" w:hint="default"/>
                <w:spacing w:val="-7"/>
                <w:sz w:val="18"/>
                <w:szCs w:val="18"/>
              </w:rPr>
              <w:t>因抵押、质押或冻结等对使用</w:t>
            </w:r>
            <w:r>
              <w:rPr>
                <w:rFonts w:ascii="宋体" w:hAnsi="宋体" w:cs="宋体" w:eastAsia="宋体" w:hint="default"/>
                <w:sz w:val="18"/>
                <w:szCs w:val="18"/>
              </w:rPr>
              <w:t> 有限制的款项总额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39,697,383.00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4,745,429.00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32"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35"/>
        <w:gridCol w:w="2835"/>
        <w:gridCol w:w="2694"/>
      </w:tblGrid>
      <w:tr>
        <w:trPr>
          <w:trHeight w:val="354" w:hRule="exact"/>
        </w:trPr>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799"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62"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2,372,050.00</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4,420,096.00</w:t>
            </w:r>
          </w:p>
        </w:tc>
      </w:tr>
      <w:tr>
        <w:trPr>
          <w:trHeight w:val="362"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为获取借款质押的保证金</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37,000,000.00</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z w:val="18"/>
              </w:rPr>
              <w:t>-</w:t>
            </w:r>
          </w:p>
        </w:tc>
      </w:tr>
      <w:tr>
        <w:trPr>
          <w:trHeight w:val="362"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附使用条件的政府补助</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325,333.00</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7"/>
              <w:jc w:val="right"/>
              <w:rPr>
                <w:rFonts w:ascii="宋体" w:hAnsi="宋体" w:cs="宋体" w:eastAsia="宋体" w:hint="default"/>
                <w:sz w:val="18"/>
                <w:szCs w:val="18"/>
              </w:rPr>
            </w:pPr>
            <w:r>
              <w:rPr>
                <w:rFonts w:ascii="宋体"/>
                <w:spacing w:val="-1"/>
                <w:sz w:val="18"/>
              </w:rPr>
              <w:t>325,333.00</w:t>
            </w:r>
          </w:p>
        </w:tc>
      </w:tr>
      <w:tr>
        <w:trPr>
          <w:trHeight w:val="362"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39,697,383.00</w:t>
            </w:r>
          </w:p>
        </w:tc>
        <w:tc>
          <w:tcPr>
            <w:tcW w:w="2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4,745,429.00</w:t>
            </w:r>
          </w:p>
        </w:tc>
      </w:tr>
    </w:tbl>
    <w:p>
      <w:pPr>
        <w:spacing w:line="240" w:lineRule="auto" w:before="6"/>
        <w:rPr>
          <w:rFonts w:ascii="宋体" w:hAnsi="宋体" w:cs="宋体" w:eastAsia="宋体" w:hint="default"/>
          <w:sz w:val="5"/>
          <w:szCs w:val="5"/>
        </w:rPr>
      </w:pPr>
    </w:p>
    <w:p>
      <w:pPr>
        <w:pStyle w:val="BodyText"/>
        <w:spacing w:line="240" w:lineRule="auto" w:before="34"/>
        <w:ind w:left="532" w:right="0"/>
        <w:jc w:val="left"/>
      </w:pPr>
      <w:r>
        <w:rPr/>
        <w:t>截至2019年12月31日止，除上述受限货币资金外，本公司不存在冻结或有潜在收回风险的款项。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0"/>
        <w:jc w:val="left"/>
        <w:rPr>
          <w:b w:val="0"/>
          <w:bCs w:val="0"/>
        </w:rPr>
      </w:pPr>
      <w:bookmarkStart w:name="2、交易性金融资产" w:id="238"/>
      <w:bookmarkEnd w:id="23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应收票据" w:id="240"/>
      <w:bookmarkEnd w:id="24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票据分类列示" w:id="241"/>
      <w:bookmarkEnd w:id="24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930"/>
        <w:gridCol w:w="798"/>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0"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12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期末公司已质押的应收票据" w:id="243"/>
      <w:bookmarkEnd w:id="243"/>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4）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5）期末公司因出票人未履约而将其转应收账款的票据" w:id="245"/>
      <w:bookmarkEnd w:id="245"/>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本期实际核销的应收票据情况" w:id="246"/>
      <w:bookmarkEnd w:id="246"/>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应收账款" w:id="247"/>
      <w:bookmarkEnd w:id="24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账款分类披露" w:id="248"/>
      <w:bookmarkEnd w:id="24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8" w:right="0"/>
              <w:jc w:val="left"/>
              <w:rPr>
                <w:rFonts w:ascii="Times New Roman" w:hAnsi="Times New Roman" w:cs="Times New Roman" w:eastAsia="Times New Roman" w:hint="default"/>
                <w:sz w:val="18"/>
                <w:szCs w:val="18"/>
              </w:rPr>
            </w:pPr>
            <w:r>
              <w:rPr>
                <w:rFonts w:ascii="Times New Roman"/>
                <w:sz w:val="18"/>
              </w:rPr>
              <w:t>33,114.</w:t>
            </w:r>
          </w:p>
          <w:p>
            <w:pPr>
              <w:pStyle w:val="TableParagraph"/>
              <w:spacing w:line="240" w:lineRule="auto" w:before="105"/>
              <w:ind w:left="471" w:right="0"/>
              <w:jc w:val="left"/>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7" w:right="0"/>
              <w:jc w:val="left"/>
              <w:rPr>
                <w:rFonts w:ascii="Times New Roman" w:hAnsi="Times New Roman" w:cs="Times New Roman" w:eastAsia="Times New Roman" w:hint="default"/>
                <w:sz w:val="18"/>
                <w:szCs w:val="18"/>
              </w:rPr>
            </w:pPr>
            <w:r>
              <w:rPr>
                <w:rFonts w:ascii="Times New Roman"/>
                <w:sz w:val="18"/>
              </w:rPr>
              <w:t>33,114.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3" w:right="0"/>
              <w:jc w:val="left"/>
              <w:rPr>
                <w:rFonts w:ascii="Times New Roman" w:hAnsi="Times New Roman" w:cs="Times New Roman" w:eastAsia="Times New Roman" w:hint="default"/>
                <w:sz w:val="18"/>
                <w:szCs w:val="18"/>
              </w:rPr>
            </w:pPr>
            <w:r>
              <w:rPr>
                <w:rFonts w:ascii="Times New Roman"/>
                <w:sz w:val="18"/>
              </w:rPr>
              <w:t>33,625.</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4" w:right="0"/>
              <w:jc w:val="left"/>
              <w:rPr>
                <w:rFonts w:ascii="Times New Roman" w:hAnsi="Times New Roman" w:cs="Times New Roman" w:eastAsia="Times New Roman" w:hint="default"/>
                <w:sz w:val="18"/>
                <w:szCs w:val="18"/>
              </w:rPr>
            </w:pPr>
            <w:r>
              <w:rPr>
                <w:rFonts w:ascii="Times New Roman"/>
                <w:sz w:val="18"/>
              </w:rPr>
              <w:t>33,625.</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37"/>
          <w:pgSz w:w="11910" w:h="16840"/>
          <w:pgMar w:footer="1016" w:header="907" w:top="1100" w:bottom="1200" w:left="1020" w:right="0"/>
          <w:pgNumType w:start="18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763,74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7,200.2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120,62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5,438.0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15.79</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1,762.1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637,12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3,387.6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99.99%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6,612.3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532,756,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775.27</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763,78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0,314.4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8,552.2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1,762.1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637,15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7,012.8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0,237.6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532,756,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775.27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33114.17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7"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将逾期的可收回性极</w:t>
            </w:r>
          </w:p>
        </w:tc>
      </w:tr>
      <w:tr>
        <w:trPr>
          <w:trHeight w:val="317"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ToBeInet</w:t>
            </w:r>
            <w:r>
              <w:rPr>
                <w:rFonts w:ascii="宋体" w:hAnsi="宋体" w:cs="宋体" w:eastAsia="宋体" w:hint="default"/>
                <w:sz w:val="18"/>
                <w:szCs w:val="18"/>
              </w:rPr>
              <w:t>（株）</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32,118.93</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32,118.93</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小的应收账款，全额</w:t>
            </w:r>
          </w:p>
        </w:tc>
      </w:tr>
      <w:tr>
        <w:trPr>
          <w:trHeight w:val="352"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计提坏账准备。</w:t>
            </w:r>
          </w:p>
        </w:tc>
      </w:tr>
      <w:tr>
        <w:trPr>
          <w:trHeight w:val="358"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将逾期的可收回性极</w:t>
            </w:r>
          </w:p>
        </w:tc>
      </w:tr>
      <w:tr>
        <w:trPr>
          <w:trHeight w:val="316"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Pico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技术（株）</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995.24</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995.24</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小的应收账款，全额</w:t>
            </w:r>
          </w:p>
        </w:tc>
      </w:tr>
      <w:tr>
        <w:trPr>
          <w:trHeight w:val="352"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计提坏账准备。</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33,114.17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33,114.17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763747200.23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494,601,700.64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29,676,102.04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131,423,815.80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19,713,572.38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43,498,426.32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10,874,606.58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44,065,211.05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22,032,605.53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26,287,766.36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14,458,271.50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23,870,280.06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23,870,280.06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763,747,200.23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120,625,438.09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50"/>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5"/>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before="2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494,601,700.63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131,423,815.80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43,530,545.26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94,224,252.71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44,065,211.05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26,287,766.36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23,871,275.30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763,780,314.40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单项计提预期</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信用损失的应</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33,625.27</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-511.10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33,114.17</w:t>
            </w:r>
          </w:p>
        </w:tc>
      </w:tr>
      <w:tr>
        <w:trPr>
          <w:trHeight w:val="353"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按组合计提预</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期信用损失的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104,372,080.06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16,254,234.81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-876.78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120,625,438.09</w:t>
            </w:r>
          </w:p>
        </w:tc>
      </w:tr>
      <w:tr>
        <w:trPr>
          <w:trHeight w:val="353"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104,405,705.33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16,254,234.81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-1,387.88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120,658,552.26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本期实际核销的应收账款情况" w:id="250"/>
      <w:bookmarkEnd w:id="25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
        <w:rPr>
          <w:rFonts w:ascii="宋体" w:hAnsi="宋体" w:cs="宋体" w:eastAsia="宋体" w:hint="default"/>
          <w:sz w:val="13"/>
          <w:szCs w:val="13"/>
        </w:rPr>
      </w:pPr>
    </w:p>
    <w:p>
      <w:pPr>
        <w:pStyle w:val="Heading6"/>
        <w:spacing w:line="240" w:lineRule="auto"/>
        <w:ind w:right="0"/>
        <w:jc w:val="left"/>
        <w:rPr>
          <w:b w:val="0"/>
          <w:bCs w:val="0"/>
        </w:rPr>
      </w:pPr>
      <w:r>
        <w:rPr/>
        <w:t>本报告期无实际核销的应收账款。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Heading6"/>
        <w:spacing w:line="240" w:lineRule="auto"/>
        <w:ind w:right="0"/>
        <w:jc w:val="left"/>
        <w:rPr>
          <w:b w:val="0"/>
          <w:bCs w:val="0"/>
        </w:rPr>
      </w:pPr>
      <w:bookmarkStart w:name="（4）按欠款方归集的期末余额前五名的应收账款情况" w:id="251"/>
      <w:bookmarkEnd w:id="25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9" w:right="17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47"/>
              <w:jc w:val="left"/>
              <w:rPr>
                <w:rFonts w:ascii="宋体" w:hAnsi="宋体" w:cs="宋体" w:eastAsia="宋体" w:hint="default"/>
                <w:sz w:val="18"/>
                <w:szCs w:val="18"/>
              </w:rPr>
            </w:pPr>
            <w:r>
              <w:rPr>
                <w:rFonts w:ascii="宋体" w:hAnsi="宋体" w:cs="宋体" w:eastAsia="宋体" w:hint="default"/>
                <w:sz w:val="18"/>
                <w:szCs w:val="18"/>
              </w:rPr>
              <w:t>期末余额前五名应收 账款汇总</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159,671,211.97</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20.91%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8" w:right="0"/>
              <w:jc w:val="left"/>
              <w:rPr>
                <w:rFonts w:ascii="Times New Roman" w:hAnsi="Times New Roman" w:cs="Times New Roman" w:eastAsia="Times New Roman" w:hint="default"/>
                <w:sz w:val="18"/>
                <w:szCs w:val="18"/>
              </w:rPr>
            </w:pPr>
            <w:r>
              <w:rPr>
                <w:rFonts w:ascii="Times New Roman"/>
                <w:sz w:val="18"/>
              </w:rPr>
              <w:t>27,102,820.63</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159,671,211.97</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20.91%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5）因金融资产转移而终止确认的应收账款" w:id="252"/>
      <w:bookmarkEnd w:id="25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6）转移应收账款且继续涉入形成的资产、负债金额" w:id="253"/>
      <w:bookmarkEnd w:id="25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1132" w:firstLine="420"/>
        <w:jc w:val="both"/>
      </w:pPr>
      <w:r>
        <w:rPr>
          <w:w w:val="95"/>
        </w:rPr>
        <w:t>截至2019年12月31日止，通过质押、保理等方式为本公司融资提供担保的应收账款期末余额为人民币</w:t>
      </w:r>
      <w:r>
        <w:rPr>
          <w:w w:val="99"/>
        </w:rPr>
        <w:t> </w:t>
      </w:r>
      <w:r>
        <w:rPr>
          <w:w w:val="95"/>
        </w:rPr>
        <w:t>10,540.60万元，上述应收账款担保的短期借款11,450.00万元已到期，尚未办理应收账款质押登记解除手   </w:t>
      </w:r>
      <w:r>
        <w:rPr>
          <w:spacing w:val="40"/>
          <w:w w:val="95"/>
        </w:rPr>
        <w:t> </w:t>
      </w:r>
      <w:r>
        <w:rPr>
          <w:spacing w:val="40"/>
          <w:w w:val="95"/>
        </w:rPr>
      </w:r>
      <w:r>
        <w:rPr/>
        <w:t>续。</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6、应收款项融资" w:id="254"/>
      <w:bookmarkEnd w:id="254"/>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60" w:lineRule="auto" w:before="115"/>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 不适用 如是按照预期信用损失一般模型计提应收款项融资减值准备，请参照其他应收款的披露方式披露减值准备的相关信息：</w:t>
      </w:r>
    </w:p>
    <w:p>
      <w:pPr>
        <w:spacing w:line="357" w:lineRule="auto" w:before="27"/>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7、预付款项" w:id="255"/>
      <w:bookmarkEnd w:id="255"/>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预付款项按账龄列示" w:id="256"/>
      <w:bookmarkEnd w:id="25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9,548,710.53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13,725,208.59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2"/>
                <w:sz w:val="18"/>
              </w:rPr>
              <w:t>98.11%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4,700,544.29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263,897.34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255,302.56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14,504,557.38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13,989,105.93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2）按预付对象归集的期末余额前五名的预付款情况" w:id="257"/>
      <w:bookmarkEnd w:id="25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410"/>
        <w:gridCol w:w="1559"/>
        <w:gridCol w:w="1418"/>
        <w:gridCol w:w="1276"/>
        <w:gridCol w:w="1559"/>
      </w:tblGrid>
      <w:tr>
        <w:trPr>
          <w:trHeight w:val="666" w:hRule="exact"/>
        </w:trPr>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96" w:right="70" w:hanging="226"/>
              <w:jc w:val="left"/>
              <w:rPr>
                <w:rFonts w:ascii="宋体" w:hAnsi="宋体" w:cs="宋体" w:eastAsia="宋体" w:hint="default"/>
                <w:sz w:val="18"/>
                <w:szCs w:val="18"/>
              </w:rPr>
            </w:pPr>
            <w:r>
              <w:rPr>
                <w:rFonts w:ascii="宋体" w:hAnsi="宋体" w:cs="宋体" w:eastAsia="宋体" w:hint="default"/>
                <w:sz w:val="18"/>
                <w:szCs w:val="18"/>
              </w:rPr>
              <w:t>占预付款项总额 的比例(%)</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61" w:right="0"/>
              <w:jc w:val="left"/>
              <w:rPr>
                <w:rFonts w:ascii="宋体" w:hAnsi="宋体" w:cs="宋体" w:eastAsia="宋体" w:hint="default"/>
                <w:sz w:val="18"/>
                <w:szCs w:val="18"/>
              </w:rPr>
            </w:pPr>
            <w:r>
              <w:rPr>
                <w:rFonts w:ascii="宋体"/>
                <w:sz w:val="18"/>
              </w:rPr>
              <w:t>3,400,000.00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23.44</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1-2年</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left="461" w:right="0"/>
              <w:jc w:val="left"/>
              <w:rPr>
                <w:rFonts w:ascii="宋体" w:hAnsi="宋体" w:cs="宋体" w:eastAsia="宋体" w:hint="default"/>
                <w:sz w:val="18"/>
                <w:szCs w:val="18"/>
              </w:rPr>
            </w:pPr>
            <w:r>
              <w:rPr>
                <w:rFonts w:ascii="宋体"/>
                <w:sz w:val="18"/>
              </w:rPr>
              <w:t>2,000,000.00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13.79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5"/>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61" w:right="0"/>
              <w:jc w:val="left"/>
              <w:rPr>
                <w:rFonts w:ascii="宋体" w:hAnsi="宋体" w:cs="宋体" w:eastAsia="宋体" w:hint="default"/>
                <w:sz w:val="18"/>
                <w:szCs w:val="18"/>
              </w:rPr>
            </w:pPr>
            <w:r>
              <w:rPr>
                <w:rFonts w:ascii="宋体"/>
                <w:sz w:val="18"/>
              </w:rPr>
              <w:t>1,300,000.00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8.96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1-2年</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61" w:right="0"/>
              <w:jc w:val="left"/>
              <w:rPr>
                <w:rFonts w:ascii="宋体" w:hAnsi="宋体" w:cs="宋体" w:eastAsia="宋体" w:hint="default"/>
                <w:sz w:val="18"/>
                <w:szCs w:val="18"/>
              </w:rPr>
            </w:pPr>
            <w:r>
              <w:rPr>
                <w:rFonts w:ascii="宋体"/>
                <w:sz w:val="18"/>
              </w:rPr>
              <w:t>1,200,000.00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8.27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61" w:right="0"/>
              <w:jc w:val="left"/>
              <w:rPr>
                <w:rFonts w:ascii="宋体" w:hAnsi="宋体" w:cs="宋体" w:eastAsia="宋体" w:hint="default"/>
                <w:sz w:val="18"/>
                <w:szCs w:val="18"/>
              </w:rPr>
            </w:pPr>
            <w:r>
              <w:rPr>
                <w:rFonts w:ascii="宋体"/>
                <w:sz w:val="18"/>
              </w:rPr>
              <w:t>1,102,500.00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7.60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61" w:right="0"/>
              <w:jc w:val="left"/>
              <w:rPr>
                <w:rFonts w:ascii="宋体" w:hAnsi="宋体" w:cs="宋体" w:eastAsia="宋体" w:hint="default"/>
                <w:sz w:val="18"/>
                <w:szCs w:val="18"/>
              </w:rPr>
            </w:pPr>
            <w:r>
              <w:rPr>
                <w:rFonts w:ascii="宋体"/>
                <w:sz w:val="18"/>
              </w:rPr>
              <w:t>9,002,500.00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62.07</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8、其他应收款" w:id="258"/>
      <w:bookmarkEnd w:id="258"/>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16,683,944.64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18,615,740.72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16,683,944.64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18,615,740.72</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1）应收利息" w:id="259"/>
      <w:bookmarkEnd w:id="25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收利息分类" w:id="260"/>
      <w:bookmarkEnd w:id="260"/>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重要逾期利息" w:id="261"/>
      <w:bookmarkEnd w:id="261"/>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坏账准备计提情况" w:id="262"/>
      <w:bookmarkEnd w:id="26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应收股利" w:id="263"/>
      <w:bookmarkEnd w:id="26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股利分类" w:id="264"/>
      <w:bookmarkEnd w:id="26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重要的账龄超过1年的应收股利" w:id="265"/>
      <w:bookmarkEnd w:id="265"/>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3）坏账准备计提情况" w:id="266"/>
      <w:bookmarkEnd w:id="26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3）其他应收款" w:id="267"/>
      <w:bookmarkEnd w:id="26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按款项性质分类情况" w:id="268"/>
      <w:bookmarkEnd w:id="26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6,519,065.80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7,016,879.20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8,462,939.93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6,520,506.97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3,694,871.82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5,772,170.14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2,369,339.83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2,834,929.05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21,046,217.38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22,144,485.36</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坏账准备计提情况" w:id="269"/>
      <w:bookmarkEnd w:id="26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3,528,744.64</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3,528,744.64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834,492.74</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834,492.74</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-964.64</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-964.64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4,362,272.74</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4,362,272.74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2230"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3893" w:space="493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9,765,688.44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3,823,965.25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1,944,677.54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5,511,886.15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3,345,417.00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1,473,042.75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693,426.40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21,046,217.38</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3）本期计提、收回或转回的坏账准备情况" w:id="270"/>
      <w:bookmarkEnd w:id="27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102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1"/>
              <w:jc w:val="both"/>
              <w:rPr>
                <w:rFonts w:ascii="宋体" w:hAnsi="宋体" w:cs="宋体" w:eastAsia="宋体" w:hint="default"/>
                <w:sz w:val="18"/>
                <w:szCs w:val="18"/>
              </w:rPr>
            </w:pPr>
            <w:r>
              <w:rPr>
                <w:rFonts w:ascii="宋体" w:hAnsi="宋体" w:cs="宋体" w:eastAsia="宋体" w:hint="default"/>
                <w:sz w:val="18"/>
                <w:szCs w:val="18"/>
              </w:rPr>
              <w:t>以账龄为风险 特征划分信用 风险组合</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3,528,744.6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834,492.74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-964.64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4,362,272.74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3,528,744.6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834,492.74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-964.64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4,362,272.74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本期实际核销的其他应收款情况" w:id="271"/>
      <w:bookmarkEnd w:id="27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16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
        <w:rPr>
          <w:rFonts w:ascii="宋体" w:hAnsi="宋体" w:cs="宋体" w:eastAsia="宋体" w:hint="default"/>
          <w:sz w:val="13"/>
          <w:szCs w:val="13"/>
        </w:rPr>
      </w:pPr>
    </w:p>
    <w:p>
      <w:pPr>
        <w:pStyle w:val="Heading6"/>
        <w:spacing w:line="240" w:lineRule="auto"/>
        <w:ind w:right="0"/>
        <w:jc w:val="left"/>
        <w:rPr>
          <w:b w:val="0"/>
          <w:bCs w:val="0"/>
        </w:rPr>
      </w:pPr>
      <w:r>
        <w:rPr/>
        <w:t>本期无实际核销的其他应收款。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Heading6"/>
        <w:spacing w:line="240" w:lineRule="auto"/>
        <w:ind w:right="0"/>
        <w:jc w:val="left"/>
        <w:rPr>
          <w:b w:val="0"/>
          <w:bCs w:val="0"/>
        </w:rPr>
      </w:pPr>
      <w:bookmarkStart w:name="5）按欠款方归集的期末余额前五名的其他应收款情况" w:id="272"/>
      <w:bookmarkEnd w:id="27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745,475.28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74,547.53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473,926.20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84,434.75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469,293.03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53,858.61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2,846,694.51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764,840.89</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6）涉及政府补助的应收款项" w:id="273"/>
      <w:bookmarkEnd w:id="273"/>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after="0" w:line="316"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7）因金融资产转移而终止确认的其他应收款" w:id="274"/>
      <w:bookmarkEnd w:id="274"/>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8）转移其他应收款且继续涉入形成的资产、负债金额" w:id="275"/>
      <w:bookmarkEnd w:id="275"/>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9、存货" w:id="276"/>
      <w:bookmarkEnd w:id="276"/>
      <w:r>
        <w:rPr>
          <w:b w:val="0"/>
          <w:bCs w:val="0"/>
        </w:rPr>
      </w:r>
      <w:r>
        <w:rPr>
          <w:rFonts w:ascii="Times New Roman" w:hAnsi="Times New Roman" w:cs="Times New Roman" w:eastAsia="Times New Roman" w:hint="default"/>
        </w:rPr>
        <w:t>9</w:t>
      </w:r>
      <w:r>
        <w:rPr/>
        <w:t>、存货</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存货分类" w:id="277"/>
      <w:bookmarkEnd w:id="27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2,112,029.61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1,932,815.21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179,214.40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2,603,818.96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2,603,818.96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269,711,149.44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13,896,216.45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255,814,932.99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194,655,857.76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center"/>
              <w:rPr>
                <w:rFonts w:ascii="Times New Roman" w:hAnsi="Times New Roman" w:cs="Times New Roman" w:eastAsia="Times New Roman" w:hint="default"/>
                <w:sz w:val="18"/>
                <w:szCs w:val="18"/>
              </w:rPr>
            </w:pPr>
            <w:r>
              <w:rPr>
                <w:rFonts w:ascii="Times New Roman"/>
                <w:sz w:val="18"/>
              </w:rPr>
              <w:t>11,238,500.12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183,417,357.64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175,687.81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175,687.81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128,621.26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128,621.26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271,998,866.86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15,829,031.66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256,169,835.20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197,388,297.98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center"/>
              <w:rPr>
                <w:rFonts w:ascii="Times New Roman" w:hAnsi="Times New Roman" w:cs="Times New Roman" w:eastAsia="Times New Roman" w:hint="default"/>
                <w:sz w:val="18"/>
                <w:szCs w:val="18"/>
              </w:rPr>
            </w:pPr>
            <w:r>
              <w:rPr>
                <w:rFonts w:ascii="Times New Roman"/>
                <w:sz w:val="18"/>
              </w:rPr>
              <w:t>11,238,500.12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186,149,797.86</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2）存货跌价准备" w:id="278"/>
      <w:bookmarkEnd w:id="27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1,932,815.21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1,932,815.21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11,238,500.12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2,657,716.33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13,896,216.45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11,238,500.12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4,590,531.54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15,829,031.66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6"/>
        <w:spacing w:line="240" w:lineRule="auto" w:before="34"/>
        <w:ind w:right="0"/>
        <w:jc w:val="left"/>
        <w:rPr>
          <w:b w:val="0"/>
          <w:bCs w:val="0"/>
        </w:rPr>
      </w:pPr>
      <w:bookmarkStart w:name="（3）存货期末余额含有借款费用资本化金额的说明" w:id="279"/>
      <w:bookmarkEnd w:id="27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4）期末建造合同形成的已完工未结算资产情况" w:id="280"/>
      <w:bookmarkEnd w:id="28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8;height:397" coordorigin="13,13" coordsize="4778,397">
              <v:shape style="position:absolute;left:13;top:13;width:4778;height:397" coordorigin="13,13" coordsize="4778,397" path="m13,13l4791,13,4791,410,13,410,13,13xe" filled="true" fillcolor="#d2d2d2" stroked="false">
                <v:path arrowok="t"/>
                <v:fill type="solid"/>
              </v:shape>
            </v:group>
            <v:group style="position:absolute;left:4796;top:13;width:4780;height:397" coordorigin="4796,13" coordsize="4780,397">
              <v:shape style="position:absolute;left:4796;top:13;width:4780;height:397" coordorigin="4796,13" coordsize="4780,397" path="m4796,13l9576,13,9576,410,4796,410,47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10、合同资产" w:id="281"/>
      <w:bookmarkEnd w:id="281"/>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329"/>
        <w:gridCol w:w="1195"/>
        <w:gridCol w:w="1196"/>
        <w:gridCol w:w="1196"/>
        <w:gridCol w:w="1324"/>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19"/>
        <w:gridCol w:w="4944"/>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60" w:lineRule="auto" w:before="117"/>
        <w:ind w:left="112" w:right="8234" w:firstLine="0"/>
        <w:jc w:val="left"/>
        <w:rPr>
          <w:rFonts w:ascii="宋体" w:hAnsi="宋体" w:cs="宋体" w:eastAsia="宋体" w:hint="default"/>
          <w:sz w:val="18"/>
          <w:szCs w:val="18"/>
        </w:rPr>
      </w:pPr>
      <w:r>
        <w:rPr>
          <w:rFonts w:ascii="宋体" w:hAnsi="宋体" w:cs="宋体" w:eastAsia="宋体" w:hint="default"/>
          <w:sz w:val="18"/>
          <w:szCs w:val="18"/>
        </w:rPr>
        <w:t>□ 适用 √ 不适用 本期合同资产计提减值准备情况</w:t>
      </w:r>
    </w:p>
    <w:p>
      <w:pPr>
        <w:spacing w:before="2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1、持有待售资产" w:id="282"/>
      <w:bookmarkEnd w:id="282"/>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7"/>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8"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2、一年内到期的非流动资产" w:id="283"/>
      <w:bookmarkEnd w:id="28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3、其他流动资产" w:id="284"/>
      <w:bookmarkEnd w:id="28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3,023,545.30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65,204,604.25</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562,070.16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160,473.81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可抵扣法人税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41,463.23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13,638.14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3,627,078.69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65,499,639.30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32" w:right="0"/>
        <w:jc w:val="left"/>
      </w:pPr>
      <w:r>
        <w:rPr/>
        <w:t>期末其他流动资产较期初减少94.45%，系购买的理财产品到期所致。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right="0"/>
        <w:jc w:val="left"/>
        <w:rPr>
          <w:b w:val="0"/>
          <w:bCs w:val="0"/>
        </w:rPr>
      </w:pPr>
      <w:bookmarkStart w:name="14、债权投资" w:id="285"/>
      <w:bookmarkEnd w:id="285"/>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15、其他债权投资" w:id="286"/>
      <w:bookmarkEnd w:id="286"/>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96"/>
        <w:gridCol w:w="1035"/>
        <w:gridCol w:w="1034"/>
        <w:gridCol w:w="1034"/>
        <w:gridCol w:w="1034"/>
        <w:gridCol w:w="1034"/>
        <w:gridCol w:w="1034"/>
        <w:gridCol w:w="1034"/>
        <w:gridCol w:w="1035"/>
      </w:tblGrid>
      <w:tr>
        <w:trPr>
          <w:trHeight w:val="357" w:hRule="exact"/>
        </w:trPr>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累计在其</w:t>
            </w:r>
          </w:p>
        </w:tc>
        <w:tc>
          <w:tcPr>
            <w:tcW w:w="10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2" w:right="150"/>
              <w:jc w:val="left"/>
              <w:rPr>
                <w:rFonts w:ascii="宋体" w:hAnsi="宋体" w:cs="宋体" w:eastAsia="宋体" w:hint="default"/>
                <w:sz w:val="18"/>
                <w:szCs w:val="18"/>
              </w:rPr>
            </w:pPr>
            <w:r>
              <w:rPr>
                <w:rFonts w:ascii="宋体" w:hAnsi="宋体" w:cs="宋体" w:eastAsia="宋体" w:hint="default"/>
                <w:sz w:val="18"/>
                <w:szCs w:val="18"/>
              </w:rPr>
              <w:t>本期公允 价值变动</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0" w:right="151"/>
              <w:jc w:val="left"/>
              <w:rPr>
                <w:rFonts w:ascii="宋体" w:hAnsi="宋体" w:cs="宋体" w:eastAsia="宋体" w:hint="default"/>
                <w:sz w:val="18"/>
                <w:szCs w:val="18"/>
              </w:rPr>
            </w:pPr>
            <w:r>
              <w:rPr>
                <w:rFonts w:ascii="宋体" w:hAnsi="宋体" w:cs="宋体" w:eastAsia="宋体" w:hint="default"/>
                <w:sz w:val="18"/>
                <w:szCs w:val="18"/>
              </w:rPr>
              <w:t>累计公允 价值变动</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51" w:right="151"/>
              <w:jc w:val="both"/>
              <w:rPr>
                <w:rFonts w:ascii="宋体" w:hAnsi="宋体" w:cs="宋体" w:eastAsia="宋体" w:hint="default"/>
                <w:sz w:val="18"/>
                <w:szCs w:val="18"/>
              </w:rPr>
            </w:pPr>
            <w:r>
              <w:rPr>
                <w:rFonts w:ascii="宋体" w:hAnsi="宋体" w:cs="宋体" w:eastAsia="宋体" w:hint="default"/>
                <w:sz w:val="18"/>
                <w:szCs w:val="18"/>
              </w:rPr>
              <w:t>他综合收 益中确认 的损失准</w:t>
            </w: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03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3828"/>
        <w:gridCol w:w="3826"/>
      </w:tblGrid>
      <w:tr>
        <w:trPr>
          <w:trHeight w:val="40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8"/>
          <w:pgSz w:w="11910" w:h="16840"/>
          <w:pgMar w:footer="1016" w:header="907" w:top="1100" w:bottom="1200" w:left="1020" w:right="0"/>
          <w:pgNumType w:start="19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4"/>
        <w:ind w:left="112"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bookmarkStart w:name="16、长期应收款" w:id="287"/>
      <w:bookmarkEnd w:id="28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长期应收款情况" w:id="288"/>
      <w:bookmarkEnd w:id="28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09"/>
              <w:jc w:val="left"/>
              <w:rPr>
                <w:rFonts w:ascii="宋体" w:hAnsi="宋体" w:cs="宋体" w:eastAsia="宋体" w:hint="default"/>
                <w:sz w:val="18"/>
                <w:szCs w:val="18"/>
              </w:rPr>
            </w:pPr>
            <w:r>
              <w:rPr>
                <w:rFonts w:ascii="宋体" w:hAnsi="宋体" w:cs="宋体" w:eastAsia="宋体" w:hint="default"/>
                <w:sz w:val="18"/>
                <w:szCs w:val="18"/>
              </w:rPr>
              <w:t>融资租赁保证 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300,000.00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5,700,000.00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4,000,000.00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3,800,000.00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 w:right="0"/>
              <w:jc w:val="center"/>
              <w:rPr>
                <w:rFonts w:ascii="Times New Roman" w:hAnsi="Times New Roman" w:cs="Times New Roman" w:eastAsia="Times New Roman" w:hint="default"/>
                <w:sz w:val="18"/>
                <w:szCs w:val="18"/>
              </w:rPr>
            </w:pPr>
            <w:r>
              <w:rPr>
                <w:rFonts w:ascii="Times New Roman"/>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3" w:right="0"/>
              <w:jc w:val="left"/>
              <w:rPr>
                <w:rFonts w:ascii="Times New Roman" w:hAnsi="Times New Roman" w:cs="Times New Roman" w:eastAsia="Times New Roman" w:hint="default"/>
                <w:sz w:val="18"/>
                <w:szCs w:val="18"/>
              </w:rPr>
            </w:pPr>
            <w:r>
              <w:rPr>
                <w:rFonts w:ascii="Times New Roman"/>
                <w:sz w:val="18"/>
              </w:rPr>
              <w:t>300,000.00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 w:right="0"/>
              <w:jc w:val="center"/>
              <w:rPr>
                <w:rFonts w:ascii="Times New Roman" w:hAnsi="Times New Roman" w:cs="Times New Roman" w:eastAsia="Times New Roman" w:hint="default"/>
                <w:sz w:val="18"/>
                <w:szCs w:val="18"/>
              </w:rPr>
            </w:pPr>
            <w:r>
              <w:rPr>
                <w:rFonts w:ascii="Times New Roman"/>
                <w:sz w:val="18"/>
              </w:rPr>
              <w:t>5,700,000.00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 w:right="0"/>
              <w:jc w:val="center"/>
              <w:rPr>
                <w:rFonts w:ascii="Times New Roman" w:hAnsi="Times New Roman" w:cs="Times New Roman" w:eastAsia="Times New Roman" w:hint="default"/>
                <w:sz w:val="18"/>
                <w:szCs w:val="18"/>
              </w:rPr>
            </w:pPr>
            <w:r>
              <w:rPr>
                <w:rFonts w:ascii="Times New Roman"/>
                <w:sz w:val="18"/>
              </w:rPr>
              <w:t>4,000,000.00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4" w:right="0"/>
              <w:jc w:val="left"/>
              <w:rPr>
                <w:rFonts w:ascii="Times New Roman" w:hAnsi="Times New Roman" w:cs="Times New Roman" w:eastAsia="Times New Roman" w:hint="default"/>
                <w:sz w:val="18"/>
                <w:szCs w:val="18"/>
              </w:rPr>
            </w:pPr>
            <w:r>
              <w:rPr>
                <w:rFonts w:ascii="Times New Roman"/>
                <w:sz w:val="18"/>
              </w:rPr>
              <w:t>200,000.00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3,800,000.00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因金融资产转移而终止确认的长期应收款" w:id="289"/>
      <w:bookmarkEnd w:id="28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3）转移长期应收款且继续涉入形成的资产、负债金额" w:id="290"/>
      <w:bookmarkEnd w:id="29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7、长期股权投资" w:id="291"/>
      <w:bookmarkEnd w:id="29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0"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2"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重庆巴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云科技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6,293,4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-1,597,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4,695,6</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82.80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875.71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07.09</w:t>
            </w: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嘉兴科</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蓝光荣</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一号投 资合伙 企业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14,775,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932.57</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-199,60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3.92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14,576,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328.65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21,069,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415.37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479.63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19,271,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935.74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3" w:right="0"/>
              <w:jc w:val="left"/>
              <w:rPr>
                <w:rFonts w:ascii="Times New Roman" w:hAnsi="Times New Roman" w:cs="Times New Roman" w:eastAsia="Times New Roman" w:hint="default"/>
                <w:sz w:val="18"/>
                <w:szCs w:val="18"/>
              </w:rPr>
            </w:pPr>
            <w:r>
              <w:rPr>
                <w:rFonts w:ascii="Times New Roman"/>
                <w:sz w:val="18"/>
              </w:rPr>
              <w:t>21,069,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415.37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5" w:right="0"/>
              <w:jc w:val="lef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479.63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4" w:right="0"/>
              <w:jc w:val="left"/>
              <w:rPr>
                <w:rFonts w:ascii="Times New Roman" w:hAnsi="Times New Roman" w:cs="Times New Roman" w:eastAsia="Times New Roman" w:hint="default"/>
                <w:sz w:val="18"/>
                <w:szCs w:val="18"/>
              </w:rPr>
            </w:pPr>
            <w:r>
              <w:rPr>
                <w:rFonts w:ascii="Times New Roman"/>
                <w:sz w:val="18"/>
              </w:rPr>
              <w:t>19,271,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935.74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8、其他权益工具投资" w:id="292"/>
      <w:bookmarkEnd w:id="292"/>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曲靖市商业银行股份有限公司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19,805,280.00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19,805,280.00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韩国虚拟货币兑换有限公司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392,062.17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398,113.43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软件互助协会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740,315.76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753,353.11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韩国计算机业务合作社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15,079.32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15,312.06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韩国云业务合作社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6,031.73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28,458,768.98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28,472,058.60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5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38" w:right="0"/>
              <w:jc w:val="left"/>
              <w:rPr>
                <w:rFonts w:ascii="宋体" w:hAnsi="宋体" w:cs="宋体" w:eastAsia="宋体" w:hint="default"/>
                <w:sz w:val="18"/>
                <w:szCs w:val="18"/>
              </w:rPr>
            </w:pPr>
            <w:r>
              <w:rPr>
                <w:rFonts w:ascii="宋体" w:hAnsi="宋体" w:cs="宋体" w:eastAsia="宋体" w:hint="default"/>
                <w:sz w:val="18"/>
                <w:szCs w:val="18"/>
              </w:rPr>
              <w:t>指定为以公允</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88" w:right="138" w:hanging="452"/>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7" w:right="137"/>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8" w:right="136"/>
              <w:jc w:val="both"/>
              <w:rPr>
                <w:rFonts w:ascii="宋体" w:hAnsi="宋体" w:cs="宋体" w:eastAsia="宋体" w:hint="default"/>
                <w:sz w:val="18"/>
                <w:szCs w:val="18"/>
              </w:rPr>
            </w:pPr>
            <w:r>
              <w:rPr>
                <w:rFonts w:ascii="宋体" w:hAnsi="宋体" w:cs="宋体" w:eastAsia="宋体" w:hint="default"/>
                <w:sz w:val="18"/>
                <w:szCs w:val="18"/>
              </w:rPr>
              <w:t>价值计量且其 变动计入其他 综合收益的原</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37" w:right="138"/>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因</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江苏鑫合易家</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长期持有的非</w:t>
            </w:r>
          </w:p>
        </w:tc>
        <w:tc>
          <w:tcPr>
            <w:tcW w:w="1367" w:type="dxa"/>
            <w:vMerge w:val="restart"/>
            <w:tcBorders>
              <w:top w:val="single" w:sz="4" w:space="0" w:color="000000"/>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交易性权益工</w:t>
            </w:r>
          </w:p>
        </w:tc>
        <w:tc>
          <w:tcPr>
            <w:tcW w:w="1367" w:type="dxa"/>
            <w:vMerge/>
            <w:tcBorders>
              <w:left w:val="single" w:sz="4" w:space="0" w:color="000000"/>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具投资</w:t>
            </w:r>
          </w:p>
        </w:tc>
        <w:tc>
          <w:tcPr>
            <w:tcW w:w="1367" w:type="dxa"/>
            <w:vMerge/>
            <w:tcBorders>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曲靖市商业银</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长期持有的非</w:t>
            </w:r>
          </w:p>
        </w:tc>
        <w:tc>
          <w:tcPr>
            <w:tcW w:w="1367" w:type="dxa"/>
            <w:vMerge w:val="restart"/>
            <w:tcBorders>
              <w:top w:val="single" w:sz="4" w:space="0" w:color="000000"/>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行股份有限公</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交易性权益工</w:t>
            </w:r>
          </w:p>
        </w:tc>
        <w:tc>
          <w:tcPr>
            <w:tcW w:w="1367" w:type="dxa"/>
            <w:vMerge/>
            <w:tcBorders>
              <w:left w:val="single" w:sz="4" w:space="0" w:color="000000"/>
              <w:right w:val="single" w:sz="4" w:space="0" w:color="000000"/>
            </w:tcBorders>
          </w:tcPr>
          <w:p>
            <w:pP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具投资</w:t>
            </w:r>
          </w:p>
        </w:tc>
        <w:tc>
          <w:tcPr>
            <w:tcW w:w="1367" w:type="dxa"/>
            <w:vMerge/>
            <w:tcBorders>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75"/>
              <w:jc w:val="left"/>
              <w:rPr>
                <w:rFonts w:ascii="宋体" w:hAnsi="宋体" w:cs="宋体" w:eastAsia="宋体" w:hint="default"/>
                <w:sz w:val="18"/>
                <w:szCs w:val="18"/>
              </w:rPr>
            </w:pPr>
            <w:r>
              <w:rPr>
                <w:rFonts w:ascii="宋体" w:hAnsi="宋体" w:cs="宋体" w:eastAsia="宋体" w:hint="default"/>
                <w:sz w:val="18"/>
                <w:szCs w:val="18"/>
              </w:rPr>
              <w:t>韩国虚拟货币 兑换有限公司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72"/>
              <w:jc w:val="both"/>
              <w:rPr>
                <w:rFonts w:ascii="宋体" w:hAnsi="宋体" w:cs="宋体" w:eastAsia="宋体" w:hint="default"/>
                <w:sz w:val="18"/>
                <w:szCs w:val="18"/>
              </w:rPr>
            </w:pPr>
            <w:r>
              <w:rPr>
                <w:rFonts w:ascii="宋体" w:hAnsi="宋体" w:cs="宋体" w:eastAsia="宋体" w:hint="default"/>
                <w:sz w:val="18"/>
                <w:szCs w:val="18"/>
              </w:rPr>
              <w:t>长期持有的非 交易性权益工 具投资</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长期持有的非</w:t>
            </w:r>
          </w:p>
        </w:tc>
        <w:tc>
          <w:tcPr>
            <w:tcW w:w="1367" w:type="dxa"/>
            <w:vMerge w:val="restart"/>
            <w:tcBorders>
              <w:top w:val="single" w:sz="4" w:space="0" w:color="000000"/>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软件互助协会</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交易性权益工</w:t>
            </w:r>
          </w:p>
        </w:tc>
        <w:tc>
          <w:tcPr>
            <w:tcW w:w="1367" w:type="dxa"/>
            <w:vMerge/>
            <w:tcBorders>
              <w:left w:val="single" w:sz="4" w:space="0" w:color="000000"/>
              <w:right w:val="single" w:sz="4" w:space="0" w:color="000000"/>
            </w:tcBorders>
          </w:tcPr>
          <w:p>
            <w:pP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具投资</w:t>
            </w:r>
          </w:p>
        </w:tc>
        <w:tc>
          <w:tcPr>
            <w:tcW w:w="1367" w:type="dxa"/>
            <w:vMerge/>
            <w:tcBorders>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75"/>
              <w:jc w:val="left"/>
              <w:rPr>
                <w:rFonts w:ascii="宋体" w:hAnsi="宋体" w:cs="宋体" w:eastAsia="宋体" w:hint="default"/>
                <w:sz w:val="18"/>
                <w:szCs w:val="18"/>
              </w:rPr>
            </w:pPr>
            <w:r>
              <w:rPr>
                <w:rFonts w:ascii="宋体" w:hAnsi="宋体" w:cs="宋体" w:eastAsia="宋体" w:hint="default"/>
                <w:sz w:val="18"/>
                <w:szCs w:val="18"/>
              </w:rPr>
              <w:t>韩国计算机业 务合作社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72"/>
              <w:jc w:val="both"/>
              <w:rPr>
                <w:rFonts w:ascii="宋体" w:hAnsi="宋体" w:cs="宋体" w:eastAsia="宋体" w:hint="default"/>
                <w:sz w:val="18"/>
                <w:szCs w:val="18"/>
              </w:rPr>
            </w:pPr>
            <w:r>
              <w:rPr>
                <w:rFonts w:ascii="宋体" w:hAnsi="宋体" w:cs="宋体" w:eastAsia="宋体" w:hint="default"/>
                <w:sz w:val="18"/>
                <w:szCs w:val="18"/>
              </w:rPr>
              <w:t>长期持有的非 交易性权益工 具投资</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75"/>
              <w:jc w:val="left"/>
              <w:rPr>
                <w:rFonts w:ascii="宋体" w:hAnsi="宋体" w:cs="宋体" w:eastAsia="宋体" w:hint="default"/>
                <w:sz w:val="18"/>
                <w:szCs w:val="18"/>
              </w:rPr>
            </w:pPr>
            <w:r>
              <w:rPr>
                <w:rFonts w:ascii="宋体" w:hAnsi="宋体" w:cs="宋体" w:eastAsia="宋体" w:hint="default"/>
                <w:sz w:val="18"/>
                <w:szCs w:val="18"/>
              </w:rPr>
              <w:t>韩国云业务合 作社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2"/>
              <w:jc w:val="both"/>
              <w:rPr>
                <w:rFonts w:ascii="宋体" w:hAnsi="宋体" w:cs="宋体" w:eastAsia="宋体" w:hint="default"/>
                <w:sz w:val="18"/>
                <w:szCs w:val="18"/>
              </w:rPr>
            </w:pPr>
            <w:r>
              <w:rPr>
                <w:rFonts w:ascii="宋体" w:hAnsi="宋体" w:cs="宋体" w:eastAsia="宋体" w:hint="default"/>
                <w:sz w:val="18"/>
                <w:szCs w:val="18"/>
              </w:rPr>
              <w:t>长期持有的非 交易性权益工 具投资</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9、其他非流动金融资产" w:id="293"/>
      <w:bookmarkEnd w:id="293"/>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0、投资性房地产" w:id="294"/>
      <w:bookmarkEnd w:id="294"/>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投资性房地产" w:id="295"/>
      <w:bookmarkEnd w:id="29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采用公允价值计量模式的投资性房地产" w:id="296"/>
      <w:bookmarkEnd w:id="29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未办妥产权证书的投资性房地产情况" w:id="297"/>
      <w:bookmarkEnd w:id="29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1、固定资产" w:id="298"/>
      <w:bookmarkEnd w:id="298"/>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7,388,408.94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4,948,147.98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7,388,408.94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4,948,147.98</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1）固定资产情况" w:id="299"/>
      <w:bookmarkEnd w:id="29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605,674.68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10,842,289.93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11,447,964.61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1"/>
                <w:sz w:val="18"/>
              </w:rPr>
              <w:t>583,697.11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4,134,268.37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4,717,965.48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583,697.11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4,147,557.48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4,731,254.59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外币报表折算</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-13,289.11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-13,289.11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1,189,371.79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14,976,558.30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16,165,930.09</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590,424.26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5,909,392.37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6,499,816.63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94,044.37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2,183,660.15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2,277,704.52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94,044.37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2,194,635.58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2,288,679.95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外币报表折算</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-10,975.43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-10,975.43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684,468.63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8,093,052.52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8,777,521.15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504,903.16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6,883,505.78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7,388,408.94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15,250.42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4,932,897.56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4,948,147.98</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暂时闲置的固定资产情况" w:id="300"/>
      <w:bookmarkEnd w:id="30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通过融资租赁租入的固定资产情况" w:id="301"/>
      <w:bookmarkEnd w:id="30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4）通过经营租赁租出的固定资产" w:id="302"/>
      <w:bookmarkEnd w:id="30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5）未办妥产权证书的固定资产情况" w:id="303"/>
      <w:bookmarkEnd w:id="30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6）固定资产清理" w:id="304"/>
      <w:bookmarkEnd w:id="304"/>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2、在建工程" w:id="305"/>
      <w:bookmarkEnd w:id="305"/>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在建工程情况" w:id="306"/>
      <w:bookmarkEnd w:id="30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重要在建工程项目本期变动情况" w:id="307"/>
      <w:bookmarkEnd w:id="30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72" w:right="180"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3）本期计提在建工程减值准备情况" w:id="308"/>
      <w:bookmarkEnd w:id="30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4）工程物资" w:id="309"/>
      <w:bookmarkEnd w:id="309"/>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3、生产性生物资产" w:id="310"/>
      <w:bookmarkEnd w:id="31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采用成本计量模式的生产性生物资产" w:id="311"/>
      <w:bookmarkEnd w:id="31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采用公允价值计量模式的生产性生物资产" w:id="312"/>
      <w:bookmarkEnd w:id="31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4、油气资产" w:id="313"/>
      <w:bookmarkEnd w:id="31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5、使用权资产" w:id="314"/>
      <w:bookmarkEnd w:id="314"/>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6、无形资产" w:id="315"/>
      <w:bookmarkEnd w:id="315"/>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无形资产情况" w:id="316"/>
      <w:bookmarkEnd w:id="31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3" w:right="113" w:hanging="272"/>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2" w:right="112" w:hanging="269"/>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一、账面 原值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1,567,987</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4,106,448</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.02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13,151,11</w:t>
            </w:r>
          </w:p>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9.81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15,680,15</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6.80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3,739,816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38,245,52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8.03</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59,428,65</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3.00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6,537,429</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-199,894.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-238,335.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-56,844.6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65,471,00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7.31</w:t>
            </w:r>
          </w:p>
        </w:tc>
      </w:tr>
      <w:tr>
        <w:trPr>
          <w:trHeight w:val="40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4" w:right="0"/>
              <w:jc w:val="left"/>
              <w:rPr>
                <w:rFonts w:ascii="Times New Roman" w:hAnsi="Times New Roman" w:cs="Times New Roman" w:eastAsia="Times New Roman" w:hint="default"/>
                <w:sz w:val="18"/>
                <w:szCs w:val="18"/>
              </w:rPr>
            </w:pPr>
            <w:r>
              <w:rPr>
                <w:rFonts w:ascii="Times New Roman"/>
                <w:sz w:val="18"/>
              </w:rPr>
              <w:t>59,428,65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0" w:right="0"/>
              <w:jc w:val="center"/>
              <w:rPr>
                <w:rFonts w:ascii="Times New Roman" w:hAnsi="Times New Roman" w:cs="Times New Roman" w:eastAsia="Times New Roman" w:hint="default"/>
                <w:sz w:val="18"/>
                <w:szCs w:val="18"/>
              </w:rPr>
            </w:pPr>
            <w:r>
              <w:rPr>
                <w:rFonts w:ascii="Times New Roman"/>
                <w:sz w:val="18"/>
              </w:rPr>
              <w:t>433,464.9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 w:right="0"/>
              <w:jc w:val="center"/>
              <w:rPr>
                <w:rFonts w:ascii="Times New Roman" w:hAnsi="Times New Roman" w:cs="Times New Roman" w:eastAsia="Times New Roman" w:hint="default"/>
                <w:sz w:val="18"/>
                <w:szCs w:val="18"/>
              </w:rPr>
            </w:pPr>
            <w:r>
              <w:rPr>
                <w:rFonts w:ascii="Times New Roman"/>
                <w:sz w:val="18"/>
              </w:rPr>
              <w:t>59,862,11</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）购置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9" w:right="0"/>
              <w:jc w:val="left"/>
              <w:rPr>
                <w:rFonts w:ascii="Times New Roman" w:hAnsi="Times New Roman" w:cs="Times New Roman" w:eastAsia="Times New Roman" w:hint="default"/>
                <w:sz w:val="18"/>
                <w:szCs w:val="18"/>
              </w:rPr>
            </w:pPr>
            <w:r>
              <w:rPr>
                <w:rFonts w:ascii="Times New Roman"/>
                <w:sz w:val="18"/>
              </w:rPr>
              <w:t>3.00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7.97</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01"/>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）内部</w:t>
            </w:r>
            <w:r>
              <w:rPr>
                <w:rFonts w:ascii="宋体" w:hAnsi="宋体" w:cs="宋体" w:eastAsia="宋体" w:hint="default"/>
                <w:sz w:val="18"/>
                <w:szCs w:val="18"/>
              </w:rPr>
              <w:t> 研发</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6,104,351</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.17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6,104,351</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01"/>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）企业</w:t>
            </w:r>
            <w:r>
              <w:rPr>
                <w:rFonts w:ascii="宋体" w:hAnsi="宋体" w:cs="宋体" w:eastAsia="宋体" w:hint="default"/>
                <w:sz w:val="18"/>
                <w:szCs w:val="18"/>
              </w:rPr>
              <w:t> 合并增加</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01"/>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）外币</w:t>
            </w:r>
            <w:r>
              <w:rPr>
                <w:rFonts w:ascii="宋体" w:hAnsi="宋体" w:cs="宋体" w:eastAsia="宋体" w:hint="default"/>
                <w:sz w:val="18"/>
                <w:szCs w:val="18"/>
              </w:rPr>
              <w:t> 报表折算</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-386.35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-199,894.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-238,335.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-56,844.6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-495,461.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83</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59,428,65</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3.00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8,105,416</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4,106,448</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.02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12,951,22</w:t>
            </w:r>
          </w:p>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4.87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15,441,82</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0.89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3,682,971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103,716,5</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35.34</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3"/>
              <w:jc w:val="left"/>
              <w:rPr>
                <w:rFonts w:ascii="宋体" w:hAnsi="宋体" w:cs="宋体" w:eastAsia="宋体" w:hint="default"/>
                <w:sz w:val="18"/>
                <w:szCs w:val="18"/>
              </w:rPr>
            </w:pPr>
            <w:r>
              <w:rPr>
                <w:rFonts w:ascii="宋体" w:hAnsi="宋体" w:cs="宋体" w:eastAsia="宋体" w:hint="default"/>
                <w:sz w:val="18"/>
                <w:szCs w:val="18"/>
              </w:rPr>
              <w:t>二、累计 摊销</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501,086.6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3,861,989</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.46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223,376.8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261,335.9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89,043.25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4,936,832</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495,238.7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448,708.6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58,750.79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1,291,727</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1,540,209</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.82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524,785.3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4,359,420</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495,238.7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449,036.6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58,750.79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1,295,122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1,544,182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526,138.8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 w:right="0"/>
              <w:jc w:val="left"/>
              <w:rPr>
                <w:rFonts w:ascii="Times New Roman" w:hAnsi="Times New Roman" w:cs="Times New Roman" w:eastAsia="Times New Roman" w:hint="default"/>
                <w:sz w:val="18"/>
                <w:szCs w:val="18"/>
              </w:rPr>
            </w:pPr>
            <w:r>
              <w:rPr>
                <w:rFonts w:ascii="Times New Roman"/>
                <w:sz w:val="18"/>
              </w:rPr>
              <w:t>4,368,469</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01"/>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）外币</w:t>
            </w:r>
            <w:r>
              <w:rPr>
                <w:rFonts w:ascii="宋体" w:hAnsi="宋体" w:cs="宋体" w:eastAsia="宋体" w:hint="default"/>
                <w:sz w:val="18"/>
                <w:szCs w:val="18"/>
              </w:rPr>
              <w:t> 报表折算</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-328.01</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-3,395.29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-3,972.26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-1,353.45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-9,049.01</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495,238.7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949,795.3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3,920,740</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1,515,104</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1,801,545</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613,828.6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9,296,252</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.71</w:t>
            </w:r>
          </w:p>
        </w:tc>
      </w:tr>
      <w:tr>
        <w:trPr>
          <w:trHeight w:val="71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三、减值 准备</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3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6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3"/>
              <w:jc w:val="left"/>
              <w:rPr>
                <w:rFonts w:ascii="宋体" w:hAnsi="宋体" w:cs="宋体" w:eastAsia="宋体" w:hint="default"/>
                <w:sz w:val="18"/>
                <w:szCs w:val="18"/>
              </w:rPr>
            </w:pPr>
            <w:r>
              <w:rPr>
                <w:rFonts w:ascii="宋体" w:hAnsi="宋体" w:cs="宋体" w:eastAsia="宋体" w:hint="default"/>
                <w:sz w:val="18"/>
                <w:szCs w:val="18"/>
              </w:rPr>
              <w:t>四、账面 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末账面价 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58,933,41</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4.22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7,155,621</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185,707.7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11,436,12</w:t>
            </w:r>
          </w:p>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0.87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13,640,27</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5.13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3,069,143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94,420,28</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2.63</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 初账面价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1,066,900</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.41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244,458.5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12,927,74</w:t>
            </w:r>
          </w:p>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3.01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15,418,82</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0.86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3,650,773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33,308,69</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5.91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5.89%</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2）未办妥产权证书的土地使用权情况" w:id="317"/>
      <w:bookmarkEnd w:id="31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1"/>
        <w:ind w:right="0"/>
        <w:jc w:val="left"/>
      </w:pPr>
      <w:r>
        <w:rPr>
          <w:w w:val="95"/>
        </w:rPr>
        <w:t>期末无形资产账面价值较上年年末增加183.47%，主要因为本期新购土地使用权，以及内部研发达到预定</w:t>
      </w:r>
      <w:r>
        <w:rPr>
          <w:spacing w:val="56"/>
          <w:w w:val="95"/>
        </w:rPr>
        <w:t> </w:t>
      </w:r>
      <w:r>
        <w:rPr>
          <w:spacing w:val="56"/>
          <w:w w:val="95"/>
        </w:rPr>
      </w:r>
      <w:r>
        <w:rPr/>
        <w:t>可使用状态开发支出结转计入无形资产所致</w:t>
      </w:r>
    </w:p>
    <w:p>
      <w:pPr>
        <w:spacing w:line="240" w:lineRule="auto" w:before="9"/>
        <w:rPr>
          <w:rFonts w:ascii="宋体" w:hAnsi="宋体" w:cs="宋体" w:eastAsia="宋体" w:hint="default"/>
          <w:sz w:val="23"/>
          <w:szCs w:val="23"/>
        </w:rPr>
      </w:pPr>
    </w:p>
    <w:p>
      <w:pPr>
        <w:pStyle w:val="Heading6"/>
        <w:spacing w:line="240" w:lineRule="auto"/>
        <w:ind w:right="0"/>
        <w:jc w:val="left"/>
        <w:rPr>
          <w:b w:val="0"/>
          <w:bCs w:val="0"/>
        </w:rPr>
      </w:pPr>
      <w:bookmarkStart w:name="27、开发支出" w:id="318"/>
      <w:bookmarkEnd w:id="318"/>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4"/>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2"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4"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166"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5"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深圳金信 智慧柜台 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5,447,097.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11,427,502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748,590.19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16,126,009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.55</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尼客矩阵 智能数字 营销系统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1,101,875.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5,132,797.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6,054,673.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179,999.61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left"/>
              <w:rPr>
                <w:rFonts w:ascii="宋体" w:hAnsi="宋体" w:cs="宋体" w:eastAsia="宋体" w:hint="default"/>
                <w:sz w:val="18"/>
                <w:szCs w:val="18"/>
              </w:rPr>
            </w:pPr>
            <w:r>
              <w:rPr>
                <w:rFonts w:ascii="宋体" w:hAnsi="宋体" w:cs="宋体" w:eastAsia="宋体" w:hint="default"/>
                <w:sz w:val="18"/>
                <w:szCs w:val="18"/>
              </w:rPr>
              <w:t>业务应用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113,602.86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3,914,856.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281,241.30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3,747,217.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数字证书 基础应用 产品</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297,209.23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14,227.61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282,981.62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left"/>
              <w:rPr>
                <w:rFonts w:ascii="宋体" w:hAnsi="宋体" w:cs="宋体" w:eastAsia="宋体" w:hint="default"/>
                <w:sz w:val="18"/>
                <w:szCs w:val="18"/>
              </w:rPr>
            </w:pPr>
            <w:r>
              <w:rPr>
                <w:rFonts w:ascii="宋体" w:hAnsi="宋体" w:cs="宋体" w:eastAsia="宋体" w:hint="default"/>
                <w:sz w:val="18"/>
                <w:szCs w:val="18"/>
              </w:rPr>
              <w:t>应用支撑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49,677.68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49,677.68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大陆云盾 研究院在 线纠纷司 法处置平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2,712,555.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496,551.19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2,216,004.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53</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6,662,575.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23,534,598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6,104,351.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1,720,609.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22,372,213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8、商誉" w:id="319"/>
      <w:bookmarkEnd w:id="319"/>
      <w:r>
        <w:rPr>
          <w:b w:val="0"/>
          <w:bCs w:val="0"/>
        </w:rPr>
      </w: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商誉账面原值" w:id="320"/>
      <w:bookmarkEnd w:id="32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8" w:right="137" w:hanging="452"/>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6"/>
              <w:jc w:val="right"/>
              <w:rPr>
                <w:rFonts w:ascii="宋体" w:hAnsi="宋体" w:cs="宋体" w:eastAsia="宋体" w:hint="default"/>
                <w:sz w:val="18"/>
                <w:szCs w:val="18"/>
              </w:rPr>
            </w:pPr>
            <w:r>
              <w:rPr>
                <w:rFonts w:ascii="宋体" w:hAnsi="宋体" w:cs="宋体" w:eastAsia="宋体" w:hint="default"/>
                <w:sz w:val="18"/>
                <w:szCs w:val="18"/>
              </w:rPr>
              <w:t>外币报表折算</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3"/>
              <w:jc w:val="both"/>
              <w:rPr>
                <w:rFonts w:ascii="宋体" w:hAnsi="宋体" w:cs="宋体" w:eastAsia="宋体" w:hint="default"/>
                <w:sz w:val="18"/>
                <w:szCs w:val="18"/>
              </w:rPr>
            </w:pPr>
            <w:r>
              <w:rPr>
                <w:rFonts w:ascii="宋体" w:hAnsi="宋体" w:cs="宋体" w:eastAsia="宋体" w:hint="default"/>
                <w:sz w:val="18"/>
                <w:szCs w:val="18"/>
              </w:rPr>
              <w:t>大陆云盾电子 认证服务有限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1,154,772.34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1,154,772.34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SUNJE</w:t>
            </w:r>
            <w:r>
              <w:rPr>
                <w:rFonts w:ascii="Times New Roman"/>
                <w:spacing w:val="-4"/>
                <w:sz w:val="18"/>
              </w:rPr>
              <w:t> </w:t>
            </w:r>
            <w:r>
              <w:rPr>
                <w:rFonts w:ascii="Times New Roman"/>
                <w:sz w:val="18"/>
              </w:rPr>
              <w:t>SOFT</w:t>
            </w:r>
          </w:p>
          <w:p>
            <w:pPr>
              <w:pStyle w:val="TableParagraph"/>
              <w:spacing w:line="240" w:lineRule="auto" w:before="65"/>
              <w:ind w:left="101"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40,529,376.85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905,689.56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41,435,066.41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41,684,149.19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905,689.56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42,589,838.75</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商誉减值准备" w:id="321"/>
      <w:bookmarkEnd w:id="32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9"/>
          <w:pgSz w:w="11910" w:h="16840"/>
          <w:pgMar w:footer="1016" w:header="907" w:top="1100" w:bottom="1200" w:left="1020" w:right="0"/>
          <w:pgNumType w:start="20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73" w:lineRule="auto" w:before="92"/>
        <w:ind w:right="1135" w:firstLine="420"/>
        <w:jc w:val="both"/>
      </w:pPr>
      <w:r>
        <w:rPr>
          <w:w w:val="95"/>
        </w:rPr>
        <w:t>与商誉减值测试相关的资产组或资产组组合，是能够从企业合并的协同效应中受益的资产组或者资产</w:t>
      </w:r>
      <w:r>
        <w:rPr>
          <w:w w:val="99"/>
        </w:rPr>
        <w:t> </w:t>
      </w:r>
      <w:r>
        <w:rPr/>
        <w:t>组组合。</w:t>
      </w:r>
    </w:p>
    <w:p>
      <w:pPr>
        <w:pStyle w:val="BodyText"/>
        <w:spacing w:line="273" w:lineRule="auto"/>
        <w:ind w:right="1132" w:firstLine="420"/>
        <w:jc w:val="both"/>
      </w:pPr>
      <w:r>
        <w:rPr>
          <w:spacing w:val="2"/>
          <w:w w:val="95"/>
        </w:rPr>
        <w:t>（1）收购大陆云盾电子认证服务有限公司（以下简称大陆云盾公司）形成商誉所在资产组为大陆云</w:t>
      </w:r>
      <w:r>
        <w:rPr>
          <w:spacing w:val="-84"/>
          <w:w w:val="95"/>
        </w:rPr>
        <w:t> </w:t>
      </w:r>
      <w:r>
        <w:rPr>
          <w:spacing w:val="-84"/>
          <w:w w:val="95"/>
        </w:rPr>
      </w:r>
      <w:r>
        <w:rPr>
          <w:w w:val="95"/>
        </w:rPr>
        <w:t>盾公司全部设备类资产、开发支出及其他无形资产，包括运输设备和电子设备、大陆云盾电子数据保全系</w:t>
      </w:r>
      <w:r>
        <w:rPr>
          <w:spacing w:val="40"/>
          <w:w w:val="95"/>
        </w:rPr>
        <w:t> </w:t>
      </w:r>
      <w:r>
        <w:rPr>
          <w:spacing w:val="40"/>
          <w:w w:val="95"/>
        </w:rPr>
      </w:r>
      <w:r>
        <w:rPr/>
        <w:t>统研发项目支出、软件系统和软件著作权，资产负债表日包含商誉的资产组账面价值为1,209.49万元。</w:t>
      </w:r>
    </w:p>
    <w:p>
      <w:pPr>
        <w:pStyle w:val="BodyText"/>
        <w:spacing w:line="273" w:lineRule="auto"/>
        <w:ind w:right="1132" w:firstLine="420"/>
        <w:jc w:val="both"/>
      </w:pPr>
      <w:r>
        <w:rPr/>
        <w:t>（2）收购SUNJE SOFT株式会社（以下简称SUNJE</w:t>
      </w:r>
      <w:r>
        <w:rPr>
          <w:spacing w:val="-41"/>
        </w:rPr>
        <w:t> </w:t>
      </w:r>
      <w:r>
        <w:rPr/>
        <w:t>SOFT）形成商誉所在资产组为SUNJESOFT于资产负债</w:t>
      </w:r>
      <w:r>
        <w:rPr>
          <w:w w:val="99"/>
        </w:rPr>
        <w:t> </w:t>
      </w:r>
      <w:r>
        <w:rPr/>
        <w:t>表日的整体经营性资产，资产负债表日包含商誉的资产组账面价值为1,451,725万韩元。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line="316" w:lineRule="auto" w:before="0"/>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等）及商誉减值损失的确认方法：</w:t>
      </w:r>
    </w:p>
    <w:p>
      <w:pPr>
        <w:pStyle w:val="BodyText"/>
        <w:spacing w:line="240" w:lineRule="auto" w:before="34"/>
        <w:ind w:left="532" w:right="0"/>
        <w:jc w:val="left"/>
      </w:pPr>
      <w:r>
        <w:rPr/>
        <w:t>商誉的可收回金额按照预计未来现金流量折现法计算。</w:t>
      </w:r>
    </w:p>
    <w:p>
      <w:pPr>
        <w:pStyle w:val="BodyText"/>
        <w:spacing w:line="273" w:lineRule="auto" w:before="37"/>
        <w:ind w:left="532" w:right="0"/>
        <w:jc w:val="left"/>
      </w:pPr>
      <w:r>
        <w:rPr/>
        <w:t>（1）大陆云盾资产组商誉可收回金额的计算</w:t>
      </w:r>
      <w:r>
        <w:rPr>
          <w:w w:val="99"/>
        </w:rPr>
        <w:t> </w:t>
      </w:r>
      <w:r>
        <w:rPr>
          <w:spacing w:val="2"/>
          <w:w w:val="95"/>
        </w:rPr>
        <w:t>公司根据产业布局、发展规划、业务模式以及市场需求的变化预测未来5年的税前经营净现金流量；</w:t>
      </w:r>
      <w:r>
        <w:rPr>
          <w:spacing w:val="2"/>
        </w:rPr>
      </w:r>
    </w:p>
    <w:p>
      <w:pPr>
        <w:pStyle w:val="BodyText"/>
        <w:spacing w:line="273" w:lineRule="auto"/>
        <w:ind w:right="1130"/>
        <w:jc w:val="both"/>
      </w:pPr>
      <w:r>
        <w:rPr>
          <w:spacing w:val="9"/>
        </w:rPr>
        <w:t>收入增长率根据电子认证行业的特点以及大陆云盾公司设立后发展阶段设定，预测期的收入增长率为</w:t>
      </w:r>
      <w:r>
        <w:rPr>
          <w:w w:val="99"/>
        </w:rPr>
        <w:t> </w:t>
      </w:r>
      <w:r>
        <w:rPr>
          <w:spacing w:val="2"/>
          <w:w w:val="95"/>
        </w:rPr>
        <w:t>10%~20%，永续期增长率设定为0%；折现率采用税前加权平均资本成本模型确定为16.12%，是在考虑资产</w:t>
      </w:r>
      <w:r>
        <w:rPr>
          <w:spacing w:val="31"/>
          <w:w w:val="95"/>
        </w:rPr>
        <w:t> </w:t>
      </w:r>
      <w:r>
        <w:rPr>
          <w:spacing w:val="31"/>
          <w:w w:val="95"/>
        </w:rPr>
      </w:r>
      <w:r>
        <w:rPr>
          <w:w w:val="95"/>
        </w:rPr>
        <w:t>负债表日的利率水平、市场投资回报率、公司特有风险收益率（包括规模超额收益率）和产权持有人的其</w:t>
      </w:r>
      <w:r>
        <w:rPr>
          <w:spacing w:val="44"/>
          <w:w w:val="95"/>
        </w:rPr>
        <w:t> </w:t>
      </w:r>
      <w:r>
        <w:rPr>
          <w:spacing w:val="44"/>
          <w:w w:val="95"/>
        </w:rPr>
      </w:r>
      <w:r>
        <w:rPr>
          <w:spacing w:val="4"/>
        </w:rPr>
        <w:t>他风险因素的基础上运用资本资产定价模型综合估算其权益资本成本，并参照对比公司的资本结构等因</w:t>
      </w:r>
      <w:r>
        <w:rPr>
          <w:w w:val="99"/>
        </w:rPr>
        <w:t> </w:t>
      </w:r>
      <w:r>
        <w:rPr/>
        <w:t>素，综合估算的股权收益率，进而综合估算全部资本加权平均成本。</w:t>
      </w:r>
    </w:p>
    <w:p>
      <w:pPr>
        <w:pStyle w:val="BodyText"/>
        <w:spacing w:line="240" w:lineRule="auto"/>
        <w:ind w:left="532" w:right="0"/>
        <w:jc w:val="left"/>
      </w:pPr>
      <w:r>
        <w:rPr/>
        <w:t>经测算，包含商誉的资产组可收回金额为1,534万元，高于其账面价值，无需计提商誉减值准备。</w:t>
      </w:r>
    </w:p>
    <w:p>
      <w:pPr>
        <w:pStyle w:val="BodyText"/>
        <w:spacing w:line="273" w:lineRule="auto" w:before="37"/>
        <w:ind w:left="532" w:right="0"/>
        <w:jc w:val="left"/>
      </w:pPr>
      <w:r>
        <w:rPr/>
        <w:t>（2）SUNJE SOFT资产组商誉可收回金额的计算</w:t>
      </w:r>
      <w:r>
        <w:rPr>
          <w:w w:val="99"/>
        </w:rPr>
        <w:t> </w:t>
      </w:r>
      <w:r>
        <w:rPr>
          <w:spacing w:val="2"/>
          <w:w w:val="95"/>
        </w:rPr>
        <w:t>公司根据历史经营状况、发展规划、业务模式以及市场需求的变化预测未来5年的税前经营净现金流</w:t>
      </w:r>
      <w:r>
        <w:rPr>
          <w:spacing w:val="2"/>
        </w:rPr>
      </w:r>
    </w:p>
    <w:p>
      <w:pPr>
        <w:pStyle w:val="BodyText"/>
        <w:spacing w:line="273" w:lineRule="auto"/>
        <w:ind w:right="1112"/>
        <w:jc w:val="both"/>
      </w:pPr>
      <w:r>
        <w:rPr>
          <w:w w:val="95"/>
        </w:rPr>
        <w:t>量，并预测5年后将进入相对稳定的营运状况，经过3年展期进入永续增长期；收入增长率根据内存数据库   </w:t>
      </w:r>
      <w:r>
        <w:rPr>
          <w:spacing w:val="43"/>
          <w:w w:val="95"/>
        </w:rPr>
        <w:t> </w:t>
      </w:r>
      <w:r>
        <w:rPr>
          <w:spacing w:val="43"/>
          <w:w w:val="95"/>
        </w:rPr>
      </w:r>
      <w:r>
        <w:rPr/>
        <w:t>行</w:t>
      </w:r>
      <w:r>
        <w:rPr>
          <w:spacing w:val="-74"/>
        </w:rPr>
        <w:t> </w:t>
      </w:r>
      <w:r>
        <w:rPr/>
        <w:t>业</w:t>
      </w:r>
      <w:r>
        <w:rPr>
          <w:spacing w:val="-75"/>
        </w:rPr>
        <w:t> </w:t>
      </w:r>
      <w:r>
        <w:rPr/>
        <w:t>的</w:t>
      </w:r>
      <w:r>
        <w:rPr>
          <w:spacing w:val="-74"/>
        </w:rPr>
        <w:t> </w:t>
      </w:r>
      <w:r>
        <w:rPr/>
        <w:t>特</w:t>
      </w:r>
      <w:r>
        <w:rPr>
          <w:spacing w:val="-75"/>
        </w:rPr>
        <w:t> </w:t>
      </w:r>
      <w:r>
        <w:rPr/>
        <w:t>点</w:t>
      </w:r>
      <w:r>
        <w:rPr>
          <w:spacing w:val="-74"/>
        </w:rPr>
        <w:t> </w:t>
      </w:r>
      <w:r>
        <w:rPr/>
        <w:t>以</w:t>
      </w:r>
      <w:r>
        <w:rPr>
          <w:spacing w:val="-74"/>
        </w:rPr>
        <w:t> </w:t>
      </w:r>
      <w:r>
        <w:rPr/>
        <w:t>及</w:t>
      </w:r>
      <w:r>
        <w:rPr>
          <w:spacing w:val="-74"/>
        </w:rPr>
        <w:t> </w:t>
      </w:r>
      <w:r>
        <w:rPr/>
        <w:t>SUNJESOFT</w:t>
      </w:r>
      <w:r>
        <w:rPr>
          <w:spacing w:val="-77"/>
        </w:rPr>
        <w:t> </w:t>
      </w:r>
      <w:r>
        <w:rPr/>
        <w:t>所</w:t>
      </w:r>
      <w:r>
        <w:rPr>
          <w:spacing w:val="-74"/>
        </w:rPr>
        <w:t> </w:t>
      </w:r>
      <w:r>
        <w:rPr/>
        <w:t>处</w:t>
      </w:r>
      <w:r>
        <w:rPr>
          <w:spacing w:val="-75"/>
        </w:rPr>
        <w:t> </w:t>
      </w:r>
      <w:r>
        <w:rPr/>
        <w:t>的</w:t>
      </w:r>
      <w:r>
        <w:rPr>
          <w:spacing w:val="-74"/>
        </w:rPr>
        <w:t> </w:t>
      </w:r>
      <w:r>
        <w:rPr/>
        <w:t>经</w:t>
      </w:r>
      <w:r>
        <w:rPr>
          <w:spacing w:val="-75"/>
        </w:rPr>
        <w:t> </w:t>
      </w:r>
      <w:r>
        <w:rPr/>
        <w:t>营</w:t>
      </w:r>
      <w:r>
        <w:rPr>
          <w:spacing w:val="-74"/>
        </w:rPr>
        <w:t> </w:t>
      </w:r>
      <w:r>
        <w:rPr/>
        <w:t>阶</w:t>
      </w:r>
      <w:r>
        <w:rPr>
          <w:spacing w:val="-74"/>
        </w:rPr>
        <w:t> </w:t>
      </w:r>
      <w:r>
        <w:rPr/>
        <w:t>段</w:t>
      </w:r>
      <w:r>
        <w:rPr>
          <w:spacing w:val="-75"/>
        </w:rPr>
        <w:t> </w:t>
      </w:r>
      <w:r>
        <w:rPr/>
        <w:t>和</w:t>
      </w:r>
      <w:r>
        <w:rPr>
          <w:spacing w:val="-74"/>
        </w:rPr>
        <w:t> </w:t>
      </w:r>
      <w:r>
        <w:rPr/>
        <w:t>对</w:t>
      </w:r>
      <w:r>
        <w:rPr>
          <w:spacing w:val="-74"/>
        </w:rPr>
        <w:t> </w:t>
      </w:r>
      <w:r>
        <w:rPr/>
        <w:t>未</w:t>
      </w:r>
      <w:r>
        <w:rPr>
          <w:spacing w:val="-75"/>
        </w:rPr>
        <w:t> </w:t>
      </w:r>
      <w:r>
        <w:rPr/>
        <w:t>来</w:t>
      </w:r>
      <w:r>
        <w:rPr>
          <w:spacing w:val="-74"/>
        </w:rPr>
        <w:t> </w:t>
      </w:r>
      <w:r>
        <w:rPr/>
        <w:t>的</w:t>
      </w:r>
      <w:r>
        <w:rPr>
          <w:spacing w:val="-75"/>
        </w:rPr>
        <w:t> </w:t>
      </w:r>
      <w:r>
        <w:rPr/>
        <w:t>发</w:t>
      </w:r>
      <w:r>
        <w:rPr>
          <w:spacing w:val="-74"/>
        </w:rPr>
        <w:t> </w:t>
      </w:r>
      <w:r>
        <w:rPr/>
        <w:t>展</w:t>
      </w:r>
      <w:r>
        <w:rPr>
          <w:spacing w:val="-74"/>
        </w:rPr>
        <w:t> </w:t>
      </w:r>
      <w:r>
        <w:rPr/>
        <w:t>规</w:t>
      </w:r>
      <w:r>
        <w:rPr>
          <w:spacing w:val="-75"/>
        </w:rPr>
        <w:t> </w:t>
      </w:r>
      <w:r>
        <w:rPr/>
        <w:t>划</w:t>
      </w:r>
      <w:r>
        <w:rPr>
          <w:spacing w:val="-74"/>
        </w:rPr>
        <w:t> </w:t>
      </w:r>
      <w:r>
        <w:rPr/>
        <w:t>设</w:t>
      </w:r>
      <w:r>
        <w:rPr>
          <w:spacing w:val="-75"/>
        </w:rPr>
        <w:t> </w:t>
      </w:r>
      <w:r>
        <w:rPr/>
        <w:t>定</w:t>
      </w:r>
      <w:r>
        <w:rPr>
          <w:spacing w:val="-74"/>
        </w:rPr>
        <w:t> </w:t>
      </w:r>
      <w:r>
        <w:rPr/>
        <w:t>，</w:t>
      </w:r>
      <w:r>
        <w:rPr>
          <w:spacing w:val="-74"/>
        </w:rPr>
        <w:t> </w:t>
      </w:r>
      <w:r>
        <w:rPr/>
        <w:t>预</w:t>
      </w:r>
      <w:r>
        <w:rPr>
          <w:spacing w:val="-75"/>
        </w:rPr>
        <w:t> </w:t>
      </w:r>
      <w:r>
        <w:rPr/>
        <w:t>测</w:t>
      </w:r>
      <w:r>
        <w:rPr>
          <w:spacing w:val="-74"/>
        </w:rPr>
        <w:t> </w:t>
      </w:r>
      <w:r>
        <w:rPr/>
        <w:t>期</w:t>
      </w:r>
      <w:r>
        <w:rPr>
          <w:spacing w:val="-75"/>
        </w:rPr>
        <w:t> </w:t>
      </w:r>
      <w:r>
        <w:rPr/>
        <w:t>的</w:t>
      </w:r>
      <w:r>
        <w:rPr>
          <w:spacing w:val="-74"/>
        </w:rPr>
        <w:t> </w:t>
      </w:r>
      <w:r>
        <w:rPr/>
        <w:t>收</w:t>
      </w:r>
      <w:r>
        <w:rPr>
          <w:spacing w:val="-74"/>
        </w:rPr>
        <w:t> </w:t>
      </w:r>
      <w:r>
        <w:rPr/>
        <w:t>入</w:t>
      </w:r>
      <w:r>
        <w:rPr>
          <w:spacing w:val="-75"/>
        </w:rPr>
        <w:t> </w:t>
      </w:r>
      <w:r>
        <w:rPr/>
        <w:t>增</w:t>
      </w:r>
      <w:r>
        <w:rPr>
          <w:spacing w:val="-74"/>
        </w:rPr>
        <w:t> </w:t>
      </w:r>
      <w:r>
        <w:rPr/>
        <w:t>长</w:t>
      </w:r>
      <w:r>
        <w:rPr>
          <w:spacing w:val="-74"/>
        </w:rPr>
        <w:t> </w:t>
      </w:r>
      <w:r>
        <w:rPr/>
        <w:t>率</w:t>
      </w:r>
      <w:r>
        <w:rPr>
          <w:spacing w:val="-75"/>
        </w:rPr>
        <w:t> </w:t>
      </w:r>
      <w:r>
        <w:rPr/>
        <w:t>为</w:t>
      </w:r>
      <w:r>
        <w:rPr>
          <w:w w:val="99"/>
        </w:rPr>
        <w:t> </w:t>
      </w:r>
      <w:r>
        <w:rPr>
          <w:w w:val="95"/>
        </w:rPr>
        <w:t>26.2%~57.7%，3年展期的增长率设定为20%、10%、5%，永续期增长率根据韩国长期通货膨胀率设定为2%；</w:t>
      </w:r>
      <w:r>
        <w:rPr>
          <w:spacing w:val="61"/>
          <w:w w:val="95"/>
        </w:rPr>
        <w:t> </w:t>
      </w:r>
      <w:r>
        <w:rPr>
          <w:spacing w:val="61"/>
          <w:w w:val="95"/>
        </w:rPr>
      </w:r>
      <w:r>
        <w:rPr>
          <w:spacing w:val="2"/>
        </w:rPr>
        <w:t>折现率采用加权平均资本成本模型确定为22%，加权平均资本成本模型中付息债务资本的回报率根据韩国</w:t>
      </w:r>
      <w:r>
        <w:rPr>
          <w:w w:val="99"/>
        </w:rPr>
        <w:t> </w:t>
      </w:r>
      <w:r>
        <w:rPr>
          <w:w w:val="95"/>
        </w:rPr>
        <w:t>商业银行平均最优贷款利率3.4%进行计算，股东权益资本的回报率根据资本资产定价模型确定，并考虑了</w:t>
      </w:r>
      <w:r>
        <w:rPr>
          <w:spacing w:val="37"/>
          <w:w w:val="95"/>
        </w:rPr>
        <w:t> </w:t>
      </w:r>
      <w:r>
        <w:rPr>
          <w:spacing w:val="37"/>
          <w:w w:val="95"/>
        </w:rPr>
      </w:r>
      <w:r>
        <w:rPr>
          <w:spacing w:val="2"/>
          <w:w w:val="95"/>
        </w:rPr>
        <w:t>小规模风险溢价及特别风险影响，付息债务资本和股东权益资本的权重根据SUNJESOFT株式会社所处的行</w:t>
      </w:r>
      <w:r>
        <w:rPr>
          <w:spacing w:val="37"/>
          <w:w w:val="95"/>
        </w:rPr>
        <w:t> </w:t>
      </w:r>
      <w:r>
        <w:rPr>
          <w:spacing w:val="37"/>
          <w:w w:val="95"/>
        </w:rPr>
      </w:r>
      <w:r>
        <w:rPr/>
        <w:t>业付息债务资本和股东权益资本比率及有效税率进行计算。</w:t>
      </w:r>
    </w:p>
    <w:p>
      <w:pPr>
        <w:pStyle w:val="BodyText"/>
        <w:spacing w:line="273" w:lineRule="auto"/>
        <w:ind w:right="1130" w:firstLine="420"/>
        <w:jc w:val="both"/>
      </w:pPr>
      <w:r>
        <w:rPr>
          <w:w w:val="95"/>
        </w:rPr>
        <w:t>经测算，包含商誉的资产组可收回金额为1,539,601.88万韩元，高于其账面价值，无需计提商誉减值</w:t>
      </w:r>
      <w:r>
        <w:rPr>
          <w:spacing w:val="-97"/>
          <w:w w:val="95"/>
        </w:rPr>
        <w:t> </w:t>
      </w:r>
      <w:r>
        <w:rPr>
          <w:spacing w:val="-97"/>
          <w:w w:val="95"/>
        </w:rPr>
      </w:r>
      <w:r>
        <w:rPr/>
        <w:t>准备。</w:t>
      </w:r>
    </w:p>
    <w:p>
      <w:pPr>
        <w:spacing w:line="240" w:lineRule="auto" w:before="7"/>
        <w:rPr>
          <w:rFonts w:ascii="宋体" w:hAnsi="宋体" w:cs="宋体" w:eastAsia="宋体" w:hint="default"/>
          <w:sz w:val="29"/>
          <w:szCs w:val="29"/>
        </w:rPr>
      </w:pPr>
    </w:p>
    <w:p>
      <w:pPr>
        <w:spacing w:line="357" w:lineRule="auto" w:before="0"/>
        <w:ind w:left="112" w:right="913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9、长期待摊费用" w:id="322"/>
      <w:bookmarkEnd w:id="322"/>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2,097,618.54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1,434,792.23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1,118,480.55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2,412,731.10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邮箱费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163,115.12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433,119.85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161,665.72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434,569.25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74,059.68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290,562.59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213,245.42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151,376.85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0"/>
              <w:jc w:val="left"/>
              <w:rPr>
                <w:rFonts w:ascii="Times New Roman" w:hAnsi="Times New Roman" w:cs="Times New Roman" w:eastAsia="Times New Roman" w:hint="default"/>
                <w:sz w:val="18"/>
                <w:szCs w:val="18"/>
              </w:rPr>
            </w:pPr>
            <w:r>
              <w:rPr>
                <w:rFonts w:ascii="宋体" w:hAnsi="宋体" w:cs="宋体" w:eastAsia="宋体" w:hint="default"/>
                <w:sz w:val="18"/>
                <w:szCs w:val="18"/>
              </w:rPr>
              <w:t>共同经营平台系 统</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8,082,678.38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8,471,641.21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8,151,707.64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8,402,611.95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10,417,471.72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10,630,115.88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9,645,099.33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11,401,289.15</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30、递延所得税资产/递延所得税负债" w:id="323"/>
      <w:bookmarkEnd w:id="32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324"/>
      <w:bookmarkEnd w:id="32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140,501,492.07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21,106,278.38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106,239,606.06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17,919,289.13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6,549,562.07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1,423,733.07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1,852,003.46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277,800.52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6,582,191.60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987,328.74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7,272,994.68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1,090,949.20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1,082,195.79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1,082,195.79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1,098,898.88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1,098,898.88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639,589.44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117,936.37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904,236.39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176,158.70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16,119.86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3,546.37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131,255.51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28,876.22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155,371,150.83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24,721,018.72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117,498,994.98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20,591,972.65</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未经抵销的递延所得税负债" w:id="325"/>
      <w:bookmarkEnd w:id="32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28,225,112.97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6,211,970.94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32,101,928.65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7,065,642.83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436,192.22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95,962.29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277,828.98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61,122.38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28,661,305.19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6,307,933.23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32,379,757.63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7,126,765.21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以抵销后净额列示的递延所得税资产或负债" w:id="326"/>
      <w:bookmarkEnd w:id="32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24,721,018.72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20,591,972.65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6,307,933.23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7,126,765.21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未确认递延所得税资产明细" w:id="327"/>
      <w:bookmarkEnd w:id="32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16,086,972.20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8,939,778.20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632,972.51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84,959.34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16,719,944.71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9,024,737.54</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5）未确认递延所得税资产的可抵扣亏损将于以下年度到期" w:id="328"/>
      <w:bookmarkEnd w:id="32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6,767,471.82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6,767,471.82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7,944,881.34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389" w:type="dxa"/>
            <w:tcBorders>
              <w:top w:val="single" w:sz="4" w:space="0" w:color="000000"/>
              <w:left w:val="single" w:sz="4" w:space="0" w:color="000000"/>
              <w:bottom w:val="nil" w:sz="6" w:space="0" w:color="auto"/>
              <w:right w:val="single" w:sz="4" w:space="0" w:color="000000"/>
            </w:tcBorders>
          </w:tcPr>
          <w:p>
            <w:pPr/>
          </w:p>
        </w:tc>
        <w:tc>
          <w:tcPr>
            <w:tcW w:w="2395"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宋体" w:hAnsi="宋体" w:cs="宋体" w:eastAsia="宋体" w:hint="default"/>
                <w:sz w:val="18"/>
                <w:szCs w:val="18"/>
              </w:rPr>
              <w:t>子</w:t>
            </w:r>
          </w:p>
        </w:tc>
      </w:tr>
      <w:tr>
        <w:trPr>
          <w:trHeight w:val="307" w:hRule="exact"/>
        </w:trPr>
        <w:tc>
          <w:tcPr>
            <w:tcW w:w="2389" w:type="dxa"/>
            <w:tcBorders>
              <w:top w:val="nil" w:sz="6" w:space="0" w:color="auto"/>
              <w:left w:val="single" w:sz="4" w:space="0" w:color="000000"/>
              <w:bottom w:val="nil" w:sz="6" w:space="0" w:color="auto"/>
              <w:right w:val="single" w:sz="4" w:space="0" w:color="000000"/>
            </w:tcBorders>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公司科蓝软体系统（香港）</w:t>
            </w:r>
          </w:p>
        </w:tc>
      </w:tr>
      <w:tr>
        <w:trPr>
          <w:trHeight w:val="312" w:hRule="exact"/>
        </w:trPr>
        <w:tc>
          <w:tcPr>
            <w:tcW w:w="2389" w:type="dxa"/>
            <w:tcBorders>
              <w:top w:val="nil" w:sz="6" w:space="0" w:color="auto"/>
              <w:left w:val="single" w:sz="4" w:space="0" w:color="000000"/>
              <w:bottom w:val="nil" w:sz="6" w:space="0" w:color="auto"/>
              <w:right w:val="single" w:sz="4" w:space="0" w:color="000000"/>
            </w:tcBorders>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有限公司的经营亏损人民币</w:t>
            </w:r>
          </w:p>
        </w:tc>
      </w:tr>
      <w:tr>
        <w:trPr>
          <w:trHeight w:val="317" w:hRule="exact"/>
        </w:trPr>
        <w:tc>
          <w:tcPr>
            <w:tcW w:w="2389" w:type="dxa"/>
            <w:tcBorders>
              <w:top w:val="nil" w:sz="6" w:space="0" w:color="auto"/>
              <w:left w:val="single" w:sz="4" w:space="0" w:color="000000"/>
              <w:bottom w:val="nil" w:sz="6" w:space="0" w:color="auto"/>
              <w:right w:val="single" w:sz="4" w:space="0" w:color="000000"/>
            </w:tcBorders>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1,374,619.04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元未确认递延</w:t>
            </w:r>
          </w:p>
        </w:tc>
      </w:tr>
      <w:tr>
        <w:trPr>
          <w:trHeight w:val="312" w:hRule="exact"/>
        </w:trPr>
        <w:tc>
          <w:tcPr>
            <w:tcW w:w="23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无到期日</w:t>
            </w:r>
          </w:p>
        </w:tc>
        <w:tc>
          <w:tcPr>
            <w:tcW w:w="23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1,374,619.04</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2,172,306.38</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6"/>
                <w:sz w:val="18"/>
                <w:szCs w:val="18"/>
              </w:rPr>
              <w:t>所得税资产，按照相关规定，</w:t>
            </w:r>
          </w:p>
        </w:tc>
      </w:tr>
      <w:tr>
        <w:trPr>
          <w:trHeight w:val="307" w:hRule="exact"/>
        </w:trPr>
        <w:tc>
          <w:tcPr>
            <w:tcW w:w="2389" w:type="dxa"/>
            <w:tcBorders>
              <w:top w:val="nil" w:sz="6" w:space="0" w:color="auto"/>
              <w:left w:val="single" w:sz="4" w:space="0" w:color="000000"/>
              <w:bottom w:val="nil" w:sz="6" w:space="0" w:color="auto"/>
              <w:right w:val="single" w:sz="4" w:space="0" w:color="000000"/>
            </w:tcBorders>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香港公司于某一课税年度所</w:t>
            </w:r>
          </w:p>
        </w:tc>
      </w:tr>
      <w:tr>
        <w:trPr>
          <w:trHeight w:val="312" w:hRule="exact"/>
        </w:trPr>
        <w:tc>
          <w:tcPr>
            <w:tcW w:w="2389" w:type="dxa"/>
            <w:tcBorders>
              <w:top w:val="nil" w:sz="6" w:space="0" w:color="auto"/>
              <w:left w:val="single" w:sz="4" w:space="0" w:color="000000"/>
              <w:bottom w:val="nil" w:sz="6" w:space="0" w:color="auto"/>
              <w:right w:val="single" w:sz="4" w:space="0" w:color="000000"/>
            </w:tcBorders>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蒙受的亏损，可以无限期结</w:t>
            </w:r>
          </w:p>
        </w:tc>
      </w:tr>
      <w:tr>
        <w:trPr>
          <w:trHeight w:val="312" w:hRule="exact"/>
        </w:trPr>
        <w:tc>
          <w:tcPr>
            <w:tcW w:w="2389" w:type="dxa"/>
            <w:tcBorders>
              <w:top w:val="nil" w:sz="6" w:space="0" w:color="auto"/>
              <w:left w:val="single" w:sz="4" w:space="0" w:color="000000"/>
              <w:bottom w:val="nil" w:sz="6" w:space="0" w:color="auto"/>
              <w:right w:val="single" w:sz="4" w:space="0" w:color="000000"/>
            </w:tcBorders>
          </w:tcPr>
          <w:p>
            <w:pPr/>
          </w:p>
        </w:tc>
        <w:tc>
          <w:tcPr>
            <w:tcW w:w="2395"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转到以后年度，因此无到期</w:t>
            </w:r>
          </w:p>
        </w:tc>
      </w:tr>
      <w:tr>
        <w:trPr>
          <w:trHeight w:val="358" w:hRule="exact"/>
        </w:trPr>
        <w:tc>
          <w:tcPr>
            <w:tcW w:w="2389" w:type="dxa"/>
            <w:tcBorders>
              <w:top w:val="nil" w:sz="6" w:space="0" w:color="auto"/>
              <w:left w:val="single" w:sz="4" w:space="0" w:color="000000"/>
              <w:bottom w:val="single" w:sz="4" w:space="0" w:color="000000"/>
              <w:right w:val="single" w:sz="4" w:space="0" w:color="000000"/>
            </w:tcBorders>
          </w:tcPr>
          <w:p>
            <w:pPr/>
          </w:p>
        </w:tc>
        <w:tc>
          <w:tcPr>
            <w:tcW w:w="2395"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16,086,972.20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8,939,778.20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1、其他非流动资产" w:id="329"/>
      <w:bookmarkEnd w:id="329"/>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期房购置款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32,066,302.00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32,066,302.00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2、短期借款" w:id="330"/>
      <w:bookmarkEnd w:id="330"/>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短期借款分类" w:id="331"/>
      <w:bookmarkEnd w:id="33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35,150,000.00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376,522,774.08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264,735,429.52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保理</w:t>
            </w:r>
            <w:r>
              <w:rPr>
                <w:rFonts w:ascii="Times New Roman" w:hAnsi="Times New Roman" w:cs="Times New Roman" w:eastAsia="Times New Roman" w:hint="default"/>
                <w:sz w:val="18"/>
                <w:szCs w:val="18"/>
              </w:rPr>
              <w:t>+</w:t>
            </w: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3,066,175.18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414,738,949.26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421,917,795.13</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已逾期未偿还的短期借款情况" w:id="332"/>
      <w:bookmarkEnd w:id="33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元，其中重要的已逾期未偿还的短期借款情况如下：</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3、交易性金融负债" w:id="333"/>
      <w:bookmarkEnd w:id="333"/>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4、衍生金融负债" w:id="334"/>
      <w:bookmarkEnd w:id="334"/>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5、应付票据" w:id="335"/>
      <w:bookmarkEnd w:id="335"/>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6、应付账款" w:id="336"/>
      <w:bookmarkEnd w:id="336"/>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付账款列示" w:id="337"/>
      <w:bookmarkEnd w:id="33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15,681,214.50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4,822,519.43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应付外包款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20,366,792.96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7,361,334.19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58,157.89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1,153,080.36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145,595.84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232,587.20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36,251,761.19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13,569,521.18</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账龄超过1年的重要应付账款" w:id="338"/>
      <w:bookmarkEnd w:id="33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185"/>
        <w:jc w:val="left"/>
      </w:pPr>
      <w:r>
        <w:rPr/>
        <w:t>期末应付账款余额中无账龄超过一年的大额应付账款。</w:t>
      </w:r>
      <w:r>
        <w:rPr>
          <w:w w:val="99"/>
        </w:rPr>
        <w:t> </w:t>
      </w:r>
      <w:r>
        <w:rPr>
          <w:spacing w:val="2"/>
          <w:w w:val="95"/>
        </w:rPr>
        <w:t>期末应付账款余额较上年年末增加167.16%，主要系本期原材料采购与接受委外劳务增加而付款期限尚未</w:t>
      </w:r>
      <w:r>
        <w:rPr>
          <w:spacing w:val="40"/>
          <w:w w:val="95"/>
        </w:rPr>
        <w:t> </w:t>
      </w:r>
      <w:r>
        <w:rPr>
          <w:spacing w:val="40"/>
          <w:w w:val="95"/>
        </w:rPr>
      </w:r>
      <w:r>
        <w:rPr/>
        <w:t>届满所致。</w:t>
      </w:r>
    </w:p>
    <w:p>
      <w:pPr>
        <w:spacing w:line="240" w:lineRule="auto" w:before="9"/>
        <w:rPr>
          <w:rFonts w:ascii="宋体" w:hAnsi="宋体" w:cs="宋体" w:eastAsia="宋体" w:hint="default"/>
          <w:sz w:val="23"/>
          <w:szCs w:val="23"/>
        </w:rPr>
      </w:pPr>
    </w:p>
    <w:p>
      <w:pPr>
        <w:pStyle w:val="Heading6"/>
        <w:spacing w:line="240" w:lineRule="auto"/>
        <w:ind w:right="0"/>
        <w:jc w:val="left"/>
        <w:rPr>
          <w:b w:val="0"/>
          <w:bCs w:val="0"/>
        </w:rPr>
      </w:pPr>
      <w:bookmarkStart w:name="37、预收款项" w:id="339"/>
      <w:bookmarkEnd w:id="339"/>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1）预收款项列示" w:id="340"/>
      <w:bookmarkEnd w:id="34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预收项目进度款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34,643,619.44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22,408,884.33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34,643,619.44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22,408,884.33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账龄超过1年的重要预收款项" w:id="341"/>
      <w:bookmarkEnd w:id="34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某有限责任公司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7,553,915.73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7,553,915.73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期末建造合同形成的已结算未完工项目情况" w:id="342"/>
      <w:bookmarkEnd w:id="34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4;height:397" coordorigin="13,12" coordsize="4774,397">
              <v:shape style="position:absolute;left:13;top:12;width:4774;height:397" coordorigin="13,12" coordsize="4774,397" path="m13,12l4787,12,4787,409,13,409,13,12xe" filled="true" fillcolor="#d2d2d2" stroked="false">
                <v:path arrowok="t"/>
                <v:fill type="solid"/>
              </v:shape>
            </v:group>
            <v:group style="position:absolute;left:4792;top:12;width:4784;height:397" coordorigin="4792,12" coordsize="4784,397">
              <v:shape style="position:absolute;left:4792;top:12;width:4784;height:397" coordorigin="4792,12" coordsize="4784,397" path="m4792,12l9576,12,9576,409,4792,409,4792,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1394"/>
        <w:jc w:val="left"/>
      </w:pPr>
      <w:r>
        <w:rPr>
          <w:w w:val="95"/>
        </w:rPr>
        <w:t>1、截至2019年12月31日止，账龄超过一年的重要预收款项主要为该项目尚未完成开发而收到的合同预付   </w:t>
      </w:r>
      <w:r>
        <w:rPr>
          <w:spacing w:val="56"/>
          <w:w w:val="95"/>
        </w:rPr>
        <w:t> </w:t>
      </w:r>
      <w:r>
        <w:rPr>
          <w:spacing w:val="56"/>
          <w:w w:val="95"/>
        </w:rPr>
      </w:r>
      <w:r>
        <w:rPr/>
        <w:t>款。</w:t>
      </w:r>
      <w:r>
        <w:rPr>
          <w:w w:val="99"/>
        </w:rPr>
        <w:t> </w:t>
      </w:r>
      <w:r>
        <w:rPr>
          <w:w w:val="95"/>
        </w:rPr>
        <w:t>2、预收款项期末余额较期初余额增加54.60%，主要系未完成的开发项目增加而收到客户支付的合同预付</w:t>
      </w:r>
      <w:r>
        <w:rPr>
          <w:spacing w:val="56"/>
          <w:w w:val="95"/>
        </w:rPr>
        <w:t> </w:t>
      </w:r>
      <w:r>
        <w:rPr>
          <w:spacing w:val="56"/>
          <w:w w:val="95"/>
        </w:rPr>
      </w:r>
      <w:r>
        <w:rPr/>
        <w:t>款增加所致。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38、合同负债" w:id="343"/>
      <w:bookmarkEnd w:id="343"/>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19"/>
        <w:gridCol w:w="4944"/>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39、应付职工薪酬" w:id="344"/>
      <w:bookmarkEnd w:id="344"/>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付职工薪酬列示" w:id="345"/>
      <w:bookmarkEnd w:id="34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44,915,754.95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832,188,962.70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821,168,446.96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55,936,270.69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2,478,392.18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45,439,670.89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45,468,348.93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2,449,714.14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132,250.00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47,399,147.13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877,760,883.59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866,749,045.89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58,410,984.83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短期薪酬列示" w:id="346"/>
      <w:bookmarkEnd w:id="34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41,813,827.51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770,804,465.36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760,289,313.03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52,328,979.84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1,820,387.32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1,820,387.32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1,452,659.32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26,866,635.77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26,539,882.59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1,779,412.50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1,282,107.92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24,119,388.84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23,828,865.53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1,572,631.23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37,349.39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585,337.41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579,583.51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43,103.29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133,202.01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2,101,743.90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2,072,389.96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162,555.95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60,165.62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59,043.59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1,122.03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1,438,320.38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26,063,617.44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25,885,007.21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1,616,930.61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210,947.74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6,633,856.81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6,633,856.81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210,947.74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44,915,754.95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832,188,962.70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821,168,446.96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55,936,270.69</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设定提存计划列示" w:id="347"/>
      <w:bookmarkEnd w:id="34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2,377,861.48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42,659,318.33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42,692,127.17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2,345,052.64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100,530.70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1,788,902.85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1,784,772.05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104,661.50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991,449.71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991,449.71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2,478,392.18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45,439,670.89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45,468,348.93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2,449,714.14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2"/>
        <w:ind w:right="0"/>
        <w:jc w:val="left"/>
      </w:pPr>
      <w:r>
        <w:rPr/>
        <w:t>截至2019年12月31日止，本公司应付职工薪酬中没有属于拖欠性质的款项</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0、应交税费" w:id="348"/>
      <w:bookmarkEnd w:id="348"/>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21,387,424.51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13,505,310.39</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1,838,645.61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4,640,432.28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4,580,834.83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4,530,517.73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1,445,084.29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1,208,826.62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1,153,337.32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943,688.74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30,405,326.56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24,828,775.76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1、其他应付款" w:id="349"/>
      <w:bookmarkEnd w:id="34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61,139,780.51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57,670,174.01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61,139,780.51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57,670,174.01</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1）应付利息" w:id="350"/>
      <w:bookmarkEnd w:id="35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2,182,365.61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应付股利" w:id="351"/>
      <w:bookmarkEnd w:id="35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3）其他应付款" w:id="352"/>
      <w:bookmarkEnd w:id="35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按款项性质列示其他应付款" w:id="353"/>
      <w:bookmarkEnd w:id="353"/>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6" w:right="0"/>
              <w:jc w:val="left"/>
              <w:rPr>
                <w:rFonts w:ascii="Times New Roman" w:hAnsi="Times New Roman" w:cs="Times New Roman" w:eastAsia="Times New Roman" w:hint="default"/>
                <w:sz w:val="18"/>
                <w:szCs w:val="18"/>
              </w:rPr>
            </w:pPr>
            <w:r>
              <w:rPr>
                <w:rFonts w:ascii="Times New Roman"/>
                <w:sz w:val="18"/>
              </w:rPr>
              <w:t>12,706,629.22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2,872,275.35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待付员工报销款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11,514,949.76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6,744,503.69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社保及公积金个人部分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2,817,089.31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2,619,655.57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33,709,273.98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44,639,624.11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向关联方借款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234,030.95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237,643.09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157,807.29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556,472.20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61,139,780.51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57,670,174.01</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账龄超过1年的重要其他应付款" w:id="354"/>
      <w:bookmarkEnd w:id="354"/>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2、持有待售负债" w:id="355"/>
      <w:bookmarkEnd w:id="355"/>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3、一年内到期的非流动负债" w:id="356"/>
      <w:bookmarkEnd w:id="35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43,734,207.27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25,346,372.37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43,734,207.27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25,346,372.37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left="532" w:right="1022"/>
        <w:jc w:val="left"/>
      </w:pPr>
      <w:r>
        <w:rPr/>
        <w:t>一年内到期的非流动负债说明：</w:t>
      </w:r>
      <w:r>
        <w:rPr>
          <w:w w:val="99"/>
        </w:rPr>
        <w:t> </w:t>
      </w:r>
      <w:r>
        <w:rPr>
          <w:spacing w:val="-3"/>
        </w:rPr>
        <w:t>期末一年内到期的长期应付款系按照合同约定于下一年度应支付的融资租赁款，详见第五节、36所述。</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bookmarkStart w:name="44、其他流动负债" w:id="357"/>
      <w:bookmarkEnd w:id="35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40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债券名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债券期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发行金</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本期发</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按面值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3" w:right="0"/>
              <w:jc w:val="left"/>
              <w:rPr>
                <w:rFonts w:ascii="宋体" w:hAnsi="宋体" w:cs="宋体" w:eastAsia="宋体" w:hint="default"/>
                <w:sz w:val="18"/>
                <w:szCs w:val="18"/>
              </w:rPr>
            </w:pPr>
            <w:r>
              <w:rPr>
                <w:rFonts w:ascii="宋体" w:hAnsi="宋体" w:cs="宋体" w:eastAsia="宋体" w:hint="default"/>
                <w:sz w:val="18"/>
                <w:szCs w:val="18"/>
              </w:rPr>
              <w:t>溢折价</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本期偿</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04" w:right="121" w:hanging="180"/>
              <w:jc w:val="left"/>
              <w:rPr>
                <w:rFonts w:ascii="宋体" w:hAnsi="宋体" w:cs="宋体" w:eastAsia="宋体" w:hint="default"/>
                <w:sz w:val="18"/>
                <w:szCs w:val="18"/>
              </w:rPr>
            </w:pPr>
            <w:r>
              <w:rPr>
                <w:rFonts w:ascii="宋体" w:hAnsi="宋体" w:cs="宋体" w:eastAsia="宋体" w:hint="default"/>
                <w:sz w:val="18"/>
                <w:szCs w:val="18"/>
              </w:rPr>
              <w:t>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5、长期借款" w:id="358"/>
      <w:bookmarkEnd w:id="35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长期借款分类" w:id="359"/>
      <w:bookmarkEnd w:id="35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1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46、应付债券" w:id="360"/>
      <w:bookmarkEnd w:id="36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付债券" w:id="361"/>
      <w:bookmarkEnd w:id="36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应付债券的增减变动（不包括划分为金融负债的优先股、永续债等其他金融工具）" w:id="362"/>
      <w:bookmarkEnd w:id="36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可转换公司债券的转股条件、转股时间说明" w:id="363"/>
      <w:bookmarkEnd w:id="36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4）划分为金融负债的其他金融工具说明" w:id="364"/>
      <w:bookmarkEnd w:id="36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40"/>
          <w:pgSz w:w="11910" w:h="16840"/>
          <w:pgMar w:footer="1016" w:header="907" w:top="1100" w:bottom="1200" w:left="1020" w:right="0"/>
          <w:pgNumType w:start="21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4613" w:space="42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66"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1"/>
        <w:ind w:left="11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57" w:lineRule="auto"/>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47、租赁负债" w:id="365"/>
      <w:bookmarkEnd w:id="365"/>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8、长期应付款" w:id="366"/>
      <w:bookmarkEnd w:id="366"/>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34,684,396.32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48,473,220.20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34,684,396.32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48,473,220.20</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1）按款项性质列示长期应付款" w:id="367"/>
      <w:bookmarkEnd w:id="36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78,418,603.59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73,819,592.57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43,734,207.27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25,346,372.37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34,684,396.32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48,473,220.20</w:t>
            </w: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left="532" w:right="1185" w:hanging="420"/>
        <w:jc w:val="left"/>
      </w:pPr>
      <w:r>
        <w:rPr>
          <w:rFonts w:ascii="宋体" w:hAnsi="宋体" w:cs="宋体" w:eastAsia="宋体" w:hint="default"/>
          <w:b/>
          <w:bCs/>
        </w:rPr>
        <w:t>长期应付款的说明</w:t>
      </w:r>
      <w:r>
        <w:rPr>
          <w:rFonts w:ascii="宋体" w:hAnsi="宋体" w:cs="宋体" w:eastAsia="宋体" w:hint="default"/>
          <w:b/>
          <w:bCs/>
          <w:w w:val="99"/>
        </w:rPr>
        <w:t> </w:t>
      </w:r>
      <w:r>
        <w:rPr>
          <w:spacing w:val="2"/>
          <w:w w:val="95"/>
        </w:rPr>
        <w:t>2018年5月23日，公司与北京市文化科技融资租赁股份有限公司签订《著作权转让合同》与《融资租</w:t>
      </w:r>
      <w:r>
        <w:rPr>
          <w:spacing w:val="2"/>
        </w:rPr>
      </w:r>
    </w:p>
    <w:p>
      <w:pPr>
        <w:pStyle w:val="BodyText"/>
        <w:spacing w:line="273" w:lineRule="auto"/>
        <w:ind w:right="1131"/>
        <w:jc w:val="both"/>
      </w:pPr>
      <w:r>
        <w:rPr>
          <w:w w:val="99"/>
        </w:rPr>
        <w:t>赁合同》，以软件著作权售后租回的方式获得融资资金人民币4,000万元，租赁期为2018年6月12日至2021</w:t>
      </w:r>
      <w:r>
        <w:rPr>
          <w:spacing w:val="-94"/>
          <w:w w:val="99"/>
        </w:rPr>
        <w:t> </w:t>
      </w:r>
      <w:r>
        <w:rPr>
          <w:spacing w:val="-94"/>
          <w:w w:val="99"/>
        </w:rPr>
      </w:r>
      <w:r>
        <w:rPr>
          <w:spacing w:val="2"/>
          <w:w w:val="95"/>
        </w:rPr>
        <w:t>年5月15日，共36个月，租金以等额本息的方式按季度支付。本公司股东王安京为该项融资提供连带责任</w:t>
      </w:r>
      <w:r>
        <w:rPr>
          <w:spacing w:val="44"/>
          <w:w w:val="95"/>
        </w:rPr>
        <w:t> </w:t>
      </w:r>
      <w:r>
        <w:rPr>
          <w:spacing w:val="44"/>
          <w:w w:val="95"/>
        </w:rPr>
      </w:r>
      <w:r>
        <w:rPr/>
        <w:t>保证担保。</w:t>
      </w:r>
    </w:p>
    <w:p>
      <w:pPr>
        <w:pStyle w:val="BodyText"/>
        <w:spacing w:line="273" w:lineRule="auto"/>
        <w:ind w:right="1034" w:firstLine="420"/>
        <w:jc w:val="left"/>
      </w:pPr>
      <w:r>
        <w:rPr/>
        <w:t>2018年11月14日，公司与北京市文化科技融资租赁股份有限公司签订《著作权转让合同》与《融资租</w:t>
      </w:r>
      <w:r>
        <w:rPr>
          <w:w w:val="99"/>
        </w:rPr>
        <w:t> </w:t>
      </w:r>
      <w:r>
        <w:rPr>
          <w:spacing w:val="-2"/>
          <w:w w:val="99"/>
        </w:rPr>
        <w:t>赁合同》，以软件著作权售后租回的方式获得融资资金人民币4,000万元，租赁期为2018年11月14日至2021</w:t>
      </w:r>
      <w:r>
        <w:rPr>
          <w:spacing w:val="-96"/>
          <w:w w:val="99"/>
        </w:rPr>
        <w:t> </w:t>
      </w:r>
      <w:r>
        <w:rPr>
          <w:spacing w:val="-96"/>
          <w:w w:val="99"/>
        </w:rPr>
      </w:r>
      <w:r>
        <w:rPr/>
        <w:t>年10月15日，共36个月，租金以等额本息的方式按季度支付。本公司股东王安京为该项融资提供连带责任</w:t>
      </w:r>
      <w:r>
        <w:rPr>
          <w:w w:val="99"/>
        </w:rPr>
        <w:t> </w:t>
      </w:r>
      <w:r>
        <w:rPr/>
        <w:t>保证担保。</w:t>
      </w:r>
      <w:r>
        <w:rPr>
          <w:w w:val="99"/>
        </w:rPr>
        <w:t> </w:t>
      </w:r>
      <w:r>
        <w:rPr>
          <w:spacing w:val="-5"/>
          <w:w w:val="99"/>
        </w:rPr>
        <w:t>2019年3月26日，公司与远东宏信（天津）融资租赁有限公司签订《所有权转让协议》与《售后回租合同》，</w:t>
      </w:r>
      <w:r>
        <w:rPr>
          <w:spacing w:val="-58"/>
          <w:w w:val="99"/>
        </w:rPr>
        <w:t> </w:t>
      </w:r>
      <w:r>
        <w:rPr>
          <w:spacing w:val="-58"/>
          <w:w w:val="99"/>
        </w:rPr>
      </w:r>
      <w:r>
        <w:rPr/>
        <w:t>以软件著作权售后租回的方式获得融资资金人民币4,200万元，租赁期为2019年4月3日至2021年10月3日，</w:t>
      </w:r>
      <w:r>
        <w:rPr>
          <w:w w:val="99"/>
        </w:rPr>
        <w:t> </w:t>
      </w:r>
      <w:r>
        <w:rPr/>
        <w:t>共30个月，租金以等额本息的方式按季度支付。本公司股东王安京为该项融资提供连带责任保证担保。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bookmarkStart w:name="（2）专项应付款" w:id="368"/>
      <w:bookmarkEnd w:id="368"/>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49、长期应付职工薪酬" w:id="369"/>
      <w:bookmarkEnd w:id="369"/>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长期应付职工薪酬表" w:id="370"/>
      <w:bookmarkEnd w:id="37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设定受益计划变动情况" w:id="371"/>
      <w:bookmarkEnd w:id="37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1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0、预计负债" w:id="372"/>
      <w:bookmarkEnd w:id="37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9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1、递延收益" w:id="373"/>
      <w:bookmarkEnd w:id="37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400"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0" w:right="0"/>
              <w:jc w:val="left"/>
              <w:rPr>
                <w:rFonts w:ascii="宋体" w:hAnsi="宋体" w:cs="宋体" w:eastAsia="宋体" w:hint="default"/>
                <w:sz w:val="18"/>
                <w:szCs w:val="18"/>
              </w:rPr>
            </w:pPr>
            <w:r>
              <w:rPr>
                <w:rFonts w:ascii="宋体" w:hAnsi="宋体" w:cs="宋体" w:eastAsia="宋体" w:hint="default"/>
                <w:sz w:val="18"/>
                <w:szCs w:val="18"/>
              </w:rPr>
              <w:t>本期计入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1" w:right="0"/>
              <w:jc w:val="left"/>
              <w:rPr>
                <w:rFonts w:ascii="宋体" w:hAnsi="宋体" w:cs="宋体" w:eastAsia="宋体" w:hint="default"/>
                <w:sz w:val="18"/>
                <w:szCs w:val="18"/>
              </w:rPr>
            </w:pPr>
            <w:r>
              <w:rPr>
                <w:rFonts w:ascii="宋体" w:hAnsi="宋体" w:cs="宋体" w:eastAsia="宋体" w:hint="default"/>
                <w:sz w:val="18"/>
                <w:szCs w:val="18"/>
              </w:rPr>
              <w:t>本期计入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8" w:right="0"/>
              <w:jc w:val="left"/>
              <w:rPr>
                <w:rFonts w:ascii="宋体" w:hAnsi="宋体" w:cs="宋体" w:eastAsia="宋体" w:hint="default"/>
                <w:sz w:val="18"/>
                <w:szCs w:val="18"/>
              </w:rPr>
            </w:pPr>
            <w:r>
              <w:rPr>
                <w:rFonts w:ascii="宋体" w:hAnsi="宋体" w:cs="宋体" w:eastAsia="宋体" w:hint="default"/>
                <w:sz w:val="18"/>
                <w:szCs w:val="18"/>
              </w:rPr>
              <w:t>本期冲减</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9"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674"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9" w:right="137" w:hanging="89"/>
              <w:jc w:val="left"/>
              <w:rPr>
                <w:rFonts w:ascii="宋体" w:hAnsi="宋体" w:cs="宋体" w:eastAsia="宋体" w:hint="default"/>
                <w:sz w:val="18"/>
                <w:szCs w:val="18"/>
              </w:rPr>
            </w:pPr>
            <w:r>
              <w:rPr>
                <w:rFonts w:ascii="宋体" w:hAnsi="宋体" w:cs="宋体" w:eastAsia="宋体" w:hint="default"/>
                <w:sz w:val="18"/>
                <w:szCs w:val="18"/>
              </w:rPr>
              <w:t>营业外收 入金额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21" w:right="137" w:hanging="180"/>
              <w:jc w:val="left"/>
              <w:rPr>
                <w:rFonts w:ascii="宋体" w:hAnsi="宋体" w:cs="宋体" w:eastAsia="宋体" w:hint="default"/>
                <w:sz w:val="18"/>
                <w:szCs w:val="18"/>
              </w:rPr>
            </w:pPr>
            <w:r>
              <w:rPr>
                <w:rFonts w:ascii="宋体" w:hAnsi="宋体" w:cs="宋体" w:eastAsia="宋体" w:hint="default"/>
                <w:sz w:val="18"/>
                <w:szCs w:val="18"/>
              </w:rPr>
              <w:t>其他收益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18" w:right="139" w:hanging="180"/>
              <w:jc w:val="left"/>
              <w:rPr>
                <w:rFonts w:ascii="宋体" w:hAnsi="宋体" w:cs="宋体" w:eastAsia="宋体" w:hint="default"/>
                <w:sz w:val="18"/>
                <w:szCs w:val="18"/>
              </w:rPr>
            </w:pPr>
            <w:r>
              <w:rPr>
                <w:rFonts w:ascii="宋体" w:hAnsi="宋体" w:cs="宋体" w:eastAsia="宋体" w:hint="default"/>
                <w:sz w:val="18"/>
                <w:szCs w:val="18"/>
              </w:rPr>
              <w:t>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319" w:right="112" w:hanging="204"/>
              <w:jc w:val="left"/>
              <w:rPr>
                <w:rFonts w:ascii="宋体" w:hAnsi="宋体" w:cs="宋体" w:eastAsia="宋体" w:hint="default"/>
                <w:sz w:val="18"/>
                <w:szCs w:val="18"/>
              </w:rPr>
            </w:pP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1" w:right="178"/>
              <w:jc w:val="both"/>
              <w:rPr>
                <w:rFonts w:ascii="宋体" w:hAnsi="宋体" w:cs="宋体" w:eastAsia="宋体" w:hint="default"/>
                <w:sz w:val="18"/>
                <w:szCs w:val="18"/>
              </w:rPr>
            </w:pPr>
            <w:r>
              <w:rPr>
                <w:rFonts w:ascii="宋体" w:hAnsi="宋体" w:cs="宋体" w:eastAsia="宋体" w:hint="default"/>
                <w:sz w:val="18"/>
                <w:szCs w:val="18"/>
              </w:rPr>
              <w:t>京市文化 创意产业 “投贷</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325,333.00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4" w:right="0"/>
              <w:jc w:val="left"/>
              <w:rPr>
                <w:rFonts w:ascii="Times New Roman" w:hAnsi="Times New Roman" w:cs="Times New Roman" w:eastAsia="Times New Roman" w:hint="default"/>
                <w:sz w:val="18"/>
                <w:szCs w:val="18"/>
              </w:rPr>
            </w:pPr>
            <w:r>
              <w:rPr>
                <w:rFonts w:ascii="Times New Roman"/>
                <w:sz w:val="18"/>
              </w:rPr>
              <w:t>325,333.00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174"/>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奖”</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429" w:right="0"/>
        <w:jc w:val="left"/>
      </w:pPr>
      <w:r>
        <w:rPr/>
        <w:t>2018年公司获取北京市国有文化资产监督管理办公室拨付的2018年北京市文化创意产业“投贷奖”</w:t>
      </w:r>
    </w:p>
    <w:p>
      <w:pPr>
        <w:pStyle w:val="BodyText"/>
        <w:spacing w:line="273" w:lineRule="auto" w:before="37"/>
        <w:ind w:right="1120"/>
        <w:jc w:val="left"/>
      </w:pPr>
      <w:r>
        <w:rPr>
          <w:spacing w:val="-6"/>
          <w:w w:val="99"/>
        </w:rPr>
        <w:t>650,666.00元，依据北京市文化改革和发展领导小组京文领办文[2017]3号，《北京市实施文化创意产业“投</w:t>
      </w:r>
      <w:r>
        <w:rPr>
          <w:spacing w:val="-81"/>
          <w:w w:val="99"/>
        </w:rPr>
        <w:t> </w:t>
      </w:r>
      <w:r>
        <w:rPr>
          <w:spacing w:val="-81"/>
          <w:w w:val="99"/>
        </w:rPr>
      </w:r>
      <w:r>
        <w:rPr>
          <w:spacing w:val="-3"/>
          <w:w w:val="99"/>
        </w:rPr>
        <w:t>贷奖”联动推动文化金融融合发展管理办法（试行）》的规定，监管银行对资金进行监管，公司可使用50%</w:t>
      </w:r>
      <w:r>
        <w:rPr>
          <w:spacing w:val="-62"/>
          <w:w w:val="99"/>
        </w:rPr>
        <w:t> </w:t>
      </w:r>
      <w:r>
        <w:rPr>
          <w:spacing w:val="-62"/>
          <w:w w:val="99"/>
        </w:rPr>
      </w:r>
      <w:r>
        <w:rPr/>
        <w:t>奖励资金，另外50%奖励资金须经市文资办监督检查和绩效考评后方可使用，对于考评不合格的项目，给</w:t>
      </w:r>
      <w:r>
        <w:rPr>
          <w:w w:val="99"/>
        </w:rPr>
        <w:t> </w:t>
      </w:r>
      <w:r>
        <w:rPr/>
        <w:t>与资金扣减，并收归国库。据此，监管银行冻结50%奖励资金325,333.00元，截至本期末，尚未满足使用</w:t>
      </w:r>
      <w:r>
        <w:rPr>
          <w:w w:val="99"/>
        </w:rPr>
        <w:t> </w:t>
      </w:r>
      <w:r>
        <w:rPr/>
        <w:t>要求。</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52、其他非流动负债" w:id="374"/>
      <w:bookmarkEnd w:id="37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6" w:top="110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9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3、股本" w:id="375"/>
      <w:bookmarkEnd w:id="375"/>
      <w:r>
        <w:rPr>
          <w:b w:val="0"/>
          <w:bCs w:val="0"/>
        </w:rPr>
      </w: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201,463,957.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100,731,978.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-1,770,779.0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98,961,199.0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300,425,156.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32" w:right="0"/>
        <w:jc w:val="left"/>
      </w:pPr>
      <w:r>
        <w:rPr/>
        <w:t>本年股本变动情况如下：</w:t>
      </w:r>
    </w:p>
    <w:p>
      <w:pPr>
        <w:pStyle w:val="BodyText"/>
        <w:spacing w:line="273" w:lineRule="auto" w:before="37"/>
        <w:ind w:right="1132" w:firstLine="424"/>
        <w:jc w:val="both"/>
      </w:pPr>
      <w:r>
        <w:rPr/>
        <w:t>1.</w:t>
      </w:r>
      <w:r>
        <w:rPr>
          <w:spacing w:val="-44"/>
        </w:rPr>
        <w:t> </w:t>
      </w:r>
      <w:r>
        <w:rPr/>
        <w:t>2019年5月16日，公司2018年年度股东大会决议通过2018年度利润分配方案，决议以实施利润分配</w:t>
      </w:r>
      <w:r>
        <w:rPr>
          <w:w w:val="99"/>
        </w:rPr>
        <w:t> </w:t>
      </w:r>
      <w:r>
        <w:rPr>
          <w:spacing w:val="2"/>
          <w:w w:val="95"/>
        </w:rPr>
        <w:t>股权登记日的公司总股本为基数，以现金股利方式向全体股东派发红利7,051,238.5元，计每10股分配现</w:t>
      </w:r>
      <w:r>
        <w:rPr>
          <w:spacing w:val="33"/>
          <w:w w:val="95"/>
        </w:rPr>
        <w:t> </w:t>
      </w:r>
      <w:r>
        <w:rPr>
          <w:spacing w:val="33"/>
          <w:w w:val="95"/>
        </w:rPr>
      </w:r>
      <w:r>
        <w:rPr>
          <w:w w:val="99"/>
        </w:rPr>
        <w:t>金红利0.35元（含税），以资本公积金向全体股东每10股转增5股。2019年5月27日中国证券登记结算有限</w:t>
      </w:r>
      <w:r>
        <w:rPr>
          <w:spacing w:val="-95"/>
          <w:w w:val="99"/>
        </w:rPr>
        <w:t> </w:t>
      </w:r>
      <w:r>
        <w:rPr>
          <w:spacing w:val="-95"/>
          <w:w w:val="99"/>
        </w:rPr>
      </w:r>
      <w:r>
        <w:rPr/>
        <w:t>责任公司深圳分公司完成权益分派。</w:t>
      </w:r>
    </w:p>
    <w:p>
      <w:pPr>
        <w:pStyle w:val="BodyText"/>
        <w:spacing w:line="273" w:lineRule="auto"/>
        <w:ind w:right="1132" w:firstLine="420"/>
        <w:jc w:val="both"/>
      </w:pPr>
      <w:r>
        <w:rPr/>
        <w:t>2.</w:t>
      </w:r>
      <w:r>
        <w:rPr>
          <w:spacing w:val="-35"/>
        </w:rPr>
        <w:t> </w:t>
      </w:r>
      <w:r>
        <w:rPr/>
        <w:t>根据公司2017年第三次临时股东大会审议通过的《关于&lt;北京科蓝软件系统股份有限公司2017年限</w:t>
      </w:r>
      <w:r>
        <w:rPr>
          <w:w w:val="99"/>
        </w:rPr>
        <w:t> </w:t>
      </w:r>
      <w:r>
        <w:rPr>
          <w:spacing w:val="-3"/>
          <w:w w:val="99"/>
        </w:rPr>
        <w:t>制性股票激励计划（草案）&gt;及其摘要的议案》、</w:t>
      </w:r>
      <w:r>
        <w:rPr>
          <w:spacing w:val="41"/>
          <w:w w:val="99"/>
        </w:rPr>
        <w:t> </w:t>
      </w:r>
      <w:r>
        <w:rPr>
          <w:spacing w:val="1"/>
          <w:w w:val="99"/>
        </w:rPr>
        <w:t>2018年年度股东大会审议通过的《关于回购注销2017年</w:t>
      </w:r>
      <w:r>
        <w:rPr>
          <w:spacing w:val="-98"/>
          <w:w w:val="99"/>
        </w:rPr>
        <w:t> </w:t>
      </w:r>
      <w:r>
        <w:rPr>
          <w:spacing w:val="-98"/>
          <w:w w:val="99"/>
        </w:rPr>
      </w:r>
      <w:r>
        <w:rPr>
          <w:spacing w:val="-3"/>
          <w:w w:val="99"/>
        </w:rPr>
        <w:t>股权激励计划部分限制性股票及调整回购数量、回购价格的议案》，以及2018年4月23日召开的第二届董事</w:t>
      </w:r>
      <w:r>
        <w:rPr>
          <w:spacing w:val="-57"/>
          <w:w w:val="99"/>
        </w:rPr>
        <w:t> </w:t>
      </w:r>
      <w:r>
        <w:rPr>
          <w:spacing w:val="-57"/>
          <w:w w:val="99"/>
        </w:rPr>
      </w:r>
      <w:r>
        <w:rPr>
          <w:w w:val="95"/>
        </w:rPr>
        <w:t>会第二十四次会议审议通过的《关于回购注销2017年股权激励计划部分首次授予限制性股票的议案》以及</w:t>
      </w:r>
      <w:r>
        <w:rPr/>
      </w:r>
    </w:p>
    <w:p>
      <w:pPr>
        <w:spacing w:after="0" w:line="273" w:lineRule="auto"/>
        <w:jc w:val="both"/>
        <w:sectPr>
          <w:type w:val="continuous"/>
          <w:pgSz w:w="11910" w:h="16840"/>
          <w:pgMar w:top="1100" w:bottom="7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0"/>
        <w:jc w:val="both"/>
      </w:pPr>
      <w:r>
        <w:rPr>
          <w:w w:val="95"/>
        </w:rPr>
        <w:t>修改后的公司章程，公司回购2017年限制性股票激励计划对象中39人因个人原因已离职员工持有的股限制</w:t>
      </w:r>
      <w:r>
        <w:rPr>
          <w:spacing w:val="39"/>
          <w:w w:val="95"/>
        </w:rPr>
        <w:t> </w:t>
      </w:r>
      <w:r>
        <w:rPr>
          <w:spacing w:val="39"/>
          <w:w w:val="95"/>
        </w:rPr>
      </w:r>
      <w:r>
        <w:rPr>
          <w:spacing w:val="2"/>
          <w:w w:val="95"/>
        </w:rPr>
        <w:t>性股票278,978股，由于公司2018年度业绩未达到限制性股票激励计划首次授予的第二期的解除限售条件</w:t>
      </w:r>
      <w:r>
        <w:rPr>
          <w:spacing w:val="35"/>
          <w:w w:val="95"/>
        </w:rPr>
        <w:t> </w:t>
      </w:r>
      <w:r>
        <w:rPr>
          <w:spacing w:val="35"/>
          <w:w w:val="95"/>
        </w:rPr>
      </w:r>
      <w:r>
        <w:rPr/>
        <w:t>和预留部分第一次的解除限售条件，公司回购注销第二个解除限售期的限制性股票1,043,359</w:t>
      </w:r>
      <w:r>
        <w:rPr>
          <w:spacing w:val="85"/>
        </w:rPr>
        <w:t> </w:t>
      </w:r>
      <w:r>
        <w:rPr>
          <w:spacing w:val="-6"/>
        </w:rPr>
        <w:t>股，回购</w:t>
      </w:r>
      <w:r>
        <w:rPr>
          <w:w w:val="99"/>
        </w:rPr>
        <w:t> </w:t>
      </w:r>
      <w:r>
        <w:rPr>
          <w:w w:val="95"/>
        </w:rPr>
        <w:t>注销预留部分第一个限售期的限制性股票448,442股，合计1,770,779股。本次回购注销后公司注册资本变</w:t>
      </w:r>
      <w:r>
        <w:rPr>
          <w:spacing w:val="37"/>
          <w:w w:val="95"/>
        </w:rPr>
        <w:t> </w:t>
      </w:r>
      <w:r>
        <w:rPr>
          <w:spacing w:val="37"/>
          <w:w w:val="95"/>
        </w:rPr>
      </w:r>
      <w:r>
        <w:rPr>
          <w:w w:val="95"/>
        </w:rPr>
        <w:t>更为201,463,957.00元。此次股票回购事项业经大华会计师事务所（特殊普通合伙）于2019年12月31日出</w:t>
      </w:r>
      <w:r>
        <w:rPr>
          <w:spacing w:val="43"/>
          <w:w w:val="95"/>
        </w:rPr>
        <w:t> </w:t>
      </w:r>
      <w:r>
        <w:rPr>
          <w:spacing w:val="43"/>
          <w:w w:val="95"/>
        </w:rPr>
      </w:r>
      <w:r>
        <w:rPr>
          <w:w w:val="95"/>
        </w:rPr>
        <w:t>具大华验字[2019]000595号验资报告予以验证。截至审计报告日，本次回购减资尚未办理完毕工商变更手   </w:t>
      </w:r>
      <w:r>
        <w:rPr>
          <w:spacing w:val="40"/>
          <w:w w:val="95"/>
        </w:rPr>
        <w:t> </w:t>
      </w:r>
      <w:r>
        <w:rPr>
          <w:spacing w:val="40"/>
          <w:w w:val="95"/>
        </w:rPr>
      </w:r>
      <w:r>
        <w:rPr/>
        <w:t>续。</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both"/>
        <w:rPr>
          <w:b w:val="0"/>
          <w:bCs w:val="0"/>
        </w:rPr>
      </w:pPr>
      <w:bookmarkStart w:name="54、其他权益工具" w:id="376"/>
      <w:bookmarkEnd w:id="37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1）期末发行在外的优先股、永续债等其他金融工具基本情况" w:id="377"/>
      <w:bookmarkEnd w:id="37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2）期末发行在外的优先股、永续债等金融工具变动情况表" w:id="378"/>
      <w:bookmarkEnd w:id="37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6"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0"/>
        <w:ind w:left="11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55、资本公积" w:id="379"/>
      <w:bookmarkEnd w:id="37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347,087,078.15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109,829,682.35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237,257,395.80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7,272,994.68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690,803.08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6,582,191.60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354,360,072.83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110,520,485.43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243,839,587.40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2"/>
        <w:ind w:left="638" w:right="0"/>
        <w:jc w:val="left"/>
      </w:pPr>
      <w:r>
        <w:rPr/>
        <w:t>1.</w:t>
      </w:r>
      <w:r>
        <w:rPr>
          <w:spacing w:val="-5"/>
        </w:rPr>
        <w:t> </w:t>
      </w:r>
      <w:r>
        <w:rPr/>
        <w:t>股本溢价变动：</w:t>
      </w:r>
    </w:p>
    <w:p>
      <w:pPr>
        <w:pStyle w:val="BodyText"/>
        <w:spacing w:line="273" w:lineRule="auto" w:before="37"/>
        <w:ind w:right="1132" w:firstLine="420"/>
        <w:jc w:val="both"/>
      </w:pPr>
      <w:r>
        <w:rPr>
          <w:w w:val="95"/>
        </w:rPr>
        <w:t>（1）如附注五、注释37、1所述，根据公司2018年年度股东大会决议通过的2018年度利润分配方案及</w:t>
      </w:r>
      <w:r>
        <w:rPr>
          <w:w w:val="99"/>
        </w:rPr>
        <w:t> </w:t>
      </w:r>
      <w:r>
        <w:rPr/>
        <w:t>经调整后的权益分配方案，以资本公积金人民币100,731,978.00元转增股本。2019年5月27日中国证券登</w:t>
      </w:r>
      <w:r>
        <w:rPr>
          <w:spacing w:val="-39"/>
        </w:rPr>
        <w:t> </w:t>
      </w:r>
      <w:r>
        <w:rPr>
          <w:spacing w:val="-39"/>
        </w:rPr>
      </w:r>
      <w:r>
        <w:rPr/>
        <w:t>记结算有限责任公司深圳分公司完成权益分派。</w:t>
      </w:r>
    </w:p>
    <w:p>
      <w:pPr>
        <w:pStyle w:val="BodyText"/>
        <w:spacing w:line="273" w:lineRule="auto"/>
        <w:ind w:right="1130" w:firstLine="420"/>
        <w:jc w:val="both"/>
      </w:pPr>
      <w:r>
        <w:rPr>
          <w:w w:val="95"/>
        </w:rPr>
        <w:t>（2）如附注五、注释37、2所述，根据公司2018年度股东大会决议、第二届董事会第二十四次会议决</w:t>
      </w:r>
      <w:r>
        <w:rPr>
          <w:spacing w:val="-96"/>
          <w:w w:val="95"/>
        </w:rPr>
        <w:t> </w:t>
      </w:r>
      <w:r>
        <w:rPr>
          <w:spacing w:val="-96"/>
          <w:w w:val="95"/>
        </w:rPr>
      </w:r>
      <w:r>
        <w:rPr>
          <w:w w:val="95"/>
        </w:rPr>
        <w:t>议以及修改后的公司章程，公司回购注销限制性股票合计1,770,779.00股，其中回购首次授予第二个解除</w:t>
      </w:r>
      <w:r>
        <w:rPr>
          <w:spacing w:val="40"/>
          <w:w w:val="95"/>
        </w:rPr>
        <w:t> </w:t>
      </w:r>
      <w:r>
        <w:rPr>
          <w:spacing w:val="40"/>
          <w:w w:val="95"/>
        </w:rPr>
      </w:r>
      <w:r>
        <w:rPr>
          <w:w w:val="95"/>
        </w:rPr>
        <w:t>限售期部分限制股票1,320,093股，回购每股面值1元，每股回购价6.1343元，回购注销预留授予第一个解</w:t>
      </w:r>
      <w:r>
        <w:rPr>
          <w:spacing w:val="43"/>
          <w:w w:val="95"/>
        </w:rPr>
        <w:t> </w:t>
      </w:r>
      <w:r>
        <w:rPr>
          <w:spacing w:val="43"/>
          <w:w w:val="95"/>
        </w:rPr>
      </w:r>
      <w:r>
        <w:rPr>
          <w:spacing w:val="12"/>
        </w:rPr>
        <w:t>除限售期部分限制性股票450,686股，每股面值1元，每股回购价格6.1476元，共退回出资款人民币</w:t>
      </w:r>
      <w:r>
        <w:rPr>
          <w:w w:val="99"/>
        </w:rPr>
        <w:t> </w:t>
      </w:r>
      <w:r>
        <w:rPr/>
        <w:t>10,868,483.35元，分别减少股本人民币1,770,779.00元，减少资本公积人民币9,097,704.35元。</w:t>
      </w:r>
    </w:p>
    <w:p>
      <w:pPr>
        <w:pStyle w:val="BodyText"/>
        <w:spacing w:line="273" w:lineRule="auto"/>
        <w:ind w:right="1122" w:firstLine="420"/>
        <w:jc w:val="left"/>
      </w:pPr>
      <w:r>
        <w:rPr/>
        <w:t>2. 其他资本公积变动：</w:t>
      </w:r>
      <w:r>
        <w:rPr>
          <w:w w:val="99"/>
        </w:rPr>
        <w:t> </w:t>
      </w:r>
      <w:r>
        <w:rPr>
          <w:w w:val="95"/>
        </w:rPr>
        <w:t>本年权益结算的涉及职工的股份支付，按照授予日限制性股票的公允价值和截至本期期末预计可行权的股</w:t>
      </w:r>
      <w:r>
        <w:rPr>
          <w:spacing w:val="39"/>
          <w:w w:val="95"/>
        </w:rPr>
        <w:t> </w:t>
      </w:r>
      <w:r>
        <w:rPr>
          <w:spacing w:val="39"/>
          <w:w w:val="95"/>
        </w:rPr>
      </w:r>
      <w:r>
        <w:rPr>
          <w:spacing w:val="14"/>
        </w:rPr>
        <w:t>份数量计算截至本期末累计应确认的费用，再减去前期累计已确认金额，本期应冲回股份支付费用</w:t>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40" w:lineRule="auto" w:before="34"/>
        <w:ind w:right="0"/>
        <w:jc w:val="left"/>
      </w:pPr>
      <w:r>
        <w:rPr>
          <w:spacing w:val="1"/>
          <w:w w:val="99"/>
        </w:rPr>
        <w:t>690</w:t>
      </w:r>
      <w:r>
        <w:rPr>
          <w:spacing w:val="-2"/>
          <w:w w:val="99"/>
        </w:rPr>
        <w:t>,</w:t>
      </w:r>
      <w:r>
        <w:rPr>
          <w:spacing w:val="1"/>
          <w:w w:val="99"/>
        </w:rPr>
        <w:t>803</w:t>
      </w:r>
      <w:r>
        <w:rPr>
          <w:spacing w:val="-2"/>
          <w:w w:val="99"/>
        </w:rPr>
        <w:t>.</w:t>
      </w:r>
      <w:r>
        <w:rPr>
          <w:spacing w:val="1"/>
          <w:w w:val="99"/>
        </w:rPr>
        <w:t>08</w:t>
      </w:r>
      <w:r>
        <w:rPr>
          <w:spacing w:val="-1"/>
          <w:w w:val="99"/>
        </w:rPr>
        <w:t>元</w:t>
      </w:r>
      <w:r>
        <w:rPr>
          <w:spacing w:val="2"/>
          <w:w w:val="99"/>
        </w:rPr>
        <w:t>，</w:t>
      </w:r>
      <w:r>
        <w:rPr>
          <w:spacing w:val="-1"/>
          <w:w w:val="99"/>
        </w:rPr>
        <w:t>减</w:t>
      </w:r>
      <w:r>
        <w:rPr>
          <w:spacing w:val="2"/>
          <w:w w:val="99"/>
        </w:rPr>
        <w:t>少</w:t>
      </w:r>
      <w:r>
        <w:rPr>
          <w:spacing w:val="-1"/>
          <w:w w:val="99"/>
        </w:rPr>
        <w:t>“其</w:t>
      </w:r>
      <w:r>
        <w:rPr>
          <w:spacing w:val="2"/>
          <w:w w:val="99"/>
        </w:rPr>
        <w:t>他</w:t>
      </w:r>
      <w:r>
        <w:rPr>
          <w:spacing w:val="-1"/>
          <w:w w:val="99"/>
        </w:rPr>
        <w:t>资</w:t>
      </w:r>
      <w:r>
        <w:rPr>
          <w:spacing w:val="2"/>
          <w:w w:val="99"/>
        </w:rPr>
        <w:t>本</w:t>
      </w:r>
      <w:r>
        <w:rPr>
          <w:spacing w:val="-1"/>
          <w:w w:val="99"/>
        </w:rPr>
        <w:t>公</w:t>
      </w:r>
      <w:r>
        <w:rPr>
          <w:spacing w:val="2"/>
          <w:w w:val="99"/>
        </w:rPr>
        <w:t>积</w:t>
      </w:r>
      <w:r>
        <w:rPr>
          <w:spacing w:val="-104"/>
          <w:w w:val="99"/>
        </w:rPr>
        <w:t>”</w:t>
      </w:r>
      <w:r>
        <w:rPr>
          <w:w w:val="99"/>
        </w:rPr>
        <w:t>。</w:t>
      </w:r>
      <w:r>
        <w:rPr/>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56、库存股" w:id="380"/>
      <w:bookmarkEnd w:id="38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44,639,624.11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10,868,483.35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33,771,140.76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44,639,624.11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10,868,483.35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33,771,140.76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240" w:lineRule="auto" w:before="0"/>
        <w:ind w:right="0"/>
        <w:jc w:val="left"/>
      </w:pPr>
      <w:r>
        <w:rPr/>
        <w:t>库存股情况说明：</w:t>
      </w:r>
    </w:p>
    <w:p>
      <w:pPr>
        <w:pStyle w:val="BodyText"/>
        <w:spacing w:line="273" w:lineRule="auto" w:before="157"/>
        <w:ind w:right="1131" w:firstLine="420"/>
        <w:jc w:val="both"/>
      </w:pPr>
      <w:r>
        <w:rPr>
          <w:spacing w:val="-4"/>
          <w:w w:val="95"/>
        </w:rPr>
        <w:t>（1）如附注五、注释37和附注五、注释38所述，本期回购注销限制性股票支付的回购款10,868,483.35</w:t>
      </w:r>
      <w:r>
        <w:rPr>
          <w:spacing w:val="-82"/>
          <w:w w:val="95"/>
        </w:rPr>
        <w:t> </w:t>
      </w:r>
      <w:r>
        <w:rPr>
          <w:spacing w:val="-82"/>
          <w:w w:val="95"/>
        </w:rPr>
      </w:r>
      <w:r>
        <w:rPr>
          <w:spacing w:val="2"/>
          <w:w w:val="95"/>
        </w:rPr>
        <w:t>元减少的库存股。本期回购限制性股票占本公司已发行股份总数比例为0.59%，本期限制性股票回购后，</w:t>
      </w:r>
      <w:r>
        <w:rPr>
          <w:spacing w:val="42"/>
          <w:w w:val="95"/>
        </w:rPr>
        <w:t> </w:t>
      </w:r>
      <w:r>
        <w:rPr>
          <w:spacing w:val="42"/>
          <w:w w:val="95"/>
        </w:rPr>
      </w:r>
      <w:r>
        <w:rPr/>
        <w:t>累计库存股占已发行股份的1.81%。</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right="0"/>
        <w:jc w:val="left"/>
        <w:rPr>
          <w:b w:val="0"/>
          <w:bCs w:val="0"/>
        </w:rPr>
      </w:pPr>
      <w:bookmarkStart w:name="57、其他综合收益" w:id="381"/>
      <w:bookmarkEnd w:id="38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7"/>
        <w:gridCol w:w="974"/>
        <w:gridCol w:w="852"/>
        <w:gridCol w:w="1050"/>
        <w:gridCol w:w="852"/>
        <w:gridCol w:w="852"/>
        <w:gridCol w:w="853"/>
        <w:gridCol w:w="852"/>
        <w:gridCol w:w="726"/>
      </w:tblGrid>
      <w:tr>
        <w:trPr>
          <w:trHeight w:val="402"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4"/>
                <w:sz w:val="18"/>
                <w:szCs w:val="18"/>
              </w:rPr>
              <w:t>：</w:t>
            </w:r>
            <w:r>
              <w:rPr>
                <w:rFonts w:ascii="宋体" w:hAnsi="宋体" w:cs="宋体" w:eastAsia="宋体" w:hint="default"/>
                <w:sz w:val="18"/>
                <w:szCs w:val="18"/>
              </w:rPr>
              <w:t>前期</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290"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4"/>
                <w:sz w:val="18"/>
                <w:szCs w:val="18"/>
              </w:rPr>
              <w:t>减：前期计</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计入其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958"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right="119"/>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1" w:right="148"/>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8" w:right="159"/>
              <w:jc w:val="both"/>
              <w:rPr>
                <w:rFonts w:ascii="宋体" w:hAnsi="宋体" w:cs="宋体" w:eastAsia="宋体" w:hint="default"/>
                <w:sz w:val="18"/>
                <w:szCs w:val="18"/>
              </w:rPr>
            </w:pPr>
            <w:r>
              <w:rPr>
                <w:rFonts w:ascii="宋体" w:hAnsi="宋体" w:cs="宋体" w:eastAsia="宋体" w:hint="default"/>
                <w:sz w:val="18"/>
                <w:szCs w:val="18"/>
              </w:rPr>
              <w:t>入其他综 合收益当 期转入损</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0" w:right="149"/>
              <w:jc w:val="both"/>
              <w:rPr>
                <w:rFonts w:ascii="宋体" w:hAnsi="宋体" w:cs="宋体" w:eastAsia="宋体" w:hint="default"/>
                <w:sz w:val="18"/>
                <w:szCs w:val="18"/>
              </w:rPr>
            </w:pPr>
            <w:r>
              <w:rPr>
                <w:rFonts w:ascii="宋体" w:hAnsi="宋体" w:cs="宋体" w:eastAsia="宋体" w:hint="default"/>
                <w:sz w:val="18"/>
                <w:szCs w:val="18"/>
              </w:rPr>
              <w:t>他综合 收益当 期转入</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50" w:right="101" w:hanging="48"/>
              <w:jc w:val="left"/>
              <w:rPr>
                <w:rFonts w:ascii="宋体" w:hAnsi="宋体" w:cs="宋体" w:eastAsia="宋体" w:hint="default"/>
                <w:sz w:val="18"/>
                <w:szCs w:val="18"/>
              </w:rPr>
            </w:pPr>
            <w:r>
              <w:rPr>
                <w:rFonts w:ascii="宋体" w:hAnsi="宋体" w:cs="宋体" w:eastAsia="宋体" w:hint="default"/>
                <w:spacing w:val="-21"/>
                <w:sz w:val="18"/>
                <w:szCs w:val="18"/>
              </w:rPr>
              <w:t>减：所得</w:t>
            </w:r>
            <w:r>
              <w:rPr>
                <w:rFonts w:ascii="宋体" w:hAnsi="宋体" w:cs="宋体" w:eastAsia="宋体" w:hint="default"/>
                <w:sz w:val="18"/>
                <w:szCs w:val="18"/>
              </w:rPr>
              <w:t> 税费用</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0" w:right="150"/>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2" w:right="14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178" w:right="176"/>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312"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留存收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9"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1"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03"/>
              <w:jc w:val="right"/>
              <w:rPr>
                <w:rFonts w:ascii="宋体" w:hAnsi="宋体" w:cs="宋体" w:eastAsia="宋体" w:hint="default"/>
                <w:sz w:val="18"/>
                <w:szCs w:val="18"/>
              </w:rPr>
            </w:pPr>
            <w:r>
              <w:rPr>
                <w:rFonts w:ascii="宋体" w:hAnsi="宋体" w:cs="宋体" w:eastAsia="宋体" w:hint="default"/>
                <w:sz w:val="18"/>
                <w:szCs w:val="18"/>
              </w:rPr>
              <w:t>二、将重分类进损益的其他综</w:t>
            </w:r>
          </w:p>
        </w:tc>
        <w:tc>
          <w:tcPr>
            <w:tcW w:w="9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406,939.6</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-1,208,3</w:t>
            </w:r>
          </w:p>
        </w:tc>
        <w:tc>
          <w:tcPr>
            <w:tcW w:w="1050"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-1,208,3</w:t>
            </w:r>
          </w:p>
        </w:tc>
        <w:tc>
          <w:tcPr>
            <w:tcW w:w="852"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-801,4</w:t>
            </w:r>
          </w:p>
        </w:tc>
      </w:tr>
      <w:tr>
        <w:trPr>
          <w:trHeight w:val="353"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68.93</w:t>
            </w:r>
          </w:p>
        </w:tc>
        <w:tc>
          <w:tcPr>
            <w:tcW w:w="10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68.93</w:t>
            </w:r>
          </w:p>
        </w:tc>
        <w:tc>
          <w:tcPr>
            <w:tcW w:w="852"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104" w:right="0"/>
              <w:jc w:val="center"/>
              <w:rPr>
                <w:rFonts w:ascii="Times New Roman" w:hAnsi="Times New Roman" w:cs="Times New Roman" w:eastAsia="Times New Roman" w:hint="default"/>
                <w:sz w:val="18"/>
                <w:szCs w:val="18"/>
              </w:rPr>
            </w:pPr>
            <w:r>
              <w:rPr>
                <w:rFonts w:ascii="Times New Roman"/>
                <w:sz w:val="18"/>
              </w:rPr>
              <w:t>29.25</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406,939.6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68.93</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68.93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-801,4</w:t>
            </w:r>
          </w:p>
          <w:p>
            <w:pPr>
              <w:pStyle w:val="TableParagraph"/>
              <w:spacing w:line="240" w:lineRule="auto" w:before="105"/>
              <w:ind w:left="207" w:right="0"/>
              <w:jc w:val="left"/>
              <w:rPr>
                <w:rFonts w:ascii="Times New Roman" w:hAnsi="Times New Roman" w:cs="Times New Roman" w:eastAsia="Times New Roman" w:hint="default"/>
                <w:sz w:val="18"/>
                <w:szCs w:val="18"/>
              </w:rPr>
            </w:pPr>
            <w:r>
              <w:rPr>
                <w:rFonts w:ascii="Times New Roman"/>
                <w:sz w:val="18"/>
              </w:rPr>
              <w:t>29.25</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406,939.6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68.93</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-1,208,3</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68.93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-801,4</w:t>
            </w:r>
          </w:p>
          <w:p>
            <w:pPr>
              <w:pStyle w:val="TableParagraph"/>
              <w:spacing w:line="240" w:lineRule="auto" w:before="105"/>
              <w:ind w:left="207" w:right="0"/>
              <w:jc w:val="left"/>
              <w:rPr>
                <w:rFonts w:ascii="Times New Roman" w:hAnsi="Times New Roman" w:cs="Times New Roman" w:eastAsia="Times New Roman" w:hint="default"/>
                <w:sz w:val="18"/>
                <w:szCs w:val="18"/>
              </w:rPr>
            </w:pPr>
            <w:r>
              <w:rPr>
                <w:rFonts w:ascii="Times New Roman"/>
                <w:sz w:val="18"/>
              </w:rPr>
              <w:t>29.25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8、专项储备" w:id="382"/>
      <w:bookmarkEnd w:id="38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59、盈余公积" w:id="383"/>
      <w:bookmarkEnd w:id="38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22,613,994.83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5,823,279.47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28,437,274.30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22,613,994.83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5,823,279.47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28,437,274.30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60、未分配利润" w:id="384"/>
      <w:bookmarkEnd w:id="38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186,810,343.76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155,439,284.79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-11,137,009.96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175,673,333.80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155,439,284.79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49,509,331.14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42,576,019.79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5,823,279.47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4,530,397.00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6,989,257.54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6,674,563.82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212,370,127.93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186,810,343.76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Times New Roman" w:hAnsi="Times New Roman" w:cs="Times New Roman" w:eastAsia="Times New Roman" w:hint="default"/>
          <w:sz w:val="18"/>
          <w:szCs w:val="18"/>
        </w:rPr>
        <w:t>-11,137,009.96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61、营业收入和营业成本" w:id="385"/>
      <w:bookmarkEnd w:id="38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933,801,213.40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539,271,395.77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753,221,267.15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443,100,042.33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70,796.48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1,558.01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933,872,009.88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539,272,953.78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753,221,267.15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443,100,042.33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5"/>
        <w:ind w:left="112" w:right="9764" w:firstLine="0"/>
        <w:jc w:val="left"/>
        <w:rPr>
          <w:rFonts w:ascii="宋体" w:hAnsi="宋体" w:cs="宋体" w:eastAsia="宋体" w:hint="default"/>
          <w:sz w:val="18"/>
          <w:szCs w:val="18"/>
        </w:rPr>
      </w:pPr>
      <w:r>
        <w:rPr>
          <w:rFonts w:ascii="宋体" w:hAnsi="宋体" w:cs="宋体" w:eastAsia="宋体" w:hint="default"/>
          <w:sz w:val="18"/>
          <w:szCs w:val="18"/>
        </w:rPr>
        <w:t>□ 是 √ 否 其他说明</w:t>
      </w:r>
    </w:p>
    <w:p>
      <w:pPr>
        <w:spacing w:after="0" w:line="36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6"/>
        <w:spacing w:line="240" w:lineRule="auto" w:before="34"/>
        <w:ind w:right="0"/>
        <w:jc w:val="left"/>
        <w:rPr>
          <w:b w:val="0"/>
          <w:bCs w:val="0"/>
        </w:rPr>
      </w:pPr>
      <w:bookmarkStart w:name="62、税金及附加" w:id="386"/>
      <w:bookmarkEnd w:id="38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1,576,930.13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1,409,209.77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1,126,761.66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1,006,537.54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35,766.26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432,665.80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296,666.15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3,172,123.85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2,712,413.46</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3、销售费用" w:id="387"/>
      <w:bookmarkEnd w:id="38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售后维护支出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27,206,346.71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18,530,856.90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39,856,876.44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27,543,289.47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9,523,649.09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7,268,028.54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7,630,492.46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6,037,602.96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902,864.26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817,290.58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322,028.52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284,331.54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85,442,257.48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60,481,399.99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56" w:lineRule="auto" w:before="0"/>
        <w:ind w:right="1128" w:firstLine="420"/>
        <w:jc w:val="both"/>
      </w:pPr>
      <w:r>
        <w:rPr>
          <w:spacing w:val="20"/>
        </w:rPr>
        <w:t>本期销售费用较上年增加</w:t>
      </w:r>
      <w:r>
        <w:rPr>
          <w:spacing w:val="-92"/>
        </w:rPr>
        <w:t> </w:t>
      </w:r>
      <w:r>
        <w:rPr>
          <w:rFonts w:ascii="Times New Roman" w:hAnsi="Times New Roman" w:cs="Times New Roman" w:eastAsia="Times New Roman" w:hint="default"/>
          <w:spacing w:val="3"/>
        </w:rPr>
        <w:t>41.27%</w:t>
      </w:r>
      <w:r>
        <w:rPr>
          <w:spacing w:val="3"/>
        </w:rPr>
        <w:t>，</w:t>
      </w:r>
      <w:r>
        <w:rPr>
          <w:spacing w:val="-92"/>
        </w:rPr>
        <w:t> </w:t>
      </w:r>
      <w:r>
        <w:rPr>
          <w:spacing w:val="21"/>
        </w:rPr>
        <w:t>主要系上年非同一控制下企业合并纳入合并范围的子公司</w:t>
      </w:r>
      <w:r>
        <w:rPr>
          <w:w w:val="99"/>
        </w:rPr>
        <w:t> </w:t>
      </w:r>
      <w:r>
        <w:rPr>
          <w:rFonts w:ascii="Times New Roman" w:hAnsi="Times New Roman" w:cs="Times New Roman" w:eastAsia="Times New Roman" w:hint="default"/>
          <w:spacing w:val="2"/>
          <w:w w:val="95"/>
        </w:rPr>
        <w:t>SUNJESOFT</w:t>
      </w:r>
      <w:r>
        <w:rPr>
          <w:spacing w:val="2"/>
          <w:w w:val="95"/>
        </w:rPr>
        <w:t>株式会社和大陆云盾公司的管理费用支出本期全部纳入合并范围增加的销售费用，以及销售</w:t>
      </w:r>
      <w:r>
        <w:rPr>
          <w:spacing w:val="54"/>
          <w:w w:val="95"/>
        </w:rPr>
        <w:t> </w:t>
      </w:r>
      <w:r>
        <w:rPr>
          <w:spacing w:val="54"/>
          <w:w w:val="95"/>
        </w:rPr>
      </w:r>
      <w:r>
        <w:rPr/>
        <w:t>人员增加、维保费增加所致。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6"/>
        <w:spacing w:line="240" w:lineRule="auto"/>
        <w:ind w:right="0"/>
        <w:jc w:val="left"/>
        <w:rPr>
          <w:b w:val="0"/>
          <w:bCs w:val="0"/>
        </w:rPr>
      </w:pPr>
      <w:bookmarkStart w:name="64、管理费用" w:id="388"/>
      <w:bookmarkEnd w:id="38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48,232,933.79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25,237,477.80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-521,862.36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4,494,066.99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4,282,050.54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3,486,219.43</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19,099,483.93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10,565,435.41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4,694,914.29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3,815,360.95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3,241,178.86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1,643,800.70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1,025,535.80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401,923.43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2,597,096.80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2,179,418.41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4,281,498.14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1,293,036.64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1,093,684.61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386,905.52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3,444,232.48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3,047,472.01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3,892,129.65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2,481,504.84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95,362,876.53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59,032,622.13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1"/>
        <w:ind w:right="1134" w:firstLine="420"/>
        <w:jc w:val="both"/>
      </w:pPr>
      <w:r>
        <w:rPr>
          <w:spacing w:val="4"/>
        </w:rPr>
        <w:t>本期管理费用发生额较上期增加61.54%，主要系上年非同一控制下企业合并纳入合并范围的子公司</w:t>
      </w:r>
      <w:r>
        <w:rPr>
          <w:w w:val="99"/>
        </w:rPr>
        <w:t> </w:t>
      </w:r>
      <w:r>
        <w:rPr>
          <w:spacing w:val="2"/>
          <w:w w:val="95"/>
        </w:rPr>
        <w:t>SUNJESOFT株式会社和大陆云盾公司的管理费用支出本期全部纳入合并范围增加的管理费用，并办公场地</w:t>
      </w:r>
      <w:r>
        <w:rPr>
          <w:spacing w:val="39"/>
          <w:w w:val="95"/>
        </w:rPr>
        <w:t> </w:t>
      </w:r>
      <w:r>
        <w:rPr>
          <w:spacing w:val="39"/>
          <w:w w:val="95"/>
        </w:rPr>
      </w:r>
      <w:r>
        <w:rPr/>
        <w:t>租赁费增加所致。</w:t>
      </w:r>
    </w:p>
    <w:p>
      <w:pPr>
        <w:pStyle w:val="BodyText"/>
        <w:spacing w:line="273" w:lineRule="auto"/>
        <w:ind w:right="1185"/>
        <w:jc w:val="left"/>
      </w:pPr>
      <w:r>
        <w:rPr/>
        <w:t>*1. 如附注七、注释55所述，</w:t>
      </w:r>
      <w:r>
        <w:rPr>
          <w:spacing w:val="-14"/>
        </w:rPr>
        <w:t> </w:t>
      </w:r>
      <w:r>
        <w:rPr/>
        <w:t>本年权益结算的涉及职工的股份支付，按照授予日限制性股票的公允价值</w:t>
      </w:r>
      <w:r>
        <w:rPr>
          <w:w w:val="99"/>
        </w:rPr>
        <w:t> </w:t>
      </w:r>
      <w:r>
        <w:rPr>
          <w:w w:val="95"/>
        </w:rPr>
        <w:t>和截至本期期末预计可行权的股份数量计算截至本期末累计应确认的费用，再减去前期累计已确认金额，</w:t>
      </w:r>
      <w:r>
        <w:rPr>
          <w:spacing w:val="61"/>
          <w:w w:val="95"/>
        </w:rPr>
        <w:t> </w:t>
      </w:r>
      <w:r>
        <w:rPr>
          <w:spacing w:val="61"/>
          <w:w w:val="95"/>
        </w:rPr>
      </w:r>
      <w:r>
        <w:rPr>
          <w:w w:val="95"/>
        </w:rPr>
        <w:t>本期应冲回累计已计提的股份支付费用690,803.08元，其中521,862.36元冲减管理费用，168,940.72元冲</w:t>
      </w:r>
      <w:r>
        <w:rPr>
          <w:spacing w:val="37"/>
          <w:w w:val="95"/>
        </w:rPr>
        <w:t> </w:t>
      </w:r>
      <w:r>
        <w:rPr>
          <w:spacing w:val="37"/>
          <w:w w:val="95"/>
        </w:rPr>
      </w:r>
      <w:r>
        <w:rPr/>
        <w:t>减研发费用。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46"/>
        <w:ind w:right="0"/>
        <w:jc w:val="left"/>
        <w:rPr>
          <w:b w:val="0"/>
          <w:bCs w:val="0"/>
        </w:rPr>
      </w:pPr>
      <w:bookmarkStart w:name="65、研发费用" w:id="389"/>
      <w:bookmarkEnd w:id="389"/>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100,560,715.32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75,053,691.76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791,970.25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3,324,305.08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委外开发费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1,346,826.60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2,220,534.86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技术咨询费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471,698.11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-168,940.72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2,095,733.56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2,845,556.60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2,841,852.39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6,239,897.14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7,229,252.92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1,091,909.48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573,536.83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1,086,220.25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237,992.37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113,794,154.92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94,048,597.88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right="1130" w:firstLine="316"/>
        <w:jc w:val="both"/>
      </w:pPr>
      <w:r>
        <w:rPr/>
        <w:t>如附注七，注释55所述，</w:t>
      </w:r>
      <w:r>
        <w:rPr>
          <w:spacing w:val="-34"/>
        </w:rPr>
        <w:t> </w:t>
      </w:r>
      <w:r>
        <w:rPr/>
        <w:t>本年权益结算的涉及职工的股份支付，按照授予日限制性股票的公允价值和</w:t>
      </w:r>
      <w:r>
        <w:rPr>
          <w:w w:val="99"/>
        </w:rPr>
        <w:t> </w:t>
      </w:r>
      <w:r>
        <w:rPr>
          <w:w w:val="95"/>
        </w:rPr>
        <w:t>截至本期期末预计可行权的股份数量计算截至本期末累计应确认的费用，再减去前期累计已确认金额，本</w:t>
      </w:r>
      <w:r>
        <w:rPr>
          <w:spacing w:val="40"/>
          <w:w w:val="95"/>
        </w:rPr>
        <w:t> </w:t>
      </w:r>
      <w:r>
        <w:rPr>
          <w:spacing w:val="40"/>
          <w:w w:val="95"/>
        </w:rPr>
      </w:r>
      <w:r>
        <w:rPr/>
        <w:t>期应冲回累计已计提的股份支付费用690,803.08元，其中168,940.72元冲减研发费用。</w:t>
      </w:r>
    </w:p>
    <w:p>
      <w:pPr>
        <w:spacing w:after="0" w:line="273" w:lineRule="auto"/>
        <w:jc w:val="both"/>
        <w:sectPr>
          <w:pgSz w:w="11910" w:h="16840"/>
          <w:pgMar w:header="907" w:footer="1016"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6"/>
        <w:spacing w:line="240" w:lineRule="auto" w:before="34"/>
        <w:ind w:right="0"/>
        <w:jc w:val="left"/>
        <w:rPr>
          <w:b w:val="0"/>
          <w:bCs w:val="0"/>
        </w:rPr>
      </w:pPr>
      <w:bookmarkStart w:name="66、财务费用" w:id="390"/>
      <w:bookmarkEnd w:id="390"/>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36,679,573.00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21,412,266.08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2,653,475.36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1,528,552.03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-1,556,998.66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2,029,880.04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2,065,818.92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2,300,649.67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34,534,917.90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24,214,243.76</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left="532" w:right="2114"/>
        <w:jc w:val="left"/>
      </w:pPr>
      <w:r>
        <w:rPr/>
        <w:t>财务费用说明：</w:t>
      </w:r>
      <w:r>
        <w:rPr>
          <w:w w:val="99"/>
        </w:rPr>
        <w:t> </w:t>
      </w:r>
      <w:r>
        <w:rPr/>
        <w:t>“手续费及其他”系银行手续费，以及为获取借款支付的咨询费、担保费等。</w:t>
      </w:r>
      <w:r>
        <w:rPr>
          <w:w w:val="99"/>
        </w:rPr>
        <w:t> </w:t>
      </w:r>
      <w:r>
        <w:rPr>
          <w:w w:val="95"/>
        </w:rPr>
        <w:t>本期财务费用发生额较上期增加42.62%，主要系本期借款增加，借款费用相应增加所致。</w:t>
      </w:r>
      <w:r>
        <w:rPr/>
      </w: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bookmarkStart w:name="67、其他收益" w:id="391"/>
      <w:bookmarkEnd w:id="391"/>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2,276,573.85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3,469,638.70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147,671.28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881,866.67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2,424,245.13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4,351,505.37</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68、投资收益" w:id="392"/>
      <w:bookmarkEnd w:id="39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-1,797,479.63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-2,782,084.66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1,629,838.26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2,333,692.93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-167,641.37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-448,391.73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9、净敞口套期收益" w:id="393"/>
      <w:bookmarkEnd w:id="393"/>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70、公允价值变动收益" w:id="394"/>
      <w:bookmarkEnd w:id="394"/>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71、信用减值损失" w:id="395"/>
      <w:bookmarkEnd w:id="395"/>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-17,188,727.55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-17,188,727.55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72、资产减值损失" w:id="396"/>
      <w:bookmarkEnd w:id="396"/>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41"/>
          <w:pgSz w:w="11910" w:h="16840"/>
          <w:pgMar w:footer="1016" w:header="907" w:top="1100" w:bottom="1200" w:left="1020" w:right="0"/>
          <w:pgNumType w:start="2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1913" w:space="691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-27,166,115.00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-4,590,531.54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-6,126,127.34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-4,590,531.54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-33,292,242.34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3、资产处置收益" w:id="397"/>
      <w:bookmarkEnd w:id="397"/>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74、营业外收入" w:id="398"/>
      <w:bookmarkEnd w:id="398"/>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354,635.82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63,663.50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354,635.82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354,635.82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67,663.50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354,635.82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after="0"/>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13"/>
        <w:rPr>
          <w:rFonts w:ascii="宋体" w:hAnsi="宋体" w:cs="宋体" w:eastAsia="宋体" w:hint="default"/>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5、营业外支出" w:id="399"/>
      <w:bookmarkEnd w:id="399"/>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9,318.51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58,825.71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9,690.69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58,825.71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58,825.71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19,009.20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58,825.71</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6、所得税费用" w:id="400"/>
      <w:bookmarkEnd w:id="400"/>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所得税费用表" w:id="401"/>
      <w:bookmarkEnd w:id="40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1,838,645.60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4,817,707.60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-4,875,258.42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-6,609,709.21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-3,036,612.82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-1,792,001.61</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2）会计利润与所得税费用调整过程" w:id="402"/>
      <w:bookmarkEnd w:id="4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43,065,880.20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6,459,882.03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-859,067.37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-332,648.12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1,473,140.11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-91,641.71</w:t>
            </w:r>
          </w:p>
        </w:tc>
      </w:tr>
      <w:tr>
        <w:trPr>
          <w:trHeight w:val="71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1,963,166.21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-11,649,443.97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-3,036,612.82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18"/>
        <w:ind w:left="112" w:right="8857" w:firstLine="0"/>
        <w:jc w:val="left"/>
        <w:rPr>
          <w:rFonts w:ascii="宋体" w:hAnsi="宋体" w:cs="宋体" w:eastAsia="宋体" w:hint="default"/>
          <w:sz w:val="21"/>
          <w:szCs w:val="21"/>
        </w:rPr>
      </w:pPr>
      <w:bookmarkStart w:name="77、其他综合收益" w:id="403"/>
      <w:bookmarkEnd w:id="403"/>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8、现金流量表项目" w:id="404"/>
      <w:bookmarkEnd w:id="404"/>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6"/>
        <w:spacing w:line="240" w:lineRule="auto" w:before="28"/>
        <w:ind w:right="0"/>
        <w:jc w:val="left"/>
        <w:rPr>
          <w:b w:val="0"/>
          <w:bCs w:val="0"/>
        </w:rPr>
      </w:pPr>
      <w:bookmarkStart w:name="（1）收到的其他与经营活动有关的现金" w:id="405"/>
      <w:bookmarkEnd w:id="4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收回押金及保证金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13,449,916.84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8,701,894.11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收到备用金还款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10,098,812.95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11,283,864.31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1,340,389.94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1,494,164.15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1,492,879.99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2,119,220.75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40,208,655.92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1,573,045.49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66,590,655.64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25,172,188.81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支付的其他与经营活动有关的现金" w:id="406"/>
      <w:bookmarkEnd w:id="4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支付的押金及保证金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12,770,773.64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12,028,101.36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支付备用金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3,253,971.48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13,187,573.48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95,278,031.03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78,256,302.65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36,453,786.00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2,016,734.02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147,756,562.15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105,488,711.51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55"/>
        <w:ind w:right="0"/>
        <w:jc w:val="left"/>
        <w:rPr>
          <w:b w:val="0"/>
          <w:bCs w:val="0"/>
        </w:rPr>
      </w:pPr>
      <w:bookmarkStart w:name="（3）收到的其他与投资活动有关的现金" w:id="407"/>
      <w:bookmarkEnd w:id="4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收到或退回的投资合作意向金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23,600,000.00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支付的其他与投资活动有关的现金" w:id="408"/>
      <w:bookmarkEnd w:id="40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投资活动支付的费用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1,180,513.92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支付或返还的投资合作意向金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14,820,000.00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29,180,513.92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收到的其他与筹资活动有关的现金" w:id="409"/>
      <w:bookmarkEnd w:id="40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借款保证金退回</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6）支付的其他与筹资活动有关的现金" w:id="410"/>
      <w:bookmarkEnd w:id="41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为获取贷款支付的保证金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为获取贷款支付的其他费用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3,002,552.24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4,687,943.40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发行新股直接费用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1,180,000.00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回购限制性股票支付的现金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10,930,350.13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4,239,128.89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51,432,902.37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23,107,072.29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79、现金流量表补充资料" w:id="411"/>
      <w:bookmarkEnd w:id="411"/>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412"/>
      <w:bookmarkEnd w:id="41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46,102,493.02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42,083,474.81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21,779,259.09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33,292,242.34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2,277,704.52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2,167,258.06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4,359,420.60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1,476,569.24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9,645,099.33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7,007,713.41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333"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9,318.51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37,428,125.24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24,579,321.97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167,641.37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448,391.73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-4,056,426.44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-6,164,201.18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-818,831.98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-1,750,317.48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-93,482,517.13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-85,966,365.07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-117,957,598.48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-91,015,444.19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71,617,582.71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17,236,179.76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-690,803.08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6,589,800.55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-23,628,851.23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-50,006,057.54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220,242,024.19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402,563,131.68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402,563,131.68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378,072,610.98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-182,321,107.49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24,490,520.70</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本期支付的取得子公司的现金净额" w:id="413"/>
      <w:bookmarkEnd w:id="41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3;width:4983;height:397" coordorigin="13,13" coordsize="4983,397">
              <v:shape style="position:absolute;left:13;top:13;width:4983;height:397" coordorigin="13,13" coordsize="4983,397" path="m13,13l4996,13,4996,410,13,410,13,13xe" filled="true" fillcolor="#d2d2d2" stroked="false">
                <v:path arrowok="t"/>
                <v:fill type="solid"/>
              </v:shape>
            </v:group>
            <v:group style="position:absolute;left:5001;top:13;width:4575;height:397" coordorigin="5001,13" coordsize="4575,397">
              <v:shape style="position:absolute;left:5001;top:13;width:4575;height:397" coordorigin="5001,13" coordsize="4575,397" path="m5001,13l9576,13,9576,410,5001,410,5001,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998;top:5;width:2;height:400" coordorigin="4998,5" coordsize="2,400">
              <v:shape style="position:absolute;left:4998;top:5;width:2;height:400" coordorigin="4998,5" coordsize="0,400" path="m4998,5l4998,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7108;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本期收到的处置子公司的现金净额" w:id="414"/>
      <w:bookmarkEnd w:id="41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现金和现金等价物的构成" w:id="415"/>
      <w:bookmarkEnd w:id="41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220,242,024.19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402,563,131.68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3,203.21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6,773.55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220,238,820.98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401,909,236.43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647,121.70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220,242,024.19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402,563,131.68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80、所有者权益变动表项目注释" w:id="416"/>
      <w:bookmarkEnd w:id="416"/>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81、所有权或使用权受到限制的资产" w:id="417"/>
      <w:bookmarkEnd w:id="417"/>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39,697,383.00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详见附注七、注释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和附注七、注释</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105,406,046.49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详见附注七、注释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145,103,429.49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82、外币货币性项目" w:id="418"/>
      <w:bookmarkEnd w:id="418"/>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419"/>
      <w:bookmarkEnd w:id="41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17,787.80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124,091.25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18,247,985.91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16,346,180.82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1,402,394,693.00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0.006032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8,459,244.79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1,215,349.34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1,088,685.63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374,156,827.00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0.006032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2,256,913.98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745,842.52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668,110.81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0.006032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180,960.00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59,297,700.00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1,727,257.58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1,547,242.80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42,651,576.00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0.006032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257,274.31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71,954.51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501,969.05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123,694.59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0.89578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110,803.14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76,088,242.00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0.006032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458,964.28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59" w:lineRule="auto" w:before="34"/>
        <w:ind w:right="0"/>
        <w:jc w:val="left"/>
        <w:rPr>
          <w:b w:val="0"/>
          <w:bCs w:val="0"/>
        </w:rPr>
      </w:pPr>
      <w:bookmarkStart w:name="（2）境外经营实体说明，包括对于重要的境外经营实体，应披露其境外主要经营地、记账" w:id="420"/>
      <w:bookmarkEnd w:id="420"/>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395"/>
        <w:gridCol w:w="1701"/>
        <w:gridCol w:w="2126"/>
      </w:tblGrid>
      <w:tr>
        <w:trPr>
          <w:trHeight w:val="354" w:hRule="exact"/>
        </w:trPr>
        <w:tc>
          <w:tcPr>
            <w:tcW w:w="43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1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62" w:hRule="exact"/>
        </w:trPr>
        <w:tc>
          <w:tcPr>
            <w:tcW w:w="4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62" w:hRule="exact"/>
        </w:trPr>
        <w:tc>
          <w:tcPr>
            <w:tcW w:w="43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SUNJE</w:t>
            </w:r>
            <w:r>
              <w:rPr>
                <w:rFonts w:ascii="宋体" w:hAnsi="宋体" w:cs="宋体" w:eastAsia="宋体" w:hint="default"/>
                <w:spacing w:val="-4"/>
                <w:sz w:val="18"/>
                <w:szCs w:val="18"/>
              </w:rPr>
              <w:t> </w:t>
            </w:r>
            <w:r>
              <w:rPr>
                <w:rFonts w:ascii="宋体" w:hAnsi="宋体" w:cs="宋体" w:eastAsia="宋体" w:hint="default"/>
                <w:sz w:val="18"/>
                <w:szCs w:val="18"/>
              </w:rPr>
              <w:t>SOFT株式会社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韩国</w:t>
            </w:r>
          </w:p>
        </w:tc>
        <w:tc>
          <w:tcPr>
            <w:tcW w:w="21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韩元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6"/>
        <w:spacing w:line="240" w:lineRule="auto" w:before="34"/>
        <w:ind w:right="0"/>
        <w:jc w:val="left"/>
        <w:rPr>
          <w:b w:val="0"/>
          <w:bCs w:val="0"/>
        </w:rPr>
      </w:pPr>
      <w:bookmarkStart w:name="83、套期" w:id="421"/>
      <w:bookmarkEnd w:id="421"/>
      <w:r>
        <w:rPr>
          <w:b w:val="0"/>
          <w:bCs w:val="0"/>
        </w:rPr>
      </w:r>
      <w:r>
        <w:rPr>
          <w:rFonts w:ascii="Times New Roman" w:hAnsi="Times New Roman" w:cs="Times New Roman" w:eastAsia="Times New Roman" w:hint="default"/>
        </w:rPr>
        <w:t>83</w:t>
      </w:r>
      <w:r>
        <w:rPr/>
        <w:t>、套期</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84、政府补助" w:id="422"/>
      <w:bookmarkEnd w:id="422"/>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政府补助基本情况" w:id="423"/>
      <w:bookmarkEnd w:id="42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562,185.26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562,185.26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660,281.16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660,281.16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817,400.00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镇级财政扶持款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817,400.00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221,508.60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2"/>
              <w:jc w:val="left"/>
              <w:rPr>
                <w:rFonts w:ascii="宋体" w:hAnsi="宋体" w:cs="宋体" w:eastAsia="宋体" w:hint="default"/>
                <w:sz w:val="18"/>
                <w:szCs w:val="18"/>
              </w:rPr>
            </w:pPr>
            <w:r>
              <w:rPr>
                <w:rFonts w:ascii="宋体" w:hAnsi="宋体" w:cs="宋体" w:eastAsia="宋体" w:hint="default"/>
                <w:spacing w:val="-4"/>
                <w:sz w:val="18"/>
                <w:szCs w:val="18"/>
              </w:rPr>
              <w:t>附加税、增值税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进项税额加</w:t>
            </w:r>
            <w:r>
              <w:rPr>
                <w:rFonts w:ascii="宋体" w:hAnsi="宋体" w:cs="宋体" w:eastAsia="宋体" w:hint="default"/>
                <w:spacing w:val="-84"/>
                <w:sz w:val="18"/>
                <w:szCs w:val="18"/>
              </w:rPr>
              <w:t> </w:t>
            </w:r>
            <w:r>
              <w:rPr>
                <w:rFonts w:ascii="宋体" w:hAnsi="宋体" w:cs="宋体" w:eastAsia="宋体" w:hint="default"/>
                <w:sz w:val="18"/>
                <w:szCs w:val="18"/>
              </w:rPr>
              <w:t>计抵减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221,508.60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15,198.83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青年明天奖金扣除促进雇佣 奖金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15,198.83</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政府补助退回情况" w:id="424"/>
      <w:bookmarkEnd w:id="42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after="0" w:line="357"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487" w:lineRule="auto" w:before="34"/>
        <w:ind w:left="112" w:right="8329" w:firstLine="0"/>
        <w:jc w:val="left"/>
        <w:rPr>
          <w:rFonts w:ascii="宋体" w:hAnsi="宋体" w:cs="宋体" w:eastAsia="宋体" w:hint="default"/>
          <w:sz w:val="21"/>
          <w:szCs w:val="21"/>
        </w:rPr>
      </w:pPr>
      <w:bookmarkStart w:name="85、其他" w:id="425"/>
      <w:bookmarkEnd w:id="425"/>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26"/>
      <w:bookmarkEnd w:id="42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7"/>
      <w:bookmarkEnd w:id="4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1"/>
        <w:ind w:right="0"/>
        <w:jc w:val="left"/>
        <w:rPr>
          <w:b w:val="0"/>
          <w:bCs w:val="0"/>
        </w:rPr>
      </w:pPr>
      <w:bookmarkStart w:name="（1）本期发生的非同一控制下企业合并" w:id="428"/>
      <w:bookmarkEnd w:id="42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6" w:right="164"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7" w:right="16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6" w:right="163"/>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5"/>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合并成本及商誉" w:id="429"/>
      <w:bookmarkEnd w:id="42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51"/>
        <w:ind w:left="11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被购买方于购买日可辨认资产、负债" w:id="430"/>
      <w:bookmarkEnd w:id="43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50"/>
        <w:ind w:left="11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6"/>
        <w:spacing w:line="240" w:lineRule="auto"/>
        <w:ind w:right="0"/>
        <w:jc w:val="both"/>
        <w:rPr>
          <w:b w:val="0"/>
          <w:bCs w:val="0"/>
        </w:rPr>
      </w:pPr>
      <w:bookmarkStart w:name="（4）购买日之前持有的股权按照公允价值重新计量产生的利得或损失" w:id="431"/>
      <w:bookmarkEnd w:id="43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after="0"/>
        <w:jc w:val="both"/>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购买日或合并当期期末无法合理确定合并对价或被购买方可辨认资产、负债公允价值" w:id="432"/>
      <w:bookmarkEnd w:id="43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6）其他说明" w:id="433"/>
      <w:bookmarkEnd w:id="43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同一控制下企业合并" w:id="434"/>
      <w:bookmarkEnd w:id="43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本期发生的同一控制下企业合并" w:id="435"/>
      <w:bookmarkEnd w:id="43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44"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4" w:right="165"/>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68" w:right="164"/>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7"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6"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8" w:right="164"/>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7" w:right="165"/>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合并成本" w:id="436"/>
      <w:bookmarkEnd w:id="43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50"/>
        <w:ind w:left="11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6"/>
        <w:spacing w:line="240" w:lineRule="auto"/>
        <w:ind w:right="0"/>
        <w:jc w:val="left"/>
        <w:rPr>
          <w:b w:val="0"/>
          <w:bCs w:val="0"/>
        </w:rPr>
      </w:pPr>
      <w:bookmarkStart w:name="（3）合并日被合并方资产、负债的账面价值" w:id="437"/>
      <w:bookmarkEnd w:id="43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2d2d2"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d2d2d2"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2d2d2"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2d2d2"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6"/>
        <w:ind w:left="11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bookmarkStart w:name="3、反向购买" w:id="438"/>
      <w:bookmarkEnd w:id="43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6"/>
        <w:spacing w:line="240" w:lineRule="auto"/>
        <w:ind w:right="0"/>
        <w:jc w:val="left"/>
        <w:rPr>
          <w:b w:val="0"/>
          <w:bCs w:val="0"/>
        </w:rPr>
      </w:pPr>
      <w:bookmarkStart w:name="4、处置子公司" w:id="439"/>
      <w:bookmarkEnd w:id="43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其他原因的合并范围变动" w:id="440"/>
      <w:bookmarkEnd w:id="44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12" w:right="8103" w:firstLine="0"/>
        <w:jc w:val="left"/>
        <w:rPr>
          <w:rFonts w:ascii="宋体" w:hAnsi="宋体" w:cs="宋体" w:eastAsia="宋体" w:hint="default"/>
          <w:sz w:val="21"/>
          <w:szCs w:val="21"/>
        </w:rPr>
      </w:pPr>
      <w:bookmarkStart w:name="6、其他" w:id="441"/>
      <w:bookmarkEnd w:id="44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42"/>
      <w:bookmarkEnd w:id="442"/>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4"/>
        <w:ind w:right="0"/>
        <w:jc w:val="left"/>
        <w:rPr>
          <w:b w:val="0"/>
          <w:bCs w:val="0"/>
        </w:rPr>
      </w:pPr>
      <w:bookmarkStart w:name="（1）企业集团的构成" w:id="444"/>
      <w:bookmarkEnd w:id="4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深圳科蓝金信 科技发展有限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both"/>
              <w:rPr>
                <w:rFonts w:ascii="宋体" w:hAnsi="宋体" w:cs="宋体" w:eastAsia="宋体" w:hint="default"/>
                <w:sz w:val="18"/>
                <w:szCs w:val="18"/>
              </w:rPr>
            </w:pPr>
            <w:r>
              <w:rPr>
                <w:rFonts w:ascii="宋体" w:hAnsi="宋体" w:cs="宋体" w:eastAsia="宋体" w:hint="default"/>
                <w:sz w:val="18"/>
                <w:szCs w:val="18"/>
              </w:rPr>
              <w:t>大陆云盾电子 认证服务有限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大陆云盾（重 庆）信息安全 技术研究院有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02" w:right="171"/>
              <w:jc w:val="left"/>
              <w:rPr>
                <w:rFonts w:ascii="宋体" w:hAnsi="宋体" w:cs="宋体" w:eastAsia="宋体" w:hint="default"/>
                <w:sz w:val="18"/>
                <w:szCs w:val="18"/>
              </w:rPr>
            </w:pPr>
            <w:r>
              <w:rPr>
                <w:rFonts w:ascii="宋体" w:hAnsi="宋体" w:cs="宋体" w:eastAsia="宋体" w:hint="default"/>
                <w:sz w:val="18"/>
                <w:szCs w:val="18"/>
              </w:rPr>
              <w:t>控股子公司投 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left"/>
              <w:rPr>
                <w:rFonts w:ascii="宋体" w:hAnsi="宋体" w:cs="宋体" w:eastAsia="宋体" w:hint="default"/>
                <w:sz w:val="18"/>
                <w:szCs w:val="18"/>
              </w:rPr>
            </w:pPr>
            <w:r>
              <w:rPr>
                <w:rFonts w:ascii="宋体" w:hAnsi="宋体" w:cs="宋体" w:eastAsia="宋体" w:hint="default"/>
                <w:sz w:val="18"/>
                <w:szCs w:val="18"/>
              </w:rPr>
              <w:t>北京尼客矩阵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北京数蚂科蓝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both"/>
              <w:rPr>
                <w:rFonts w:ascii="宋体" w:hAnsi="宋体" w:cs="宋体" w:eastAsia="宋体" w:hint="default"/>
                <w:sz w:val="18"/>
                <w:szCs w:val="18"/>
              </w:rPr>
            </w:pPr>
            <w:r>
              <w:rPr>
                <w:rFonts w:ascii="宋体" w:hAnsi="宋体" w:cs="宋体" w:eastAsia="宋体" w:hint="default"/>
                <w:sz w:val="18"/>
                <w:szCs w:val="18"/>
              </w:rPr>
              <w:t>北京科蓝软件 系统（苏州）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科蓝软体系统</w:t>
            </w:r>
          </w:p>
          <w:p>
            <w:pPr>
              <w:pStyle w:val="TableParagraph"/>
              <w:spacing w:line="316" w:lineRule="auto" w:before="76"/>
              <w:ind w:left="101" w:right="177"/>
              <w:jc w:val="left"/>
              <w:rPr>
                <w:rFonts w:ascii="宋体" w:hAnsi="宋体" w:cs="宋体" w:eastAsia="宋体" w:hint="default"/>
                <w:sz w:val="18"/>
                <w:szCs w:val="18"/>
              </w:rPr>
            </w:pPr>
            <w:r>
              <w:rPr>
                <w:rFonts w:ascii="宋体" w:hAnsi="宋体" w:cs="宋体" w:eastAsia="宋体" w:hint="default"/>
                <w:sz w:val="18"/>
                <w:szCs w:val="18"/>
              </w:rPr>
              <w:t>（香港）有限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SUNJE</w:t>
            </w:r>
            <w:r>
              <w:rPr>
                <w:rFonts w:ascii="Times New Roman"/>
                <w:spacing w:val="-4"/>
                <w:sz w:val="18"/>
              </w:rPr>
              <w:t> </w:t>
            </w:r>
            <w:r>
              <w:rPr>
                <w:rFonts w:ascii="Times New Roman"/>
                <w:sz w:val="18"/>
              </w:rPr>
              <w:t>SOFT</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40" w:lineRule="auto" w:before="89"/>
        <w:ind w:left="532" w:right="0"/>
        <w:jc w:val="left"/>
      </w:pPr>
      <w:r>
        <w:rPr/>
        <w:t>子公司大陆云盾公司《章程》第十一条规定，大陆云盾公司股东认缴出资额分两期缴纳，第一期缴纳</w:t>
      </w:r>
    </w:p>
    <w:p>
      <w:pPr>
        <w:spacing w:after="0" w:line="240" w:lineRule="auto"/>
        <w:jc w:val="left"/>
        <w:sectPr>
          <w:footerReference w:type="default" r:id="rId42"/>
          <w:pgSz w:w="11910" w:h="16840"/>
          <w:pgMar w:footer="1016" w:header="907" w:top="1100" w:bottom="1200" w:left="1020" w:right="0"/>
          <w:pgNumType w:start="230"/>
        </w:sectPr>
      </w:pPr>
    </w:p>
    <w:p>
      <w:pPr>
        <w:spacing w:line="240" w:lineRule="auto" w:before="10"/>
        <w:rPr>
          <w:rFonts w:ascii="宋体" w:hAnsi="宋体" w:cs="宋体" w:eastAsia="宋体" w:hint="default"/>
          <w:sz w:val="21"/>
          <w:szCs w:val="21"/>
        </w:rPr>
      </w:pPr>
    </w:p>
    <w:p>
      <w:pPr>
        <w:pStyle w:val="BodyText"/>
        <w:spacing w:line="273" w:lineRule="auto" w:before="34"/>
        <w:ind w:right="1130"/>
        <w:jc w:val="both"/>
      </w:pPr>
      <w:r>
        <w:rPr>
          <w:w w:val="95"/>
        </w:rPr>
        <w:t>2,500万元，出资期限为2047年12月20日，第二期缴纳2,500万元，出资期限为2057年12月20日。公司认缴</w:t>
      </w:r>
      <w:r>
        <w:rPr>
          <w:spacing w:val="45"/>
          <w:w w:val="95"/>
        </w:rPr>
        <w:t> </w:t>
      </w:r>
      <w:r>
        <w:rPr>
          <w:spacing w:val="45"/>
          <w:w w:val="95"/>
        </w:rPr>
      </w:r>
      <w:r>
        <w:rPr>
          <w:spacing w:val="2"/>
          <w:w w:val="95"/>
        </w:rPr>
        <w:t>出资额占大陆云盾公司股东认缴出资总额的51%。2018年12月，公司足额缴纳了全部一期、二期认缴出资</w:t>
      </w:r>
      <w:r>
        <w:rPr>
          <w:spacing w:val="41"/>
          <w:w w:val="95"/>
        </w:rPr>
        <w:t> </w:t>
      </w:r>
      <w:r>
        <w:rPr>
          <w:spacing w:val="41"/>
          <w:w w:val="95"/>
        </w:rPr>
      </w:r>
      <w:r>
        <w:rPr>
          <w:w w:val="95"/>
        </w:rPr>
        <w:t>款合计2,550万元，占大陆云盾公司各股东实缴出资款总和的84.275%，大陆云盾公司其他股东实际缴纳出</w:t>
      </w:r>
      <w:r>
        <w:rPr>
          <w:spacing w:val="40"/>
          <w:w w:val="95"/>
        </w:rPr>
        <w:t> </w:t>
      </w:r>
      <w:r>
        <w:rPr>
          <w:spacing w:val="40"/>
          <w:w w:val="95"/>
        </w:rPr>
      </w:r>
      <w:r>
        <w:rPr>
          <w:spacing w:val="-2"/>
          <w:w w:val="99"/>
        </w:rPr>
        <w:t>资合计475.82万元，占实缴出资款综合的15.725%。大陆云盾公司《章程》第十五条规定，“股东享有如下</w:t>
      </w:r>
      <w:r>
        <w:rPr>
          <w:spacing w:val="-98"/>
          <w:w w:val="99"/>
        </w:rPr>
        <w:t> </w:t>
      </w:r>
      <w:r>
        <w:rPr>
          <w:spacing w:val="-98"/>
          <w:w w:val="99"/>
        </w:rPr>
      </w:r>
      <w:r>
        <w:rPr>
          <w:spacing w:val="-5"/>
          <w:w w:val="99"/>
        </w:rPr>
        <w:t>权利：（一）按照其实缴的出资比例分取红利；（二）参加或委托代理人参加股东会，按照实缴出资比例行</w:t>
      </w:r>
      <w:r>
        <w:rPr>
          <w:spacing w:val="-75"/>
          <w:w w:val="99"/>
        </w:rPr>
        <w:t> </w:t>
      </w:r>
      <w:r>
        <w:rPr>
          <w:spacing w:val="-75"/>
          <w:w w:val="99"/>
        </w:rPr>
      </w:r>
      <w:r>
        <w:rPr>
          <w:spacing w:val="-18"/>
          <w:w w:val="99"/>
        </w:rPr>
        <w:t>使表决权。”</w:t>
      </w:r>
      <w:r>
        <w:rPr>
          <w:spacing w:val="-18"/>
        </w:rPr>
      </w:r>
    </w:p>
    <w:p>
      <w:pPr>
        <w:spacing w:line="240" w:lineRule="auto" w:before="4"/>
        <w:rPr>
          <w:rFonts w:ascii="宋体" w:hAnsi="宋体" w:cs="宋体" w:eastAsia="宋体" w:hint="default"/>
          <w:sz w:val="29"/>
          <w:szCs w:val="29"/>
        </w:rPr>
      </w:pPr>
    </w:p>
    <w:p>
      <w:pPr>
        <w:spacing w:line="360" w:lineRule="auto" w:before="0"/>
        <w:ind w:left="112" w:right="283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7"/>
        <w:ind w:left="11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3"/>
        <w:rPr>
          <w:rFonts w:ascii="宋体" w:hAnsi="宋体" w:cs="宋体" w:eastAsia="宋体" w:hint="default"/>
          <w:sz w:val="20"/>
          <w:szCs w:val="20"/>
        </w:rPr>
      </w:pPr>
    </w:p>
    <w:p>
      <w:pPr>
        <w:pStyle w:val="Heading6"/>
        <w:spacing w:line="240" w:lineRule="auto"/>
        <w:ind w:right="0"/>
        <w:jc w:val="both"/>
        <w:rPr>
          <w:b w:val="0"/>
          <w:bCs w:val="0"/>
        </w:rPr>
      </w:pPr>
      <w:bookmarkStart w:name="（2）重要的非全资子公司" w:id="445"/>
      <w:bookmarkEnd w:id="44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spacing w:line="357" w:lineRule="auto" w:before="51"/>
        <w:ind w:left="11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bookmarkStart w:name="（3）重要非全资子公司的主要财务信息" w:id="446"/>
      <w:bookmarkEnd w:id="44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301"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4414" w:type="dxa"/>
            <w:gridSpan w:val="6"/>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1" w:hRule="exact"/>
        </w:trPr>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3"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4414"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4414" w:type="dxa"/>
            <w:gridSpan w:val="6"/>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0" w:hRule="exact"/>
        </w:trPr>
        <w:tc>
          <w:tcPr>
            <w:tcW w:w="736" w:type="dxa"/>
            <w:vMerge/>
            <w:tcBorders>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2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65"/>
              <w:ind w:left="272" w:right="180" w:hanging="89"/>
              <w:jc w:val="left"/>
              <w:rPr>
                <w:rFonts w:ascii="宋体" w:hAnsi="宋体" w:cs="宋体" w:eastAsia="宋体" w:hint="default"/>
                <w:sz w:val="18"/>
                <w:szCs w:val="18"/>
              </w:rPr>
            </w:pPr>
            <w:r>
              <w:rPr>
                <w:rFonts w:ascii="宋体" w:hAnsi="宋体" w:cs="宋体" w:eastAsia="宋体" w:hint="default"/>
                <w:sz w:val="18"/>
                <w:szCs w:val="18"/>
              </w:rPr>
              <w:t>司名 称</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left="182"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3" w:right="181" w:hanging="92"/>
              <w:jc w:val="left"/>
              <w:rPr>
                <w:rFonts w:ascii="宋体" w:hAnsi="宋体" w:cs="宋体" w:eastAsia="宋体" w:hint="default"/>
                <w:sz w:val="18"/>
                <w:szCs w:val="18"/>
              </w:rPr>
            </w:pPr>
            <w:r>
              <w:rPr>
                <w:rFonts w:ascii="宋体" w:hAnsi="宋体" w:cs="宋体" w:eastAsia="宋体" w:hint="default"/>
                <w:sz w:val="18"/>
                <w:szCs w:val="18"/>
              </w:rPr>
              <w:t>动资 产</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left="182"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1" w:right="180" w:hanging="89"/>
              <w:jc w:val="left"/>
              <w:rPr>
                <w:rFonts w:ascii="宋体" w:hAnsi="宋体" w:cs="宋体" w:eastAsia="宋体" w:hint="default"/>
                <w:sz w:val="18"/>
                <w:szCs w:val="18"/>
              </w:rPr>
            </w:pPr>
            <w:r>
              <w:rPr>
                <w:rFonts w:ascii="宋体" w:hAnsi="宋体" w:cs="宋体" w:eastAsia="宋体" w:hint="default"/>
                <w:sz w:val="18"/>
                <w:szCs w:val="18"/>
              </w:rPr>
              <w:t>动负 债</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left="181"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2" w:right="182" w:hanging="92"/>
              <w:jc w:val="left"/>
              <w:rPr>
                <w:rFonts w:ascii="宋体" w:hAnsi="宋体" w:cs="宋体" w:eastAsia="宋体" w:hint="default"/>
                <w:sz w:val="18"/>
                <w:szCs w:val="18"/>
              </w:rPr>
            </w:pPr>
            <w:r>
              <w:rPr>
                <w:rFonts w:ascii="宋体" w:hAnsi="宋体" w:cs="宋体" w:eastAsia="宋体" w:hint="default"/>
                <w:sz w:val="18"/>
                <w:szCs w:val="18"/>
              </w:rPr>
              <w:t>动资 产</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left="181"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316" w:lineRule="auto" w:before="76"/>
              <w:ind w:left="273" w:right="182" w:hanging="92"/>
              <w:jc w:val="left"/>
              <w:rPr>
                <w:rFonts w:ascii="宋体" w:hAnsi="宋体" w:cs="宋体" w:eastAsia="宋体" w:hint="default"/>
                <w:sz w:val="18"/>
                <w:szCs w:val="18"/>
              </w:rPr>
            </w:pPr>
            <w:r>
              <w:rPr>
                <w:rFonts w:ascii="宋体" w:hAnsi="宋体" w:cs="宋体" w:eastAsia="宋体" w:hint="default"/>
                <w:sz w:val="18"/>
                <w:szCs w:val="18"/>
              </w:rPr>
              <w:t>动负 债</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1"/>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bl>
    <w:p>
      <w:pPr>
        <w:spacing w:before="4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使用企业集团资产和清偿企业集团债务的重大限制" w:id="447"/>
      <w:bookmarkEnd w:id="44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5）向纳入合并财务报表范围的结构化主体提供的财务支持或其他支持" w:id="448"/>
      <w:bookmarkEnd w:id="44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在子公司的所有者权益份额发生变化且仍控制子公司的交易" w:id="449"/>
      <w:bookmarkEnd w:id="44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在子公司所有者权益份额发生变化的情况说明" w:id="450"/>
      <w:bookmarkEnd w:id="45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交易对于少数股东权益及归属于母公司所有者权益的影响" w:id="451"/>
      <w:bookmarkEnd w:id="45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在合营安排或联营企业中的权益" w:id="452"/>
      <w:bookmarkEnd w:id="45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453"/>
      <w:bookmarkEnd w:id="45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9"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2）重要合营企业的主要财务信息" w:id="454"/>
      <w:bookmarkEnd w:id="45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重要联营企业的主要财务信息" w:id="455"/>
      <w:bookmarkEnd w:id="45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4）不重要的合营企业和联营企业的汇总财务信息" w:id="456"/>
      <w:bookmarkEnd w:id="45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19,271,935.74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21,069,415.37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-1,797,479.63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-2,638,751.65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-1,797,479.63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-2,638,751.65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合营企业或联营企业向本公司转移资金的能力存在重大限制的说明" w:id="457"/>
      <w:bookmarkEnd w:id="45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6）合营企业或联营企业发生的超额亏损" w:id="458"/>
      <w:bookmarkEnd w:id="45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61" w:right="110"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与合营企业投资相关的未确认承诺" w:id="459"/>
      <w:bookmarkEnd w:id="45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8）与合营企业或联营企业投资相关的或有负债" w:id="460"/>
      <w:bookmarkEnd w:id="46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重要的共同经营" w:id="461"/>
      <w:bookmarkEnd w:id="46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0"/>
        <w:ind w:left="11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在未纳入合并财务报表范围的结构化主体中的权益" w:id="462"/>
      <w:bookmarkEnd w:id="46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6、其他" w:id="463"/>
      <w:bookmarkEnd w:id="46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bookmarkStart w:name="十、与金融工具相关的风险" w:id="464"/>
      <w:bookmarkEnd w:id="46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0" w:firstLine="420"/>
        <w:jc w:val="both"/>
      </w:pPr>
      <w:r>
        <w:rPr>
          <w:w w:val="95"/>
        </w:rPr>
        <w:t>本公司的主要金融工具包括货币资金、应收款项、股权投资、借款、应付款项及长期应付款等。日常</w:t>
      </w:r>
      <w:r>
        <w:rPr>
          <w:spacing w:val="-94"/>
          <w:w w:val="95"/>
        </w:rPr>
        <w:t> </w:t>
      </w:r>
      <w:r>
        <w:rPr>
          <w:spacing w:val="-94"/>
          <w:w w:val="95"/>
        </w:rPr>
      </w:r>
      <w:r>
        <w:rPr>
          <w:w w:val="95"/>
        </w:rPr>
        <w:t>活动中面临各种金融工具的风险，主要包括信用风险、流动性风险、市场风险。与这些金融工具相关的风</w:t>
      </w:r>
      <w:r>
        <w:rPr>
          <w:spacing w:val="40"/>
          <w:w w:val="95"/>
        </w:rPr>
        <w:t> </w:t>
      </w:r>
      <w:r>
        <w:rPr>
          <w:spacing w:val="40"/>
          <w:w w:val="95"/>
        </w:rPr>
      </w:r>
      <w:r>
        <w:rPr/>
        <w:t>险，以及本公司为降低这些风险所采取的风险管理政策如下所述：</w:t>
      </w:r>
    </w:p>
    <w:p>
      <w:pPr>
        <w:pStyle w:val="BodyText"/>
        <w:spacing w:line="273" w:lineRule="auto"/>
        <w:ind w:right="1130" w:firstLine="420"/>
        <w:jc w:val="both"/>
      </w:pPr>
      <w:r>
        <w:rPr>
          <w:w w:val="95"/>
        </w:rPr>
        <w:t>董事会负责规划并建立本公司的风险管理架构，制定本公司的风险管理政策和相关指引并监督风险管</w:t>
      </w:r>
      <w:r>
        <w:rPr>
          <w:w w:val="99"/>
        </w:rPr>
        <w:t> </w:t>
      </w:r>
      <w:r>
        <w:rPr>
          <w:w w:val="95"/>
        </w:rPr>
        <w:t>理措施的执行情况。本公司已制定风险管理政策以识别和分析本公司所面临的风险，这些风险管理政策对</w:t>
      </w:r>
      <w:r>
        <w:rPr>
          <w:spacing w:val="40"/>
          <w:w w:val="95"/>
        </w:rPr>
        <w:t> </w:t>
      </w:r>
      <w:r>
        <w:rPr>
          <w:spacing w:val="40"/>
          <w:w w:val="95"/>
        </w:rPr>
      </w:r>
      <w:r>
        <w:rPr>
          <w:w w:val="95"/>
        </w:rPr>
        <w:t>特定风险进行了明确规定，涵盖了市场风险、信用风险和流动性风险管理等诸多方面。本公司定期评估市</w:t>
      </w:r>
      <w:r>
        <w:rPr/>
      </w:r>
    </w:p>
    <w:p>
      <w:pPr>
        <w:spacing w:after="0" w:line="273" w:lineRule="auto"/>
        <w:jc w:val="both"/>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2"/>
        <w:jc w:val="both"/>
      </w:pPr>
      <w:r>
        <w:rPr>
          <w:w w:val="95"/>
        </w:rPr>
        <w:t>场环境及本公司经营活动的变化以决定是否对风险管理政策及系统进行更新。本公司的风险管理由风险管</w:t>
      </w:r>
      <w:r>
        <w:rPr>
          <w:spacing w:val="37"/>
          <w:w w:val="95"/>
        </w:rPr>
        <w:t> </w:t>
      </w:r>
      <w:r>
        <w:rPr>
          <w:spacing w:val="37"/>
          <w:w w:val="95"/>
        </w:rPr>
      </w:r>
      <w:r>
        <w:rPr>
          <w:w w:val="95"/>
        </w:rPr>
        <w:t>理委员会按照董事会批准的政策开展。风险管理委员会通过与本公司其他业务部门的紧密合作来识别、评</w:t>
      </w:r>
      <w:r>
        <w:rPr>
          <w:spacing w:val="40"/>
          <w:w w:val="95"/>
        </w:rPr>
        <w:t> </w:t>
      </w:r>
      <w:r>
        <w:rPr>
          <w:spacing w:val="40"/>
          <w:w w:val="95"/>
        </w:rPr>
      </w:r>
      <w:r>
        <w:rPr>
          <w:w w:val="95"/>
        </w:rPr>
        <w:t>价和规避相关风险。本公司内部审计部门就风险管理控制及程序进行定期的审核，并将审核结果上报本公</w:t>
      </w:r>
      <w:r>
        <w:rPr>
          <w:spacing w:val="37"/>
          <w:w w:val="95"/>
        </w:rPr>
        <w:t> </w:t>
      </w:r>
      <w:r>
        <w:rPr>
          <w:spacing w:val="37"/>
          <w:w w:val="95"/>
        </w:rPr>
      </w:r>
      <w:r>
        <w:rPr>
          <w:w w:val="95"/>
        </w:rPr>
        <w:t>司的审计委员会。本公司通过适当的多样化投资及业务组合来分散金融工具风险，并通过制定相应的风险</w:t>
      </w:r>
      <w:r>
        <w:rPr>
          <w:spacing w:val="38"/>
          <w:w w:val="95"/>
        </w:rPr>
        <w:t> </w:t>
      </w:r>
      <w:r>
        <w:rPr>
          <w:spacing w:val="38"/>
          <w:w w:val="95"/>
        </w:rPr>
      </w:r>
      <w:r>
        <w:rPr/>
        <w:t>管理政策减少集中于单一行业、特定地区或特定交易对手的风险。</w:t>
      </w:r>
    </w:p>
    <w:p>
      <w:pPr>
        <w:pStyle w:val="BodyText"/>
        <w:spacing w:line="273" w:lineRule="auto"/>
        <w:ind w:left="532" w:right="1185" w:firstLine="2"/>
        <w:jc w:val="left"/>
      </w:pPr>
      <w:r>
        <w:rPr>
          <w:rFonts w:ascii="宋体" w:hAnsi="宋体" w:cs="宋体" w:eastAsia="宋体" w:hint="default"/>
          <w:b/>
          <w:bCs/>
        </w:rPr>
        <w:t>（一）信用风险</w:t>
      </w:r>
      <w:r>
        <w:rPr>
          <w:rFonts w:ascii="宋体" w:hAnsi="宋体" w:cs="宋体" w:eastAsia="宋体" w:hint="default"/>
          <w:b/>
          <w:bCs/>
          <w:w w:val="99"/>
        </w:rPr>
        <w:t> </w:t>
      </w:r>
      <w:r>
        <w:rPr>
          <w:w w:val="95"/>
        </w:rPr>
        <w:t>信用风险是指交易对手未能履行合同义务而导致本公司产生财务损失的风险，管理层已制定适当的信</w:t>
      </w:r>
      <w:r>
        <w:rPr/>
      </w:r>
    </w:p>
    <w:p>
      <w:pPr>
        <w:pStyle w:val="BodyText"/>
        <w:spacing w:line="273" w:lineRule="auto"/>
        <w:ind w:left="532" w:right="0" w:hanging="420"/>
        <w:jc w:val="left"/>
      </w:pPr>
      <w:r>
        <w:rPr/>
        <w:t>用政策，并且不断监察信用风险的敞口。</w:t>
      </w:r>
      <w:r>
        <w:rPr>
          <w:w w:val="99"/>
        </w:rPr>
        <w:t> </w:t>
      </w:r>
      <w:r>
        <w:rPr>
          <w:w w:val="95"/>
        </w:rPr>
        <w:t>本公司已采取政策只与信用良好的交易对手进行交易。另外，本公司基于对客户的财务状况、从第三</w:t>
      </w:r>
      <w:r>
        <w:rPr/>
      </w:r>
    </w:p>
    <w:p>
      <w:pPr>
        <w:pStyle w:val="BodyText"/>
        <w:spacing w:line="273" w:lineRule="auto"/>
        <w:ind w:right="1112"/>
        <w:jc w:val="both"/>
      </w:pPr>
      <w:r>
        <w:rPr>
          <w:w w:val="95"/>
        </w:rPr>
        <w:t>方获取担保的可能性、信用记录及其它因素诸如目前市场状况等评估客户的信用资质并设置相应信用期。</w:t>
      </w:r>
      <w:r>
        <w:rPr>
          <w:spacing w:val="61"/>
          <w:w w:val="95"/>
        </w:rPr>
        <w:t> </w:t>
      </w:r>
      <w:r>
        <w:rPr>
          <w:spacing w:val="61"/>
          <w:w w:val="95"/>
        </w:rPr>
      </w:r>
      <w:r>
        <w:rPr>
          <w:w w:val="95"/>
        </w:rPr>
        <w:t>本公司对应收账款余额及收回情况进行持续监控，对于信用记录不良的客户，本公司会采用书面催款、缩</w:t>
      </w:r>
      <w:r>
        <w:rPr>
          <w:spacing w:val="43"/>
          <w:w w:val="95"/>
        </w:rPr>
        <w:t> </w:t>
      </w:r>
      <w:r>
        <w:rPr>
          <w:spacing w:val="43"/>
          <w:w w:val="95"/>
        </w:rPr>
      </w:r>
      <w:r>
        <w:rPr>
          <w:w w:val="95"/>
        </w:rPr>
        <w:t>短信用期或取消信用期等方式，以确保本公司不致面临重大信用损失。此外，本公司于每个资产负债表日</w:t>
      </w:r>
      <w:r>
        <w:rPr>
          <w:spacing w:val="43"/>
          <w:w w:val="95"/>
        </w:rPr>
        <w:t> </w:t>
      </w:r>
      <w:r>
        <w:rPr>
          <w:spacing w:val="43"/>
          <w:w w:val="95"/>
        </w:rPr>
      </w:r>
      <w:r>
        <w:rPr/>
        <w:t>审核金融资产的回收情况，以确保相关金融资产计提了充分的预期信用损失准备。</w:t>
      </w:r>
    </w:p>
    <w:p>
      <w:pPr>
        <w:pStyle w:val="BodyText"/>
        <w:spacing w:line="273" w:lineRule="auto"/>
        <w:ind w:right="1132" w:firstLine="420"/>
        <w:jc w:val="both"/>
      </w:pPr>
      <w:r>
        <w:rPr>
          <w:w w:val="95"/>
        </w:rPr>
        <w:t>本公司其他金融资产包括货币资金、其他应收款、长期应收款等，这些金融资产的信用风险源自于交</w:t>
      </w:r>
      <w:r>
        <w:rPr>
          <w:w w:val="99"/>
        </w:rPr>
        <w:t> </w:t>
      </w:r>
      <w:r>
        <w:rPr>
          <w:w w:val="95"/>
        </w:rPr>
        <w:t>易对手违约，最大信用风险敞口为资产负债表中每项金融资产的账面金额。本公司没有提供任何其他可能</w:t>
      </w:r>
      <w:r>
        <w:rPr>
          <w:spacing w:val="40"/>
          <w:w w:val="95"/>
        </w:rPr>
        <w:t> </w:t>
      </w:r>
      <w:r>
        <w:rPr>
          <w:spacing w:val="40"/>
          <w:w w:val="95"/>
        </w:rPr>
      </w:r>
      <w:r>
        <w:rPr/>
        <w:t>令本公司承受信用风险的担保。</w:t>
      </w:r>
    </w:p>
    <w:p>
      <w:pPr>
        <w:pStyle w:val="BodyText"/>
        <w:spacing w:line="273" w:lineRule="auto"/>
        <w:ind w:right="1025" w:firstLine="420"/>
        <w:jc w:val="left"/>
      </w:pPr>
      <w:r>
        <w:rPr/>
        <w:t>本公司持有的货币资金主要存放于国有控股银行和其他大中型商业银行等金融机构，管理层认为这些</w:t>
      </w:r>
      <w:r>
        <w:rPr>
          <w:w w:val="99"/>
        </w:rPr>
        <w:t> </w:t>
      </w:r>
      <w:r>
        <w:rPr/>
        <w:t>商业银行具备较高信誉和资产状况，不存在重大的信用风险，不会产生因对方单位违约而导致的任何重大</w:t>
      </w:r>
      <w:r>
        <w:rPr>
          <w:w w:val="99"/>
        </w:rPr>
        <w:t> </w:t>
      </w:r>
      <w:r>
        <w:rPr>
          <w:spacing w:val="-3"/>
        </w:rPr>
        <w:t>损失。本公司的政策是根据各知名金融机构的市场信誉、经营规模及财务背景来控制存放当中的存款金额，</w:t>
      </w:r>
      <w:r>
        <w:rPr>
          <w:w w:val="99"/>
        </w:rPr>
        <w:t> </w:t>
      </w:r>
      <w:r>
        <w:rPr/>
        <w:t>以限制对任何单个金融机构的信用风险金额。</w:t>
      </w:r>
    </w:p>
    <w:p>
      <w:pPr>
        <w:pStyle w:val="BodyText"/>
        <w:spacing w:line="273" w:lineRule="auto"/>
        <w:ind w:right="1112" w:firstLine="420"/>
        <w:jc w:val="both"/>
      </w:pPr>
      <w:r>
        <w:rPr>
          <w:w w:val="95"/>
        </w:rPr>
        <w:t>作为本公司信用风险资产管理的一部分，本公司利用账龄来评估应收账款和其他应收款的减值损失。</w:t>
      </w:r>
      <w:r>
        <w:rPr>
          <w:spacing w:val="-79"/>
          <w:w w:val="95"/>
        </w:rPr>
        <w:t> </w:t>
      </w:r>
      <w:r>
        <w:rPr>
          <w:spacing w:val="-79"/>
          <w:w w:val="95"/>
        </w:rPr>
      </w:r>
      <w:r>
        <w:rPr>
          <w:w w:val="95"/>
        </w:rPr>
        <w:t>本公司的应收账款和其他应收款涉及大量客户，账龄信息可以反映这些客户对于应收账款和其他应收款的</w:t>
      </w:r>
      <w:r>
        <w:rPr>
          <w:spacing w:val="39"/>
          <w:w w:val="95"/>
        </w:rPr>
        <w:t> </w:t>
      </w:r>
      <w:r>
        <w:rPr>
          <w:spacing w:val="39"/>
          <w:w w:val="95"/>
        </w:rPr>
      </w:r>
      <w:r>
        <w:rPr>
          <w:w w:val="95"/>
        </w:rPr>
        <w:t>偿付能力和坏账风险。本公司根据历史数据计算不同账龄期间的历史实际坏账率，并考虑了当前及未来经</w:t>
      </w:r>
      <w:r>
        <w:rPr>
          <w:spacing w:val="38"/>
          <w:w w:val="95"/>
        </w:rPr>
        <w:t> </w:t>
      </w:r>
      <w:r>
        <w:rPr>
          <w:spacing w:val="38"/>
          <w:w w:val="95"/>
        </w:rPr>
      </w:r>
      <w:r>
        <w:rPr>
          <w:spacing w:val="2"/>
        </w:rPr>
        <w:t>济状况的预测，如国家GDP增速、基建投资总额、国家货币政策等前瞻性信息进行调整得出预期损失率。</w:t>
      </w:r>
      <w:r>
        <w:rPr>
          <w:w w:val="99"/>
        </w:rPr>
        <w:t> </w:t>
      </w:r>
      <w:r>
        <w:rPr>
          <w:w w:val="95"/>
        </w:rPr>
        <w:t>对于长期应收款，本公司综合考虑结算期、合同约定付款期、债务人的财务状况和债务人所处行业的经济</w:t>
      </w:r>
      <w:r>
        <w:rPr>
          <w:spacing w:val="40"/>
          <w:w w:val="95"/>
        </w:rPr>
        <w:t> </w:t>
      </w:r>
      <w:r>
        <w:rPr>
          <w:spacing w:val="40"/>
          <w:w w:val="95"/>
        </w:rPr>
      </w:r>
      <w:r>
        <w:rPr/>
        <w:t>形势，并考虑上述前瞻性信息进行调整后对于预期信用损失进行合理评估。</w:t>
      </w:r>
    </w:p>
    <w:p>
      <w:pPr>
        <w:pStyle w:val="BodyText"/>
        <w:spacing w:line="240" w:lineRule="auto"/>
        <w:ind w:left="532" w:right="0"/>
        <w:jc w:val="left"/>
      </w:pPr>
      <w:r>
        <w:rPr/>
        <w:t>截止2019年12月31日，相关资产的账面余额与预期信用减值损失情况如下：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129"/>
        <w:gridCol w:w="2611"/>
        <w:gridCol w:w="2528"/>
      </w:tblGrid>
      <w:tr>
        <w:trPr>
          <w:trHeight w:val="354" w:hRule="exact"/>
        </w:trPr>
        <w:tc>
          <w:tcPr>
            <w:tcW w:w="3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62" w:hRule="exact"/>
        </w:trPr>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763,780,314.40</w:t>
            </w:r>
          </w:p>
        </w:tc>
        <w:tc>
          <w:tcPr>
            <w:tcW w:w="25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120,658,552.26</w:t>
            </w:r>
          </w:p>
        </w:tc>
      </w:tr>
      <w:tr>
        <w:trPr>
          <w:trHeight w:val="362" w:hRule="exact"/>
        </w:trPr>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21,046,217.38</w:t>
            </w:r>
          </w:p>
        </w:tc>
        <w:tc>
          <w:tcPr>
            <w:tcW w:w="25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4,362,272.74</w:t>
            </w:r>
          </w:p>
        </w:tc>
      </w:tr>
      <w:tr>
        <w:trPr>
          <w:trHeight w:val="362" w:hRule="exact"/>
        </w:trPr>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长期应收款（含一年内到期的款项）</w:t>
            </w:r>
          </w:p>
        </w:tc>
        <w:tc>
          <w:tcPr>
            <w:tcW w:w="2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6,000,000.00</w:t>
            </w:r>
          </w:p>
        </w:tc>
        <w:tc>
          <w:tcPr>
            <w:tcW w:w="25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300,000.00</w:t>
            </w:r>
          </w:p>
        </w:tc>
      </w:tr>
      <w:tr>
        <w:trPr>
          <w:trHeight w:val="362" w:hRule="exact"/>
        </w:trPr>
        <w:tc>
          <w:tcPr>
            <w:tcW w:w="31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790,826,531.78</w:t>
            </w:r>
          </w:p>
        </w:tc>
        <w:tc>
          <w:tcPr>
            <w:tcW w:w="25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125,320,825.00</w:t>
            </w:r>
          </w:p>
        </w:tc>
      </w:tr>
    </w:tbl>
    <w:p>
      <w:pPr>
        <w:spacing w:line="240" w:lineRule="auto" w:before="7"/>
        <w:rPr>
          <w:rFonts w:ascii="宋体" w:hAnsi="宋体" w:cs="宋体" w:eastAsia="宋体" w:hint="default"/>
          <w:sz w:val="5"/>
          <w:szCs w:val="5"/>
        </w:rPr>
      </w:pPr>
    </w:p>
    <w:p>
      <w:pPr>
        <w:pStyle w:val="BodyText"/>
        <w:spacing w:line="273" w:lineRule="auto" w:before="34"/>
        <w:ind w:right="0" w:firstLine="420"/>
        <w:jc w:val="left"/>
      </w:pPr>
      <w:r>
        <w:rPr>
          <w:w w:val="95"/>
        </w:rPr>
        <w:t>本公司的主要客户为银行等，该等客户具有可靠及良好的信誉，因此，本公司认为该等客户并无重大</w:t>
      </w:r>
      <w:r>
        <w:rPr>
          <w:w w:val="99"/>
        </w:rPr>
        <w:t> </w:t>
      </w:r>
      <w:r>
        <w:rPr/>
        <w:t>信用风险。由于本公司的客户广泛，因此没有重大的信用集中风险。</w:t>
      </w:r>
    </w:p>
    <w:p>
      <w:pPr>
        <w:pStyle w:val="BodyText"/>
        <w:spacing w:line="273" w:lineRule="auto"/>
        <w:ind w:left="532" w:right="0"/>
        <w:jc w:val="left"/>
      </w:pPr>
      <w:r>
        <w:rPr/>
        <w:t>截止2019年12月31日，本公司的前五大的应收款占本公司应收款项总额20.91%。</w:t>
      </w:r>
      <w:r>
        <w:rPr>
          <w:w w:val="99"/>
        </w:rPr>
        <w:t> </w:t>
      </w:r>
      <w:r>
        <w:rPr>
          <w:w w:val="95"/>
        </w:rPr>
        <w:t>本公司投资的银行理财产品，交易对方的信用评级须高于或与本公司相同。鉴于交易对方的信用评级</w:t>
      </w:r>
      <w:r>
        <w:rPr/>
      </w:r>
    </w:p>
    <w:p>
      <w:pPr>
        <w:pStyle w:val="BodyText"/>
        <w:spacing w:line="273" w:lineRule="auto" w:before="8"/>
        <w:ind w:left="532" w:right="0" w:hanging="420"/>
        <w:jc w:val="left"/>
      </w:pPr>
      <w:r>
        <w:rPr/>
        <w:t>良好，本公司管理层并不预期交易对方会无法履行义务。</w:t>
      </w:r>
      <w:r>
        <w:rPr>
          <w:w w:val="99"/>
        </w:rPr>
        <w:t> </w:t>
      </w:r>
      <w:r>
        <w:rPr>
          <w:w w:val="95"/>
        </w:rPr>
        <w:t>本公司所承受的最大信用风险敞口为资产负债表中每项金融资产的账面金额。本公司没有提供任何其</w:t>
      </w:r>
      <w:r>
        <w:rPr/>
      </w:r>
    </w:p>
    <w:p>
      <w:pPr>
        <w:pStyle w:val="BodyText"/>
        <w:spacing w:line="240" w:lineRule="auto"/>
        <w:ind w:right="0"/>
        <w:jc w:val="left"/>
      </w:pPr>
      <w:r>
        <w:rPr/>
        <w:t>他可能令本公司承受信用风险的担保。</w:t>
      </w:r>
    </w:p>
    <w:p>
      <w:pPr>
        <w:pStyle w:val="BodyText"/>
        <w:spacing w:line="273" w:lineRule="auto" w:before="157"/>
        <w:ind w:left="532" w:right="0" w:firstLine="2"/>
        <w:jc w:val="left"/>
      </w:pPr>
      <w:r>
        <w:rPr>
          <w:rFonts w:ascii="宋体" w:hAnsi="宋体" w:cs="宋体" w:eastAsia="宋体" w:hint="default"/>
          <w:b/>
          <w:bCs/>
        </w:rPr>
        <w:t>（二）流动性风险</w:t>
      </w:r>
      <w:r>
        <w:rPr>
          <w:rFonts w:ascii="宋体" w:hAnsi="宋体" w:cs="宋体" w:eastAsia="宋体" w:hint="default"/>
          <w:b/>
          <w:bCs/>
          <w:w w:val="99"/>
        </w:rPr>
        <w:t> </w:t>
      </w:r>
      <w:r>
        <w:rPr>
          <w:w w:val="95"/>
        </w:rPr>
        <w:t>流动性风险是指本公司在履行以交付现金或其他金融资产的方式结算的义务时发生资金短缺的风险。</w:t>
      </w:r>
      <w:r>
        <w:rPr/>
      </w:r>
    </w:p>
    <w:p>
      <w:pPr>
        <w:pStyle w:val="BodyText"/>
        <w:spacing w:line="273" w:lineRule="auto"/>
        <w:ind w:right="0"/>
        <w:jc w:val="left"/>
      </w:pPr>
      <w:r>
        <w:rPr>
          <w:w w:val="95"/>
        </w:rPr>
        <w:t>本公司下属成员企业各自负责其现金流量预测。公司财务部门基于各成员企业的现金流量预测结果，在公</w:t>
      </w:r>
      <w:r>
        <w:rPr>
          <w:spacing w:val="37"/>
          <w:w w:val="95"/>
        </w:rPr>
        <w:t> </w:t>
      </w:r>
      <w:r>
        <w:rPr>
          <w:spacing w:val="37"/>
          <w:w w:val="95"/>
        </w:rPr>
      </w:r>
      <w:r>
        <w:rPr>
          <w:w w:val="95"/>
        </w:rPr>
        <w:t>司层面持续监控公司短期和长期的资金需求，以确保维持充裕的现金储备；同时持续监控是否符合借款协</w:t>
      </w:r>
      <w:r>
        <w:rPr/>
      </w:r>
    </w:p>
    <w:p>
      <w:pPr>
        <w:spacing w:after="0" w:line="273" w:lineRule="auto"/>
        <w:jc w:val="left"/>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right="1132"/>
        <w:jc w:val="both"/>
      </w:pPr>
      <w:r>
        <w:rPr>
          <w:w w:val="95"/>
        </w:rPr>
        <w:t>议的规定，从主要金融机构获得提供足够备用资金的承诺，以满足短期和长期的资金需求。此外，本公司</w:t>
      </w:r>
      <w:r>
        <w:rPr>
          <w:spacing w:val="41"/>
          <w:w w:val="95"/>
        </w:rPr>
        <w:t> </w:t>
      </w:r>
      <w:r>
        <w:rPr>
          <w:spacing w:val="41"/>
          <w:w w:val="95"/>
        </w:rPr>
      </w:r>
      <w:r>
        <w:rPr>
          <w:w w:val="95"/>
        </w:rPr>
        <w:t>与主要业务往来银行订立融资额度授信协议，为本公司履行与商业票据相关的义务提供支持。截止2019年</w:t>
      </w:r>
      <w:r>
        <w:rPr>
          <w:spacing w:val="40"/>
          <w:w w:val="95"/>
        </w:rPr>
        <w:t> </w:t>
      </w:r>
      <w:r>
        <w:rPr>
          <w:spacing w:val="40"/>
          <w:w w:val="95"/>
        </w:rPr>
      </w:r>
      <w:r>
        <w:rPr>
          <w:spacing w:val="2"/>
          <w:w w:val="95"/>
        </w:rPr>
        <w:t>12月31日，本公司已拥有国内多家银行提供的银行授信额度，人民币金额69,000万元、美元850万元，其</w:t>
      </w:r>
      <w:r>
        <w:rPr>
          <w:spacing w:val="36"/>
          <w:w w:val="95"/>
        </w:rPr>
        <w:t> </w:t>
      </w:r>
      <w:r>
        <w:rPr>
          <w:spacing w:val="36"/>
          <w:w w:val="95"/>
        </w:rPr>
      </w:r>
      <w:r>
        <w:rPr/>
        <w:t>中：已使用授信金额为人民币31,800万元、美元850万元。</w:t>
      </w:r>
    </w:p>
    <w:p>
      <w:pPr>
        <w:pStyle w:val="BodyText"/>
        <w:spacing w:line="273" w:lineRule="auto"/>
        <w:ind w:right="1112" w:firstLine="420"/>
        <w:jc w:val="right"/>
      </w:pPr>
      <w:r>
        <w:rPr>
          <w:w w:val="95"/>
        </w:rPr>
        <w:t>本公司财务部门持续监控公司短期和长期的资金需求，以确保维持充裕的现金储备；同时持续监控是</w:t>
      </w:r>
      <w:r>
        <w:rPr>
          <w:w w:val="99"/>
        </w:rPr>
        <w:t> </w:t>
      </w:r>
      <w:r>
        <w:rPr>
          <w:w w:val="95"/>
        </w:rPr>
        <w:t>否符合借款协议的规定，从主要金融机构获得提供足够备用资金的承诺，以满足短期和长期的资金需求。</w:t>
      </w:r>
      <w:r>
        <w:rPr>
          <w:spacing w:val="33"/>
          <w:w w:val="95"/>
        </w:rPr>
        <w:t> </w:t>
      </w:r>
      <w:r>
        <w:rPr>
          <w:spacing w:val="33"/>
          <w:w w:val="95"/>
        </w:rPr>
      </w:r>
      <w:r>
        <w:rPr>
          <w:w w:val="95"/>
        </w:rPr>
        <w:t>截止2019年12月31日，本公司不存在表外担保，各项金融负债以未折现的合同现金流量按到合同剩余</w:t>
      </w:r>
      <w:r>
        <w:rPr/>
      </w:r>
    </w:p>
    <w:p>
      <w:pPr>
        <w:pStyle w:val="BodyText"/>
        <w:spacing w:line="240" w:lineRule="auto"/>
        <w:ind w:right="0"/>
        <w:jc w:val="both"/>
      </w:pPr>
      <w:r>
        <w:rPr/>
        <w:t>期限列示如下：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00"/>
        <w:gridCol w:w="1335"/>
        <w:gridCol w:w="1337"/>
        <w:gridCol w:w="1276"/>
        <w:gridCol w:w="1253"/>
        <w:gridCol w:w="992"/>
        <w:gridCol w:w="1030"/>
      </w:tblGrid>
      <w:tr>
        <w:trPr>
          <w:trHeight w:val="354" w:hRule="exact"/>
        </w:trPr>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23"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500" w:type="dxa"/>
            <w:vMerge/>
            <w:tcBorders>
              <w:left w:val="single" w:sz="6" w:space="0" w:color="000000"/>
              <w:bottom w:val="single" w:sz="12" w:space="0" w:color="000000"/>
              <w:right w:val="single" w:sz="6" w:space="0" w:color="000000"/>
            </w:tcBorders>
          </w:tcPr>
          <w:p>
            <w:pP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14"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94"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62" w:right="0"/>
              <w:jc w:val="left"/>
              <w:rPr>
                <w:rFonts w:ascii="宋体" w:hAnsi="宋体" w:cs="宋体" w:eastAsia="宋体" w:hint="default"/>
                <w:sz w:val="18"/>
                <w:szCs w:val="18"/>
              </w:rPr>
            </w:pPr>
            <w:r>
              <w:rPr>
                <w:rFonts w:ascii="宋体" w:hAnsi="宋体" w:cs="宋体" w:eastAsia="宋体" w:hint="default"/>
                <w:sz w:val="18"/>
                <w:szCs w:val="18"/>
              </w:rPr>
              <w:t>2-5年</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84" w:right="0"/>
              <w:jc w:val="left"/>
              <w:rPr>
                <w:rFonts w:ascii="宋体" w:hAnsi="宋体" w:cs="宋体" w:eastAsia="宋体" w:hint="default"/>
                <w:sz w:val="18"/>
                <w:szCs w:val="18"/>
              </w:rPr>
            </w:pPr>
            <w:r>
              <w:rPr>
                <w:rFonts w:ascii="宋体" w:hAnsi="宋体" w:cs="宋体" w:eastAsia="宋体" w:hint="default"/>
                <w:sz w:val="18"/>
                <w:szCs w:val="18"/>
              </w:rPr>
              <w:t>5年以上</w:t>
            </w:r>
          </w:p>
        </w:tc>
      </w:tr>
      <w:tr>
        <w:trPr>
          <w:trHeight w:val="674"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414,738,949.26</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9" w:right="0"/>
              <w:jc w:val="center"/>
              <w:rPr>
                <w:rFonts w:ascii="宋体" w:hAnsi="宋体" w:cs="宋体" w:eastAsia="宋体" w:hint="default"/>
                <w:sz w:val="18"/>
                <w:szCs w:val="18"/>
              </w:rPr>
            </w:pPr>
            <w:r>
              <w:rPr>
                <w:rFonts w:ascii="宋体"/>
                <w:sz w:val="18"/>
              </w:rPr>
              <w:t>414,738,949.26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414,738,949.2</w:t>
            </w:r>
          </w:p>
          <w:p>
            <w:pPr>
              <w:pStyle w:val="TableParagraph"/>
              <w:spacing w:line="240" w:lineRule="auto" w:before="76"/>
              <w:ind w:right="0"/>
              <w:jc w:val="right"/>
              <w:rPr>
                <w:rFonts w:ascii="宋体" w:hAnsi="宋体" w:cs="宋体" w:eastAsia="宋体" w:hint="default"/>
                <w:sz w:val="18"/>
                <w:szCs w:val="18"/>
              </w:rPr>
            </w:pPr>
            <w:r>
              <w:rPr>
                <w:rFonts w:ascii="宋体"/>
                <w:sz w:val="18"/>
              </w:rPr>
              <w:t>6</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w:t>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36,251,761.19</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46" w:right="0"/>
              <w:jc w:val="center"/>
              <w:rPr>
                <w:rFonts w:ascii="宋体" w:hAnsi="宋体" w:cs="宋体" w:eastAsia="宋体" w:hint="default"/>
                <w:sz w:val="18"/>
                <w:szCs w:val="18"/>
              </w:rPr>
            </w:pPr>
            <w:r>
              <w:rPr>
                <w:rFonts w:ascii="宋体"/>
                <w:sz w:val="18"/>
              </w:rPr>
              <w:t>36,251,761.19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36,251,761.19</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z w:val="18"/>
              </w:rPr>
              <w:t>-</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z w:val="18"/>
              </w:rPr>
              <w:t>-</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61,139,780.51</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46" w:right="0"/>
              <w:jc w:val="center"/>
              <w:rPr>
                <w:rFonts w:ascii="宋体" w:hAnsi="宋体" w:cs="宋体" w:eastAsia="宋体" w:hint="default"/>
                <w:sz w:val="18"/>
                <w:szCs w:val="18"/>
              </w:rPr>
            </w:pPr>
            <w:r>
              <w:rPr>
                <w:rFonts w:ascii="宋体"/>
                <w:sz w:val="18"/>
              </w:rPr>
              <w:t>61,139,780.51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61,139,780.51</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w:t>
            </w:r>
          </w:p>
        </w:tc>
      </w:tr>
      <w:tr>
        <w:trPr>
          <w:trHeight w:val="674"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41"/>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43,734,207.27</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46" w:right="0"/>
              <w:jc w:val="center"/>
              <w:rPr>
                <w:rFonts w:ascii="宋体" w:hAnsi="宋体" w:cs="宋体" w:eastAsia="宋体" w:hint="default"/>
                <w:sz w:val="18"/>
                <w:szCs w:val="18"/>
              </w:rPr>
            </w:pPr>
            <w:r>
              <w:rPr>
                <w:rFonts w:ascii="宋体"/>
                <w:sz w:val="18"/>
              </w:rPr>
              <w:t>43,734,207.27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43,734,207.27</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w:t>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34,684,396.32</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46" w:right="0"/>
              <w:jc w:val="center"/>
              <w:rPr>
                <w:rFonts w:ascii="宋体" w:hAnsi="宋体" w:cs="宋体" w:eastAsia="宋体" w:hint="default"/>
                <w:sz w:val="18"/>
                <w:szCs w:val="18"/>
              </w:rPr>
            </w:pPr>
            <w:r>
              <w:rPr>
                <w:rFonts w:ascii="宋体"/>
                <w:sz w:val="18"/>
              </w:rPr>
              <w:t>34,684,396.32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34,684,396.32</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w:t>
            </w:r>
          </w:p>
        </w:tc>
      </w:tr>
      <w:tr>
        <w:trPr>
          <w:trHeight w:val="674"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590,549,094.55</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9" w:right="0"/>
              <w:jc w:val="center"/>
              <w:rPr>
                <w:rFonts w:ascii="宋体" w:hAnsi="宋体" w:cs="宋体" w:eastAsia="宋体" w:hint="default"/>
                <w:sz w:val="18"/>
                <w:szCs w:val="18"/>
              </w:rPr>
            </w:pPr>
            <w:r>
              <w:rPr>
                <w:rFonts w:ascii="宋体"/>
                <w:sz w:val="18"/>
              </w:rPr>
              <w:t>590,549,094.55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555,864,698.2</w:t>
            </w:r>
          </w:p>
          <w:p>
            <w:pPr>
              <w:pStyle w:val="TableParagraph"/>
              <w:spacing w:line="240" w:lineRule="auto" w:before="76"/>
              <w:ind w:right="0"/>
              <w:jc w:val="right"/>
              <w:rPr>
                <w:rFonts w:ascii="宋体" w:hAnsi="宋体" w:cs="宋体" w:eastAsia="宋体" w:hint="default"/>
                <w:sz w:val="18"/>
                <w:szCs w:val="18"/>
              </w:rPr>
            </w:pPr>
            <w:r>
              <w:rPr>
                <w:rFonts w:ascii="宋体"/>
                <w:sz w:val="18"/>
              </w:rPr>
              <w:t>3</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34,684,396.32</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c>
          <w:tcPr>
            <w:tcW w:w="10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5"/>
          <w:szCs w:val="5"/>
        </w:rPr>
      </w:pPr>
    </w:p>
    <w:p>
      <w:pPr>
        <w:pStyle w:val="Heading6"/>
        <w:spacing w:line="240" w:lineRule="auto" w:before="34"/>
        <w:ind w:left="429" w:right="0"/>
        <w:jc w:val="left"/>
        <w:rPr>
          <w:b w:val="0"/>
          <w:bCs w:val="0"/>
        </w:rPr>
      </w:pPr>
      <w:r>
        <w:rPr/>
        <w:t>（三）市场风险</w:t>
      </w:r>
      <w:r>
        <w:rPr>
          <w:b w:val="0"/>
          <w:bCs w:val="0"/>
        </w:rPr>
      </w:r>
    </w:p>
    <w:p>
      <w:pPr>
        <w:pStyle w:val="Heading6"/>
        <w:spacing w:line="240" w:lineRule="auto" w:before="157"/>
        <w:ind w:left="218" w:right="0"/>
        <w:jc w:val="left"/>
        <w:rPr>
          <w:b w:val="0"/>
          <w:bCs w:val="0"/>
        </w:rPr>
      </w:pPr>
      <w:r>
        <w:rPr/>
        <w:t>汇率风险</w:t>
      </w:r>
      <w:r>
        <w:rPr>
          <w:b w:val="0"/>
          <w:bCs w:val="0"/>
        </w:rPr>
      </w:r>
    </w:p>
    <w:p>
      <w:pPr>
        <w:pStyle w:val="BodyText"/>
        <w:spacing w:line="273" w:lineRule="auto" w:before="37"/>
        <w:ind w:right="1130" w:firstLine="420"/>
        <w:jc w:val="both"/>
      </w:pPr>
      <w:r>
        <w:rPr>
          <w:w w:val="95"/>
        </w:rPr>
        <w:t>本公司的主要经营位于中国境内，主要业务以人民币结算。但本公司已确认的外币资产和负债及未来</w:t>
      </w:r>
      <w:r>
        <w:rPr>
          <w:w w:val="99"/>
        </w:rPr>
        <w:t> </w:t>
      </w:r>
      <w:r>
        <w:rPr>
          <w:w w:val="95"/>
        </w:rPr>
        <w:t>的外币交易（外币资产和负债及外币交易的计价货币主要为美元、港币、韩元）依然存在外汇风险。本公</w:t>
      </w:r>
      <w:r>
        <w:rPr>
          <w:spacing w:val="45"/>
          <w:w w:val="95"/>
        </w:rPr>
        <w:t> </w:t>
      </w:r>
      <w:r>
        <w:rPr>
          <w:spacing w:val="45"/>
          <w:w w:val="95"/>
        </w:rPr>
      </w:r>
      <w:r>
        <w:rPr>
          <w:w w:val="95"/>
        </w:rPr>
        <w:t>司财务部门负责监控公司外币交易和外币资产及负债的规模，以最大程度降低面临的外汇风险；为此，本</w:t>
      </w:r>
      <w:r>
        <w:rPr>
          <w:spacing w:val="43"/>
          <w:w w:val="95"/>
        </w:rPr>
        <w:t> </w:t>
      </w:r>
      <w:r>
        <w:rPr>
          <w:spacing w:val="43"/>
          <w:w w:val="95"/>
        </w:rPr>
      </w:r>
      <w:r>
        <w:rPr/>
        <w:t>公司可能会以签署远期外汇合约或货币互换合约来达到规避外汇风险的目的。</w:t>
      </w:r>
    </w:p>
    <w:p>
      <w:pPr>
        <w:pStyle w:val="BodyText"/>
        <w:spacing w:line="240" w:lineRule="auto"/>
        <w:ind w:left="532" w:right="0"/>
        <w:jc w:val="left"/>
      </w:pPr>
      <w:r>
        <w:rPr/>
        <w:t>（1）本年度公司未签署任何远期外汇合约或货币互换合约。</w:t>
      </w:r>
    </w:p>
    <w:p>
      <w:pPr>
        <w:pStyle w:val="BodyText"/>
        <w:spacing w:line="240" w:lineRule="auto" w:before="37"/>
        <w:ind w:left="532" w:right="0"/>
        <w:jc w:val="left"/>
      </w:pPr>
      <w:r>
        <w:rPr>
          <w:spacing w:val="2"/>
        </w:rPr>
        <w:t>（2）截止2019年12月31日，本公司持有的外币金融资产和外币金融负债折算成人民币的金额列示如</w:t>
      </w:r>
    </w:p>
    <w:p>
      <w:pPr>
        <w:pStyle w:val="BodyText"/>
        <w:spacing w:line="240" w:lineRule="auto" w:before="37"/>
        <w:ind w:right="0"/>
        <w:jc w:val="left"/>
      </w:pPr>
      <w:r>
        <w:rPr/>
        <w:t>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843"/>
        <w:gridCol w:w="1701"/>
        <w:gridCol w:w="1559"/>
        <w:gridCol w:w="1559"/>
        <w:gridCol w:w="1426"/>
      </w:tblGrid>
      <w:tr>
        <w:trPr>
          <w:trHeight w:val="354" w:hRule="exact"/>
        </w:trPr>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5"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843" w:type="dxa"/>
            <w:vMerge/>
            <w:tcBorders>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83"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10" w:right="0"/>
              <w:jc w:val="left"/>
              <w:rPr>
                <w:rFonts w:ascii="宋体" w:hAnsi="宋体" w:cs="宋体" w:eastAsia="宋体" w:hint="default"/>
                <w:sz w:val="18"/>
                <w:szCs w:val="18"/>
              </w:rPr>
            </w:pPr>
            <w:r>
              <w:rPr>
                <w:rFonts w:ascii="宋体" w:hAnsi="宋体" w:cs="宋体" w:eastAsia="宋体" w:hint="default"/>
                <w:sz w:val="18"/>
                <w:szCs w:val="18"/>
              </w:rPr>
              <w:t>韩元项目</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701"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124,091.25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16,346,180.82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8,459,244.79</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24,929,516.86</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1,088,685.63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2,256,913.98</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3,345,599.61</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668,110.81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362,648.82</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1,030,759.63</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124,091.25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18,102,977.26</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11,078,807.59</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29,305,876.10</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701"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426"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59,799,669.05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z w:val="18"/>
              </w:rPr>
              <w:t>-</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59,799,669.05</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z w:val="18"/>
              </w:rPr>
              <w:t>-</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1,547,242.80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257,274.31</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14"/>
              <w:jc w:val="right"/>
              <w:rPr>
                <w:rFonts w:ascii="宋体" w:hAnsi="宋体" w:cs="宋体" w:eastAsia="宋体" w:hint="default"/>
                <w:sz w:val="18"/>
                <w:szCs w:val="18"/>
              </w:rPr>
            </w:pPr>
            <w:r>
              <w:rPr>
                <w:rFonts w:ascii="宋体"/>
                <w:spacing w:val="-1"/>
                <w:sz w:val="18"/>
              </w:rPr>
              <w:t>1,804,517.11</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110,803.14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458,964.28</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4"/>
              <w:jc w:val="right"/>
              <w:rPr>
                <w:rFonts w:ascii="宋体" w:hAnsi="宋体" w:cs="宋体" w:eastAsia="宋体" w:hint="default"/>
                <w:sz w:val="18"/>
                <w:szCs w:val="18"/>
              </w:rPr>
            </w:pPr>
            <w:r>
              <w:rPr>
                <w:rFonts w:ascii="宋体"/>
                <w:spacing w:val="-1"/>
                <w:sz w:val="18"/>
              </w:rPr>
              <w:t>569,767.42</w:t>
            </w:r>
          </w:p>
        </w:tc>
      </w:tr>
      <w:tr>
        <w:trPr>
          <w:trHeight w:val="362" w:hRule="exact"/>
        </w:trPr>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59,799,669.05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1,658,045.94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716,238.59</w:t>
            </w:r>
          </w:p>
        </w:tc>
        <w:tc>
          <w:tcPr>
            <w:tcW w:w="14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7"/>
              <w:jc w:val="right"/>
              <w:rPr>
                <w:rFonts w:ascii="宋体" w:hAnsi="宋体" w:cs="宋体" w:eastAsia="宋体" w:hint="default"/>
                <w:sz w:val="18"/>
                <w:szCs w:val="18"/>
              </w:rPr>
            </w:pPr>
            <w:r>
              <w:rPr>
                <w:rFonts w:ascii="宋体"/>
                <w:spacing w:val="-1"/>
                <w:sz w:val="18"/>
              </w:rPr>
              <w:t>62,173,953.58</w:t>
            </w:r>
          </w:p>
        </w:tc>
      </w:tr>
    </w:tbl>
    <w:p>
      <w:pPr>
        <w:spacing w:after="0" w:line="240" w:lineRule="auto"/>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BodyText"/>
        <w:spacing w:line="273" w:lineRule="auto" w:before="34"/>
        <w:ind w:left="532" w:right="0"/>
        <w:jc w:val="left"/>
      </w:pPr>
      <w:r>
        <w:rPr/>
        <w:t>（3）敏感性分析：</w:t>
      </w:r>
      <w:r>
        <w:rPr>
          <w:w w:val="99"/>
        </w:rPr>
        <w:t> </w:t>
      </w:r>
      <w:r>
        <w:rPr>
          <w:w w:val="95"/>
        </w:rPr>
        <w:t>截止2019年12月31日，对于本公司各类美元、港币及韩元金融资产和美元、港币及韩元金融负债，如</w:t>
      </w:r>
      <w:r>
        <w:rPr/>
      </w:r>
    </w:p>
    <w:p>
      <w:pPr>
        <w:pStyle w:val="BodyText"/>
        <w:spacing w:line="273" w:lineRule="auto"/>
        <w:ind w:right="1124"/>
        <w:jc w:val="left"/>
      </w:pPr>
      <w:r>
        <w:rPr>
          <w:spacing w:val="11"/>
        </w:rPr>
        <w:t>果人民币对美元、港币及韩元升值或贬值10%，其他因素保持不变，则本公司将减少或增加净利润约</w:t>
      </w:r>
      <w:r>
        <w:rPr>
          <w:w w:val="99"/>
        </w:rPr>
        <w:t> </w:t>
      </w:r>
      <w:r>
        <w:rPr/>
        <w:t>2,793,786.59元。</w:t>
      </w:r>
    </w:p>
    <w:p>
      <w:pPr>
        <w:pStyle w:val="BodyText"/>
        <w:spacing w:line="273" w:lineRule="auto" w:before="127"/>
        <w:ind w:left="532" w:right="1185" w:firstLine="2"/>
        <w:jc w:val="left"/>
      </w:pPr>
      <w:r>
        <w:rPr>
          <w:rFonts w:ascii="宋体" w:hAnsi="宋体" w:cs="宋体" w:eastAsia="宋体" w:hint="default"/>
          <w:b/>
          <w:bCs/>
        </w:rPr>
        <w:t>2.利率风险</w:t>
      </w:r>
      <w:r>
        <w:rPr>
          <w:rFonts w:ascii="宋体" w:hAnsi="宋体" w:cs="宋体" w:eastAsia="宋体" w:hint="default"/>
          <w:b/>
          <w:bCs/>
          <w:w w:val="99"/>
        </w:rPr>
        <w:t> </w:t>
      </w:r>
      <w:r>
        <w:rPr>
          <w:w w:val="95"/>
        </w:rPr>
        <w:t>本公司的利率风险主要产生于银行借款等。浮动利率的金融负债使本公司面临现金流量利率风险，固</w:t>
      </w:r>
      <w:r>
        <w:rPr/>
      </w:r>
    </w:p>
    <w:p>
      <w:pPr>
        <w:pStyle w:val="BodyText"/>
        <w:spacing w:line="273" w:lineRule="auto"/>
        <w:ind w:right="0"/>
        <w:jc w:val="left"/>
      </w:pPr>
      <w:r>
        <w:rPr>
          <w:w w:val="95"/>
        </w:rPr>
        <w:t>定利率的金融负债使本公司面临公允价值利率风险。本公司根据当时的市场环境来决定固定利率及浮动利</w:t>
      </w:r>
      <w:r>
        <w:rPr>
          <w:spacing w:val="39"/>
          <w:w w:val="95"/>
        </w:rPr>
        <w:t> </w:t>
      </w:r>
      <w:r>
        <w:rPr>
          <w:spacing w:val="39"/>
          <w:w w:val="95"/>
        </w:rPr>
      </w:r>
      <w:r>
        <w:rPr/>
        <w:t>率合同的相对比例。</w:t>
      </w:r>
    </w:p>
    <w:p>
      <w:pPr>
        <w:pStyle w:val="BodyText"/>
        <w:spacing w:line="273" w:lineRule="auto"/>
        <w:ind w:right="1135" w:firstLine="420"/>
        <w:jc w:val="both"/>
      </w:pPr>
      <w:r>
        <w:rPr>
          <w:w w:val="95"/>
        </w:rPr>
        <w:t>本公司财务部门持续监控公司利率水平。利率上升会增加新增带息债务的成本以及本公司尚未付清的</w:t>
      </w:r>
      <w:r>
        <w:rPr>
          <w:w w:val="99"/>
        </w:rPr>
        <w:t> </w:t>
      </w:r>
      <w:r>
        <w:rPr>
          <w:w w:val="95"/>
        </w:rPr>
        <w:t>以浮动利率计息的带息债务的利息支出，并对本公司的财务业绩产生重大的不利影响，管理层会依据最新</w:t>
      </w:r>
      <w:r>
        <w:rPr>
          <w:spacing w:val="37"/>
          <w:w w:val="95"/>
        </w:rPr>
        <w:t> </w:t>
      </w:r>
      <w:r>
        <w:rPr>
          <w:spacing w:val="37"/>
          <w:w w:val="95"/>
        </w:rPr>
      </w:r>
      <w:r>
        <w:rPr/>
        <w:t>的市场状况及时做出调整，这些调整可能是进行利率互换的安排来降低利率风险。</w:t>
      </w:r>
    </w:p>
    <w:p>
      <w:pPr>
        <w:pStyle w:val="BodyText"/>
        <w:spacing w:line="240" w:lineRule="auto"/>
        <w:ind w:left="532" w:right="0"/>
        <w:jc w:val="left"/>
      </w:pPr>
      <w:r>
        <w:rPr/>
        <w:t>（1）本年度公司无利率互换安排。</w:t>
      </w:r>
    </w:p>
    <w:p>
      <w:pPr>
        <w:pStyle w:val="BodyText"/>
        <w:spacing w:line="240" w:lineRule="auto" w:before="37"/>
        <w:ind w:left="532" w:right="0"/>
        <w:jc w:val="left"/>
      </w:pPr>
      <w:r>
        <w:rPr/>
        <w:t>（2）截止2019年12月31日，本公司无以浮动利率计息的长期带息债务。</w:t>
      </w:r>
    </w:p>
    <w:p>
      <w:pPr>
        <w:pStyle w:val="BodyText"/>
        <w:spacing w:line="273" w:lineRule="auto" w:before="37"/>
        <w:ind w:left="532" w:right="0"/>
        <w:jc w:val="left"/>
      </w:pPr>
      <w:r>
        <w:rPr/>
        <w:t>（3）敏感性分析：</w:t>
      </w:r>
      <w:r>
        <w:rPr>
          <w:w w:val="99"/>
        </w:rPr>
        <w:t> </w:t>
      </w:r>
      <w:r>
        <w:rPr>
          <w:w w:val="95"/>
        </w:rPr>
        <w:t>截止2019年12月31日，如果以浮动利率计算的借款利率上升或下降50个基点，而其他因素保持不变，</w:t>
      </w:r>
      <w:r>
        <w:rPr/>
      </w:r>
    </w:p>
    <w:p>
      <w:pPr>
        <w:pStyle w:val="BodyText"/>
        <w:spacing w:line="273" w:lineRule="auto"/>
        <w:ind w:left="532" w:right="0" w:hanging="420"/>
        <w:jc w:val="left"/>
      </w:pPr>
      <w:r>
        <w:rPr/>
        <w:t>本公司的净利润会减少或增加约1,532,775.45元。</w:t>
      </w:r>
      <w:r>
        <w:rPr>
          <w:w w:val="99"/>
        </w:rPr>
        <w:t> </w:t>
      </w:r>
      <w:r>
        <w:rPr>
          <w:w w:val="95"/>
        </w:rPr>
        <w:t>上述敏感性分析假定在资产负债表日已发生利率变动，并且已应用于本公司所有按浮动利率获得的借</w:t>
      </w:r>
      <w:r>
        <w:rPr/>
      </w:r>
    </w:p>
    <w:p>
      <w:pPr>
        <w:pStyle w:val="BodyText"/>
        <w:spacing w:line="240" w:lineRule="auto" w:before="8"/>
        <w:ind w:right="0"/>
        <w:jc w:val="left"/>
      </w:pPr>
      <w:r>
        <w:rPr/>
        <w:t>款。</w:t>
      </w:r>
    </w:p>
    <w:p>
      <w:pPr>
        <w:pStyle w:val="BodyText"/>
        <w:spacing w:line="273" w:lineRule="auto" w:before="157"/>
        <w:ind w:left="537" w:right="1185" w:hanging="3"/>
        <w:jc w:val="left"/>
      </w:pPr>
      <w:r>
        <w:rPr>
          <w:rFonts w:ascii="宋体" w:hAnsi="宋体" w:cs="宋体" w:eastAsia="宋体" w:hint="default"/>
          <w:b/>
          <w:bCs/>
        </w:rPr>
        <w:t>3.价格风险</w:t>
      </w:r>
      <w:r>
        <w:rPr>
          <w:rFonts w:ascii="宋体" w:hAnsi="宋体" w:cs="宋体" w:eastAsia="宋体" w:hint="default"/>
          <w:b/>
          <w:bCs/>
          <w:w w:val="99"/>
        </w:rPr>
        <w:t> </w:t>
      </w:r>
      <w:r>
        <w:rPr>
          <w:w w:val="95"/>
        </w:rPr>
        <w:t>价格风险指汇率风险和利率风险以外的市场价格变动而发生波动的风险，主要源于商品价格、股票市</w:t>
      </w:r>
      <w:r>
        <w:rPr/>
      </w:r>
    </w:p>
    <w:p>
      <w:pPr>
        <w:pStyle w:val="BodyText"/>
        <w:spacing w:line="240" w:lineRule="auto"/>
        <w:ind w:right="0"/>
        <w:jc w:val="left"/>
      </w:pPr>
      <w:r>
        <w:rPr/>
        <w:t>场指数、权益工具价格以及其他风险变量的变化。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ind w:right="0"/>
        <w:jc w:val="left"/>
        <w:rPr>
          <w:b w:val="0"/>
          <w:bCs w:val="0"/>
        </w:rPr>
      </w:pPr>
      <w:bookmarkStart w:name="十一、公允价值的披露" w:id="465"/>
      <w:bookmarkEnd w:id="46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以公允价值计量的资产和负债的期末公允价值" w:id="466"/>
      <w:bookmarkEnd w:id="46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2"/>
              <w:jc w:val="left"/>
              <w:rPr>
                <w:rFonts w:ascii="宋体" w:hAnsi="宋体" w:cs="宋体" w:eastAsia="宋体" w:hint="default"/>
                <w:sz w:val="18"/>
                <w:szCs w:val="18"/>
              </w:rPr>
            </w:pPr>
            <w:r>
              <w:rPr>
                <w:rFonts w:ascii="宋体" w:hAnsi="宋体" w:cs="宋体" w:eastAsia="宋体" w:hint="default"/>
                <w:spacing w:val="-3"/>
                <w:sz w:val="18"/>
                <w:szCs w:val="18"/>
              </w:rPr>
              <w:t>（三）其他权益工具投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28,458,768.98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28,458,768.98</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left="132" w:right="220"/>
        <w:jc w:val="left"/>
        <w:rPr>
          <w:b w:val="0"/>
          <w:bCs w:val="0"/>
        </w:rPr>
      </w:pPr>
      <w:bookmarkStart w:name="2、持续和非持续第一层次公允价值计量项目市价的确定依据" w:id="467"/>
      <w:bookmarkEnd w:id="46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32" w:right="220"/>
        <w:jc w:val="left"/>
        <w:rPr>
          <w:b w:val="0"/>
          <w:bCs w:val="0"/>
        </w:rPr>
      </w:pPr>
      <w:bookmarkStart w:name="3、持续和非持续第二层次公允价值计量项目，采用的估值技术和重要参数的定性及定量信" w:id="468"/>
      <w:bookmarkEnd w:id="46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32" w:right="220"/>
        <w:jc w:val="left"/>
        <w:rPr>
          <w:b w:val="0"/>
          <w:bCs w:val="0"/>
        </w:rPr>
      </w:pPr>
      <w:bookmarkStart w:name="4、持续和非持续第三层次公允价值计量项目，采用的估值技术和重要参数的定性及定量信" w:id="469"/>
      <w:bookmarkEnd w:id="46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5"/>
          <w:szCs w:val="25"/>
        </w:rPr>
      </w:pPr>
    </w:p>
    <w:p>
      <w:pPr>
        <w:spacing w:line="390"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13.3pt;height:19.55pt;mso-position-horizontal-relative:char;mso-position-vertical-relative:line" coordorigin="0,0" coordsize="8266,391">
            <v:group style="position:absolute;left:14;top:14;width:8237;height:2" coordorigin="14,14" coordsize="8237,2">
              <v:shape style="position:absolute;left:14;top:14;width:8237;height:2" coordorigin="14,14" coordsize="8237,0" path="m14,14l8251,14e" filled="false" stroked="true" strokeweight="1.44pt" strokecolor="#000000">
                <v:path arrowok="t"/>
              </v:shape>
            </v:group>
            <v:group style="position:absolute;left:14;top:376;width:8237;height:2" coordorigin="14,376" coordsize="8237,2">
              <v:shape style="position:absolute;left:14;top:376;width:8237;height:2" coordorigin="14,376" coordsize="8237,0" path="m14,376l8251,376e" filled="false" stroked="true" strokeweight="1.44pt" strokecolor="#000000">
                <v:path arrowok="t"/>
              </v:shape>
            </v:group>
            <v:group style="position:absolute;left:22;top:29;width:2;height:334" coordorigin="22,29" coordsize="2,334">
              <v:shape style="position:absolute;left:22;top:29;width:2;height:334" coordorigin="22,29" coordsize="0,334" path="m22,29l22,362e" filled="false" stroked="true" strokeweight=".72pt" strokecolor="#000000">
                <v:path arrowok="t"/>
              </v:shape>
            </v:group>
            <v:group style="position:absolute;left:1974;top:29;width:2;height:334" coordorigin="1974,29" coordsize="2,334">
              <v:shape style="position:absolute;left:1974;top:29;width:2;height:334" coordorigin="1974,29" coordsize="0,334" path="m1974,29l1974,362e" filled="false" stroked="true" strokeweight=".72pt" strokecolor="#000000">
                <v:path arrowok="t"/>
              </v:shape>
            </v:group>
            <v:group style="position:absolute;left:8244;top:29;width:2;height:334" coordorigin="8244,29" coordsize="2,334">
              <v:shape style="position:absolute;left:8244;top:29;width:2;height:334" coordorigin="8244,29" coordsize="0,334" path="m8244,29l8244,362e" filled="false" stroked="true" strokeweight=".72pt" strokecolor="#000000">
                <v:path arrowok="t"/>
              </v:shape>
            </v:group>
          </v:group>
        </w:pict>
      </w:r>
      <w:r>
        <w:rPr>
          <w:rFonts w:ascii="宋体" w:hAnsi="宋体" w:cs="宋体" w:eastAsia="宋体" w:hint="default"/>
          <w:position w:val="-7"/>
          <w:sz w:val="20"/>
          <w:szCs w:val="20"/>
        </w:rPr>
      </w:r>
    </w:p>
    <w:p>
      <w:pPr>
        <w:pStyle w:val="BodyText"/>
        <w:spacing w:line="261" w:lineRule="exact" w:before="0"/>
        <w:ind w:left="132" w:right="220" w:firstLine="420"/>
        <w:jc w:val="left"/>
      </w:pPr>
      <w:r>
        <w:rPr/>
        <w:t>公司持有的以成本计量的、在活跃市场中没有报价且其公允价值不能可靠计量的其他权益工具投资，</w:t>
      </w:r>
    </w:p>
    <w:p>
      <w:pPr>
        <w:pStyle w:val="BodyText"/>
        <w:spacing w:line="273" w:lineRule="auto" w:before="37"/>
        <w:ind w:left="132" w:right="1132"/>
        <w:jc w:val="both"/>
      </w:pPr>
      <w:r>
        <w:rPr>
          <w:w w:val="95"/>
        </w:rPr>
        <w:t>无活跃市场上未经调整的报价，也无直接或间接可观察的输入值，故采用第三层次输入值。 以被投资单位</w:t>
      </w:r>
      <w:r>
        <w:rPr>
          <w:spacing w:val="36"/>
          <w:w w:val="95"/>
        </w:rPr>
        <w:t> </w:t>
      </w:r>
      <w:r>
        <w:rPr>
          <w:spacing w:val="36"/>
          <w:w w:val="95"/>
        </w:rPr>
      </w:r>
      <w:r>
        <w:rPr>
          <w:w w:val="95"/>
        </w:rPr>
        <w:t>期末净资产作为评估其公允价值的重要参考依据。对被投资单位期末净资产基本能体现其公允价值的，以</w:t>
      </w:r>
      <w:r>
        <w:rPr>
          <w:spacing w:val="40"/>
          <w:w w:val="95"/>
        </w:rPr>
        <w:t> </w:t>
      </w:r>
      <w:r>
        <w:rPr>
          <w:spacing w:val="40"/>
          <w:w w:val="95"/>
        </w:rPr>
      </w:r>
      <w:r>
        <w:rPr>
          <w:w w:val="95"/>
        </w:rPr>
        <w:t>其净资产作为评估公允价值的基数；对被投资单位期末净资产不能体现其公允价值的，在考虑市场参与者</w:t>
      </w:r>
      <w:r>
        <w:rPr>
          <w:spacing w:val="37"/>
          <w:w w:val="95"/>
        </w:rPr>
        <w:t> </w:t>
      </w:r>
      <w:r>
        <w:rPr>
          <w:spacing w:val="37"/>
          <w:w w:val="95"/>
        </w:rPr>
      </w:r>
      <w:r>
        <w:rPr/>
        <w:t>对相关资产或负债定价时所使用的假设的基础上进行调整。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6"/>
        <w:spacing w:line="240" w:lineRule="auto"/>
        <w:ind w:left="132" w:right="220"/>
        <w:jc w:val="left"/>
        <w:rPr>
          <w:b w:val="0"/>
          <w:bCs w:val="0"/>
        </w:rPr>
      </w:pPr>
      <w:bookmarkStart w:name="5、持续的第三层次公允价值计量项目，期初与期末账面价值间的调节信息及不可观察参数" w:id="470"/>
      <w:bookmarkEnd w:id="47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32" w:right="220"/>
        <w:jc w:val="left"/>
        <w:rPr>
          <w:b w:val="0"/>
          <w:bCs w:val="0"/>
        </w:rPr>
      </w:pPr>
      <w:bookmarkStart w:name="6、持续的公允价值计量项目，本期内发生各层级之间转换的，转换的原因及确定转换时点" w:id="471"/>
      <w:bookmarkEnd w:id="47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32" w:right="220"/>
        <w:jc w:val="left"/>
        <w:rPr>
          <w:b w:val="0"/>
          <w:bCs w:val="0"/>
        </w:rPr>
      </w:pPr>
      <w:bookmarkStart w:name="7、本期内发生的估值技术变更及变更原因" w:id="472"/>
      <w:bookmarkEnd w:id="47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600" w:lineRule="atLeast" w:before="12"/>
        <w:ind w:left="552" w:right="220" w:hanging="420"/>
        <w:jc w:val="left"/>
        <w:rPr>
          <w:rFonts w:ascii="宋体" w:hAnsi="宋体" w:cs="宋体" w:eastAsia="宋体" w:hint="default"/>
          <w:sz w:val="21"/>
          <w:szCs w:val="21"/>
        </w:rPr>
      </w:pPr>
      <w:bookmarkStart w:name="8、不以公允价值计量的金融资产和金融负债的公允价值情况" w:id="473"/>
      <w:bookmarkEnd w:id="4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99"/>
          <w:sz w:val="21"/>
          <w:szCs w:val="21"/>
        </w:rPr>
        <w:t> </w:t>
      </w:r>
      <w:r>
        <w:rPr>
          <w:rFonts w:ascii="宋体" w:hAnsi="宋体" w:cs="宋体" w:eastAsia="宋体" w:hint="default"/>
          <w:w w:val="95"/>
          <w:sz w:val="21"/>
          <w:szCs w:val="21"/>
        </w:rPr>
        <w:t>报告期内不以公允价值计量的金融资产和负债主要包括：应收款项、其他应收款、长期应收款、短期</w:t>
      </w:r>
      <w:r>
        <w:rPr>
          <w:rFonts w:ascii="宋体" w:hAnsi="宋体" w:cs="宋体" w:eastAsia="宋体" w:hint="default"/>
          <w:sz w:val="21"/>
          <w:szCs w:val="21"/>
        </w:rPr>
      </w:r>
    </w:p>
    <w:p>
      <w:pPr>
        <w:pStyle w:val="BodyText"/>
        <w:spacing w:line="273" w:lineRule="auto" w:before="37"/>
        <w:ind w:left="552" w:right="220" w:hanging="420"/>
        <w:jc w:val="left"/>
      </w:pPr>
      <w:r>
        <w:rPr/>
        <w:t>借款、应付款项、应付利息、长期应付款。</w:t>
      </w:r>
      <w:r>
        <w:rPr>
          <w:w w:val="99"/>
        </w:rPr>
        <w:t> </w:t>
      </w:r>
      <w:r>
        <w:rPr>
          <w:w w:val="95"/>
        </w:rPr>
        <w:t>上述不以公允价值计量的金融资产和负债的账面价值与公允价值相差很小</w:t>
      </w:r>
      <w:r>
        <w:rPr>
          <w:color w:val="0000CC"/>
          <w:w w:val="95"/>
        </w:rPr>
        <w:t>。</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487" w:lineRule="auto" w:before="0"/>
        <w:ind w:left="132" w:right="8103" w:firstLine="0"/>
        <w:jc w:val="left"/>
        <w:rPr>
          <w:rFonts w:ascii="宋体" w:hAnsi="宋体" w:cs="宋体" w:eastAsia="宋体" w:hint="default"/>
          <w:sz w:val="21"/>
          <w:szCs w:val="21"/>
        </w:rPr>
      </w:pPr>
      <w:bookmarkStart w:name="9、其他" w:id="474"/>
      <w:bookmarkEnd w:id="47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75"/>
      <w:bookmarkEnd w:id="475"/>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2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spacing w:line="360" w:lineRule="auto" w:before="49"/>
        <w:ind w:left="132" w:right="841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本企业最终控制方是王安京。 其他说明：</w:t>
      </w:r>
    </w:p>
    <w:p>
      <w:pPr>
        <w:pStyle w:val="BodyText"/>
        <w:spacing w:line="273" w:lineRule="auto" w:before="81"/>
        <w:ind w:left="132" w:right="1132" w:firstLine="420"/>
        <w:jc w:val="both"/>
      </w:pPr>
      <w:r>
        <w:rPr>
          <w:spacing w:val="8"/>
        </w:rPr>
        <w:t>截至2019年12月31日止，王安京在宁波科蓝盛合投资管理合伙企业（有限合伙）中的出资比例为</w:t>
      </w:r>
      <w:r>
        <w:rPr>
          <w:w w:val="99"/>
        </w:rPr>
        <w:t> </w:t>
      </w:r>
      <w:r>
        <w:rPr>
          <w:spacing w:val="2"/>
          <w:w w:val="95"/>
        </w:rPr>
        <w:t>98.81%，其中宁波科蓝盛合投资管理合伙企业（有限合伙）持有本公司股份比例为6.5015%，王安京对本</w:t>
      </w:r>
      <w:r>
        <w:rPr>
          <w:spacing w:val="35"/>
          <w:w w:val="95"/>
        </w:rPr>
        <w:t> </w:t>
      </w:r>
      <w:r>
        <w:rPr>
          <w:spacing w:val="35"/>
          <w:w w:val="95"/>
        </w:rPr>
      </w:r>
      <w:r>
        <w:rPr/>
        <w:t>公司的间接持股比例为6.4241%。</w:t>
      </w:r>
    </w:p>
    <w:p>
      <w:pPr>
        <w:spacing w:after="0" w:line="273" w:lineRule="auto"/>
        <w:jc w:val="both"/>
        <w:sectPr>
          <w:pgSz w:w="11910" w:h="16840"/>
          <w:pgMar w:header="907" w:footer="1016" w:top="1100" w:bottom="1200" w:left="100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本企业的子公司情况" w:id="477"/>
      <w:bookmarkEnd w:id="47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本企业合营和联营企业情况" w:id="478"/>
      <w:bookmarkEnd w:id="47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的联营企业</w:t>
            </w: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其他关联方情况" w:id="479"/>
      <w:bookmarkEnd w:id="47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李玫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与王安京为夫妻关系</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5、关联交易情况" w:id="480"/>
      <w:bookmarkEnd w:id="48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购销商品、提供和接受劳务的关联交易" w:id="481"/>
      <w:bookmarkEnd w:id="48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66"/>
              <w:jc w:val="left"/>
              <w:rPr>
                <w:rFonts w:ascii="宋体" w:hAnsi="宋体" w:cs="宋体" w:eastAsia="宋体" w:hint="default"/>
                <w:sz w:val="18"/>
                <w:szCs w:val="18"/>
              </w:rPr>
            </w:pPr>
            <w:r>
              <w:rPr>
                <w:rFonts w:ascii="宋体" w:hAnsi="宋体" w:cs="宋体" w:eastAsia="宋体" w:hint="default"/>
                <w:sz w:val="18"/>
                <w:szCs w:val="18"/>
              </w:rPr>
              <w:t>重庆巴云科技有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84,905.66</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472,641.50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关联受托管理/承包及委托管理/出包情况" w:id="482"/>
      <w:bookmarkEnd w:id="48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8" w:right="112"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7" w:right="112"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38" w:right="112"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3" w:right="111" w:hanging="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本期确认的托</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bookmarkStart w:name="（3）关联租赁情况" w:id="483"/>
      <w:bookmarkEnd w:id="48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机柜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0" w:right="0"/>
              <w:jc w:val="left"/>
              <w:rPr>
                <w:rFonts w:ascii="Times New Roman" w:hAnsi="Times New Roman" w:cs="Times New Roman" w:eastAsia="Times New Roman" w:hint="default"/>
                <w:sz w:val="18"/>
                <w:szCs w:val="18"/>
              </w:rPr>
            </w:pPr>
            <w:r>
              <w:rPr>
                <w:rFonts w:ascii="Times New Roman"/>
                <w:sz w:val="18"/>
              </w:rPr>
              <w:t>70,796.48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8" w:right="0"/>
              <w:jc w:val="left"/>
              <w:rPr>
                <w:rFonts w:ascii="Times New Roman" w:hAnsi="Times New Roman" w:cs="Times New Roman" w:eastAsia="Times New Roman" w:hint="default"/>
                <w:sz w:val="18"/>
                <w:szCs w:val="18"/>
              </w:rPr>
            </w:pPr>
            <w:r>
              <w:rPr>
                <w:rFonts w:ascii="Times New Roman"/>
                <w:sz w:val="18"/>
              </w:rPr>
              <w:t>56,603.77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BodyText"/>
        <w:spacing w:line="240" w:lineRule="auto" w:before="91"/>
        <w:ind w:right="0"/>
        <w:jc w:val="left"/>
      </w:pPr>
      <w:r>
        <w:rPr/>
        <w:t>子公司大陆云盾公司与重庆巴云公司互相租赁使用机柜，作为灾备服务器。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4）关联担保情况" w:id="484"/>
      <w:bookmarkEnd w:id="48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34,881,000.00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34,881,000.00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24,416,700.00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footerReference w:type="default" r:id="rId43"/>
          <w:pgSz w:w="11910" w:h="16840"/>
          <w:pgMar w:footer="1016" w:header="907" w:top="1100" w:bottom="1200" w:left="1020" w:right="0"/>
          <w:pgNumType w:star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96"/>
        <w:ind w:right="0"/>
        <w:jc w:val="left"/>
        <w:rPr>
          <w:b w:val="0"/>
          <w:bCs w:val="0"/>
        </w:rPr>
      </w:pPr>
      <w:r>
        <w:rPr/>
        <w:t>（</w:t>
      </w:r>
      <w:r>
        <w:rPr>
          <w:rFonts w:ascii="Times New Roman" w:hAnsi="Times New Roman" w:cs="Times New Roman" w:eastAsia="Times New Roman" w:hint="default"/>
        </w:rPr>
        <w:t>5</w:t>
      </w:r>
      <w:r>
        <w:rPr/>
        <w:t>）</w:t>
      </w:r>
      <w:bookmarkStart w:name="（5）关联方资金拆借" w:id="485"/>
      <w:bookmarkEnd w:id="485"/>
      <w:r>
        <w:rPr/>
        <w:t>关</w:t>
      </w:r>
      <w:r>
        <w:rPr/>
        <w:t>联方资金拆借</w:t>
      </w:r>
      <w:r>
        <w:rPr>
          <w:b w:val="0"/>
          <w:bCs w:val="0"/>
        </w:rPr>
      </w:r>
    </w:p>
    <w:p>
      <w:pPr>
        <w:spacing w:line="240" w:lineRule="auto" w:before="7"/>
        <w:rPr>
          <w:rFonts w:ascii="宋体" w:hAnsi="宋体" w:cs="宋体" w:eastAsia="宋体" w:hint="default"/>
          <w:b/>
          <w:bCs/>
          <w:sz w:val="26"/>
          <w:szCs w:val="26"/>
        </w:rPr>
      </w:pPr>
    </w:p>
    <w:p>
      <w:pPr>
        <w:spacing w:line="300" w:lineRule="auto" w:before="0"/>
        <w:ind w:left="112" w:right="1120" w:firstLine="360"/>
        <w:jc w:val="left"/>
        <w:rPr>
          <w:rFonts w:ascii="宋体" w:hAnsi="宋体" w:cs="宋体" w:eastAsia="宋体" w:hint="default"/>
          <w:sz w:val="18"/>
          <w:szCs w:val="18"/>
        </w:rPr>
      </w:pPr>
      <w:r>
        <w:rPr>
          <w:rFonts w:ascii="宋体" w:hAnsi="宋体" w:cs="宋体" w:eastAsia="宋体" w:hint="default"/>
          <w:sz w:val="18"/>
          <w:szCs w:val="18"/>
        </w:rPr>
        <w:t>由于公司总体战略及经营发展的需要，</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日公司第二届董事会第二十七次会议决议，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年度拟向控股股 东及实际控制人王安京申请不超过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亿元人民币的借款额度，借款利率不超过公司外部融资综合成本，借款额度有效期为</w:t>
      </w:r>
    </w:p>
    <w:p>
      <w:pPr>
        <w:spacing w:before="1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个月，有效期限内借款额度可循环使用。</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年度内，公司向王安京申请借款累计发生金额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亿元，使用借款额度最</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大值为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万元，共发生利息费用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1,271,166.66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6"/>
        <w:spacing w:line="240" w:lineRule="auto"/>
        <w:ind w:right="0"/>
        <w:jc w:val="left"/>
        <w:rPr>
          <w:b w:val="0"/>
          <w:bCs w:val="0"/>
        </w:rPr>
      </w:pPr>
      <w:bookmarkStart w:name="（6）关联方资产转让、债务重组情况" w:id="486"/>
      <w:bookmarkEnd w:id="48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7）关键管理人员报酬" w:id="487"/>
      <w:bookmarkEnd w:id="48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6,059,364.09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3,511,453.20</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8）其他关联交易" w:id="488"/>
      <w:bookmarkEnd w:id="48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6、关联方应收应付款项" w:id="489"/>
      <w:bookmarkEnd w:id="48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应收项目" w:id="490"/>
      <w:bookmarkEnd w:id="49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0"/>
              <w:jc w:val="left"/>
              <w:rPr>
                <w:rFonts w:ascii="宋体" w:hAnsi="宋体" w:cs="宋体" w:eastAsia="宋体" w:hint="default"/>
                <w:sz w:val="18"/>
                <w:szCs w:val="18"/>
              </w:rPr>
            </w:pPr>
            <w:r>
              <w:rPr>
                <w:rFonts w:ascii="宋体" w:hAnsi="宋体" w:cs="宋体" w:eastAsia="宋体" w:hint="default"/>
                <w:sz w:val="18"/>
                <w:szCs w:val="18"/>
              </w:rPr>
              <w:t>重庆巴云科技有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1,313,951.78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618,898.61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1,229,350.00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366,755.00</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2）应付项目" w:id="491"/>
      <w:bookmarkEnd w:id="49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9" w:right="0"/>
              <w:jc w:val="left"/>
              <w:rPr>
                <w:rFonts w:ascii="Times New Roman" w:hAnsi="Times New Roman" w:cs="Times New Roman" w:eastAsia="Times New Roman" w:hint="default"/>
                <w:sz w:val="18"/>
                <w:szCs w:val="18"/>
              </w:rPr>
            </w:pPr>
            <w:r>
              <w:rPr>
                <w:rFonts w:ascii="Times New Roman"/>
                <w:sz w:val="18"/>
              </w:rPr>
              <w:t>135,905.66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8" w:right="0"/>
              <w:jc w:val="left"/>
              <w:rPr>
                <w:rFonts w:ascii="Times New Roman" w:hAnsi="Times New Roman" w:cs="Times New Roman" w:eastAsia="Times New Roman" w:hint="default"/>
                <w:sz w:val="18"/>
                <w:szCs w:val="18"/>
              </w:rPr>
            </w:pPr>
            <w:r>
              <w:rPr>
                <w:rFonts w:ascii="Times New Roman"/>
                <w:sz w:val="18"/>
              </w:rPr>
              <w:t>51,000.00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7、关联方承诺" w:id="492"/>
      <w:bookmarkEnd w:id="49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8、其他" w:id="493"/>
      <w:bookmarkEnd w:id="493"/>
      <w:r>
        <w:rPr>
          <w:b w:val="0"/>
          <w:bCs w:val="0"/>
        </w:rPr>
      </w: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4"/>
        <w:spacing w:line="240" w:lineRule="auto"/>
        <w:ind w:right="0"/>
        <w:jc w:val="left"/>
        <w:rPr>
          <w:b w:val="0"/>
          <w:bCs w:val="0"/>
        </w:rPr>
      </w:pPr>
      <w:bookmarkStart w:name="十三、股份支付" w:id="494"/>
      <w:bookmarkEnd w:id="494"/>
      <w:r>
        <w:rPr>
          <w:b w:val="0"/>
          <w:bCs w:val="0"/>
        </w:rPr>
      </w:r>
      <w:r>
        <w:rPr/>
        <w:t>十三、股份支付</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股份支付总体情况" w:id="495"/>
      <w:bookmarkEnd w:id="49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3,206,234.00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以权益结算的股份支付情况" w:id="496"/>
      <w:bookmarkEnd w:id="49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133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3" w:right="101"/>
              <w:jc w:val="both"/>
              <w:rPr>
                <w:rFonts w:ascii="宋体" w:hAnsi="宋体" w:cs="宋体" w:eastAsia="宋体" w:hint="default"/>
                <w:sz w:val="18"/>
                <w:szCs w:val="18"/>
              </w:rPr>
            </w:pPr>
            <w:r>
              <w:rPr>
                <w:rFonts w:ascii="宋体" w:hAnsi="宋体" w:cs="宋体" w:eastAsia="宋体" w:hint="default"/>
                <w:sz w:val="18"/>
                <w:szCs w:val="18"/>
              </w:rPr>
              <w:t>授予非董事、监事、高级管理人员的限制性股票，公允 价值采用授予日的收盘价；授予董事、监事、高级管理 </w:t>
            </w:r>
            <w:r>
              <w:rPr>
                <w:rFonts w:ascii="宋体" w:hAnsi="宋体" w:cs="宋体" w:eastAsia="宋体" w:hint="default"/>
                <w:spacing w:val="-1"/>
                <w:sz w:val="18"/>
                <w:szCs w:val="18"/>
              </w:rPr>
              <w:t>人员的限制性股票，公允价值采用布莱克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斯科尔期权定</w:t>
            </w:r>
            <w:r>
              <w:rPr>
                <w:rFonts w:ascii="宋体" w:hAnsi="宋体" w:cs="宋体" w:eastAsia="宋体" w:hint="default"/>
                <w:spacing w:val="-77"/>
                <w:sz w:val="18"/>
                <w:szCs w:val="18"/>
              </w:rPr>
              <w:t> </w:t>
            </w:r>
            <w:r>
              <w:rPr>
                <w:rFonts w:ascii="宋体" w:hAnsi="宋体" w:cs="宋体" w:eastAsia="宋体" w:hint="default"/>
                <w:sz w:val="18"/>
                <w:szCs w:val="18"/>
              </w:rPr>
              <w:t>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模型）确定</w:t>
            </w:r>
          </w:p>
        </w:tc>
      </w:tr>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9"/>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 每期解锁比例确定</w:t>
            </w:r>
          </w:p>
        </w:tc>
      </w:tr>
      <w:tr>
        <w:trPr>
          <w:trHeight w:val="133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9"/>
              <w:jc w:val="both"/>
              <w:rPr>
                <w:rFonts w:ascii="宋体" w:hAnsi="宋体" w:cs="宋体" w:eastAsia="宋体" w:hint="default"/>
                <w:sz w:val="18"/>
                <w:szCs w:val="18"/>
              </w:rPr>
            </w:pPr>
            <w:r>
              <w:rPr>
                <w:rFonts w:ascii="宋体" w:hAnsi="宋体" w:cs="宋体" w:eastAsia="宋体" w:hint="default"/>
                <w:sz w:val="18"/>
                <w:szCs w:val="18"/>
              </w:rPr>
              <w:t>首次授予的限制性股票第三个解除限售期、预留限制性 股票第二个解除限售期业绩考核指标未达成预期将回购 对应数量限制性股票，并部分员工离职将预期回购授予 的全部限制性股票</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6,582,191.60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-690,803.08</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以现金结算的股份支付情况" w:id="497"/>
      <w:bookmarkEnd w:id="49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506" w:lineRule="auto" w:before="34"/>
        <w:ind w:left="112" w:right="5211" w:firstLine="0"/>
        <w:jc w:val="left"/>
        <w:rPr>
          <w:rFonts w:ascii="宋体" w:hAnsi="宋体" w:cs="宋体" w:eastAsia="宋体" w:hint="default"/>
          <w:sz w:val="21"/>
          <w:szCs w:val="21"/>
        </w:rPr>
      </w:pPr>
      <w:bookmarkStart w:name="4、股份支付的修改、终止情况" w:id="498"/>
      <w:bookmarkEnd w:id="49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w w:val="95"/>
          <w:sz w:val="21"/>
          <w:szCs w:val="21"/>
        </w:rPr>
        <w:t>本期无股份支付的修改、终止情况。</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484" w:lineRule="auto" w:before="156"/>
        <w:ind w:left="112" w:right="8344" w:firstLine="0"/>
        <w:jc w:val="left"/>
        <w:rPr>
          <w:rFonts w:ascii="宋体" w:hAnsi="宋体" w:cs="宋体" w:eastAsia="宋体" w:hint="default"/>
          <w:sz w:val="21"/>
          <w:szCs w:val="21"/>
        </w:rPr>
      </w:pPr>
      <w:bookmarkStart w:name="5、其他" w:id="499"/>
      <w:bookmarkEnd w:id="49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500"/>
      <w:bookmarkEnd w:id="500"/>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1"/>
      <w:bookmarkEnd w:id="50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2"/>
        <w:ind w:left="1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
        <w:rPr>
          <w:rFonts w:ascii="宋体" w:hAnsi="宋体" w:cs="宋体" w:eastAsia="宋体" w:hint="default"/>
          <w:sz w:val="13"/>
          <w:szCs w:val="13"/>
        </w:rPr>
      </w:pPr>
    </w:p>
    <w:p>
      <w:pPr>
        <w:spacing w:line="273" w:lineRule="auto" w:before="0"/>
        <w:ind w:left="535" w:right="0" w:hanging="423"/>
        <w:jc w:val="left"/>
        <w:rPr>
          <w:rFonts w:ascii="宋体" w:hAnsi="宋体" w:cs="宋体" w:eastAsia="宋体" w:hint="default"/>
          <w:sz w:val="21"/>
          <w:szCs w:val="21"/>
        </w:rPr>
      </w:pPr>
      <w:r>
        <w:rPr>
          <w:rFonts w:ascii="宋体" w:hAnsi="宋体" w:cs="宋体" w:eastAsia="宋体" w:hint="default"/>
          <w:b/>
          <w:bCs/>
          <w:sz w:val="21"/>
          <w:szCs w:val="21"/>
        </w:rPr>
        <w:t>签订的尚未履行或尚未完全履行的对外投资合同及有关财务支出</w:t>
      </w:r>
      <w:r>
        <w:rPr>
          <w:rFonts w:ascii="宋体" w:hAnsi="宋体" w:cs="宋体" w:eastAsia="宋体" w:hint="default"/>
          <w:b/>
          <w:bCs/>
          <w:w w:val="99"/>
          <w:sz w:val="21"/>
          <w:szCs w:val="21"/>
        </w:rPr>
        <w:t> </w:t>
      </w:r>
      <w:r>
        <w:rPr>
          <w:rFonts w:ascii="宋体" w:hAnsi="宋体" w:cs="宋体" w:eastAsia="宋体" w:hint="default"/>
          <w:w w:val="95"/>
          <w:sz w:val="21"/>
          <w:szCs w:val="21"/>
        </w:rPr>
        <w:t>公司2019年12月6日召开的第二届董事会第三十一次会议决议，拟以现金8,435万人民币收购深圳宁泽</w:t>
      </w:r>
      <w:r>
        <w:rPr>
          <w:rFonts w:ascii="宋体" w:hAnsi="宋体" w:cs="宋体" w:eastAsia="宋体" w:hint="default"/>
          <w:sz w:val="21"/>
          <w:szCs w:val="21"/>
        </w:rPr>
      </w:r>
    </w:p>
    <w:p>
      <w:pPr>
        <w:pStyle w:val="BodyText"/>
        <w:spacing w:line="264" w:lineRule="auto"/>
        <w:ind w:right="0"/>
        <w:jc w:val="left"/>
      </w:pPr>
      <w:r>
        <w:rPr>
          <w:spacing w:val="-3"/>
          <w:w w:val="99"/>
        </w:rPr>
        <w:t>金融科技发展有限公司（以下简称“宁泽金融”）股东合计48.2%股权，并同时向宁泽金融增资1</w:t>
      </w:r>
      <w:r>
        <w:rPr>
          <w:rFonts w:ascii="Times New Roman" w:hAnsi="Times New Roman" w:cs="Times New Roman" w:eastAsia="Times New Roman" w:hint="default"/>
          <w:spacing w:val="-3"/>
          <w:w w:val="99"/>
        </w:rPr>
        <w:t>,000</w:t>
      </w:r>
      <w:r>
        <w:rPr>
          <w:spacing w:val="-3"/>
          <w:w w:val="99"/>
        </w:rPr>
        <w:t>万元人</w:t>
      </w:r>
      <w:r>
        <w:rPr>
          <w:w w:val="99"/>
        </w:rPr>
        <w:t> </w:t>
      </w:r>
      <w:r>
        <w:rPr/>
        <w:t>民币，完成上述转让及增资后公司占宁泽金融51%股权，宁泽金融成为公司的控股子公司。截至2019年12</w:t>
      </w:r>
      <w:r>
        <w:rPr>
          <w:w w:val="99"/>
        </w:rPr>
        <w:t> </w:t>
      </w:r>
      <w:r>
        <w:rPr/>
        <w:t>月31日，该股权收购款尚未支付。</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6"/>
        <w:spacing w:line="240" w:lineRule="auto"/>
        <w:ind w:right="0"/>
        <w:jc w:val="left"/>
        <w:rPr>
          <w:b w:val="0"/>
          <w:bCs w:val="0"/>
        </w:rPr>
      </w:pPr>
      <w:r>
        <w:rPr/>
        <w:t>2.</w:t>
      </w:r>
      <w:r>
        <w:rPr>
          <w:spacing w:val="-8"/>
        </w:rPr>
        <w:t> </w:t>
      </w:r>
      <w:r>
        <w:rPr/>
        <w:t>已签订的正在或准备履行的租赁合同及财务影响</w:t>
      </w:r>
      <w:r>
        <w:rPr>
          <w:b w:val="0"/>
          <w:bCs w:val="0"/>
        </w:rPr>
      </w:r>
    </w:p>
    <w:p>
      <w:pPr>
        <w:spacing w:line="240" w:lineRule="auto" w:before="1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4815"/>
        <w:gridCol w:w="3407"/>
      </w:tblGrid>
      <w:tr>
        <w:trPr>
          <w:trHeight w:val="354" w:hRule="exact"/>
        </w:trPr>
        <w:tc>
          <w:tcPr>
            <w:tcW w:w="4815" w:type="dxa"/>
            <w:tcBorders>
              <w:top w:val="single" w:sz="6" w:space="0" w:color="000000"/>
              <w:left w:val="single" w:sz="6" w:space="0" w:color="000000"/>
              <w:bottom w:val="single" w:sz="12" w:space="0" w:color="000000"/>
              <w:right w:val="single" w:sz="6" w:space="0" w:color="000000"/>
            </w:tcBorders>
          </w:tcPr>
          <w:p>
            <w:pPr>
              <w:pStyle w:val="TableParagraph"/>
              <w:tabs>
                <w:tab w:pos="539" w:val="left" w:leader="none"/>
              </w:tabs>
              <w:spacing w:line="240" w:lineRule="auto" w:before="21"/>
              <w:ind w:right="203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4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2" w:hRule="exact"/>
        </w:trPr>
        <w:tc>
          <w:tcPr>
            <w:tcW w:w="4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不可撤销的经营租赁的租赁付款额</w:t>
            </w:r>
          </w:p>
        </w:tc>
        <w:tc>
          <w:tcPr>
            <w:tcW w:w="3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324"/>
              <w:jc w:val="right"/>
              <w:rPr>
                <w:rFonts w:ascii="宋体" w:hAnsi="宋体" w:cs="宋体" w:eastAsia="宋体" w:hint="default"/>
                <w:sz w:val="18"/>
                <w:szCs w:val="18"/>
              </w:rPr>
            </w:pPr>
            <w:r>
              <w:rPr>
                <w:rFonts w:ascii="宋体"/>
                <w:spacing w:val="-1"/>
                <w:sz w:val="18"/>
              </w:rPr>
              <w:t>38,544,027.48</w:t>
            </w:r>
          </w:p>
        </w:tc>
      </w:tr>
      <w:tr>
        <w:trPr>
          <w:trHeight w:val="362" w:hRule="exact"/>
        </w:trPr>
        <w:tc>
          <w:tcPr>
            <w:tcW w:w="4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其中：资产负债表日后第1年</w:t>
            </w:r>
          </w:p>
        </w:tc>
        <w:tc>
          <w:tcPr>
            <w:tcW w:w="3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324"/>
              <w:jc w:val="right"/>
              <w:rPr>
                <w:rFonts w:ascii="宋体" w:hAnsi="宋体" w:cs="宋体" w:eastAsia="宋体" w:hint="default"/>
                <w:sz w:val="18"/>
                <w:szCs w:val="18"/>
              </w:rPr>
            </w:pPr>
            <w:r>
              <w:rPr>
                <w:rFonts w:ascii="宋体"/>
                <w:spacing w:val="-1"/>
                <w:sz w:val="18"/>
              </w:rPr>
              <w:t>21,407,432.37</w:t>
            </w:r>
          </w:p>
        </w:tc>
      </w:tr>
      <w:tr>
        <w:trPr>
          <w:trHeight w:val="362" w:hRule="exact"/>
        </w:trPr>
        <w:tc>
          <w:tcPr>
            <w:tcW w:w="4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43" w:right="0"/>
              <w:jc w:val="left"/>
              <w:rPr>
                <w:rFonts w:ascii="宋体" w:hAnsi="宋体" w:cs="宋体" w:eastAsia="宋体" w:hint="default"/>
                <w:sz w:val="18"/>
                <w:szCs w:val="18"/>
              </w:rPr>
            </w:pPr>
            <w:r>
              <w:rPr>
                <w:rFonts w:ascii="宋体" w:hAnsi="宋体" w:cs="宋体" w:eastAsia="宋体" w:hint="default"/>
                <w:sz w:val="18"/>
                <w:szCs w:val="18"/>
              </w:rPr>
              <w:t>资产负债表日后第2年</w:t>
            </w:r>
          </w:p>
        </w:tc>
        <w:tc>
          <w:tcPr>
            <w:tcW w:w="3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324"/>
              <w:jc w:val="right"/>
              <w:rPr>
                <w:rFonts w:ascii="宋体" w:hAnsi="宋体" w:cs="宋体" w:eastAsia="宋体" w:hint="default"/>
                <w:sz w:val="18"/>
                <w:szCs w:val="18"/>
              </w:rPr>
            </w:pPr>
            <w:r>
              <w:rPr>
                <w:rFonts w:ascii="宋体"/>
                <w:spacing w:val="-1"/>
                <w:sz w:val="18"/>
              </w:rPr>
              <w:t>15,654,539.14</w:t>
            </w:r>
          </w:p>
        </w:tc>
      </w:tr>
      <w:tr>
        <w:trPr>
          <w:trHeight w:val="362" w:hRule="exact"/>
        </w:trPr>
        <w:tc>
          <w:tcPr>
            <w:tcW w:w="4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543" w:right="0"/>
              <w:jc w:val="left"/>
              <w:rPr>
                <w:rFonts w:ascii="宋体" w:hAnsi="宋体" w:cs="宋体" w:eastAsia="宋体" w:hint="default"/>
                <w:sz w:val="18"/>
                <w:szCs w:val="18"/>
              </w:rPr>
            </w:pPr>
            <w:r>
              <w:rPr>
                <w:rFonts w:ascii="宋体" w:hAnsi="宋体" w:cs="宋体" w:eastAsia="宋体" w:hint="default"/>
                <w:sz w:val="18"/>
                <w:szCs w:val="18"/>
              </w:rPr>
              <w:t>资产负债表日后第3年</w:t>
            </w:r>
          </w:p>
        </w:tc>
        <w:tc>
          <w:tcPr>
            <w:tcW w:w="3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324"/>
              <w:jc w:val="right"/>
              <w:rPr>
                <w:rFonts w:ascii="宋体" w:hAnsi="宋体" w:cs="宋体" w:eastAsia="宋体" w:hint="default"/>
                <w:sz w:val="18"/>
                <w:szCs w:val="18"/>
              </w:rPr>
            </w:pPr>
            <w:r>
              <w:rPr>
                <w:rFonts w:ascii="宋体"/>
                <w:spacing w:val="-1"/>
                <w:sz w:val="18"/>
              </w:rPr>
              <w:t>1,482,055.97</w:t>
            </w:r>
          </w:p>
        </w:tc>
      </w:tr>
      <w:tr>
        <w:trPr>
          <w:trHeight w:val="362" w:hRule="exact"/>
        </w:trPr>
        <w:tc>
          <w:tcPr>
            <w:tcW w:w="4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4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3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325"/>
              <w:jc w:val="right"/>
              <w:rPr>
                <w:rFonts w:ascii="宋体" w:hAnsi="宋体" w:cs="宋体" w:eastAsia="宋体" w:hint="default"/>
                <w:sz w:val="18"/>
                <w:szCs w:val="18"/>
              </w:rPr>
            </w:pPr>
            <w:r>
              <w:rPr>
                <w:rFonts w:ascii="宋体"/>
                <w:sz w:val="18"/>
              </w:rPr>
              <w:t>-</w:t>
            </w:r>
          </w:p>
        </w:tc>
      </w:tr>
      <w:tr>
        <w:trPr>
          <w:trHeight w:val="362" w:hRule="exact"/>
        </w:trPr>
        <w:tc>
          <w:tcPr>
            <w:tcW w:w="4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128"/>
              <w:jc w:val="right"/>
              <w:rPr>
                <w:rFonts w:ascii="宋体" w:hAnsi="宋体" w:cs="宋体" w:eastAsia="宋体" w:hint="default"/>
                <w:sz w:val="18"/>
                <w:szCs w:val="18"/>
              </w:rPr>
            </w:pPr>
            <w:r>
              <w:rPr>
                <w:rFonts w:ascii="宋体" w:hAnsi="宋体" w:cs="宋体" w:eastAsia="宋体" w:hint="default"/>
                <w:sz w:val="18"/>
                <w:szCs w:val="18"/>
              </w:rPr>
              <w:t>合  计</w:t>
            </w:r>
          </w:p>
        </w:tc>
        <w:tc>
          <w:tcPr>
            <w:tcW w:w="34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324"/>
              <w:jc w:val="right"/>
              <w:rPr>
                <w:rFonts w:ascii="宋体" w:hAnsi="宋体" w:cs="宋体" w:eastAsia="宋体" w:hint="default"/>
                <w:sz w:val="18"/>
                <w:szCs w:val="18"/>
              </w:rPr>
            </w:pPr>
            <w:r>
              <w:rPr>
                <w:rFonts w:ascii="宋体"/>
                <w:spacing w:val="-1"/>
                <w:sz w:val="18"/>
              </w:rPr>
              <w:t>38,544,027.48</w:t>
            </w:r>
          </w:p>
        </w:tc>
      </w:tr>
    </w:tbl>
    <w:p>
      <w:pPr>
        <w:spacing w:line="240" w:lineRule="auto" w:before="7"/>
        <w:rPr>
          <w:rFonts w:ascii="宋体" w:hAnsi="宋体" w:cs="宋体" w:eastAsia="宋体" w:hint="default"/>
          <w:b/>
          <w:bCs/>
          <w:sz w:val="5"/>
          <w:szCs w:val="5"/>
        </w:rPr>
      </w:pPr>
    </w:p>
    <w:p>
      <w:pPr>
        <w:pStyle w:val="BodyText"/>
        <w:spacing w:line="240" w:lineRule="auto" w:before="34"/>
        <w:ind w:left="532" w:right="0"/>
        <w:jc w:val="left"/>
      </w:pPr>
      <w:r>
        <w:rPr/>
        <w:t>除存在上述承诺事项外，截止2019年12月31日，本公司无其他应披露未披露的重大承诺事项。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6"/>
        <w:spacing w:line="240" w:lineRule="auto"/>
        <w:ind w:right="0"/>
        <w:jc w:val="left"/>
        <w:rPr>
          <w:b w:val="0"/>
          <w:bCs w:val="0"/>
        </w:rPr>
      </w:pPr>
      <w:bookmarkStart w:name="2、或有事项" w:id="502"/>
      <w:bookmarkEnd w:id="50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资产负债表日存在的重要或有事项" w:id="503"/>
      <w:bookmarkEnd w:id="50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本公司不存在需要披露的重要或有事项。</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公司没有需要披露的重要或有事项，也应予以说明" w:id="504"/>
      <w:bookmarkEnd w:id="50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spacing w:line="487" w:lineRule="auto" w:before="34"/>
        <w:ind w:left="112" w:right="7862" w:firstLine="0"/>
        <w:jc w:val="left"/>
        <w:rPr>
          <w:rFonts w:ascii="宋体" w:hAnsi="宋体" w:cs="宋体" w:eastAsia="宋体" w:hint="default"/>
          <w:sz w:val="21"/>
          <w:szCs w:val="21"/>
        </w:rPr>
      </w:pPr>
      <w:bookmarkStart w:name="3、其他" w:id="505"/>
      <w:bookmarkEnd w:id="50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06"/>
      <w:bookmarkEnd w:id="506"/>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7"/>
      <w:bookmarkEnd w:id="5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60"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的第二届董事会第三十三</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会议通过《关于回购注销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年股权激励计划部分</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首次授予限制性股票及预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留授予限制性股票的议</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鉴于公司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年限制</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性股票激励计划激励对象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人因个人原因已离</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82"/>
                <w:sz w:val="18"/>
                <w:szCs w:val="18"/>
              </w:rPr>
              <w:t>，</w:t>
            </w:r>
            <w:r>
              <w:rPr>
                <w:rFonts w:ascii="宋体" w:hAnsi="宋体" w:cs="宋体" w:eastAsia="宋体" w:hint="default"/>
                <w:sz w:val="18"/>
                <w:szCs w:val="18"/>
              </w:rPr>
              <w:t>公司拟回购注销其持有</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年限制性股票首次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授予已获授但尚未解除限</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售的共计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159,157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股限制性</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股票，回购价格为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6.1343</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股；公司拟回购注销其</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持有的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299"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预留授予已获授但尚未解</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25"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除限售的共计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389,636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股限</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制性股票，回购价格为</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6.1476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宋体" w:hAnsi="宋体" w:cs="宋体" w:eastAsia="宋体" w:hint="default"/>
                <w:sz w:val="18"/>
                <w:szCs w:val="18"/>
              </w:rPr>
              <w:t>同时由于公</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年度业绩未达到限</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制性股票激励计划首次授</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予的第三期的解除限售条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件及限制性股票激励计划</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预留授予的第二期的解除</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限售条件</w:t>
            </w:r>
            <w:r>
              <w:rPr>
                <w:rFonts w:ascii="宋体" w:hAnsi="宋体" w:cs="宋体" w:eastAsia="宋体" w:hint="default"/>
                <w:spacing w:val="-82"/>
                <w:sz w:val="18"/>
                <w:szCs w:val="18"/>
              </w:rPr>
              <w:t>，</w:t>
            </w:r>
            <w:r>
              <w:rPr>
                <w:rFonts w:ascii="宋体" w:hAnsi="宋体" w:cs="宋体" w:eastAsia="宋体" w:hint="default"/>
                <w:sz w:val="18"/>
                <w:szCs w:val="18"/>
              </w:rPr>
              <w:t>公司拟回购注销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首次授予的第三期的解除</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限售期的限制性股票</w:t>
            </w:r>
            <w:r>
              <w:rPr>
                <w:rFonts w:ascii="宋体" w:hAnsi="宋体" w:cs="宋体" w:eastAsia="宋体" w:hint="default"/>
                <w:spacing w:val="-82"/>
                <w:sz w:val="18"/>
                <w:szCs w:val="18"/>
              </w:rPr>
              <w:t>，</w:t>
            </w:r>
            <w:r>
              <w:rPr>
                <w:rFonts w:ascii="宋体" w:hAnsi="宋体" w:cs="宋体" w:eastAsia="宋体" w:hint="default"/>
                <w:sz w:val="18"/>
                <w:szCs w:val="18"/>
              </w:rPr>
              <w:t>回购</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数量共计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1,496,824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股，回</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购价格为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6.1343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8"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司拟回购注销预留授予的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第二期的解除限售期的限</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制性股票，回购数量共计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526,548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股，回购价格为</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22"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6.1476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股；且支付银行</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169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同期存款利息，共涉及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250</w:t>
            </w:r>
          </w:p>
          <w:p>
            <w:pPr>
              <w:pStyle w:val="TableParagraph"/>
              <w:spacing w:line="357" w:lineRule="auto" w:before="63"/>
              <w:ind w:left="10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名股权激励对象。 本议案尚需提请公司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p>
          <w:p>
            <w:pPr>
              <w:pStyle w:val="TableParagraph"/>
              <w:spacing w:line="201" w:lineRule="exact"/>
              <w:ind w:left="102" w:right="0"/>
              <w:jc w:val="left"/>
              <w:rPr>
                <w:rFonts w:ascii="宋体" w:hAnsi="宋体" w:cs="宋体" w:eastAsia="宋体" w:hint="default"/>
                <w:sz w:val="18"/>
                <w:szCs w:val="18"/>
              </w:rPr>
            </w:pPr>
            <w:r>
              <w:rPr>
                <w:rFonts w:ascii="宋体" w:hAnsi="宋体" w:cs="宋体" w:eastAsia="宋体" w:hint="default"/>
                <w:sz w:val="18"/>
                <w:szCs w:val="18"/>
              </w:rPr>
              <w:t>年年度股东大会大会审议。</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2、利润分配情况" w:id="508"/>
      <w:bookmarkEnd w:id="50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6"/>
                        <w:ind w:left="106"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2" type="#_x0000_t202" filled="false" stroked="false">
                <v:textbox inset="0,0,0,0">
                  <w:txbxContent>
                    <w:p>
                      <w:pPr>
                        <w:spacing w:before="96"/>
                        <w:ind w:left="0" w:right="105" w:firstLine="0"/>
                        <w:jc w:val="right"/>
                        <w:rPr>
                          <w:rFonts w:ascii="Times New Roman" w:hAnsi="Times New Roman" w:cs="Times New Roman" w:eastAsia="Times New Roman" w:hint="default"/>
                          <w:sz w:val="18"/>
                          <w:szCs w:val="18"/>
                        </w:rPr>
                      </w:pPr>
                      <w:r>
                        <w:rPr>
                          <w:rFonts w:ascii="Times New Roman"/>
                          <w:spacing w:val="-1"/>
                          <w:sz w:val="18"/>
                        </w:rPr>
                        <w:t>7,510,628.90</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销售退回" w:id="509"/>
      <w:bookmarkEnd w:id="509"/>
      <w:r>
        <w:rPr>
          <w:b w:val="0"/>
          <w:bCs w:val="0"/>
        </w:rPr>
      </w:r>
      <w:r>
        <w:rPr>
          <w:rFonts w:ascii="Times New Roman" w:hAnsi="Times New Roman" w:cs="Times New Roman" w:eastAsia="Times New Roman" w:hint="default"/>
        </w:rPr>
        <w:t>3</w:t>
      </w:r>
      <w:r>
        <w:rPr/>
        <w:t>、销售退回</w:t>
      </w:r>
      <w:r>
        <w:rPr>
          <w:b w:val="0"/>
          <w:bCs w:val="0"/>
        </w:rPr>
      </w:r>
    </w:p>
    <w:p>
      <w:pPr>
        <w:spacing w:line="590" w:lineRule="atLeast" w:before="24"/>
        <w:ind w:left="429" w:right="0" w:hanging="317"/>
        <w:jc w:val="left"/>
        <w:rPr>
          <w:rFonts w:ascii="宋体" w:hAnsi="宋体" w:cs="宋体" w:eastAsia="宋体" w:hint="default"/>
          <w:sz w:val="21"/>
          <w:szCs w:val="21"/>
        </w:rPr>
      </w:pPr>
      <w:bookmarkStart w:name="4、其他资产负债表日后事项说明" w:id="510"/>
      <w:bookmarkEnd w:id="51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w w:val="95"/>
          <w:sz w:val="21"/>
          <w:szCs w:val="21"/>
        </w:rPr>
        <w:t>新型冠状病毒感染的肺炎疫情于2020年1月在全国爆发以来，对新冠疫情的防控工作在全国范围内持续</w:t>
      </w:r>
      <w:r>
        <w:rPr>
          <w:rFonts w:ascii="宋体" w:hAnsi="宋体" w:cs="宋体" w:eastAsia="宋体" w:hint="default"/>
          <w:sz w:val="21"/>
          <w:szCs w:val="21"/>
        </w:rPr>
      </w:r>
    </w:p>
    <w:p>
      <w:pPr>
        <w:pStyle w:val="BodyText"/>
        <w:spacing w:line="273" w:lineRule="auto" w:before="37"/>
        <w:ind w:right="0"/>
        <w:jc w:val="left"/>
      </w:pPr>
      <w:r>
        <w:rPr>
          <w:w w:val="95"/>
        </w:rPr>
        <w:t>进行。本公司将切实贯彻落实防控工作的各项要求，强化对疫情防控工作的支持。本次新冠病毒疫情对本</w:t>
      </w:r>
      <w:r>
        <w:rPr>
          <w:spacing w:val="37"/>
          <w:w w:val="95"/>
        </w:rPr>
        <w:t> </w:t>
      </w:r>
      <w:r>
        <w:rPr>
          <w:spacing w:val="37"/>
          <w:w w:val="95"/>
        </w:rPr>
      </w:r>
      <w:r>
        <w:rPr>
          <w:w w:val="95"/>
        </w:rPr>
        <w:t>公司经营尚无重大不利影响。公司将继续密切关注新冠病毒疫情发展情况，积极应对其可能对公司财务状</w:t>
      </w:r>
      <w:r>
        <w:rPr>
          <w:spacing w:val="40"/>
          <w:w w:val="95"/>
        </w:rPr>
        <w:t> </w:t>
      </w:r>
      <w:r>
        <w:rPr>
          <w:spacing w:val="40"/>
          <w:w w:val="95"/>
        </w:rPr>
      </w:r>
      <w:r>
        <w:rPr/>
        <w:t>况、经营成果等方面造成的影响。</w:t>
      </w:r>
      <w:r>
        <w:rPr>
          <w:w w:val="99"/>
        </w:rPr>
        <w:t> </w:t>
      </w:r>
      <w:r>
        <w:rPr>
          <w:w w:val="95"/>
        </w:rPr>
        <w:t>除存在上述资产负债表日后事项外，截至财务报告批准报出日止，本公司无其他应披露未披露的重大资产</w:t>
      </w:r>
      <w:r>
        <w:rPr>
          <w:spacing w:val="40"/>
          <w:w w:val="95"/>
        </w:rPr>
        <w:t> </w:t>
      </w:r>
      <w:r>
        <w:rPr>
          <w:spacing w:val="40"/>
          <w:w w:val="95"/>
        </w:rPr>
      </w:r>
      <w:r>
        <w:rPr/>
        <w:t>负债表日后事项。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十六、其他重要事项" w:id="511"/>
      <w:bookmarkEnd w:id="511"/>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前期会计差错更正" w:id="512"/>
      <w:bookmarkEnd w:id="51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追溯重述法" w:id="513"/>
      <w:bookmarkEnd w:id="51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未来适用法" w:id="514"/>
      <w:bookmarkEnd w:id="51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b/>
          <w:bCs/>
          <w:sz w:val="21"/>
          <w:szCs w:val="21"/>
        </w:rPr>
      </w:pPr>
    </w:p>
    <w:p>
      <w:pPr>
        <w:pStyle w:val="Heading6"/>
        <w:spacing w:line="240" w:lineRule="auto" w:before="34"/>
        <w:ind w:right="0"/>
        <w:jc w:val="left"/>
        <w:rPr>
          <w:b w:val="0"/>
          <w:bCs w:val="0"/>
        </w:rPr>
      </w:pPr>
      <w:bookmarkStart w:name="2、债务重组" w:id="515"/>
      <w:bookmarkEnd w:id="51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3、资产置换" w:id="516"/>
      <w:bookmarkEnd w:id="51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非货币性资产交换" w:id="517"/>
      <w:bookmarkEnd w:id="51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2）其他资产置换" w:id="518"/>
      <w:bookmarkEnd w:id="51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年金计划" w:id="519"/>
      <w:bookmarkEnd w:id="51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5、终止经营" w:id="520"/>
      <w:bookmarkEnd w:id="52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归属于母公司</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所有者的终止</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经营利润</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6、分部信息" w:id="521"/>
      <w:bookmarkEnd w:id="521"/>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32" w:right="0" w:hanging="420"/>
        <w:jc w:val="left"/>
        <w:rPr>
          <w:rFonts w:ascii="宋体" w:hAnsi="宋体" w:cs="宋体" w:eastAsia="宋体" w:hint="default"/>
          <w:sz w:val="21"/>
          <w:szCs w:val="21"/>
        </w:rPr>
      </w:pPr>
      <w:bookmarkStart w:name="（1）报告分部的确定依据与会计政策" w:id="522"/>
      <w:bookmarkEnd w:id="5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w w:val="95"/>
          <w:sz w:val="21"/>
          <w:szCs w:val="21"/>
        </w:rPr>
        <w:t>本公司以内部组织结构、管理要求、内部报告制度为依据确定经营分部。本公司的经营分部是指同时</w:t>
      </w:r>
      <w:r>
        <w:rPr>
          <w:rFonts w:ascii="宋体" w:hAnsi="宋体" w:cs="宋体" w:eastAsia="宋体" w:hint="default"/>
          <w:sz w:val="21"/>
          <w:szCs w:val="21"/>
        </w:rPr>
      </w:r>
    </w:p>
    <w:p>
      <w:pPr>
        <w:pStyle w:val="BodyText"/>
        <w:spacing w:line="240" w:lineRule="auto" w:before="37"/>
        <w:ind w:right="0"/>
        <w:jc w:val="left"/>
      </w:pPr>
      <w:r>
        <w:rPr/>
        <w:t>满足下列条件的组成部分：</w:t>
      </w:r>
    </w:p>
    <w:p>
      <w:pPr>
        <w:pStyle w:val="BodyText"/>
        <w:tabs>
          <w:tab w:pos="1372" w:val="left" w:leader="none"/>
        </w:tabs>
        <w:spacing w:line="240" w:lineRule="auto" w:before="37"/>
        <w:ind w:left="532" w:right="0"/>
        <w:jc w:val="left"/>
      </w:pPr>
      <w:r>
        <w:rPr/>
        <w:t>（1）</w:t>
        <w:tab/>
        <w:t>该组成部分能够在日常活动中产生收入、发生费用；</w:t>
      </w:r>
    </w:p>
    <w:p>
      <w:pPr>
        <w:pStyle w:val="BodyText"/>
        <w:tabs>
          <w:tab w:pos="1372" w:val="left" w:leader="none"/>
        </w:tabs>
        <w:spacing w:line="240" w:lineRule="auto" w:before="37"/>
        <w:ind w:left="532" w:right="0"/>
        <w:jc w:val="left"/>
      </w:pPr>
      <w:r>
        <w:rPr/>
        <w:t>（2）</w:t>
        <w:tab/>
        <w:t>管理层能够定期评价该组成部分的经营成果，以决定向其配置资源、评价其业绩；</w:t>
      </w:r>
    </w:p>
    <w:p>
      <w:pPr>
        <w:pStyle w:val="BodyText"/>
        <w:tabs>
          <w:tab w:pos="1372" w:val="left" w:leader="none"/>
        </w:tabs>
        <w:spacing w:line="273" w:lineRule="auto" w:before="37"/>
        <w:ind w:left="532" w:right="2294"/>
        <w:jc w:val="left"/>
      </w:pPr>
      <w:r>
        <w:rPr/>
        <w:t>（3）</w:t>
        <w:tab/>
        <w:t>能够取得该组成部分的财务状况、经营成果和现金流量等有关会计信息。</w:t>
      </w:r>
      <w:r>
        <w:rPr>
          <w:w w:val="99"/>
        </w:rPr>
        <w:t> </w:t>
      </w:r>
      <w:r>
        <w:rPr>
          <w:w w:val="95"/>
        </w:rPr>
        <w:t>本公司以经营分部为基础确定报告分部，满足下列条件之一的经营分部确定为报告分部：</w:t>
      </w:r>
      <w:r>
        <w:rPr/>
      </w:r>
    </w:p>
    <w:p>
      <w:pPr>
        <w:pStyle w:val="BodyText"/>
        <w:tabs>
          <w:tab w:pos="1372" w:val="left" w:leader="none"/>
        </w:tabs>
        <w:spacing w:line="240" w:lineRule="auto"/>
        <w:ind w:left="532" w:right="0"/>
        <w:jc w:val="left"/>
      </w:pPr>
      <w:r>
        <w:rPr/>
        <w:t>（1）</w:t>
        <w:tab/>
        <w:t>该经营分部的分部收入占所有分部收入合计的10%或者以上；</w:t>
      </w:r>
    </w:p>
    <w:p>
      <w:pPr>
        <w:pStyle w:val="BodyText"/>
        <w:tabs>
          <w:tab w:pos="1372" w:val="left" w:leader="none"/>
        </w:tabs>
        <w:spacing w:line="273" w:lineRule="auto" w:before="37"/>
        <w:ind w:right="1185" w:firstLine="420"/>
        <w:jc w:val="left"/>
      </w:pPr>
      <w:r>
        <w:rPr/>
        <w:t>（2）</w:t>
        <w:tab/>
      </w:r>
      <w:r>
        <w:rPr>
          <w:w w:val="95"/>
        </w:rPr>
        <w:t>该分部的分部利润（亏损）的绝对额，占所有盈利分部利润合计额或者所有亏损分部亏损合</w:t>
      </w:r>
      <w:r>
        <w:rPr>
          <w:w w:val="99"/>
        </w:rPr>
        <w:t> </w:t>
      </w:r>
      <w:r>
        <w:rPr/>
        <w:t>计额的绝对额两者中较大者的10%或者以上。</w:t>
      </w:r>
    </w:p>
    <w:p>
      <w:pPr>
        <w:pStyle w:val="BodyText"/>
        <w:spacing w:line="273" w:lineRule="auto"/>
        <w:ind w:right="0" w:firstLine="420"/>
        <w:jc w:val="left"/>
      </w:pPr>
      <w:r>
        <w:rPr>
          <w:w w:val="95"/>
        </w:rPr>
        <w:t>本公司的业务单一，主要为软件开发，管理层将此业务视作为一个整体实施管理、评估经营成果，因</w:t>
      </w:r>
      <w:r>
        <w:rPr>
          <w:w w:val="99"/>
        </w:rPr>
        <w:t> </w:t>
      </w:r>
      <w:r>
        <w:rPr/>
        <w:t>此，本财务报表不呈报分部信息。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0"/>
        <w:jc w:val="left"/>
        <w:rPr>
          <w:b w:val="0"/>
          <w:bCs w:val="0"/>
        </w:rPr>
      </w:pPr>
      <w:bookmarkStart w:name="（2）报告分部的财务信息" w:id="523"/>
      <w:bookmarkEnd w:id="52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公司无报告分部的，或者不能披露各报告分部的资产总额和负债总额的，应说明原因" w:id="524"/>
      <w:bookmarkEnd w:id="52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4）其他说明" w:id="525"/>
      <w:bookmarkEnd w:id="525"/>
      <w:r>
        <w:rPr>
          <w:b w:val="0"/>
          <w:bCs w:val="0"/>
        </w:rPr>
      </w:r>
      <w:r>
        <w:rPr/>
        <w:t>（</w:t>
      </w:r>
      <w:r>
        <w:rPr>
          <w:rFonts w:ascii="Times New Roman" w:hAnsi="Times New Roman" w:cs="Times New Roman" w:eastAsia="Times New Roman" w:hint="default"/>
        </w:rPr>
        <w:t>4</w:t>
      </w:r>
      <w:r>
        <w:rPr/>
        <w:t>）其他说明</w:t>
      </w:r>
      <w:r>
        <w:rPr>
          <w:b w:val="0"/>
          <w:bCs w:val="0"/>
        </w:rPr>
      </w:r>
    </w:p>
    <w:p>
      <w:pPr>
        <w:pStyle w:val="Heading6"/>
        <w:spacing w:line="590" w:lineRule="atLeast" w:before="22"/>
        <w:ind w:left="592" w:right="6432" w:hanging="480"/>
        <w:jc w:val="left"/>
        <w:rPr>
          <w:b w:val="0"/>
          <w:bCs w:val="0"/>
        </w:rPr>
      </w:pPr>
      <w:bookmarkStart w:name="7、其他对投资者决策有影响的重要交易和事项" w:id="526"/>
      <w:bookmarkEnd w:id="526"/>
      <w:r>
        <w:rPr>
          <w:b w:val="0"/>
          <w:bCs w:val="0"/>
        </w:rPr>
      </w:r>
      <w:r>
        <w:rPr>
          <w:rFonts w:ascii="Times New Roman" w:hAnsi="Times New Roman" w:cs="Times New Roman" w:eastAsia="Times New Roman" w:hint="default"/>
        </w:rPr>
        <w:t>7</w:t>
      </w:r>
      <w:r>
        <w:rPr/>
        <w:t>、其他对投资者决策有影响的重要交易和事项</w:t>
      </w:r>
      <w:r>
        <w:rPr>
          <w:w w:val="99"/>
        </w:rPr>
        <w:t> </w:t>
      </w:r>
      <w:r>
        <w:rPr/>
        <w:t>非公开发行A股股票</w:t>
      </w:r>
      <w:r>
        <w:rPr>
          <w:b w:val="0"/>
          <w:bCs w:val="0"/>
        </w:rPr>
      </w:r>
    </w:p>
    <w:p>
      <w:pPr>
        <w:pStyle w:val="BodyText"/>
        <w:spacing w:line="273" w:lineRule="auto" w:before="37"/>
        <w:ind w:right="0" w:firstLine="420"/>
        <w:jc w:val="left"/>
      </w:pPr>
      <w:r>
        <w:rPr>
          <w:spacing w:val="-4"/>
          <w:w w:val="99"/>
        </w:rPr>
        <w:t>公司2019年5月16日召开的2018年股东大会审计通过《关于公司非公开发行A股股票方案的议案》，2019</w:t>
      </w:r>
      <w:r>
        <w:rPr>
          <w:w w:val="99"/>
        </w:rPr>
        <w:t> </w:t>
      </w:r>
      <w:r>
        <w:rPr>
          <w:spacing w:val="-5"/>
          <w:w w:val="99"/>
        </w:rPr>
        <w:t>年4月23日召开的第二届董事会第二十四会议通过《关于公司非公开发行A股股票方案的议案》、《关于公司</w:t>
      </w:r>
      <w:r>
        <w:rPr>
          <w:spacing w:val="-70"/>
          <w:w w:val="99"/>
        </w:rPr>
        <w:t> </w:t>
      </w:r>
      <w:r>
        <w:rPr>
          <w:spacing w:val="-70"/>
          <w:w w:val="99"/>
        </w:rPr>
      </w:r>
      <w:r>
        <w:rPr>
          <w:spacing w:val="-3"/>
          <w:w w:val="99"/>
        </w:rPr>
        <w:t>非公开发行A股股票预案的议案》，拟通过向不超过5名特定对象非公开发行的方式非公开发行不超过4,000</w:t>
      </w:r>
      <w:r>
        <w:rPr>
          <w:spacing w:val="-56"/>
          <w:w w:val="99"/>
        </w:rPr>
        <w:t> </w:t>
      </w:r>
      <w:r>
        <w:rPr>
          <w:spacing w:val="-56"/>
          <w:w w:val="99"/>
        </w:rPr>
      </w:r>
      <w:r>
        <w:rPr>
          <w:spacing w:val="-4"/>
          <w:w w:val="99"/>
        </w:rPr>
        <w:t>万股境内上市人民币普通股（A股），每股面值为人民币1.00元，拟募集资金总额不超过人民币50,669万元。</w:t>
      </w:r>
      <w:r>
        <w:rPr>
          <w:spacing w:val="-99"/>
          <w:w w:val="99"/>
        </w:rPr>
        <w:t> </w:t>
      </w:r>
      <w:r>
        <w:rPr>
          <w:spacing w:val="-99"/>
          <w:w w:val="99"/>
        </w:rPr>
      </w:r>
      <w:r>
        <w:rPr/>
        <w:t>2020年3月6日，公司2020年第一次临时股东大会决议，审议通过《关于调整公司2019年非公开发行A股股</w:t>
      </w:r>
      <w:r>
        <w:rPr>
          <w:w w:val="99"/>
        </w:rPr>
        <w:t> </w:t>
      </w:r>
      <w:r>
        <w:rPr>
          <w:spacing w:val="-3"/>
          <w:w w:val="99"/>
        </w:rPr>
        <w:t>票方案的议案》，本次发行通过向不超过35名特定对象非公开发行的方式进行，发行不超过6,000万股境内</w:t>
      </w:r>
      <w:r>
        <w:rPr>
          <w:spacing w:val="-60"/>
          <w:w w:val="99"/>
        </w:rPr>
        <w:t> </w:t>
      </w:r>
      <w:r>
        <w:rPr>
          <w:spacing w:val="-60"/>
          <w:w w:val="99"/>
        </w:rPr>
      </w:r>
      <w:r>
        <w:rPr>
          <w:spacing w:val="-2"/>
          <w:w w:val="99"/>
        </w:rPr>
        <w:t>上市人民币普通股（A）股，每股面值为人民币1.00元，拟募集资金总额不超过人民币50,669万元（含）。</w:t>
      </w:r>
      <w:r>
        <w:rPr>
          <w:spacing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487" w:lineRule="auto" w:before="0"/>
        <w:ind w:left="112" w:right="6899" w:firstLine="0"/>
        <w:jc w:val="left"/>
        <w:rPr>
          <w:rFonts w:ascii="宋体" w:hAnsi="宋体" w:cs="宋体" w:eastAsia="宋体" w:hint="default"/>
          <w:sz w:val="21"/>
          <w:szCs w:val="21"/>
        </w:rPr>
      </w:pPr>
      <w:bookmarkStart w:name="8、其他" w:id="527"/>
      <w:bookmarkEnd w:id="52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28"/>
      <w:bookmarkEnd w:id="528"/>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29"/>
      <w:bookmarkEnd w:id="52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81"/>
        <w:ind w:right="0"/>
        <w:jc w:val="left"/>
        <w:rPr>
          <w:b w:val="0"/>
          <w:bCs w:val="0"/>
        </w:rPr>
      </w:pPr>
      <w:bookmarkStart w:name="（1）应收账款分类披露" w:id="530"/>
      <w:bookmarkEnd w:id="5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747,99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3,319.7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117,70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2,860.4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15.74</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0,459.2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651,01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5,157.2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1,734.4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547,723,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422.80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1,420.3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96.24</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117,70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2,860.4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16.35</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602,19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8,559.9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7,370.0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1,734.4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524,245,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635.61</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28,091,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899.32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3.76%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28,091,</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899.32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23,477,</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787.19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23,477,7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87.19</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747,99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3,319.7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117,70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2,860.4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15.74</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0,459.2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651,01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5,157.2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1,734.4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547,723,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422.80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13"/>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747,993,319.71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466,356,093.93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27,130,723.15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135,971,748.13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19,570,351.13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48,152,974.98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10,874,589.08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46,086,423.07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21,798,645.53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27,555,799.54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14,458,271.50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23,870,280.06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23,870,280.06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747,993,319.71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117,702,860.45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360" w:lineRule="auto"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2093" w:space="673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50"/>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57" w:lineRule="auto" w:before="27"/>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before="2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466,356,093.93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135,971,748.13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48,152,974.98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97,512,502.67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46,086,423.07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27,555,799.54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23,870,280.06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747,993,319.71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本期计提、收回或转回的坏账准备情况" w:id="531"/>
      <w:bookmarkEnd w:id="5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按组合计提预</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期信用损失的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103,291,734.43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14,411,126.02</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6" w:right="0"/>
              <w:jc w:val="center"/>
              <w:rPr>
                <w:rFonts w:ascii="Times New Roman" w:hAnsi="Times New Roman" w:cs="Times New Roman" w:eastAsia="Times New Roman" w:hint="default"/>
                <w:sz w:val="18"/>
                <w:szCs w:val="18"/>
              </w:rPr>
            </w:pPr>
            <w:r>
              <w:rPr>
                <w:rFonts w:ascii="Times New Roman"/>
                <w:sz w:val="18"/>
              </w:rPr>
              <w:t>117,702,860.45</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103,291,734.43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14,411,126.02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117,702,860.45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3）本期实际核销的应收账款情况" w:id="532"/>
      <w:bookmarkEnd w:id="5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2"/>
        <w:ind w:right="0"/>
        <w:jc w:val="left"/>
      </w:pPr>
      <w:r>
        <w:rPr/>
        <w:t>本报告期无实际核销的应收账款。</w:t>
      </w:r>
    </w:p>
    <w:p>
      <w:pPr>
        <w:spacing w:line="240" w:lineRule="auto" w:before="12"/>
        <w:rPr>
          <w:rFonts w:ascii="宋体" w:hAnsi="宋体" w:cs="宋体" w:eastAsia="宋体" w:hint="default"/>
          <w:sz w:val="25"/>
          <w:szCs w:val="25"/>
        </w:rPr>
      </w:pPr>
    </w:p>
    <w:p>
      <w:pPr>
        <w:pStyle w:val="Heading6"/>
        <w:spacing w:line="240" w:lineRule="auto"/>
        <w:ind w:right="0"/>
        <w:jc w:val="left"/>
        <w:rPr>
          <w:b w:val="0"/>
          <w:bCs w:val="0"/>
        </w:rPr>
      </w:pPr>
      <w:bookmarkStart w:name="（4）按欠款方归集的期末余额前五名的应收账款情况" w:id="533"/>
      <w:bookmarkEnd w:id="5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8"/>
              <w:jc w:val="left"/>
              <w:rPr>
                <w:rFonts w:ascii="宋体" w:hAnsi="宋体" w:cs="宋体" w:eastAsia="宋体" w:hint="default"/>
                <w:sz w:val="18"/>
                <w:szCs w:val="18"/>
              </w:rPr>
            </w:pPr>
            <w:r>
              <w:rPr>
                <w:rFonts w:ascii="宋体" w:hAnsi="宋体" w:cs="宋体" w:eastAsia="宋体" w:hint="default"/>
                <w:sz w:val="18"/>
                <w:szCs w:val="18"/>
              </w:rPr>
              <w:t>期末余额前五名应收账款汇 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159,671,211.97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4" w:right="0"/>
              <w:jc w:val="left"/>
              <w:rPr>
                <w:rFonts w:ascii="Times New Roman" w:hAnsi="Times New Roman" w:cs="Times New Roman" w:eastAsia="Times New Roman" w:hint="default"/>
                <w:sz w:val="18"/>
                <w:szCs w:val="18"/>
              </w:rPr>
            </w:pPr>
            <w:r>
              <w:rPr>
                <w:rFonts w:ascii="Times New Roman"/>
                <w:sz w:val="18"/>
              </w:rPr>
              <w:t>27,102,820.63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159,671,211.97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21.35%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5）因金融资产转移而终止确认的应收账款" w:id="534"/>
      <w:bookmarkEnd w:id="5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6）转移应收账款且继续涉入形成的资产、负债金额" w:id="535"/>
      <w:bookmarkEnd w:id="5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7" w:footer="1016"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2、其他应收款" w:id="536"/>
      <w:bookmarkEnd w:id="53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200,904,333.07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118,513,967.40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200,904,333.07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118,513,967.40</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1）应收利息" w:id="537"/>
      <w:bookmarkEnd w:id="53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利息分类" w:id="538"/>
      <w:bookmarkEnd w:id="538"/>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重要逾期利息" w:id="539"/>
      <w:bookmarkEnd w:id="539"/>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坏账准备计提情况" w:id="540"/>
      <w:bookmarkEnd w:id="54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应收股利" w:id="541"/>
      <w:bookmarkEnd w:id="54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应收股利分类" w:id="542"/>
      <w:bookmarkEnd w:id="542"/>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重要的账龄超过1年的应收股利" w:id="543"/>
      <w:bookmarkEnd w:id="543"/>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3）坏账准备计提情况" w:id="544"/>
      <w:bookmarkEnd w:id="54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after="0" w:line="360" w:lineRule="auto"/>
        <w:jc w:val="left"/>
        <w:rPr>
          <w:rFonts w:ascii="宋体" w:hAnsi="宋体" w:cs="宋体" w:eastAsia="宋体" w:hint="default"/>
          <w:sz w:val="18"/>
          <w:szCs w:val="18"/>
        </w:rPr>
        <w:sectPr>
          <w:footerReference w:type="default" r:id="rId44"/>
          <w:pgSz w:w="11910" w:h="16840"/>
          <w:pgMar w:footer="1016" w:header="907" w:top="1100" w:bottom="1200" w:left="1020" w:right="0"/>
          <w:pgNumType w:start="250"/>
        </w:sectPr>
      </w:pPr>
    </w:p>
    <w:p>
      <w:pPr>
        <w:spacing w:line="240" w:lineRule="auto" w:before="10"/>
        <w:rPr>
          <w:rFonts w:ascii="宋体" w:hAnsi="宋体" w:cs="宋体" w:eastAsia="宋体" w:hint="default"/>
          <w:sz w:val="21"/>
          <w:szCs w:val="21"/>
        </w:rPr>
      </w:pPr>
    </w:p>
    <w:p>
      <w:pPr>
        <w:pStyle w:val="Heading6"/>
        <w:spacing w:line="240" w:lineRule="auto" w:before="34"/>
        <w:ind w:right="0"/>
        <w:jc w:val="left"/>
        <w:rPr>
          <w:b w:val="0"/>
          <w:bCs w:val="0"/>
        </w:rPr>
      </w:pPr>
      <w:bookmarkStart w:name="（3）其他应收款" w:id="545"/>
      <w:bookmarkEnd w:id="54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按款项性质分类情况" w:id="546"/>
      <w:bookmarkEnd w:id="54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6,319,065.80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6,726,879.20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6,232,734.11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5,011,906.79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2,819,633.67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4,591,498.53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187,264,513.31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103,871,633.08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社保及公积金（个人部分）</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209,233.37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2,173,464.67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1,338,288.19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204,809,411.56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121,749,439.16</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坏账准备计提情况" w:id="547"/>
      <w:bookmarkEnd w:id="54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3,235,471.76</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3,235,471.76</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669,606.73</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669,606.73</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3,905,078.49</w:t>
            </w: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3,905,078.49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6" w:top="1100" w:bottom="1200" w:left="1020" w:right="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7"/>
        <w:ind w:left="112" w:right="2230"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700" w:left="1020" w:right="0"/>
          <w:cols w:num="2" w:equalWidth="0">
            <w:col w:w="3893" w:space="493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122,433,853.58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75,521,822.72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1,738,209.49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5,115,525.77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2,959,056.62</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1,463,042.75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693,426.40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204,809,411.56</w:t>
            </w: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3）本期计提、收回或转回的坏账准备情况" w:id="548"/>
      <w:bookmarkEnd w:id="54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0"/>
        <w:gridCol w:w="1087"/>
        <w:gridCol w:w="1332"/>
        <w:gridCol w:w="1452"/>
        <w:gridCol w:w="1198"/>
        <w:gridCol w:w="1345"/>
        <w:gridCol w:w="1575"/>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4）本期实际核销的其他应收款情况" w:id="549"/>
      <w:bookmarkEnd w:id="54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5）按欠款方归集的期末余额前五名的其他应收款情况" w:id="550"/>
      <w:bookmarkEnd w:id="55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473,926.20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84,434.75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458,000.00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宣传制作费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434,403.16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217,201.58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366,500.00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0.18%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18,325.00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2,432,829.36</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871,961.33</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6）涉及政府补助的应收款项" w:id="551"/>
      <w:bookmarkEnd w:id="55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7" w:right="100"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7）因金融资产转移而终止确认的其他应收款" w:id="552"/>
      <w:bookmarkEnd w:id="55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8）转移其他应收款且继续涉入形成的资产、负债金额" w:id="553"/>
      <w:bookmarkEnd w:id="55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3、长期股权投资" w:id="554"/>
      <w:bookmarkEnd w:id="55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40,507,925.00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40,507,925.00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40,507,925.00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40,507,925.00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19,271,935.74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19,271,935.74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21,069,415.37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21,069,415.37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59,779,860.74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59,779,860.74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61,577,340.37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61,577,340.37</w:t>
            </w:r>
          </w:p>
        </w:tc>
      </w:tr>
    </w:tbl>
    <w:p>
      <w:pPr>
        <w:spacing w:line="240" w:lineRule="auto" w:before="2"/>
        <w:rPr>
          <w:rFonts w:ascii="宋体" w:hAnsi="宋体" w:cs="宋体" w:eastAsia="宋体" w:hint="default"/>
          <w:sz w:val="19"/>
          <w:szCs w:val="19"/>
        </w:rPr>
      </w:pPr>
    </w:p>
    <w:p>
      <w:pPr>
        <w:pStyle w:val="Heading6"/>
        <w:spacing w:line="240" w:lineRule="auto" w:before="34"/>
        <w:ind w:right="0"/>
        <w:jc w:val="left"/>
        <w:rPr>
          <w:b w:val="0"/>
          <w:bCs w:val="0"/>
        </w:rPr>
      </w:pPr>
      <w:bookmarkStart w:name="（1）对子公司投资" w:id="555"/>
      <w:bookmarkEnd w:id="55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0" w:lineRule="auto"/>
              <w:ind w:left="302" w:right="11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2"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7" w:right="127"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深圳科蓝金 信科技发展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科蓝软体系</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r>
      <w:tr>
        <w:trPr>
          <w:trHeight w:val="316"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统（香港）有</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7,925.00</w:t>
            </w: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7,925.00</w:t>
            </w:r>
          </w:p>
        </w:tc>
        <w:tc>
          <w:tcPr>
            <w:tcW w:w="1213" w:type="dxa"/>
            <w:vMerge/>
            <w:tcBorders>
              <w:left w:val="single" w:sz="4" w:space="0" w:color="000000"/>
              <w:right w:val="single" w:sz="4" w:space="0" w:color="000000"/>
            </w:tcBorders>
          </w:tcPr>
          <w:p>
            <w:pPr/>
          </w:p>
        </w:tc>
      </w:tr>
      <w:tr>
        <w:trPr>
          <w:trHeight w:val="352"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r>
      <w:tr>
        <w:trPr>
          <w:trHeight w:val="357"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北京尼客矩</w:t>
            </w:r>
          </w:p>
        </w:tc>
        <w:tc>
          <w:tcPr>
            <w:tcW w:w="1166" w:type="dxa"/>
            <w:tcBorders>
              <w:top w:val="single" w:sz="4" w:space="0" w:color="000000"/>
              <w:left w:val="single" w:sz="4" w:space="0" w:color="000000"/>
              <w:bottom w:val="nil" w:sz="6" w:space="0" w:color="auto"/>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r>
      <w:tr>
        <w:trPr>
          <w:trHeight w:val="317"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阵科技有限</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213" w:type="dxa"/>
            <w:vMerge/>
            <w:tcBorders>
              <w:left w:val="single" w:sz="4" w:space="0" w:color="000000"/>
              <w:right w:val="single" w:sz="4" w:space="0" w:color="000000"/>
            </w:tcBorders>
          </w:tcPr>
          <w:p>
            <w:pPr/>
          </w:p>
        </w:tc>
      </w:tr>
      <w:tr>
        <w:trPr>
          <w:trHeight w:val="352"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nil" w:sz="6" w:space="0" w:color="auto"/>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both"/>
              <w:rPr>
                <w:rFonts w:ascii="宋体" w:hAnsi="宋体" w:cs="宋体" w:eastAsia="宋体" w:hint="default"/>
                <w:sz w:val="18"/>
                <w:szCs w:val="18"/>
              </w:rPr>
            </w:pPr>
            <w:r>
              <w:rPr>
                <w:rFonts w:ascii="宋体" w:hAnsi="宋体" w:cs="宋体" w:eastAsia="宋体" w:hint="default"/>
                <w:sz w:val="18"/>
                <w:szCs w:val="18"/>
              </w:rPr>
              <w:t>大陆云盾电 子认证服务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北京数蚂科</w:t>
            </w: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r>
      <w:tr>
        <w:trPr>
          <w:trHeight w:val="312" w:hRule="exact"/>
        </w:trPr>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蓝科技有限</w:t>
            </w: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r>
      <w:tr>
        <w:trPr>
          <w:trHeight w:val="355" w:hRule="exact"/>
        </w:trPr>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z w:val="18"/>
                <w:szCs w:val="18"/>
              </w:rPr>
              <w:t>北京科蓝软 件系统（苏 </w:t>
            </w:r>
            <w:r>
              <w:rPr>
                <w:rFonts w:ascii="宋体" w:hAnsi="宋体" w:cs="宋体" w:eastAsia="宋体" w:hint="default"/>
                <w:spacing w:val="-5"/>
                <w:sz w:val="18"/>
                <w:szCs w:val="18"/>
              </w:rPr>
              <w:t>州）有限公司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40,507,925.0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40,507,925.0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4"/>
        <w:ind w:right="0"/>
        <w:jc w:val="left"/>
        <w:rPr>
          <w:b w:val="0"/>
          <w:bCs w:val="0"/>
        </w:rPr>
      </w:pPr>
      <w:bookmarkStart w:name="（2）对联营、合营企业投资" w:id="556"/>
      <w:bookmarkEnd w:id="55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0"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0"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0"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0"/>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重庆巴</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云科技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6,293,4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-1,597,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4,695,6</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82.80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875.71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07.09</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嘉兴科</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蓝光荣</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一号投 资合伙 企业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14,775,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932.57</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-199,60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3.92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14,576,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328.65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21,069,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415.37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19,271,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935.74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8"/>
                <w:szCs w:val="18"/>
              </w:rPr>
            </w:pPr>
            <w:r>
              <w:rPr>
                <w:rFonts w:ascii="Times New Roman"/>
                <w:sz w:val="18"/>
              </w:rPr>
              <w:t>21,069,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415.37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-1,797,</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479.63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19,271,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935.74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6"/>
        <w:spacing w:line="240" w:lineRule="auto" w:before="34"/>
        <w:ind w:right="0"/>
        <w:jc w:val="left"/>
        <w:rPr>
          <w:b w:val="0"/>
          <w:bCs w:val="0"/>
        </w:rPr>
      </w:pPr>
      <w:bookmarkStart w:name="（3）其他说明" w:id="557"/>
      <w:bookmarkEnd w:id="55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4、营业收入和营业成本" w:id="558"/>
      <w:bookmarkEnd w:id="55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0"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845,309,025.55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5" w:right="0"/>
              <w:jc w:val="left"/>
              <w:rPr>
                <w:rFonts w:ascii="Times New Roman" w:hAnsi="Times New Roman" w:cs="Times New Roman" w:eastAsia="Times New Roman" w:hint="default"/>
                <w:sz w:val="18"/>
                <w:szCs w:val="18"/>
              </w:rPr>
            </w:pPr>
            <w:r>
              <w:rPr>
                <w:rFonts w:ascii="Times New Roman"/>
                <w:sz w:val="18"/>
              </w:rPr>
              <w:t>483,546,238.38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739,127,047.45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436,848,476.52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9" w:right="0"/>
              <w:jc w:val="left"/>
              <w:rPr>
                <w:rFonts w:ascii="Times New Roman" w:hAnsi="Times New Roman" w:cs="Times New Roman" w:eastAsia="Times New Roman" w:hint="default"/>
                <w:sz w:val="18"/>
                <w:szCs w:val="18"/>
              </w:rPr>
            </w:pPr>
            <w:r>
              <w:rPr>
                <w:rFonts w:ascii="Times New Roman"/>
                <w:sz w:val="18"/>
              </w:rPr>
              <w:t>845,309,025.55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5" w:right="0"/>
              <w:jc w:val="left"/>
              <w:rPr>
                <w:rFonts w:ascii="Times New Roman" w:hAnsi="Times New Roman" w:cs="Times New Roman" w:eastAsia="Times New Roman" w:hint="default"/>
                <w:sz w:val="18"/>
                <w:szCs w:val="18"/>
              </w:rPr>
            </w:pPr>
            <w:r>
              <w:rPr>
                <w:rFonts w:ascii="Times New Roman"/>
                <w:sz w:val="18"/>
              </w:rPr>
              <w:t>483,546,238.38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739,127,047.45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436,848,476.52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是 √ 否 其他说明：</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bookmarkStart w:name="5、投资收益" w:id="559"/>
      <w:bookmarkEnd w:id="55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-1,797,479.63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-2,638,751.65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1,415,756.78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2,333,692.93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-381,722.85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-305,058.72</w:t>
            </w:r>
          </w:p>
        </w:tc>
      </w:tr>
    </w:tbl>
    <w:p>
      <w:pPr>
        <w:spacing w:line="240" w:lineRule="auto" w:before="4"/>
        <w:rPr>
          <w:rFonts w:ascii="宋体" w:hAnsi="宋体" w:cs="宋体" w:eastAsia="宋体" w:hint="default"/>
          <w:sz w:val="19"/>
          <w:szCs w:val="19"/>
        </w:rPr>
      </w:pPr>
    </w:p>
    <w:p>
      <w:pPr>
        <w:pStyle w:val="Heading6"/>
        <w:spacing w:line="240" w:lineRule="auto" w:before="34"/>
        <w:ind w:right="0"/>
        <w:jc w:val="left"/>
        <w:rPr>
          <w:b w:val="0"/>
          <w:bCs w:val="0"/>
        </w:rPr>
      </w:pPr>
      <w:bookmarkStart w:name="6、其他" w:id="560"/>
      <w:bookmarkEnd w:id="560"/>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bookmarkStart w:name="十八、补充资料" w:id="561"/>
      <w:bookmarkEnd w:id="561"/>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562"/>
      <w:bookmarkEnd w:id="56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1,714,388.59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1,629,838.26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295,810.11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147,671.28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568,156.24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3,219,552.00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净资产收益率及每股收益" w:id="563"/>
      <w:bookmarkEnd w:id="56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3826"/>
      </w:tblGrid>
      <w:tr>
        <w:trPr>
          <w:trHeight w:val="4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907" w:footer="1016"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0.15</w:t>
            </w:r>
          </w:p>
        </w:tc>
      </w:tr>
    </w:tbl>
    <w:p>
      <w:pPr>
        <w:spacing w:line="240" w:lineRule="auto" w:before="4"/>
        <w:rPr>
          <w:rFonts w:ascii="宋体" w:hAnsi="宋体" w:cs="宋体" w:eastAsia="宋体" w:hint="default"/>
          <w:b/>
          <w:bCs/>
          <w:sz w:val="19"/>
          <w:szCs w:val="19"/>
        </w:rPr>
      </w:pPr>
    </w:p>
    <w:p>
      <w:pPr>
        <w:pStyle w:val="Heading6"/>
        <w:spacing w:line="240" w:lineRule="auto" w:before="34"/>
        <w:ind w:right="0"/>
        <w:jc w:val="left"/>
        <w:rPr>
          <w:b w:val="0"/>
          <w:bCs w:val="0"/>
        </w:rPr>
      </w:pPr>
      <w:bookmarkStart w:name="3、境内外会计准则下会计数据差异" w:id="564"/>
      <w:bookmarkEnd w:id="56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中国会计准则披露的财务报告中净利润和净资产差异情况" w:id="565"/>
      <w:bookmarkEnd w:id="56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bookmarkStart w:name="（2）同时按照境外会计准则与按中国会计准则披露的财务报告中净利润和净资产差异情况" w:id="566"/>
      <w:bookmarkEnd w:id="56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6"/>
        <w:spacing w:line="259" w:lineRule="auto"/>
        <w:ind w:right="0"/>
        <w:jc w:val="left"/>
        <w:rPr>
          <w:b w:val="0"/>
          <w:bCs w:val="0"/>
        </w:rPr>
      </w:pPr>
      <w:bookmarkStart w:name="（3）境内外会计准则下会计数据差异原因说明，对已经境外审计机构审计的数据进行差异" w:id="567"/>
      <w:bookmarkEnd w:id="567"/>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6"/>
        <w:spacing w:line="240" w:lineRule="auto"/>
        <w:ind w:right="0"/>
        <w:jc w:val="left"/>
        <w:rPr>
          <w:b w:val="0"/>
          <w:bCs w:val="0"/>
        </w:rPr>
      </w:pPr>
      <w:bookmarkStart w:name="4、其他" w:id="568"/>
      <w:bookmarkEnd w:id="56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6" w:top="1100" w:bottom="1200" w:left="102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1"/>
        <w:spacing w:line="240" w:lineRule="auto"/>
        <w:ind w:left="3328" w:right="0"/>
        <w:jc w:val="left"/>
        <w:rPr>
          <w:b w:val="0"/>
          <w:bCs w:val="0"/>
        </w:rPr>
      </w:pPr>
      <w:bookmarkStart w:name="第十三节备查文件目录" w:id="569"/>
      <w:bookmarkEnd w:id="569"/>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spacing w:line="316" w:lineRule="auto" w:before="0"/>
        <w:ind w:left="112" w:right="3463"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1"/>
          <w:sz w:val="18"/>
          <w:szCs w:val="18"/>
        </w:rPr>
        <w:t> </w:t>
      </w:r>
      <w:r>
        <w:rPr>
          <w:rFonts w:ascii="宋体" w:hAnsi="宋体" w:cs="宋体" w:eastAsia="宋体" w:hint="default"/>
          <w:sz w:val="18"/>
          <w:szCs w:val="18"/>
        </w:rPr>
        <w:t>载有公司法定代表人、主管会计工作负责人、会计机构负责人签名并盖章的财务报表。</w:t>
      </w:r>
      <w:r>
        <w:rPr>
          <w:rFonts w:ascii="宋体" w:hAnsi="宋体" w:cs="宋体" w:eastAsia="宋体" w:hint="default"/>
          <w:sz w:val="18"/>
          <w:szCs w:val="18"/>
        </w:rPr>
        <w:t> 二、</w:t>
      </w:r>
      <w:r>
        <w:rPr>
          <w:rFonts w:ascii="宋体" w:hAnsi="宋体" w:cs="宋体" w:eastAsia="宋体" w:hint="default"/>
          <w:spacing w:val="1"/>
          <w:sz w:val="18"/>
          <w:szCs w:val="18"/>
        </w:rPr>
        <w:t> </w:t>
      </w:r>
      <w:r>
        <w:rPr>
          <w:rFonts w:ascii="宋体" w:hAnsi="宋体" w:cs="宋体" w:eastAsia="宋体" w:hint="default"/>
          <w:sz w:val="18"/>
          <w:szCs w:val="18"/>
        </w:rPr>
        <w:t>载有会计师事务所盖章、注册会计师签名并盖章的审计报告原件。</w:t>
      </w:r>
    </w:p>
    <w:p>
      <w:pPr>
        <w:spacing w:line="316" w:lineRule="auto" w:before="19"/>
        <w:ind w:left="112" w:right="3643" w:firstLine="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
          <w:sz w:val="18"/>
          <w:szCs w:val="18"/>
        </w:rPr>
        <w:t> </w:t>
      </w:r>
      <w:r>
        <w:rPr>
          <w:rFonts w:ascii="宋体" w:hAnsi="宋体" w:cs="宋体" w:eastAsia="宋体" w:hint="default"/>
          <w:sz w:val="18"/>
          <w:szCs w:val="18"/>
        </w:rPr>
        <w:t>报告期内在中国证监会指定网站上公开披露过的所有公司文件的正本及公告的原稿。</w:t>
      </w:r>
      <w:r>
        <w:rPr>
          <w:rFonts w:ascii="宋体" w:hAnsi="宋体" w:cs="宋体" w:eastAsia="宋体" w:hint="default"/>
          <w:sz w:val="18"/>
          <w:szCs w:val="18"/>
        </w:rPr>
        <w:t> 四、</w:t>
      </w:r>
      <w:r>
        <w:rPr>
          <w:rFonts w:ascii="宋体" w:hAnsi="宋体" w:cs="宋体" w:eastAsia="宋体" w:hint="default"/>
          <w:spacing w:val="-1"/>
          <w:sz w:val="18"/>
          <w:szCs w:val="18"/>
        </w:rPr>
        <w:t> </w:t>
      </w:r>
      <w:r>
        <w:rPr>
          <w:rFonts w:ascii="宋体" w:hAnsi="宋体" w:cs="宋体" w:eastAsia="宋体" w:hint="default"/>
          <w:sz w:val="18"/>
          <w:szCs w:val="18"/>
        </w:rPr>
        <w:t>载有董事长签名的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年度报告原文件。</w:t>
      </w:r>
    </w:p>
    <w:p>
      <w:pPr>
        <w:spacing w:line="235"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以上备查文件的备置地点：公司证券事务部</w:t>
      </w:r>
    </w:p>
    <w:sectPr>
      <w:pgSz w:w="11910" w:h="16840"/>
      <w:pgMar w:header="907" w:footer="1016"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914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640" type="#_x0000_t75" stroked="false">
          <v:imagedata r:id="rId1" o:title=""/>
        </v:shape>
      </w:pict>
    </w:r>
    <w:r>
      <w:rPr/>
      <w:pict>
        <v:shape style="position:absolute;margin-left:54.639999pt;margin-top:780.087952pt;width:13.1pt;height:11pt;mso-position-horizontal-relative:page;mso-position-vertical-relative:page;z-index:-1698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568" type="#_x0000_t75" stroked="false">
          <v:imagedata r:id="rId1" o:title=""/>
        </v:shape>
      </w:pict>
    </w:r>
    <w:r>
      <w:rPr/>
      <w:pict>
        <v:shape style="position:absolute;margin-left:54.639999pt;margin-top:780.087952pt;width:13.1pt;height:11pt;mso-position-horizontal-relative:page;mso-position-vertical-relative:page;z-index:-1698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520" type="#_x0000_t75" stroked="false">
          <v:imagedata r:id="rId1" o:title=""/>
        </v:shape>
      </w:pict>
    </w:r>
    <w:r>
      <w:rPr/>
      <w:pict>
        <v:shape style="position:absolute;margin-left:54.639999pt;margin-top:780.087952pt;width:17.5pt;height:11pt;mso-position-horizontal-relative:page;mso-position-vertical-relative:page;z-index:-1698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472" type="#_x0000_t75" stroked="false">
          <v:imagedata r:id="rId1" o:title=""/>
        </v:shape>
      </w:pict>
    </w:r>
    <w:r>
      <w:rPr/>
      <w:pict>
        <v:shape style="position:absolute;margin-left:54.639999pt;margin-top:780.087952pt;width:17.3pt;height:11pt;mso-position-horizontal-relative:page;mso-position-vertical-relative:page;z-index:-1698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424" type="#_x0000_t75" stroked="false">
          <v:imagedata r:id="rId1" o:title=""/>
        </v:shape>
      </w:pict>
    </w:r>
    <w:r>
      <w:rPr/>
      <w:pict>
        <v:shape style="position:absolute;margin-left:54.639999pt;margin-top:780.087952pt;width:17.5pt;height:11pt;mso-position-horizontal-relative:page;mso-position-vertical-relative:page;z-index:-1698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376" type="#_x0000_t75" stroked="false">
          <v:imagedata r:id="rId1" o:title=""/>
        </v:shape>
      </w:pict>
    </w:r>
    <w:r>
      <w:rPr/>
      <w:pict>
        <v:shape style="position:absolute;margin-left:54.639999pt;margin-top:780.087952pt;width:17.5pt;height:11pt;mso-position-horizontal-relative:page;mso-position-vertical-relative:page;z-index:-1698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328" type="#_x0000_t75" stroked="false">
          <v:imagedata r:id="rId1" o:title=""/>
        </v:shape>
      </w:pict>
    </w:r>
    <w:r>
      <w:rPr/>
      <w:pict>
        <v:shape style="position:absolute;margin-left:54.639999pt;margin-top:780.087952pt;width:17.5pt;height:11pt;mso-position-horizontal-relative:page;mso-position-vertical-relative:page;z-index:-1698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280" type="#_x0000_t75" stroked="false">
          <v:imagedata r:id="rId1" o:title=""/>
        </v:shape>
      </w:pict>
    </w:r>
    <w:r>
      <w:rPr/>
      <w:pict>
        <v:shape style="position:absolute;margin-left:54.639999pt;margin-top:780.087952pt;width:17.5pt;height:11pt;mso-position-horizontal-relative:page;mso-position-vertical-relative:page;z-index:-1698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232" type="#_x0000_t75" stroked="false">
          <v:imagedata r:id="rId1" o:title=""/>
        </v:shape>
      </w:pict>
    </w:r>
    <w:r>
      <w:rPr/>
      <w:pict>
        <v:shape style="position:absolute;margin-left:54.639999pt;margin-top:780.087952pt;width:17.5pt;height:11pt;mso-position-horizontal-relative:page;mso-position-vertical-relative:page;z-index:-1698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184" type="#_x0000_t75" stroked="false">
          <v:imagedata r:id="rId1" o:title=""/>
        </v:shape>
      </w:pict>
    </w:r>
    <w:r>
      <w:rPr/>
      <w:pict>
        <v:shape style="position:absolute;margin-left:54.639999pt;margin-top:780.087952pt;width:17.5pt;height:11pt;mso-position-horizontal-relative:page;mso-position-vertical-relative:page;z-index:-1698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9120" type="#_x0000_t75" stroked="false">
          <v:imagedata r:id="rId1" o:title=""/>
        </v:shape>
      </w:pict>
    </w:r>
    <w:r>
      <w:rPr/>
      <w:pict>
        <v:shape style="position:absolute;margin-left:54.639999pt;margin-top:780.087952pt;width:8.5pt;height:11pt;mso-position-horizontal-relative:page;mso-position-vertical-relative:page;z-index:-1699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136" type="#_x0000_t75" stroked="false">
          <v:imagedata r:id="rId1" o:title=""/>
        </v:shape>
      </w:pict>
    </w:r>
    <w:r>
      <w:rPr/>
      <w:pict>
        <v:shape style="position:absolute;margin-left:54.639999pt;margin-top:780.087952pt;width:17.5pt;height:11pt;mso-position-horizontal-relative:page;mso-position-vertical-relative:page;z-index:-1698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088" type="#_x0000_t75" stroked="false">
          <v:imagedata r:id="rId1" o:title=""/>
        </v:shape>
      </w:pict>
    </w:r>
    <w:r>
      <w:rPr/>
      <w:pict>
        <v:shape style="position:absolute;margin-left:54.639999pt;margin-top:780.087952pt;width:17.5pt;height:11pt;mso-position-horizontal-relative:page;mso-position-vertical-relative:page;z-index:-169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040" type="#_x0000_t75" stroked="false">
          <v:imagedata r:id="rId1" o:title=""/>
        </v:shape>
      </w:pict>
    </w:r>
    <w:r>
      <w:rPr/>
      <w:pict>
        <v:shape style="position:absolute;margin-left:54.639999pt;margin-top:780.087952pt;width:17.5pt;height:11pt;mso-position-horizontal-relative:page;mso-position-vertical-relative:page;z-index:-1698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7992" type="#_x0000_t75" stroked="false">
          <v:imagedata r:id="rId1" o:title=""/>
        </v:shape>
      </w:pict>
    </w:r>
    <w:r>
      <w:rPr/>
      <w:pict>
        <v:shape style="position:absolute;margin-left:54.639999pt;margin-top:780.087952pt;width:17.5pt;height:11pt;mso-position-horizontal-relative:page;mso-position-vertical-relative:page;z-index:-1697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7944" type="#_x0000_t75" stroked="false">
          <v:imagedata r:id="rId1" o:title=""/>
        </v:shape>
      </w:pict>
    </w:r>
    <w:r>
      <w:rPr/>
      <w:pict>
        <v:shape style="position:absolute;margin-left:54.639999pt;margin-top:780.087952pt;width:17.5pt;height:11pt;mso-position-horizontal-relative:page;mso-position-vertical-relative:page;z-index:-1697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7896" type="#_x0000_t75" stroked="false">
          <v:imagedata r:id="rId1" o:title=""/>
        </v:shape>
      </w:pict>
    </w:r>
    <w:r>
      <w:rPr/>
      <w:pict>
        <v:shape style="position:absolute;margin-left:54.639999pt;margin-top:780.087952pt;width:17.5pt;height:11pt;mso-position-horizontal-relative:page;mso-position-vertical-relative:page;z-index:-169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7848" type="#_x0000_t75" stroked="false">
          <v:imagedata r:id="rId1" o:title=""/>
        </v:shape>
      </w:pict>
    </w:r>
    <w:r>
      <w:rPr/>
      <w:pict>
        <v:shape style="position:absolute;margin-left:54.639999pt;margin-top:780.087952pt;width:17.5pt;height:11pt;mso-position-horizontal-relative:page;mso-position-vertical-relative:page;z-index:-169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7800" type="#_x0000_t75" stroked="false">
          <v:imagedata r:id="rId1" o:title=""/>
        </v:shape>
      </w:pict>
    </w:r>
    <w:r>
      <w:rPr/>
      <w:pict>
        <v:shape style="position:absolute;margin-left:54.639999pt;margin-top:780.087952pt;width:17.5pt;height:11pt;mso-position-horizontal-relative:page;mso-position-vertical-relative:page;z-index:-169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9048" type="#_x0000_t75" stroked="false">
          <v:imagedata r:id="rId1" o:title=""/>
        </v:shape>
      </w:pict>
    </w:r>
    <w:r>
      <w:rPr/>
      <w:pict>
        <v:shape style="position:absolute;margin-left:54.639999pt;margin-top:780.087952pt;width:13.1pt;height:11pt;mso-position-horizontal-relative:page;mso-position-vertical-relative:page;z-index:-1699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9000" type="#_x0000_t75" stroked="false">
          <v:imagedata r:id="rId1" o:title=""/>
        </v:shape>
      </w:pict>
    </w:r>
    <w:r>
      <w:rPr/>
      <w:pict>
        <v:shape style="position:absolute;margin-left:54.639999pt;margin-top:780.087952pt;width:13.1pt;height:11pt;mso-position-horizontal-relative:page;mso-position-vertical-relative:page;z-index:-1698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952" type="#_x0000_t75" stroked="false">
          <v:imagedata r:id="rId1" o:title=""/>
        </v:shape>
      </w:pict>
    </w:r>
    <w:r>
      <w:rPr/>
      <w:pict>
        <v:shape style="position:absolute;margin-left:54.639999pt;margin-top:780.087952pt;width:13.1pt;height:11pt;mso-position-horizontal-relative:page;mso-position-vertical-relative:page;z-index:-1698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904" type="#_x0000_t75" stroked="false">
          <v:imagedata r:id="rId1" o:title=""/>
        </v:shape>
      </w:pict>
    </w:r>
    <w:r>
      <w:rPr/>
      <w:pict>
        <v:shape style="position:absolute;margin-left:54.639999pt;margin-top:780.087952pt;width:13.1pt;height:11pt;mso-position-horizontal-relative:page;mso-position-vertical-relative:page;z-index:-1698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856" type="#_x0000_t75" stroked="false">
          <v:imagedata r:id="rId1" o:title=""/>
        </v:shape>
      </w:pict>
    </w:r>
    <w:r>
      <w:rPr/>
      <w:pict>
        <v:shape style="position:absolute;margin-left:54.639999pt;margin-top:780.087952pt;width:13.1pt;height:11pt;mso-position-horizontal-relative:page;mso-position-vertical-relative:page;z-index:-1698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808" type="#_x0000_t75" stroked="false">
          <v:imagedata r:id="rId1" o:title=""/>
        </v:shape>
      </w:pict>
    </w:r>
    <w:r>
      <w:rPr/>
      <w:pict>
        <v:shape style="position:absolute;margin-left:54.639999pt;margin-top:780.087952pt;width:13.1pt;height:11pt;mso-position-horizontal-relative:page;mso-position-vertical-relative:page;z-index:-1698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698760" type="#_x0000_t75" stroked="false">
          <v:imagedata r:id="rId1" o:title=""/>
        </v:shape>
      </w:pict>
    </w:r>
    <w:r>
      <w:rPr/>
      <w:pict>
        <v:shape style="position:absolute;margin-left:54.639999pt;margin-top:780.087952pt;width:13.1pt;height:11pt;mso-position-horizontal-relative:page;mso-position-vertical-relative:page;z-index:-1698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355648pt;width:213.6pt;height:11.5pt;mso-position-horizontal-relative:page;mso-position-vertical-relative:page;z-index:-1699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699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698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55.639999pt;margin-top:73.589554pt;width:196.9pt;height:13.05pt;mso-position-horizontal-relative:page;mso-position-vertical-relative:page;z-index:-1698688" type="#_x0000_t202" filled="false" stroked="false">
          <v:textbox inset="0,0,0,0">
            <w:txbxContent>
              <w:p>
                <w:pPr>
                  <w:spacing w:line="245"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698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13.6pt;height:11.4pt;mso-position-horizontal-relative:page;mso-position-vertical-relative:page;z-index:-1698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ind w:left="2380"/>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61"/>
      <w:ind w:left="112" w:firstLine="561"/>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sz w:val="24"/>
      <w:szCs w:val="24"/>
    </w:rPr>
  </w:style>
  <w:style w:styleId="Heading6" w:type="paragraph">
    <w:name w:val="Heading 6"/>
    <w:basedOn w:val="Normal"/>
    <w:uiPriority w:val="1"/>
    <w:qFormat/>
    <w:pPr>
      <w:ind w:left="11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csii.com.cn/" TargetMode="External"/><Relationship Id="rId11" Type="http://schemas.openxmlformats.org/officeDocument/2006/relationships/hyperlink" Target="mailto:investor@csii.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hyperlink" Target="http://iof.hexun.com/index.html" TargetMode="External"/><Relationship Id="rId15" Type="http://schemas.openxmlformats.org/officeDocument/2006/relationships/hyperlink" Target="http://law.hexun.com/"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header" Target="header5.xml"/><Relationship Id="rId26" Type="http://schemas.openxmlformats.org/officeDocument/2006/relationships/footer" Target="footer11.xml"/><Relationship Id="rId27" Type="http://schemas.openxmlformats.org/officeDocument/2006/relationships/image" Target="media/image3.jpeg"/><Relationship Id="rId28" Type="http://schemas.openxmlformats.org/officeDocument/2006/relationships/footer" Target="footer12.xml"/><Relationship Id="rId29" Type="http://schemas.openxmlformats.org/officeDocument/2006/relationships/hyperlink" Target="http://www.cninfo.com.c/" TargetMode="Externa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2020-05-19T07:53:33Z</dcterms:created>
  <dcterms:modified xsi:type="dcterms:W3CDTF">2020-05-19T07:53:33Z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WPS 文字</vt:lpwstr>
  </property>
  <property fmtid="{D5CDD505-2E9C-101B-9397-08002B2CF9AE}" pid="4" name="LastSaved">
    <vt:filetime>2020-05-18T00:00:00Z</vt:filetime>
  </property>
</Properties>
</file>