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spacing w:line="1080" w:lineRule="exact"/>
        <w:ind w:left="264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2083726" cy="68627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083726" cy="686276"/>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0"/>
        <w:ind w:left="876" w:right="2563" w:firstLine="0"/>
        <w:jc w:val="center"/>
        <w:rPr>
          <w:rFonts w:ascii="楷体" w:hAnsi="楷体" w:cs="楷体" w:eastAsia="楷体" w:hint="default"/>
          <w:sz w:val="48"/>
          <w:szCs w:val="48"/>
        </w:rPr>
      </w:pPr>
      <w:r>
        <w:rPr>
          <w:rFonts w:ascii="楷体" w:hAnsi="楷体" w:cs="楷体" w:eastAsia="楷体" w:hint="default"/>
          <w:b/>
          <w:bCs/>
          <w:sz w:val="48"/>
          <w:szCs w:val="48"/>
        </w:rPr>
        <w:t>北京宇信科技集团股份有限公司</w:t>
      </w:r>
      <w:r>
        <w:rPr>
          <w:rFonts w:ascii="楷体" w:hAnsi="楷体" w:cs="楷体" w:eastAsia="楷体" w:hint="default"/>
          <w:sz w:val="48"/>
          <w:szCs w:val="48"/>
        </w:rPr>
      </w:r>
    </w:p>
    <w:p>
      <w:pPr>
        <w:spacing w:before="348"/>
        <w:ind w:left="876" w:right="2552" w:firstLine="0"/>
        <w:jc w:val="center"/>
        <w:rPr>
          <w:rFonts w:ascii="楷体" w:hAnsi="楷体" w:cs="楷体" w:eastAsia="楷体" w:hint="default"/>
          <w:sz w:val="48"/>
          <w:szCs w:val="48"/>
        </w:rPr>
      </w:pPr>
      <w:r>
        <w:rPr>
          <w:rFonts w:ascii="Times New Roman" w:hAnsi="Times New Roman" w:cs="Times New Roman" w:eastAsia="Times New Roman" w:hint="default"/>
          <w:b/>
          <w:bCs/>
          <w:sz w:val="48"/>
          <w:szCs w:val="48"/>
        </w:rPr>
        <w:t>2019 </w:t>
      </w:r>
      <w:r>
        <w:rPr>
          <w:rFonts w:ascii="楷体" w:hAnsi="楷体" w:cs="楷体" w:eastAsia="楷体" w:hint="default"/>
          <w:b/>
          <w:bCs/>
          <w:sz w:val="48"/>
          <w:szCs w:val="48"/>
        </w:rPr>
        <w:t>年年度报告</w:t>
      </w:r>
      <w:r>
        <w:rPr>
          <w:rFonts w:ascii="楷体" w:hAnsi="楷体" w:cs="楷体" w:eastAsia="楷体" w:hint="default"/>
          <w:sz w:val="48"/>
          <w:szCs w:val="48"/>
        </w:rPr>
      </w:r>
    </w:p>
    <w:p>
      <w:pPr>
        <w:spacing w:before="102"/>
        <w:ind w:left="876" w:right="2555" w:firstLine="0"/>
        <w:jc w:val="center"/>
        <w:rPr>
          <w:rFonts w:ascii="Times New Roman" w:hAnsi="Times New Roman" w:cs="Times New Roman" w:eastAsia="Times New Roman" w:hint="default"/>
          <w:sz w:val="30"/>
          <w:szCs w:val="30"/>
        </w:rPr>
      </w:pPr>
      <w:r>
        <w:rPr>
          <w:rFonts w:ascii="楷体" w:hAnsi="楷体" w:cs="楷体" w:eastAsia="楷体" w:hint="default"/>
          <w:b/>
          <w:bCs/>
          <w:sz w:val="30"/>
          <w:szCs w:val="30"/>
        </w:rPr>
        <w:t>公告编号：</w:t>
      </w:r>
      <w:r>
        <w:rPr>
          <w:rFonts w:ascii="Times New Roman" w:hAnsi="Times New Roman" w:cs="Times New Roman" w:eastAsia="Times New Roman" w:hint="default"/>
          <w:b/>
          <w:bCs/>
          <w:sz w:val="30"/>
          <w:szCs w:val="30"/>
        </w:rPr>
        <w:t>2020-026</w:t>
      </w:r>
      <w:r>
        <w:rPr>
          <w:rFonts w:ascii="Times New Roman" w:hAnsi="Times New Roman" w:cs="Times New Roman" w:eastAsia="Times New Roman" w:hint="default"/>
          <w:sz w:val="30"/>
          <w:szCs w:val="3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17"/>
          <w:szCs w:val="17"/>
        </w:rPr>
      </w:pPr>
    </w:p>
    <w:tbl>
      <w:tblPr>
        <w:tblW w:w="0" w:type="auto"/>
        <w:jc w:val="left"/>
        <w:tblInd w:w="2270" w:type="dxa"/>
        <w:tblLayout w:type="fixed"/>
        <w:tblCellMar>
          <w:top w:w="0" w:type="dxa"/>
          <w:left w:w="0" w:type="dxa"/>
          <w:bottom w:w="0" w:type="dxa"/>
          <w:right w:w="0" w:type="dxa"/>
        </w:tblCellMar>
        <w:tblLook w:val="01E0"/>
      </w:tblPr>
      <w:tblGrid>
        <w:gridCol w:w="2079"/>
        <w:gridCol w:w="3119"/>
      </w:tblGrid>
      <w:tr>
        <w:trPr>
          <w:trHeight w:val="465"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367" w:lineRule="exact"/>
              <w:ind w:right="70"/>
              <w:jc w:val="right"/>
              <w:rPr>
                <w:rFonts w:ascii="楷体" w:hAnsi="楷体" w:cs="楷体" w:eastAsia="楷体" w:hint="default"/>
                <w:sz w:val="36"/>
                <w:szCs w:val="36"/>
              </w:rPr>
            </w:pPr>
            <w:r>
              <w:rPr>
                <w:rFonts w:ascii="楷体" w:hAnsi="楷体" w:cs="楷体" w:eastAsia="楷体" w:hint="default"/>
                <w:b/>
                <w:bCs/>
                <w:w w:val="95"/>
                <w:sz w:val="36"/>
                <w:szCs w:val="36"/>
              </w:rPr>
              <w:t>股票代码：</w:t>
            </w:r>
            <w:r>
              <w:rPr>
                <w:rFonts w:ascii="楷体" w:hAnsi="楷体" w:cs="楷体" w:eastAsia="楷体" w:hint="default"/>
                <w:sz w:val="36"/>
                <w:szCs w:val="36"/>
              </w:rPr>
            </w:r>
          </w:p>
        </w:tc>
        <w:tc>
          <w:tcPr>
            <w:tcW w:w="3119" w:type="dxa"/>
            <w:tcBorders>
              <w:top w:val="nil" w:sz="6" w:space="0" w:color="auto"/>
              <w:left w:val="nil" w:sz="6" w:space="0" w:color="auto"/>
              <w:bottom w:val="nil" w:sz="6" w:space="0" w:color="auto"/>
              <w:right w:val="nil" w:sz="6" w:space="0" w:color="auto"/>
            </w:tcBorders>
          </w:tcPr>
          <w:p>
            <w:pPr>
              <w:pStyle w:val="TableParagraph"/>
              <w:spacing w:line="368" w:lineRule="exact"/>
              <w:ind w:left="72" w:right="0"/>
              <w:jc w:val="left"/>
              <w:rPr>
                <w:rFonts w:ascii="Times New Roman" w:hAnsi="Times New Roman" w:cs="Times New Roman" w:eastAsia="Times New Roman" w:hint="default"/>
                <w:sz w:val="36"/>
                <w:szCs w:val="36"/>
              </w:rPr>
            </w:pPr>
            <w:r>
              <w:rPr>
                <w:rFonts w:ascii="Times New Roman"/>
                <w:b/>
                <w:sz w:val="36"/>
              </w:rPr>
              <w:t>300674</w:t>
            </w:r>
            <w:r>
              <w:rPr>
                <w:rFonts w:ascii="Times New Roman"/>
                <w:sz w:val="36"/>
              </w:rPr>
            </w:r>
          </w:p>
        </w:tc>
      </w:tr>
      <w:tr>
        <w:trPr>
          <w:trHeight w:val="478"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458" w:lineRule="exact"/>
              <w:ind w:right="70"/>
              <w:jc w:val="right"/>
              <w:rPr>
                <w:rFonts w:ascii="楷体" w:hAnsi="楷体" w:cs="楷体" w:eastAsia="楷体" w:hint="default"/>
                <w:sz w:val="36"/>
                <w:szCs w:val="36"/>
              </w:rPr>
            </w:pPr>
            <w:r>
              <w:rPr>
                <w:rFonts w:ascii="楷体" w:hAnsi="楷体" w:cs="楷体" w:eastAsia="楷体" w:hint="default"/>
                <w:b/>
                <w:bCs/>
                <w:w w:val="95"/>
                <w:sz w:val="36"/>
                <w:szCs w:val="36"/>
              </w:rPr>
              <w:t>披露日期：</w:t>
            </w:r>
            <w:r>
              <w:rPr>
                <w:rFonts w:ascii="楷体" w:hAnsi="楷体" w:cs="楷体" w:eastAsia="楷体" w:hint="default"/>
                <w:sz w:val="36"/>
                <w:szCs w:val="36"/>
              </w:rPr>
            </w:r>
          </w:p>
        </w:tc>
        <w:tc>
          <w:tcPr>
            <w:tcW w:w="3119" w:type="dxa"/>
            <w:tcBorders>
              <w:top w:val="nil" w:sz="6" w:space="0" w:color="auto"/>
              <w:left w:val="nil" w:sz="6" w:space="0" w:color="auto"/>
              <w:bottom w:val="nil" w:sz="6" w:space="0" w:color="auto"/>
              <w:right w:val="nil" w:sz="6" w:space="0" w:color="auto"/>
            </w:tcBorders>
          </w:tcPr>
          <w:p>
            <w:pPr>
              <w:pStyle w:val="TableParagraph"/>
              <w:spacing w:line="486" w:lineRule="exact"/>
              <w:ind w:left="125" w:right="0"/>
              <w:jc w:val="left"/>
              <w:rPr>
                <w:rFonts w:ascii="楷体" w:hAnsi="楷体" w:cs="楷体" w:eastAsia="楷体" w:hint="default"/>
                <w:sz w:val="36"/>
                <w:szCs w:val="36"/>
              </w:rPr>
            </w:pPr>
            <w:r>
              <w:rPr>
                <w:rFonts w:ascii="Times New Roman" w:hAnsi="Times New Roman" w:cs="Times New Roman" w:eastAsia="Times New Roman" w:hint="default"/>
                <w:b/>
                <w:bCs/>
                <w:sz w:val="36"/>
                <w:szCs w:val="36"/>
              </w:rPr>
              <w:t>2020</w:t>
            </w:r>
            <w:r>
              <w:rPr>
                <w:rFonts w:ascii="Times New Roman" w:hAnsi="Times New Roman" w:cs="Times New Roman" w:eastAsia="Times New Roman" w:hint="default"/>
                <w:b/>
                <w:bCs/>
                <w:spacing w:val="-1"/>
                <w:sz w:val="36"/>
                <w:szCs w:val="36"/>
              </w:rPr>
              <w:t> </w:t>
            </w:r>
            <w:r>
              <w:rPr>
                <w:rFonts w:ascii="楷体" w:hAnsi="楷体" w:cs="楷体" w:eastAsia="楷体" w:hint="default"/>
                <w:b/>
                <w:bCs/>
                <w:sz w:val="36"/>
                <w:szCs w:val="36"/>
              </w:rPr>
              <w:t>年</w:t>
            </w:r>
            <w:r>
              <w:rPr>
                <w:rFonts w:ascii="楷体" w:hAnsi="楷体" w:cs="楷体" w:eastAsia="楷体" w:hint="default"/>
                <w:b/>
                <w:bCs/>
                <w:spacing w:val="-90"/>
                <w:sz w:val="36"/>
                <w:szCs w:val="36"/>
              </w:rPr>
              <w:t> </w:t>
            </w:r>
            <w:r>
              <w:rPr>
                <w:rFonts w:ascii="Times New Roman" w:hAnsi="Times New Roman" w:cs="Times New Roman" w:eastAsia="Times New Roman" w:hint="default"/>
                <w:b/>
                <w:bCs/>
                <w:sz w:val="36"/>
                <w:szCs w:val="36"/>
              </w:rPr>
              <w:t>3</w:t>
            </w:r>
            <w:r>
              <w:rPr>
                <w:rFonts w:ascii="Times New Roman" w:hAnsi="Times New Roman" w:cs="Times New Roman" w:eastAsia="Times New Roman" w:hint="default"/>
                <w:b/>
                <w:bCs/>
                <w:spacing w:val="-4"/>
                <w:sz w:val="36"/>
                <w:szCs w:val="36"/>
              </w:rPr>
              <w:t> </w:t>
            </w:r>
            <w:r>
              <w:rPr>
                <w:rFonts w:ascii="楷体" w:hAnsi="楷体" w:cs="楷体" w:eastAsia="楷体" w:hint="default"/>
                <w:b/>
                <w:bCs/>
                <w:sz w:val="36"/>
                <w:szCs w:val="36"/>
              </w:rPr>
              <w:t>月</w:t>
            </w:r>
            <w:r>
              <w:rPr>
                <w:rFonts w:ascii="楷体" w:hAnsi="楷体" w:cs="楷体" w:eastAsia="楷体" w:hint="default"/>
                <w:b/>
                <w:bCs/>
                <w:spacing w:val="-90"/>
                <w:sz w:val="36"/>
                <w:szCs w:val="36"/>
              </w:rPr>
              <w:t> </w:t>
            </w:r>
            <w:r>
              <w:rPr>
                <w:rFonts w:ascii="Times New Roman" w:hAnsi="Times New Roman" w:cs="Times New Roman" w:eastAsia="Times New Roman" w:hint="default"/>
                <w:b/>
                <w:bCs/>
                <w:sz w:val="36"/>
                <w:szCs w:val="36"/>
              </w:rPr>
              <w:t>31</w:t>
            </w:r>
            <w:r>
              <w:rPr>
                <w:rFonts w:ascii="Times New Roman" w:hAnsi="Times New Roman" w:cs="Times New Roman" w:eastAsia="Times New Roman" w:hint="default"/>
                <w:b/>
                <w:bCs/>
                <w:spacing w:val="-4"/>
                <w:sz w:val="36"/>
                <w:szCs w:val="36"/>
              </w:rPr>
              <w:t> </w:t>
            </w:r>
            <w:r>
              <w:rPr>
                <w:rFonts w:ascii="楷体" w:hAnsi="楷体" w:cs="楷体" w:eastAsia="楷体" w:hint="default"/>
                <w:b/>
                <w:bCs/>
                <w:sz w:val="36"/>
                <w:szCs w:val="36"/>
              </w:rPr>
              <w:t>日</w:t>
            </w:r>
            <w:r>
              <w:rPr>
                <w:rFonts w:ascii="楷体" w:hAnsi="楷体" w:cs="楷体" w:eastAsia="楷体" w:hint="default"/>
                <w:sz w:val="36"/>
                <w:szCs w:val="36"/>
              </w:rPr>
            </w:r>
          </w:p>
        </w:tc>
      </w:tr>
    </w:tbl>
    <w:p>
      <w:pPr>
        <w:spacing w:after="0" w:line="486" w:lineRule="exact"/>
        <w:jc w:val="left"/>
        <w:rPr>
          <w:rFonts w:ascii="楷体" w:hAnsi="楷体" w:cs="楷体" w:eastAsia="楷体" w:hint="default"/>
          <w:sz w:val="36"/>
          <w:szCs w:val="36"/>
        </w:rPr>
        <w:sectPr>
          <w:footerReference w:type="default" r:id="rId5"/>
          <w:type w:val="continuous"/>
          <w:pgSz w:w="11910" w:h="16840"/>
          <w:pgMar w:footer="504" w:top="1580" w:bottom="700" w:left="1680" w:right="0"/>
        </w:sect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22"/>
          <w:szCs w:val="22"/>
        </w:rPr>
      </w:pPr>
    </w:p>
    <w:p>
      <w:pPr>
        <w:pStyle w:val="Heading1"/>
        <w:spacing w:line="240" w:lineRule="auto"/>
        <w:ind w:left="2885" w:right="113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黑体" w:hAnsi="黑体" w:cs="黑体" w:eastAsia="黑体" w:hint="default"/>
          <w:sz w:val="28"/>
          <w:szCs w:val="28"/>
        </w:rPr>
      </w:pPr>
      <w:r>
        <w:rPr>
          <w:rFonts w:ascii="黑体" w:hAnsi="黑体" w:cs="黑体" w:eastAsia="黑体" w:hint="default"/>
          <w:b/>
          <w:bCs/>
          <w:spacing w:val="2"/>
          <w:sz w:val="28"/>
          <w:szCs w:val="28"/>
        </w:rPr>
        <w:t>公司董事会、监事会及董事、监事、高级管理人员保证年度报告内容的真</w:t>
      </w:r>
      <w:r>
        <w:rPr>
          <w:rFonts w:ascii="黑体" w:hAnsi="黑体" w:cs="黑体" w:eastAsia="黑体" w:hint="default"/>
          <w:b/>
          <w:bCs/>
          <w:w w:val="99"/>
          <w:sz w:val="28"/>
          <w:szCs w:val="28"/>
        </w:rPr>
        <w:t> </w:t>
      </w:r>
      <w:r>
        <w:rPr>
          <w:rFonts w:ascii="黑体" w:hAnsi="黑体" w:cs="黑体" w:eastAsia="黑体" w:hint="default"/>
          <w:b/>
          <w:bCs/>
          <w:spacing w:val="2"/>
          <w:sz w:val="28"/>
          <w:szCs w:val="28"/>
        </w:rPr>
        <w:t>实、准确、完整，不存在虚假记载、误导性陈述或重大遗漏，并承担个别和连</w:t>
      </w:r>
      <w:r>
        <w:rPr>
          <w:rFonts w:ascii="黑体" w:hAnsi="黑体" w:cs="黑体" w:eastAsia="黑体" w:hint="default"/>
          <w:b/>
          <w:bCs/>
          <w:w w:val="99"/>
          <w:sz w:val="28"/>
          <w:szCs w:val="28"/>
        </w:rPr>
        <w:t> </w:t>
      </w:r>
      <w:r>
        <w:rPr>
          <w:rFonts w:ascii="黑体" w:hAnsi="黑体" w:cs="黑体" w:eastAsia="黑体" w:hint="default"/>
          <w:b/>
          <w:bCs/>
          <w:sz w:val="28"/>
          <w:szCs w:val="28"/>
        </w:rPr>
        <w:t>带的法律责任。</w:t>
      </w:r>
      <w:r>
        <w:rPr>
          <w:rFonts w:ascii="黑体" w:hAnsi="黑体" w:cs="黑体" w:eastAsia="黑体" w:hint="default"/>
          <w:sz w:val="28"/>
          <w:szCs w:val="28"/>
        </w:rPr>
      </w:r>
    </w:p>
    <w:p>
      <w:pPr>
        <w:spacing w:line="386" w:lineRule="auto" w:before="61"/>
        <w:ind w:left="152" w:right="1131" w:firstLine="562"/>
        <w:jc w:val="both"/>
        <w:rPr>
          <w:rFonts w:ascii="黑体" w:hAnsi="黑体" w:cs="黑体" w:eastAsia="黑体" w:hint="default"/>
          <w:sz w:val="28"/>
          <w:szCs w:val="28"/>
        </w:rPr>
      </w:pPr>
      <w:r>
        <w:rPr>
          <w:rFonts w:ascii="黑体" w:hAnsi="黑体" w:cs="黑体" w:eastAsia="黑体" w:hint="default"/>
          <w:b/>
          <w:bCs/>
          <w:w w:val="95"/>
          <w:sz w:val="28"/>
          <w:szCs w:val="28"/>
        </w:rPr>
        <w:t>公司负责人洪卫东、主管会计工作负责人戴士平及会计机构负责人</w:t>
      </w:r>
      <w:r>
        <w:rPr>
          <w:rFonts w:ascii="Times New Roman" w:hAnsi="Times New Roman" w:cs="Times New Roman" w:eastAsia="Times New Roman" w:hint="default"/>
          <w:b/>
          <w:bCs/>
          <w:w w:val="95"/>
          <w:sz w:val="28"/>
          <w:szCs w:val="28"/>
        </w:rPr>
        <w:t>(</w:t>
      </w:r>
      <w:r>
        <w:rPr>
          <w:rFonts w:ascii="黑体" w:hAnsi="黑体" w:cs="黑体" w:eastAsia="黑体" w:hint="default"/>
          <w:b/>
          <w:bCs/>
          <w:w w:val="95"/>
          <w:sz w:val="28"/>
          <w:szCs w:val="28"/>
        </w:rPr>
        <w:t>会计主</w:t>
      </w:r>
      <w:r>
        <w:rPr>
          <w:rFonts w:ascii="黑体" w:hAnsi="黑体" w:cs="黑体" w:eastAsia="黑体" w:hint="default"/>
          <w:b/>
          <w:bCs/>
          <w:w w:val="99"/>
          <w:sz w:val="28"/>
          <w:szCs w:val="28"/>
        </w:rPr>
        <w:t> </w:t>
      </w:r>
      <w:r>
        <w:rPr>
          <w:rFonts w:ascii="黑体" w:hAnsi="黑体" w:cs="黑体" w:eastAsia="黑体" w:hint="default"/>
          <w:b/>
          <w:bCs/>
          <w:sz w:val="28"/>
          <w:szCs w:val="28"/>
        </w:rPr>
        <w:t>管人员</w:t>
      </w:r>
      <w:r>
        <w:rPr>
          <w:rFonts w:ascii="Times New Roman" w:hAnsi="Times New Roman" w:cs="Times New Roman" w:eastAsia="Times New Roman" w:hint="default"/>
          <w:b/>
          <w:bCs/>
          <w:sz w:val="28"/>
          <w:szCs w:val="28"/>
        </w:rPr>
        <w:t>)</w:t>
      </w:r>
      <w:r>
        <w:rPr>
          <w:rFonts w:ascii="黑体" w:hAnsi="黑体" w:cs="黑体" w:eastAsia="黑体" w:hint="default"/>
          <w:b/>
          <w:bCs/>
          <w:sz w:val="28"/>
          <w:szCs w:val="28"/>
        </w:rPr>
        <w:t>梁文芳声明：保证年度报告中财务报告的真实、准确、完整。</w:t>
      </w:r>
      <w:r>
        <w:rPr>
          <w:rFonts w:ascii="黑体" w:hAnsi="黑体" w:cs="黑体" w:eastAsia="黑体" w:hint="default"/>
          <w:sz w:val="28"/>
          <w:szCs w:val="28"/>
        </w:rPr>
      </w:r>
    </w:p>
    <w:p>
      <w:pPr>
        <w:spacing w:line="408" w:lineRule="auto" w:before="47"/>
        <w:ind w:left="714" w:right="1133" w:firstLine="0"/>
        <w:jc w:val="left"/>
        <w:rPr>
          <w:rFonts w:ascii="黑体" w:hAnsi="黑体" w:cs="黑体" w:eastAsia="黑体" w:hint="default"/>
          <w:sz w:val="28"/>
          <w:szCs w:val="28"/>
        </w:rPr>
      </w:pPr>
      <w:r>
        <w:rPr>
          <w:rFonts w:ascii="黑体" w:hAnsi="黑体" w:cs="黑体" w:eastAsia="黑体" w:hint="default"/>
          <w:b/>
          <w:bCs/>
          <w:sz w:val="28"/>
          <w:szCs w:val="28"/>
        </w:rPr>
        <w:t>所有董事均已出席了审议本报告的董事会会议。</w:t>
      </w:r>
      <w:r>
        <w:rPr>
          <w:rFonts w:ascii="黑体" w:hAnsi="黑体" w:cs="黑体" w:eastAsia="黑体" w:hint="default"/>
          <w:b/>
          <w:bCs/>
          <w:w w:val="99"/>
          <w:sz w:val="28"/>
          <w:szCs w:val="28"/>
        </w:rPr>
        <w:t> </w:t>
      </w:r>
      <w:r>
        <w:rPr>
          <w:rFonts w:ascii="黑体" w:hAnsi="黑体" w:cs="黑体" w:eastAsia="黑体" w:hint="default"/>
          <w:b/>
          <w:bCs/>
          <w:spacing w:val="2"/>
          <w:sz w:val="28"/>
          <w:szCs w:val="28"/>
        </w:rPr>
        <w:t>本报告所涉及的未来发展计划等前瞻性陈述，不构成公司对投资者的实质</w:t>
      </w:r>
      <w:r>
        <w:rPr>
          <w:rFonts w:ascii="黑体" w:hAnsi="黑体" w:cs="黑体" w:eastAsia="黑体" w:hint="default"/>
          <w:spacing w:val="2"/>
          <w:sz w:val="28"/>
          <w:szCs w:val="28"/>
        </w:rPr>
      </w:r>
    </w:p>
    <w:p>
      <w:pPr>
        <w:spacing w:line="408" w:lineRule="auto" w:before="61"/>
        <w:ind w:left="152" w:right="986" w:firstLine="0"/>
        <w:jc w:val="left"/>
        <w:rPr>
          <w:rFonts w:ascii="黑体" w:hAnsi="黑体" w:cs="黑体" w:eastAsia="黑体" w:hint="default"/>
          <w:sz w:val="28"/>
          <w:szCs w:val="28"/>
        </w:rPr>
      </w:pPr>
      <w:r>
        <w:rPr>
          <w:rFonts w:ascii="黑体" w:hAnsi="黑体" w:cs="黑体" w:eastAsia="黑体" w:hint="default"/>
          <w:b/>
          <w:bCs/>
          <w:spacing w:val="-2"/>
          <w:sz w:val="28"/>
          <w:szCs w:val="28"/>
        </w:rPr>
        <w:t>承诺，投资者及相关人士均应当对此保持足够的风险认识，并且应当理解计划、</w:t>
      </w:r>
      <w:r>
        <w:rPr>
          <w:rFonts w:ascii="黑体" w:hAnsi="黑体" w:cs="黑体" w:eastAsia="黑体" w:hint="default"/>
          <w:b/>
          <w:bCs/>
          <w:spacing w:val="-130"/>
          <w:sz w:val="28"/>
          <w:szCs w:val="28"/>
        </w:rPr>
        <w:t> </w:t>
      </w:r>
      <w:r>
        <w:rPr>
          <w:rFonts w:ascii="黑体" w:hAnsi="黑体" w:cs="黑体" w:eastAsia="黑体" w:hint="default"/>
          <w:b/>
          <w:bCs/>
          <w:spacing w:val="-130"/>
          <w:sz w:val="28"/>
          <w:szCs w:val="28"/>
        </w:rPr>
      </w:r>
      <w:r>
        <w:rPr>
          <w:rFonts w:ascii="黑体" w:hAnsi="黑体" w:cs="黑体" w:eastAsia="黑体" w:hint="default"/>
          <w:b/>
          <w:bCs/>
          <w:sz w:val="28"/>
          <w:szCs w:val="28"/>
        </w:rPr>
        <w:t>预测与承诺之间的差异。</w:t>
      </w:r>
      <w:r>
        <w:rPr>
          <w:rFonts w:ascii="黑体" w:hAnsi="黑体" w:cs="黑体" w:eastAsia="黑体" w:hint="default"/>
          <w:sz w:val="28"/>
          <w:szCs w:val="28"/>
        </w:rPr>
      </w:r>
    </w:p>
    <w:p>
      <w:pPr>
        <w:spacing w:line="338" w:lineRule="auto" w:before="14"/>
        <w:ind w:left="633" w:right="1133" w:firstLine="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、市场竞争风险</w:t>
      </w:r>
      <w:r>
        <w:rPr>
          <w:rFonts w:ascii="宋体" w:hAnsi="宋体" w:cs="宋体" w:eastAsia="宋体" w:hint="default"/>
          <w:b/>
          <w:bCs/>
          <w:w w:val="99"/>
          <w:sz w:val="24"/>
          <w:szCs w:val="24"/>
        </w:rPr>
        <w:t> </w:t>
      </w:r>
      <w:r>
        <w:rPr>
          <w:rFonts w:ascii="宋体" w:hAnsi="宋体" w:cs="宋体" w:eastAsia="宋体" w:hint="default"/>
          <w:sz w:val="24"/>
          <w:szCs w:val="24"/>
        </w:rPr>
        <w:t>经过多年发展，公司在银行行业信息化领域已经处于领先地位，占有了相对稳固的市场</w:t>
      </w:r>
    </w:p>
    <w:p>
      <w:pPr>
        <w:spacing w:line="352" w:lineRule="auto" w:before="55"/>
        <w:ind w:left="152" w:right="1132" w:firstLine="0"/>
        <w:jc w:val="both"/>
        <w:rPr>
          <w:rFonts w:ascii="宋体" w:hAnsi="宋体" w:cs="宋体" w:eastAsia="宋体" w:hint="default"/>
          <w:sz w:val="24"/>
          <w:szCs w:val="24"/>
        </w:rPr>
      </w:pPr>
      <w:r>
        <w:rPr>
          <w:rFonts w:ascii="宋体" w:hAnsi="宋体" w:cs="宋体" w:eastAsia="宋体" w:hint="default"/>
          <w:sz w:val="24"/>
          <w:szCs w:val="24"/>
        </w:rPr>
        <w:t>份额并树立了良好的品牌形象。但随着用户对</w:t>
      </w:r>
      <w:r>
        <w:rPr>
          <w:rFonts w:ascii="宋体" w:hAnsi="宋体" w:cs="宋体" w:eastAsia="宋体" w:hint="default"/>
          <w:spacing w:val="-92"/>
          <w:sz w:val="24"/>
          <w:szCs w:val="24"/>
        </w:rPr>
        <w:t> </w:t>
      </w:r>
      <w:r>
        <w:rPr>
          <w:rFonts w:ascii="Times New Roman" w:hAnsi="Times New Roman" w:cs="Times New Roman" w:eastAsia="Times New Roman" w:hint="default"/>
          <w:sz w:val="24"/>
          <w:szCs w:val="24"/>
        </w:rPr>
        <w:t>IT</w:t>
      </w:r>
      <w:r>
        <w:rPr>
          <w:rFonts w:ascii="Times New Roman" w:hAnsi="Times New Roman" w:cs="Times New Roman" w:eastAsia="Times New Roman" w:hint="default"/>
          <w:spacing w:val="-33"/>
          <w:sz w:val="24"/>
          <w:szCs w:val="24"/>
        </w:rPr>
        <w:t> </w:t>
      </w:r>
      <w:r>
        <w:rPr>
          <w:rFonts w:ascii="宋体" w:hAnsi="宋体" w:cs="宋体" w:eastAsia="宋体" w:hint="default"/>
          <w:sz w:val="24"/>
          <w:szCs w:val="24"/>
        </w:rPr>
        <w:t>服务的需求不断增长，行业内原有竞争对手 规模和竞争力的不断提高，加之新进入竞争者逐步增多，可能导致公司所处行业竞争加剧。</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虽然市场总体规模在未来相当长一段时间内仍将以较快的速度扩大，为公司提供了获取更大</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市场份额的机会，但如果公司在市场竞争中不能有效提升专业技术水平，不能充分利用现有</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的市场影响力，无法在当前市场高速发展的态势下迅速扩大自身规模并增强资金实力，公司</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将面临较大的市场竞争风险，有可能导致公司的市场地位出现下滑。</w:t>
      </w:r>
    </w:p>
    <w:p>
      <w:pPr>
        <w:spacing w:line="338" w:lineRule="auto" w:before="41"/>
        <w:ind w:left="633" w:right="113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、服务对象行业及销售客户相对集中的风险</w:t>
      </w:r>
      <w:r>
        <w:rPr>
          <w:rFonts w:ascii="宋体" w:hAnsi="宋体" w:cs="宋体" w:eastAsia="宋体" w:hint="default"/>
          <w:b/>
          <w:bCs/>
          <w:w w:val="99"/>
          <w:sz w:val="24"/>
          <w:szCs w:val="24"/>
        </w:rPr>
        <w:t> </w:t>
      </w:r>
      <w:r>
        <w:rPr>
          <w:rFonts w:ascii="宋体" w:hAnsi="宋体" w:cs="宋体" w:eastAsia="宋体" w:hint="default"/>
          <w:sz w:val="24"/>
          <w:szCs w:val="24"/>
        </w:rPr>
        <w:t>报告期内，公司来源于银行业客户的收入占总营业收入的比例较高。银行业整体的发展</w:t>
      </w:r>
    </w:p>
    <w:p>
      <w:pPr>
        <w:spacing w:line="357" w:lineRule="auto" w:before="55"/>
        <w:ind w:left="152" w:right="1138" w:firstLine="0"/>
        <w:jc w:val="both"/>
        <w:rPr>
          <w:rFonts w:ascii="宋体" w:hAnsi="宋体" w:cs="宋体" w:eastAsia="宋体" w:hint="default"/>
          <w:sz w:val="24"/>
          <w:szCs w:val="24"/>
        </w:rPr>
      </w:pPr>
      <w:r>
        <w:rPr>
          <w:rFonts w:ascii="宋体" w:hAnsi="宋体" w:cs="宋体" w:eastAsia="宋体" w:hint="default"/>
          <w:sz w:val="24"/>
          <w:szCs w:val="24"/>
        </w:rPr>
        <w:t>战略及客户自身的经营决策、投资规模将对公司的经营状况及业务发展产生较大的影响，公</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司业务对银行业客户有一定的依赖性。尽管公司与银行客户保持着长期稳定的合作关系，但</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公司若不能通过技术创新、服务提升等方式及时满足客户提出的业务需求或是因为国家经济</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政策、宏观经济波动等原因导致银行业客户经营情况发生变化，导致其对公司产品的需求大</w:t>
      </w:r>
    </w:p>
    <w:p>
      <w:pPr>
        <w:spacing w:after="0" w:line="357" w:lineRule="auto"/>
        <w:jc w:val="both"/>
        <w:rPr>
          <w:rFonts w:ascii="宋体" w:hAnsi="宋体" w:cs="宋体" w:eastAsia="宋体" w:hint="default"/>
          <w:sz w:val="24"/>
          <w:szCs w:val="24"/>
        </w:rPr>
        <w:sectPr>
          <w:headerReference w:type="default" r:id="rId7"/>
          <w:footerReference w:type="default" r:id="rId8"/>
          <w:pgSz w:w="11910" w:h="16840"/>
          <w:pgMar w:header="720" w:footer="706" w:top="1160" w:bottom="900" w:left="980" w:right="0"/>
          <w:pgNumType w:start="2"/>
        </w:sectPr>
      </w:pPr>
    </w:p>
    <w:p>
      <w:pPr>
        <w:spacing w:line="240" w:lineRule="auto" w:before="5"/>
        <w:rPr>
          <w:rFonts w:ascii="宋体" w:hAnsi="宋体" w:cs="宋体" w:eastAsia="宋体" w:hint="default"/>
          <w:sz w:val="21"/>
          <w:szCs w:val="21"/>
        </w:rPr>
      </w:pPr>
    </w:p>
    <w:p>
      <w:pPr>
        <w:spacing w:before="26"/>
        <w:ind w:left="152" w:right="0" w:firstLine="0"/>
        <w:jc w:val="both"/>
        <w:rPr>
          <w:rFonts w:ascii="宋体" w:hAnsi="宋体" w:cs="宋体" w:eastAsia="宋体" w:hint="default"/>
          <w:sz w:val="24"/>
          <w:szCs w:val="24"/>
        </w:rPr>
      </w:pPr>
      <w:r>
        <w:rPr>
          <w:rFonts w:ascii="宋体" w:hAnsi="宋体" w:cs="宋体" w:eastAsia="宋体" w:hint="default"/>
          <w:sz w:val="24"/>
          <w:szCs w:val="24"/>
        </w:rPr>
        <w:t>幅下降，公司将面临客户相对集中的风险。</w:t>
      </w:r>
    </w:p>
    <w:p>
      <w:pPr>
        <w:spacing w:line="338" w:lineRule="auto" w:before="154"/>
        <w:ind w:left="633" w:right="113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、技术与产品开发质量的风险</w:t>
      </w:r>
      <w:r>
        <w:rPr>
          <w:rFonts w:ascii="宋体" w:hAnsi="宋体" w:cs="宋体" w:eastAsia="宋体" w:hint="default"/>
          <w:b/>
          <w:bCs/>
          <w:w w:val="99"/>
          <w:sz w:val="24"/>
          <w:szCs w:val="24"/>
        </w:rPr>
        <w:t> </w:t>
      </w:r>
      <w:r>
        <w:rPr>
          <w:rFonts w:ascii="宋体" w:hAnsi="宋体" w:cs="宋体" w:eastAsia="宋体" w:hint="default"/>
          <w:sz w:val="24"/>
          <w:szCs w:val="24"/>
        </w:rPr>
        <w:t>软件开发属于技术密集型产业，公司产品技术开发所依赖的操作系统、开发工具等更新</w:t>
      </w:r>
    </w:p>
    <w:p>
      <w:pPr>
        <w:spacing w:line="352" w:lineRule="auto" w:before="55"/>
        <w:ind w:left="152" w:right="1131" w:firstLine="0"/>
        <w:jc w:val="both"/>
        <w:rPr>
          <w:rFonts w:ascii="宋体" w:hAnsi="宋体" w:cs="宋体" w:eastAsia="宋体" w:hint="default"/>
          <w:sz w:val="24"/>
          <w:szCs w:val="24"/>
        </w:rPr>
      </w:pPr>
      <w:r>
        <w:rPr>
          <w:rFonts w:ascii="宋体" w:hAnsi="宋体" w:cs="宋体" w:eastAsia="宋体" w:hint="default"/>
          <w:sz w:val="24"/>
          <w:szCs w:val="24"/>
        </w:rPr>
        <w:t>换代速度快。如果相关技术发生重大变革，将影响公司产品技术开发。发行人作为国内规模</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最大的银行</w:t>
      </w:r>
      <w:r>
        <w:rPr>
          <w:rFonts w:ascii="宋体" w:hAnsi="宋体" w:cs="宋体" w:eastAsia="宋体" w:hint="default"/>
          <w:spacing w:val="-40"/>
          <w:sz w:val="24"/>
          <w:szCs w:val="24"/>
        </w:rPr>
        <w:t> </w:t>
      </w:r>
      <w:r>
        <w:rPr>
          <w:rFonts w:ascii="Times New Roman" w:hAnsi="Times New Roman" w:cs="Times New Roman" w:eastAsia="Times New Roman" w:hint="default"/>
          <w:spacing w:val="-3"/>
          <w:sz w:val="24"/>
          <w:szCs w:val="24"/>
        </w:rPr>
        <w:t>IT</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解决方案提供商之一，其生存和发展很大程度上取决于是否能根据</w:t>
      </w:r>
      <w:r>
        <w:rPr>
          <w:rFonts w:ascii="宋体" w:hAnsi="宋体" w:cs="宋体" w:eastAsia="宋体" w:hint="default"/>
          <w:spacing w:val="-38"/>
          <w:sz w:val="24"/>
          <w:szCs w:val="24"/>
        </w:rPr>
        <w:t> </w:t>
      </w:r>
      <w:r>
        <w:rPr>
          <w:rFonts w:ascii="Times New Roman" w:hAnsi="Times New Roman" w:cs="Times New Roman" w:eastAsia="Times New Roman" w:hint="default"/>
          <w:spacing w:val="-3"/>
          <w:sz w:val="24"/>
          <w:szCs w:val="24"/>
        </w:rPr>
        <w:t>IT</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技术的 更新换代，匹配不断变化的客户需求，如果公司不能准确地把握行业技术的发展趋势，在技</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术开发方向的决策上发生失误，或不能及时将新技术运用于产品开发和升级，将对公司的声</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誉和盈利能力造成不利影响，面临技术与产品开发的风险。</w:t>
      </w:r>
    </w:p>
    <w:p>
      <w:pPr>
        <w:spacing w:line="338" w:lineRule="auto" w:before="41"/>
        <w:ind w:left="633" w:right="113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、侵权风险</w:t>
      </w:r>
      <w:r>
        <w:rPr>
          <w:rFonts w:ascii="宋体" w:hAnsi="宋体" w:cs="宋体" w:eastAsia="宋体" w:hint="default"/>
          <w:b/>
          <w:bCs/>
          <w:w w:val="99"/>
          <w:sz w:val="24"/>
          <w:szCs w:val="24"/>
        </w:rPr>
        <w:t> </w:t>
      </w:r>
      <w:r>
        <w:rPr>
          <w:rFonts w:ascii="宋体" w:hAnsi="宋体" w:cs="宋体" w:eastAsia="宋体" w:hint="default"/>
          <w:sz w:val="24"/>
          <w:szCs w:val="24"/>
        </w:rPr>
        <w:t>虽然经过各方面的协同努力，我国在知识产权保护方面取得了长足发展，但是由于国家</w:t>
      </w:r>
    </w:p>
    <w:p>
      <w:pPr>
        <w:spacing w:line="350" w:lineRule="auto" w:before="55"/>
        <w:ind w:left="152" w:right="1132" w:firstLine="0"/>
        <w:jc w:val="both"/>
        <w:rPr>
          <w:rFonts w:ascii="宋体" w:hAnsi="宋体" w:cs="宋体" w:eastAsia="宋体" w:hint="default"/>
          <w:sz w:val="24"/>
          <w:szCs w:val="24"/>
        </w:rPr>
      </w:pPr>
      <w:r>
        <w:rPr>
          <w:rFonts w:ascii="宋体" w:hAnsi="宋体" w:cs="宋体" w:eastAsia="宋体" w:hint="default"/>
          <w:sz w:val="24"/>
          <w:szCs w:val="24"/>
        </w:rPr>
        <w:t>的相关法律体系还不够完善，企业各自的版权保护意识不强烈，保护方式也不够专业，知识</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产权保护在整体上存在众多隐患。鉴于</w:t>
      </w:r>
      <w:r>
        <w:rPr>
          <w:rFonts w:ascii="宋体" w:hAnsi="宋体" w:cs="宋体" w:eastAsia="宋体" w:hint="default"/>
          <w:spacing w:val="-89"/>
          <w:sz w:val="24"/>
          <w:szCs w:val="24"/>
        </w:rPr>
        <w:t> </w:t>
      </w:r>
      <w:r>
        <w:rPr>
          <w:rFonts w:ascii="Times New Roman" w:hAnsi="Times New Roman" w:cs="Times New Roman" w:eastAsia="Times New Roman" w:hint="default"/>
          <w:spacing w:val="-3"/>
          <w:sz w:val="24"/>
          <w:szCs w:val="24"/>
        </w:rPr>
        <w:t>IT</w:t>
      </w:r>
      <w:r>
        <w:rPr>
          <w:rFonts w:ascii="Times New Roman" w:hAnsi="Times New Roman" w:cs="Times New Roman" w:eastAsia="Times New Roman" w:hint="default"/>
          <w:spacing w:val="-31"/>
          <w:sz w:val="24"/>
          <w:szCs w:val="24"/>
        </w:rPr>
        <w:t> </w:t>
      </w:r>
      <w:r>
        <w:rPr>
          <w:rFonts w:ascii="宋体" w:hAnsi="宋体" w:cs="宋体" w:eastAsia="宋体" w:hint="default"/>
          <w:sz w:val="24"/>
          <w:szCs w:val="24"/>
        </w:rPr>
        <w:t>解决方案服务的易模仿等特性，公司产品和技术存 在被盗版和仿造的风险。如果公司产品遭到较大范围的盗版、仿冒或非法利用，将会对公司</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盈利水平和品牌推广产生不利影响。</w:t>
      </w:r>
    </w:p>
    <w:p>
      <w:pPr>
        <w:spacing w:line="338" w:lineRule="auto" w:before="43"/>
        <w:ind w:left="633" w:right="113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、核心技术人员流失的风险</w:t>
      </w:r>
      <w:r>
        <w:rPr>
          <w:rFonts w:ascii="宋体" w:hAnsi="宋体" w:cs="宋体" w:eastAsia="宋体" w:hint="default"/>
          <w:b/>
          <w:bCs/>
          <w:w w:val="99"/>
          <w:sz w:val="24"/>
          <w:szCs w:val="24"/>
        </w:rPr>
        <w:t> </w:t>
      </w:r>
      <w:r>
        <w:rPr>
          <w:rFonts w:ascii="宋体" w:hAnsi="宋体" w:cs="宋体" w:eastAsia="宋体" w:hint="default"/>
          <w:sz w:val="24"/>
          <w:szCs w:val="24"/>
        </w:rPr>
        <w:t>软件服务企业一般都面临人员流动性大，知识结构更新快的问题，行业内的市场竞争也</w:t>
      </w:r>
    </w:p>
    <w:p>
      <w:pPr>
        <w:spacing w:line="357" w:lineRule="auto" w:before="56"/>
        <w:ind w:left="152" w:right="1133" w:firstLine="0"/>
        <w:jc w:val="both"/>
        <w:rPr>
          <w:rFonts w:ascii="宋体" w:hAnsi="宋体" w:cs="宋体" w:eastAsia="宋体" w:hint="default"/>
          <w:sz w:val="24"/>
          <w:szCs w:val="24"/>
        </w:rPr>
      </w:pPr>
      <w:r>
        <w:rPr>
          <w:rFonts w:ascii="宋体" w:hAnsi="宋体" w:cs="宋体" w:eastAsia="宋体" w:hint="default"/>
          <w:sz w:val="24"/>
          <w:szCs w:val="24"/>
        </w:rPr>
        <w:t>越来越体现为高素质人才之间的竞争。宇信科技已经吸引和培养了一支稳定、高素质的技术</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和管理团队。随着业务的高速发展，尤其是募集资金项目的实施，宇信科技对研发、管理、</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营销等方面人才的需求将大幅上升，对公司人才引进、培养和保留的要求也有显著提高。同</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时，公司也面临由于市场竞争加剧引起的人力资源成本上升的问题，影响公司的管理绩效、</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研究开发能力和市场开拓能力，可能降低公司的市场竞争力。如果公司不能制定行之有效的</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人力资源管理战略，不积极采取有效的应对措施，公司将面临人才流失和无法吸引优秀人才</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的风险，公司的经营业绩将会受到影响。</w:t>
      </w:r>
    </w:p>
    <w:p>
      <w:pPr>
        <w:pStyle w:val="Heading2"/>
        <w:spacing w:line="240" w:lineRule="auto" w:before="37"/>
        <w:ind w:left="635" w:right="1133"/>
        <w:jc w:val="left"/>
        <w:rPr>
          <w:b w:val="0"/>
          <w:bCs w:val="0"/>
        </w:rPr>
      </w:pPr>
      <w:r>
        <w:rPr>
          <w:rFonts w:ascii="Times New Roman" w:hAnsi="Times New Roman" w:cs="Times New Roman" w:eastAsia="Times New Roman" w:hint="default"/>
        </w:rPr>
        <w:t>6</w:t>
      </w:r>
      <w:r>
        <w:rPr/>
        <w:t>、季节性风险</w:t>
      </w:r>
      <w:r>
        <w:rPr>
          <w:b w:val="0"/>
          <w:bCs w:val="0"/>
        </w:rPr>
      </w:r>
    </w:p>
    <w:p>
      <w:pPr>
        <w:spacing w:line="343" w:lineRule="auto" w:before="135"/>
        <w:ind w:left="152" w:right="1128" w:firstLine="480"/>
        <w:jc w:val="both"/>
        <w:rPr>
          <w:rFonts w:ascii="Times New Roman" w:hAnsi="Times New Roman" w:cs="Times New Roman" w:eastAsia="Times New Roman" w:hint="default"/>
          <w:sz w:val="24"/>
          <w:szCs w:val="24"/>
        </w:rPr>
      </w:pPr>
      <w:r>
        <w:rPr>
          <w:rFonts w:ascii="宋体" w:hAnsi="宋体" w:cs="宋体" w:eastAsia="宋体" w:hint="default"/>
          <w:spacing w:val="-4"/>
          <w:sz w:val="24"/>
          <w:szCs w:val="24"/>
        </w:rPr>
        <w:t>公司客户主要是以银行为主的金融机构，银行对</w:t>
      </w:r>
      <w:r>
        <w:rPr>
          <w:rFonts w:ascii="宋体" w:hAnsi="宋体" w:cs="宋体" w:eastAsia="宋体" w:hint="default"/>
          <w:spacing w:val="-49"/>
          <w:sz w:val="24"/>
          <w:szCs w:val="24"/>
        </w:rPr>
        <w:t> </w:t>
      </w:r>
      <w:r>
        <w:rPr>
          <w:rFonts w:ascii="Times New Roman" w:hAnsi="Times New Roman" w:cs="Times New Roman" w:eastAsia="Times New Roman" w:hint="default"/>
          <w:spacing w:val="-3"/>
          <w:sz w:val="24"/>
          <w:szCs w:val="24"/>
        </w:rPr>
        <w:t>IT</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系统的采购需履行严格的预算管理制 度，通常是年初制定投资计划，通过预算、审批、招标、签订合同等流程，年底则集中开展</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对供应商开发的</w:t>
      </w:r>
      <w:r>
        <w:rPr>
          <w:rFonts w:ascii="宋体" w:hAnsi="宋体" w:cs="宋体" w:eastAsia="宋体" w:hint="default"/>
          <w:spacing w:val="-88"/>
          <w:sz w:val="24"/>
          <w:szCs w:val="24"/>
        </w:rPr>
        <w:t> </w:t>
      </w:r>
      <w:r>
        <w:rPr>
          <w:rFonts w:ascii="Times New Roman" w:hAnsi="Times New Roman" w:cs="Times New Roman" w:eastAsia="Times New Roman" w:hint="default"/>
          <w:spacing w:val="-3"/>
          <w:sz w:val="24"/>
          <w:szCs w:val="24"/>
        </w:rPr>
        <w:t>IT</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系统进行测试、验收等工作，公司收到验收单后确认收入，使得公司收入 </w:t>
      </w:r>
      <w:r>
        <w:rPr>
          <w:rFonts w:ascii="宋体" w:hAnsi="宋体" w:cs="宋体" w:eastAsia="宋体" w:hint="default"/>
          <w:spacing w:val="-10"/>
          <w:sz w:val="24"/>
          <w:szCs w:val="24"/>
        </w:rPr>
        <w:t>第四季度收入较高。</w:t>
      </w:r>
      <w:r>
        <w:rPr>
          <w:rFonts w:ascii="Times New Roman" w:hAnsi="Times New Roman" w:cs="Times New Roman" w:eastAsia="Times New Roman" w:hint="default"/>
          <w:spacing w:val="-10"/>
          <w:sz w:val="24"/>
          <w:szCs w:val="24"/>
        </w:rPr>
        <w:t>2017</w:t>
      </w:r>
      <w:r>
        <w:rPr>
          <w:rFonts w:ascii="Times New Roman" w:hAnsi="Times New Roman" w:cs="Times New Roman" w:eastAsia="Times New Roman" w:hint="default"/>
          <w:spacing w:val="-17"/>
          <w:sz w:val="24"/>
          <w:szCs w:val="24"/>
        </w:rPr>
        <w:t> </w:t>
      </w:r>
      <w:r>
        <w:rPr>
          <w:rFonts w:ascii="宋体" w:hAnsi="宋体" w:cs="宋体" w:eastAsia="宋体" w:hint="default"/>
          <w:spacing w:val="-18"/>
          <w:sz w:val="24"/>
          <w:szCs w:val="24"/>
        </w:rPr>
        <w:t>年度、</w:t>
      </w:r>
      <w:r>
        <w:rPr>
          <w:rFonts w:ascii="Times New Roman" w:hAnsi="Times New Roman" w:cs="Times New Roman" w:eastAsia="Times New Roman" w:hint="default"/>
          <w:spacing w:val="-18"/>
          <w:sz w:val="24"/>
          <w:szCs w:val="24"/>
        </w:rPr>
        <w:t>2018</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年度及</w:t>
      </w:r>
      <w:r>
        <w:rPr>
          <w:rFonts w:ascii="宋体" w:hAnsi="宋体" w:cs="宋体" w:eastAsia="宋体" w:hint="default"/>
          <w:spacing w:val="-77"/>
          <w:sz w:val="24"/>
          <w:szCs w:val="24"/>
        </w:rPr>
        <w:t> </w:t>
      </w:r>
      <w:r>
        <w:rPr>
          <w:rFonts w:ascii="Times New Roman" w:hAnsi="Times New Roman" w:cs="Times New Roman" w:eastAsia="Times New Roman" w:hint="default"/>
          <w:spacing w:val="-1"/>
          <w:sz w:val="24"/>
          <w:szCs w:val="24"/>
        </w:rPr>
        <w:t>2019</w:t>
      </w:r>
      <w:r>
        <w:rPr>
          <w:rFonts w:ascii="Times New Roman" w:hAnsi="Times New Roman" w:cs="Times New Roman" w:eastAsia="Times New Roman" w:hint="default"/>
          <w:spacing w:val="-17"/>
          <w:sz w:val="24"/>
          <w:szCs w:val="24"/>
        </w:rPr>
        <w:t> </w:t>
      </w:r>
      <w:r>
        <w:rPr>
          <w:rFonts w:ascii="宋体" w:hAnsi="宋体" w:cs="宋体" w:eastAsia="宋体" w:hint="default"/>
          <w:spacing w:val="-20"/>
          <w:sz w:val="24"/>
          <w:szCs w:val="24"/>
        </w:rPr>
        <w:t>年度，公司第</w:t>
      </w:r>
      <w:r>
        <w:rPr>
          <w:rFonts w:ascii="宋体" w:hAnsi="宋体" w:cs="宋体" w:eastAsia="宋体" w:hint="default"/>
          <w:spacing w:val="-76"/>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7"/>
          <w:sz w:val="24"/>
          <w:szCs w:val="24"/>
        </w:rPr>
        <w:t> </w:t>
      </w:r>
      <w:r>
        <w:rPr>
          <w:rFonts w:ascii="宋体" w:hAnsi="宋体" w:cs="宋体" w:eastAsia="宋体" w:hint="default"/>
          <w:spacing w:val="-1"/>
          <w:sz w:val="24"/>
          <w:szCs w:val="24"/>
        </w:rPr>
        <w:t>季度确认收入分别为</w:t>
      </w:r>
      <w:r>
        <w:rPr>
          <w:rFonts w:ascii="宋体" w:hAnsi="宋体" w:cs="宋体" w:eastAsia="宋体" w:hint="default"/>
          <w:spacing w:val="-76"/>
          <w:sz w:val="24"/>
          <w:szCs w:val="24"/>
        </w:rPr>
        <w:t> </w:t>
      </w:r>
      <w:r>
        <w:rPr>
          <w:rFonts w:ascii="Times New Roman" w:hAnsi="Times New Roman" w:cs="Times New Roman" w:eastAsia="Times New Roman" w:hint="default"/>
          <w:sz w:val="24"/>
          <w:szCs w:val="24"/>
        </w:rPr>
        <w:t>73,851.12 </w:t>
      </w:r>
      <w:r>
        <w:rPr>
          <w:rFonts w:ascii="宋体" w:hAnsi="宋体" w:cs="宋体" w:eastAsia="宋体" w:hint="default"/>
          <w:spacing w:val="-6"/>
          <w:sz w:val="24"/>
          <w:szCs w:val="24"/>
        </w:rPr>
        <w:t>万元、</w:t>
      </w:r>
      <w:r>
        <w:rPr>
          <w:rFonts w:ascii="Times New Roman" w:hAnsi="Times New Roman" w:cs="Times New Roman" w:eastAsia="Times New Roman" w:hint="default"/>
          <w:spacing w:val="-6"/>
          <w:sz w:val="24"/>
          <w:szCs w:val="24"/>
        </w:rPr>
        <w:t>107,802.37</w:t>
      </w:r>
      <w:r>
        <w:rPr>
          <w:rFonts w:ascii="Times New Roman" w:hAnsi="Times New Roman" w:cs="Times New Roman" w:eastAsia="Times New Roman" w:hint="default"/>
          <w:sz w:val="24"/>
          <w:szCs w:val="24"/>
        </w:rPr>
        <w:t> </w:t>
      </w:r>
      <w:r>
        <w:rPr>
          <w:rFonts w:ascii="宋体" w:hAnsi="宋体" w:cs="宋体" w:eastAsia="宋体" w:hint="default"/>
          <w:sz w:val="24"/>
          <w:szCs w:val="24"/>
        </w:rPr>
        <w:t>万元和</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110,861.87 </w:t>
      </w:r>
      <w:r>
        <w:rPr>
          <w:rFonts w:ascii="宋体" w:hAnsi="宋体" w:cs="宋体" w:eastAsia="宋体" w:hint="default"/>
          <w:spacing w:val="-5"/>
          <w:sz w:val="24"/>
          <w:szCs w:val="24"/>
        </w:rPr>
        <w:t>万元，占当期主营业务收入的比重分别为</w:t>
      </w:r>
      <w:r>
        <w:rPr>
          <w:rFonts w:ascii="宋体" w:hAnsi="宋体" w:cs="宋体" w:eastAsia="宋体" w:hint="default"/>
          <w:spacing w:val="-59"/>
          <w:sz w:val="24"/>
          <w:szCs w:val="24"/>
        </w:rPr>
        <w:t> </w:t>
      </w:r>
      <w:r>
        <w:rPr>
          <w:rFonts w:ascii="Times New Roman" w:hAnsi="Times New Roman" w:cs="Times New Roman" w:eastAsia="Times New Roman" w:hint="default"/>
          <w:spacing w:val="-6"/>
          <w:sz w:val="24"/>
          <w:szCs w:val="24"/>
        </w:rPr>
        <w:t>45.55%</w:t>
      </w:r>
      <w:r>
        <w:rPr>
          <w:rFonts w:ascii="宋体" w:hAnsi="宋体" w:cs="宋体" w:eastAsia="宋体" w:hint="default"/>
          <w:spacing w:val="-6"/>
          <w:sz w:val="24"/>
          <w:szCs w:val="24"/>
        </w:rPr>
        <w:t>、</w:t>
      </w:r>
      <w:r>
        <w:rPr>
          <w:rFonts w:ascii="Times New Roman" w:hAnsi="Times New Roman" w:cs="Times New Roman" w:eastAsia="Times New Roman" w:hint="default"/>
          <w:spacing w:val="-6"/>
          <w:sz w:val="24"/>
          <w:szCs w:val="24"/>
        </w:rPr>
        <w:t>50.36%</w:t>
      </w:r>
    </w:p>
    <w:p>
      <w:pPr>
        <w:spacing w:after="0" w:line="343" w:lineRule="auto"/>
        <w:jc w:val="both"/>
        <w:rPr>
          <w:rFonts w:ascii="Times New Roman" w:hAnsi="Times New Roman" w:cs="Times New Roman" w:eastAsia="Times New Roman" w:hint="default"/>
          <w:sz w:val="24"/>
          <w:szCs w:val="24"/>
        </w:rPr>
        <w:sectPr>
          <w:pgSz w:w="11910" w:h="16840"/>
          <w:pgMar w:header="720" w:footer="706" w:top="1160" w:bottom="900" w:left="980" w:right="0"/>
        </w:sectPr>
      </w:pPr>
    </w:p>
    <w:p>
      <w:pPr>
        <w:spacing w:line="240" w:lineRule="auto" w:before="3"/>
        <w:rPr>
          <w:rFonts w:ascii="Times New Roman" w:hAnsi="Times New Roman" w:cs="Times New Roman" w:eastAsia="Times New Roman" w:hint="default"/>
          <w:sz w:val="17"/>
          <w:szCs w:val="17"/>
        </w:rPr>
      </w:pPr>
      <w:r>
        <w:rPr/>
        <w:pict>
          <v:shape style="position:absolute;margin-left:56.650002pt;margin-top:35.999985pt;width:55.65pt;height:18.350pt;mso-position-horizontal-relative:page;mso-position-vertical-relative:page;z-index:0" type="#_x0000_t75" stroked="false">
            <v:imagedata r:id="rId10" o:title=""/>
          </v:shape>
        </w:pict>
      </w:r>
    </w:p>
    <w:p>
      <w:pPr>
        <w:spacing w:line="338" w:lineRule="auto" w:before="26"/>
        <w:ind w:left="152" w:right="996" w:firstLine="0"/>
        <w:jc w:val="left"/>
        <w:rPr>
          <w:rFonts w:ascii="宋体" w:hAnsi="宋体" w:cs="宋体" w:eastAsia="宋体" w:hint="default"/>
          <w:sz w:val="24"/>
          <w:szCs w:val="24"/>
        </w:rPr>
      </w:pPr>
      <w:r>
        <w:rPr/>
        <w:pict>
          <v:group style="position:absolute;margin-left:55.200001pt;margin-top:-14.324353pt;width:484.9pt;height:.1pt;mso-position-horizontal-relative:page;mso-position-vertical-relative:paragraph;z-index:1048" coordorigin="1104,-286" coordsize="9698,2">
            <v:shape style="position:absolute;left:1104;top:-286;width:9698;height:2" coordorigin="1104,-286" coordsize="9698,0" path="m1104,-286l10802,-286e" filled="false" stroked="true" strokeweight=".72pt" strokecolor="#000000">
              <v:path arrowok="t"/>
            </v:shape>
            <w10:wrap type="none"/>
          </v:group>
        </w:pict>
      </w:r>
      <w:r>
        <w:rPr>
          <w:rFonts w:ascii="宋体" w:hAnsi="宋体" w:cs="宋体" w:eastAsia="宋体" w:hint="default"/>
          <w:sz w:val="24"/>
          <w:szCs w:val="24"/>
        </w:rPr>
        <w:t>和</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41.81%</w:t>
      </w:r>
      <w:r>
        <w:rPr>
          <w:rFonts w:ascii="宋体" w:hAnsi="宋体" w:cs="宋体" w:eastAsia="宋体" w:hint="default"/>
          <w:sz w:val="24"/>
          <w:szCs w:val="24"/>
        </w:rPr>
        <w:t>。由于季节性原因，公司下半年尤其是第四季度收入占比较高，上半年收入占比较 </w:t>
      </w:r>
      <w:r>
        <w:rPr>
          <w:rFonts w:ascii="宋体" w:hAnsi="宋体" w:cs="宋体" w:eastAsia="宋体" w:hint="default"/>
          <w:spacing w:val="-2"/>
          <w:sz w:val="24"/>
          <w:szCs w:val="24"/>
        </w:rPr>
        <w:t>低，但公司费用发生在年内平均分布，导致上半年利润较少。公司业绩存在季节性波动风险。</w:t>
      </w:r>
    </w:p>
    <w:p>
      <w:pPr>
        <w:spacing w:line="338" w:lineRule="auto" w:before="55"/>
        <w:ind w:left="633" w:right="113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、监管风险</w:t>
      </w:r>
      <w:r>
        <w:rPr>
          <w:rFonts w:ascii="宋体" w:hAnsi="宋体" w:cs="宋体" w:eastAsia="宋体" w:hint="default"/>
          <w:b/>
          <w:bCs/>
          <w:w w:val="99"/>
          <w:sz w:val="24"/>
          <w:szCs w:val="24"/>
        </w:rPr>
        <w:t> </w:t>
      </w:r>
      <w:r>
        <w:rPr>
          <w:rFonts w:ascii="宋体" w:hAnsi="宋体" w:cs="宋体" w:eastAsia="宋体" w:hint="default"/>
          <w:sz w:val="24"/>
          <w:szCs w:val="24"/>
        </w:rPr>
        <w:t>公司部分创新业务是利用公司的整体金融科技能力帮助客户改进经营效率，商业模式有</w:t>
      </w:r>
    </w:p>
    <w:p>
      <w:pPr>
        <w:spacing w:line="338" w:lineRule="auto" w:before="55"/>
        <w:ind w:left="152" w:right="1116" w:firstLine="0"/>
        <w:jc w:val="left"/>
        <w:rPr>
          <w:rFonts w:ascii="宋体" w:hAnsi="宋体" w:cs="宋体" w:eastAsia="宋体" w:hint="default"/>
          <w:sz w:val="24"/>
          <w:szCs w:val="24"/>
        </w:rPr>
      </w:pPr>
      <w:r>
        <w:rPr>
          <w:rFonts w:ascii="宋体" w:hAnsi="宋体" w:cs="宋体" w:eastAsia="宋体" w:hint="default"/>
          <w:sz w:val="24"/>
          <w:szCs w:val="24"/>
        </w:rPr>
        <w:t>别于传统的银行</w:t>
      </w:r>
      <w:r>
        <w:rPr>
          <w:rFonts w:ascii="宋体" w:hAnsi="宋体" w:cs="宋体" w:eastAsia="宋体" w:hint="default"/>
          <w:spacing w:val="-69"/>
          <w:sz w:val="24"/>
          <w:szCs w:val="24"/>
        </w:rPr>
        <w:t> </w:t>
      </w:r>
      <w:r>
        <w:rPr>
          <w:rFonts w:ascii="Times New Roman" w:hAnsi="Times New Roman" w:cs="Times New Roman" w:eastAsia="Times New Roman" w:hint="default"/>
          <w:sz w:val="24"/>
          <w:szCs w:val="24"/>
        </w:rPr>
        <w:t>IT</w:t>
      </w:r>
      <w:r>
        <w:rPr>
          <w:rFonts w:ascii="宋体" w:hAnsi="宋体" w:cs="宋体" w:eastAsia="宋体" w:hint="default"/>
          <w:sz w:val="24"/>
          <w:szCs w:val="24"/>
        </w:rPr>
        <w:t>，银保监会对于这些业务上的监管变化可能对这类创新业务会有影响。公 司业绩存在监管风险。</w:t>
      </w:r>
    </w:p>
    <w:p>
      <w:pPr>
        <w:pStyle w:val="Heading2"/>
        <w:spacing w:line="240" w:lineRule="auto" w:before="55"/>
        <w:ind w:left="635" w:right="1133"/>
        <w:jc w:val="left"/>
        <w:rPr>
          <w:b w:val="0"/>
          <w:bCs w:val="0"/>
        </w:rPr>
      </w:pPr>
      <w:r>
        <w:rPr>
          <w:rFonts w:ascii="Times New Roman" w:hAnsi="Times New Roman" w:cs="Times New Roman" w:eastAsia="Times New Roman" w:hint="default"/>
        </w:rPr>
        <w:t>8</w:t>
      </w:r>
      <w:r>
        <w:rPr/>
        <w:t>、海外市场风险</w:t>
      </w:r>
      <w:r>
        <w:rPr>
          <w:b w:val="0"/>
          <w:bCs w:val="0"/>
        </w:rPr>
      </w:r>
    </w:p>
    <w:p>
      <w:pPr>
        <w:spacing w:line="338" w:lineRule="auto" w:before="135"/>
        <w:ind w:left="152" w:right="1120" w:firstLine="480"/>
        <w:jc w:val="left"/>
        <w:rPr>
          <w:rFonts w:ascii="宋体" w:hAnsi="宋体" w:cs="宋体" w:eastAsia="宋体" w:hint="default"/>
          <w:sz w:val="24"/>
          <w:szCs w:val="24"/>
        </w:rPr>
      </w:pPr>
      <w:r>
        <w:rPr>
          <w:rFonts w:ascii="宋体" w:hAnsi="宋体" w:cs="宋体" w:eastAsia="宋体" w:hint="default"/>
          <w:sz w:val="24"/>
          <w:szCs w:val="24"/>
        </w:rPr>
        <w:t>公司从</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7"/>
          <w:sz w:val="24"/>
          <w:szCs w:val="24"/>
        </w:rPr>
        <w:t> </w:t>
      </w:r>
      <w:r>
        <w:rPr>
          <w:rFonts w:ascii="宋体" w:hAnsi="宋体" w:cs="宋体" w:eastAsia="宋体" w:hint="default"/>
          <w:spacing w:val="-3"/>
          <w:sz w:val="24"/>
          <w:szCs w:val="24"/>
        </w:rPr>
        <w:t>年下半年正式开始开拓海外市场，由于对海外市场缺乏足够的了解，在各国</w:t>
      </w:r>
      <w:r>
        <w:rPr>
          <w:rFonts w:ascii="宋体" w:hAnsi="宋体" w:cs="宋体" w:eastAsia="宋体" w:hint="default"/>
          <w:sz w:val="24"/>
          <w:szCs w:val="24"/>
        </w:rPr>
        <w:t> 的监管、文化、市场环境方面都存在一定的风险。</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1"/>
          <w:szCs w:val="31"/>
        </w:rPr>
      </w:pPr>
    </w:p>
    <w:p>
      <w:pPr>
        <w:spacing w:before="0"/>
        <w:ind w:left="714" w:right="986" w:firstLine="0"/>
        <w:jc w:val="left"/>
        <w:rPr>
          <w:rFonts w:ascii="黑体" w:hAnsi="黑体" w:cs="黑体" w:eastAsia="黑体" w:hint="default"/>
          <w:sz w:val="28"/>
          <w:szCs w:val="28"/>
        </w:rPr>
      </w:pPr>
      <w:r>
        <w:rPr>
          <w:rFonts w:ascii="黑体" w:hAnsi="黑体" w:cs="黑体" w:eastAsia="黑体" w:hint="default"/>
          <w:b/>
          <w:bCs/>
          <w:sz w:val="28"/>
          <w:szCs w:val="28"/>
        </w:rPr>
        <w:t>公司经本次董事会审议通过的利润分配预案为：以</w:t>
      </w:r>
      <w:r>
        <w:rPr>
          <w:rFonts w:ascii="黑体" w:hAnsi="黑体" w:cs="黑体" w:eastAsia="黑体" w:hint="default"/>
          <w:b/>
          <w:bCs/>
          <w:spacing w:val="-87"/>
          <w:sz w:val="28"/>
          <w:szCs w:val="28"/>
        </w:rPr>
        <w:t> </w:t>
      </w:r>
      <w:r>
        <w:rPr>
          <w:rFonts w:ascii="Times New Roman" w:hAnsi="Times New Roman" w:cs="Times New Roman" w:eastAsia="Times New Roman" w:hint="default"/>
          <w:b/>
          <w:bCs/>
          <w:sz w:val="28"/>
          <w:szCs w:val="28"/>
        </w:rPr>
        <w:t>400,010,000</w:t>
      </w:r>
      <w:r>
        <w:rPr>
          <w:rFonts w:ascii="Times New Roman" w:hAnsi="Times New Roman" w:cs="Times New Roman" w:eastAsia="Times New Roman" w:hint="default"/>
          <w:b/>
          <w:bCs/>
          <w:spacing w:val="-18"/>
          <w:sz w:val="28"/>
          <w:szCs w:val="28"/>
        </w:rPr>
        <w:t> </w:t>
      </w:r>
      <w:r>
        <w:rPr>
          <w:rFonts w:ascii="黑体" w:hAnsi="黑体" w:cs="黑体" w:eastAsia="黑体" w:hint="default"/>
          <w:b/>
          <w:bCs/>
          <w:spacing w:val="-6"/>
          <w:sz w:val="28"/>
          <w:szCs w:val="28"/>
        </w:rPr>
        <w:t>为基数，向</w:t>
      </w:r>
      <w:r>
        <w:rPr>
          <w:rFonts w:ascii="黑体" w:hAnsi="黑体" w:cs="黑体" w:eastAsia="黑体" w:hint="default"/>
          <w:spacing w:val="-6"/>
          <w:sz w:val="28"/>
          <w:szCs w:val="28"/>
        </w:rPr>
      </w:r>
    </w:p>
    <w:p>
      <w:pPr>
        <w:spacing w:before="236"/>
        <w:ind w:left="152" w:right="986" w:firstLine="0"/>
        <w:jc w:val="left"/>
        <w:rPr>
          <w:rFonts w:ascii="黑体" w:hAnsi="黑体" w:cs="黑体" w:eastAsia="黑体" w:hint="default"/>
          <w:sz w:val="28"/>
          <w:szCs w:val="28"/>
        </w:rPr>
      </w:pPr>
      <w:r>
        <w:rPr>
          <w:rFonts w:ascii="黑体" w:hAnsi="黑体" w:cs="黑体" w:eastAsia="黑体" w:hint="default"/>
          <w:b/>
          <w:bCs/>
          <w:w w:val="99"/>
          <w:sz w:val="28"/>
          <w:szCs w:val="28"/>
        </w:rPr>
        <w:t>全体</w:t>
      </w:r>
      <w:r>
        <w:rPr>
          <w:rFonts w:ascii="黑体" w:hAnsi="黑体" w:cs="黑体" w:eastAsia="黑体" w:hint="default"/>
          <w:b/>
          <w:bCs/>
          <w:spacing w:val="2"/>
          <w:w w:val="99"/>
          <w:sz w:val="28"/>
          <w:szCs w:val="28"/>
        </w:rPr>
        <w:t>股</w:t>
      </w:r>
      <w:r>
        <w:rPr>
          <w:rFonts w:ascii="黑体" w:hAnsi="黑体" w:cs="黑体" w:eastAsia="黑体" w:hint="default"/>
          <w:b/>
          <w:bCs/>
          <w:w w:val="99"/>
          <w:sz w:val="28"/>
          <w:szCs w:val="28"/>
        </w:rPr>
        <w:t>东每</w:t>
      </w:r>
      <w:r>
        <w:rPr>
          <w:rFonts w:ascii="黑体" w:hAnsi="黑体" w:cs="黑体" w:eastAsia="黑体" w:hint="default"/>
          <w:b/>
          <w:bCs/>
          <w:spacing w:val="-69"/>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黑体" w:hAnsi="黑体" w:cs="黑体" w:eastAsia="黑体" w:hint="default"/>
          <w:b/>
          <w:bCs/>
          <w:w w:val="99"/>
          <w:sz w:val="28"/>
          <w:szCs w:val="28"/>
        </w:rPr>
        <w:t>股派发现</w:t>
      </w:r>
      <w:r>
        <w:rPr>
          <w:rFonts w:ascii="黑体" w:hAnsi="黑体" w:cs="黑体" w:eastAsia="黑体" w:hint="default"/>
          <w:b/>
          <w:bCs/>
          <w:spacing w:val="2"/>
          <w:w w:val="99"/>
          <w:sz w:val="28"/>
          <w:szCs w:val="28"/>
        </w:rPr>
        <w:t>金</w:t>
      </w:r>
      <w:r>
        <w:rPr>
          <w:rFonts w:ascii="黑体" w:hAnsi="黑体" w:cs="黑体" w:eastAsia="黑体" w:hint="default"/>
          <w:b/>
          <w:bCs/>
          <w:w w:val="99"/>
          <w:sz w:val="28"/>
          <w:szCs w:val="28"/>
        </w:rPr>
        <w:t>红利</w:t>
      </w:r>
      <w:r>
        <w:rPr>
          <w:rFonts w:ascii="黑体" w:hAnsi="黑体" w:cs="黑体" w:eastAsia="黑体" w:hint="default"/>
          <w:b/>
          <w:bCs/>
          <w:spacing w:val="-69"/>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w:t>
      </w:r>
      <w:r>
        <w:rPr>
          <w:rFonts w:ascii="Times New Roman" w:hAnsi="Times New Roman" w:cs="Times New Roman" w:eastAsia="Times New Roman" w:hint="default"/>
          <w:b/>
          <w:bCs/>
          <w:spacing w:val="-2"/>
          <w:w w:val="100"/>
          <w:sz w:val="28"/>
          <w:szCs w:val="28"/>
        </w:rPr>
        <w:t>5</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黑体" w:hAnsi="黑体" w:cs="黑体" w:eastAsia="黑体" w:hint="default"/>
          <w:b/>
          <w:bCs/>
          <w:spacing w:val="-29"/>
          <w:w w:val="99"/>
          <w:sz w:val="28"/>
          <w:szCs w:val="28"/>
        </w:rPr>
        <w:t>元</w:t>
      </w:r>
      <w:r>
        <w:rPr>
          <w:rFonts w:ascii="黑体" w:hAnsi="黑体" w:cs="黑体" w:eastAsia="黑体" w:hint="default"/>
          <w:b/>
          <w:bCs/>
          <w:w w:val="99"/>
          <w:sz w:val="28"/>
          <w:szCs w:val="28"/>
        </w:rPr>
        <w:t>（含</w:t>
      </w:r>
      <w:r>
        <w:rPr>
          <w:rFonts w:ascii="黑体" w:hAnsi="黑体" w:cs="黑体" w:eastAsia="黑体" w:hint="default"/>
          <w:b/>
          <w:bCs/>
          <w:spacing w:val="2"/>
          <w:w w:val="99"/>
          <w:sz w:val="28"/>
          <w:szCs w:val="28"/>
        </w:rPr>
        <w:t>税</w:t>
      </w:r>
      <w:r>
        <w:rPr>
          <w:rFonts w:ascii="黑体" w:hAnsi="黑体" w:cs="黑体" w:eastAsia="黑体" w:hint="default"/>
          <w:b/>
          <w:bCs/>
          <w:spacing w:val="-142"/>
          <w:w w:val="99"/>
          <w:sz w:val="28"/>
          <w:szCs w:val="28"/>
        </w:rPr>
        <w:t>）</w:t>
      </w:r>
      <w:r>
        <w:rPr>
          <w:rFonts w:ascii="黑体" w:hAnsi="黑体" w:cs="黑体" w:eastAsia="黑体" w:hint="default"/>
          <w:b/>
          <w:bCs/>
          <w:spacing w:val="-32"/>
          <w:w w:val="99"/>
          <w:sz w:val="28"/>
          <w:szCs w:val="28"/>
        </w:rPr>
        <w:t>，</w:t>
      </w:r>
      <w:r>
        <w:rPr>
          <w:rFonts w:ascii="黑体" w:hAnsi="黑体" w:cs="黑体" w:eastAsia="黑体" w:hint="default"/>
          <w:b/>
          <w:bCs/>
          <w:w w:val="99"/>
          <w:sz w:val="28"/>
          <w:szCs w:val="28"/>
        </w:rPr>
        <w:t>送红股</w:t>
      </w:r>
      <w:r>
        <w:rPr>
          <w:rFonts w:ascii="黑体" w:hAnsi="黑体" w:cs="黑体" w:eastAsia="黑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黑体" w:hAnsi="黑体" w:cs="黑体" w:eastAsia="黑体" w:hint="default"/>
          <w:b/>
          <w:bCs/>
          <w:spacing w:val="-32"/>
          <w:w w:val="99"/>
          <w:sz w:val="28"/>
          <w:szCs w:val="28"/>
        </w:rPr>
        <w:t>股</w:t>
      </w:r>
      <w:r>
        <w:rPr>
          <w:rFonts w:ascii="黑体" w:hAnsi="黑体" w:cs="黑体" w:eastAsia="黑体" w:hint="default"/>
          <w:b/>
          <w:bCs/>
          <w:w w:val="99"/>
          <w:sz w:val="28"/>
          <w:szCs w:val="28"/>
        </w:rPr>
        <w:t>（含</w:t>
      </w:r>
      <w:r>
        <w:rPr>
          <w:rFonts w:ascii="黑体" w:hAnsi="黑体" w:cs="黑体" w:eastAsia="黑体" w:hint="default"/>
          <w:b/>
          <w:bCs/>
          <w:spacing w:val="2"/>
          <w:w w:val="99"/>
          <w:sz w:val="28"/>
          <w:szCs w:val="28"/>
        </w:rPr>
        <w:t>税</w:t>
      </w:r>
      <w:r>
        <w:rPr>
          <w:rFonts w:ascii="黑体" w:hAnsi="黑体" w:cs="黑体" w:eastAsia="黑体" w:hint="default"/>
          <w:b/>
          <w:bCs/>
          <w:spacing w:val="-142"/>
          <w:w w:val="99"/>
          <w:sz w:val="28"/>
          <w:szCs w:val="28"/>
        </w:rPr>
        <w:t>）</w:t>
      </w:r>
      <w:r>
        <w:rPr>
          <w:rFonts w:ascii="黑体" w:hAnsi="黑体" w:cs="黑体" w:eastAsia="黑体" w:hint="default"/>
          <w:b/>
          <w:bCs/>
          <w:spacing w:val="-32"/>
          <w:w w:val="99"/>
          <w:sz w:val="28"/>
          <w:szCs w:val="28"/>
        </w:rPr>
        <w:t>，</w:t>
      </w:r>
      <w:r>
        <w:rPr>
          <w:rFonts w:ascii="黑体" w:hAnsi="黑体" w:cs="黑体" w:eastAsia="黑体" w:hint="default"/>
          <w:b/>
          <w:bCs/>
          <w:w w:val="99"/>
          <w:sz w:val="28"/>
          <w:szCs w:val="28"/>
        </w:rPr>
        <w:t>以资本公</w:t>
      </w:r>
      <w:r>
        <w:rPr>
          <w:rFonts w:ascii="黑体" w:hAnsi="黑体" w:cs="黑体" w:eastAsia="黑体" w:hint="default"/>
          <w:sz w:val="28"/>
          <w:szCs w:val="28"/>
        </w:rPr>
      </w:r>
    </w:p>
    <w:p>
      <w:pPr>
        <w:spacing w:before="236"/>
        <w:ind w:left="152" w:right="1133" w:firstLine="0"/>
        <w:jc w:val="left"/>
        <w:rPr>
          <w:rFonts w:ascii="黑体" w:hAnsi="黑体" w:cs="黑体" w:eastAsia="黑体" w:hint="default"/>
          <w:sz w:val="28"/>
          <w:szCs w:val="28"/>
        </w:rPr>
      </w:pPr>
      <w:r>
        <w:rPr>
          <w:rFonts w:ascii="黑体" w:hAnsi="黑体" w:cs="黑体" w:eastAsia="黑体" w:hint="default"/>
          <w:b/>
          <w:bCs/>
          <w:sz w:val="28"/>
          <w:szCs w:val="28"/>
        </w:rPr>
        <w:t>积金向全体股东每</w:t>
      </w:r>
      <w:r>
        <w:rPr>
          <w:rFonts w:ascii="黑体" w:hAnsi="黑体" w:cs="黑体" w:eastAsia="黑体" w:hint="default"/>
          <w:b/>
          <w:bCs/>
          <w:spacing w:val="-70"/>
          <w:sz w:val="28"/>
          <w:szCs w:val="28"/>
        </w:rPr>
        <w:t> </w:t>
      </w:r>
      <w:r>
        <w:rPr>
          <w:rFonts w:ascii="Times New Roman" w:hAnsi="Times New Roman" w:cs="Times New Roman" w:eastAsia="Times New Roman" w:hint="default"/>
          <w:b/>
          <w:bCs/>
          <w:sz w:val="28"/>
          <w:szCs w:val="28"/>
        </w:rPr>
        <w:t>10 </w:t>
      </w:r>
      <w:r>
        <w:rPr>
          <w:rFonts w:ascii="黑体" w:hAnsi="黑体" w:cs="黑体" w:eastAsia="黑体" w:hint="default"/>
          <w:b/>
          <w:bCs/>
          <w:sz w:val="28"/>
          <w:szCs w:val="28"/>
        </w:rPr>
        <w:t>股转增</w:t>
      </w:r>
      <w:r>
        <w:rPr>
          <w:rFonts w:ascii="黑体" w:hAnsi="黑体" w:cs="黑体" w:eastAsia="黑体" w:hint="default"/>
          <w:b/>
          <w:bCs/>
          <w:spacing w:val="-68"/>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黑体" w:hAnsi="黑体" w:cs="黑体" w:eastAsia="黑体" w:hint="default"/>
          <w:b/>
          <w:bCs/>
          <w:sz w:val="28"/>
          <w:szCs w:val="28"/>
        </w:rPr>
        <w:t>股。</w:t>
      </w:r>
      <w:r>
        <w:rPr>
          <w:rFonts w:ascii="黑体" w:hAnsi="黑体" w:cs="黑体" w:eastAsia="黑体" w:hint="default"/>
          <w:sz w:val="28"/>
          <w:szCs w:val="28"/>
        </w:rPr>
      </w:r>
    </w:p>
    <w:p>
      <w:pPr>
        <w:spacing w:after="0"/>
        <w:jc w:val="left"/>
        <w:rPr>
          <w:rFonts w:ascii="黑体" w:hAnsi="黑体" w:cs="黑体" w:eastAsia="黑体" w:hint="default"/>
          <w:sz w:val="28"/>
          <w:szCs w:val="28"/>
        </w:rPr>
        <w:sectPr>
          <w:headerReference w:type="default" r:id="rId9"/>
          <w:pgSz w:w="11910" w:h="16840"/>
          <w:pgMar w:header="933" w:footer="706" w:top="1240" w:bottom="900" w:left="980" w:right="0"/>
        </w:sectPr>
      </w:pPr>
    </w:p>
    <w:p>
      <w:pPr>
        <w:spacing w:line="240" w:lineRule="auto" w:before="11"/>
        <w:rPr>
          <w:rFonts w:ascii="黑体" w:hAnsi="黑体" w:cs="黑体" w:eastAsia="黑体" w:hint="default"/>
          <w:b/>
          <w:bCs/>
          <w:sz w:val="2"/>
          <w:szCs w:val="2"/>
        </w:rPr>
      </w:pPr>
      <w:r>
        <w:rPr/>
        <w:pict>
          <v:shape style="position:absolute;margin-left:56.650002pt;margin-top:42.599983pt;width:55.65pt;height:18.350pt;mso-position-horizontal-relative:page;mso-position-vertical-relative:page;z-index:1096" type="#_x0000_t75" stroked="false">
            <v:imagedata r:id="rId10" o:title=""/>
          </v:shape>
        </w:pict>
      </w: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42"/>
        <w:ind w:left="2154" w:right="313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sz w:val="18"/>
              <w:szCs w:val="18"/>
            </w:rPr>
          </w:pPr>
          <w:hyperlink w:history="true" w:anchor="_bookmark0">
            <w:r>
              <w:rPr/>
              <w:t>第一节</w:t>
            </w:r>
            <w:r>
              <w:rPr>
                <w:spacing w:val="1"/>
              </w:rPr>
              <w:t> </w:t>
            </w:r>
            <w:r>
              <w:rPr/>
              <w:t>重要提示、目录和释义</w:t>
            </w:r>
            <w:r>
              <w:rPr>
                <w:rFonts w:ascii="Times New Roman" w:hAnsi="Times New Roman" w:cs="Times New Roman" w:eastAsia="Times New Roman" w:hint="default"/>
                <w:sz w:val="18"/>
                <w:szCs w:val="18"/>
              </w:rPr>
              <w:tab/>
              <w:t>2</w:t>
            </w:r>
            <w:r>
              <w:rPr>
                <w:rFonts w:ascii="Times New Roman" w:hAnsi="Times New Roman" w:cs="Times New Roman" w:eastAsia="Times New Roman" w:hint="default"/>
                <w:b w:val="0"/>
                <w:bCs w:val="0"/>
                <w:sz w:val="18"/>
                <w:szCs w:val="18"/>
              </w:rPr>
            </w:r>
          </w:hyperlink>
        </w:p>
        <w:p>
          <w:pPr>
            <w:pStyle w:val="TOC1"/>
            <w:tabs>
              <w:tab w:pos="9782" w:val="right" w:leader="dot"/>
            </w:tabs>
            <w:spacing w:line="240" w:lineRule="auto" w:before="190"/>
            <w:ind w:right="0"/>
            <w:jc w:val="left"/>
            <w:rPr>
              <w:rFonts w:ascii="Times New Roman" w:hAnsi="Times New Roman" w:cs="Times New Roman" w:eastAsia="Times New Roman" w:hint="default"/>
              <w:b w:val="0"/>
              <w:bCs w:val="0"/>
              <w:sz w:val="18"/>
              <w:szCs w:val="18"/>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sz w:val="18"/>
                <w:szCs w:val="18"/>
              </w:rPr>
              <w:tab/>
              <w:t>8</w:t>
            </w:r>
            <w:r>
              <w:rPr>
                <w:rFonts w:ascii="Times New Roman" w:hAnsi="Times New Roman" w:cs="Times New Roman" w:eastAsia="Times New Roman" w:hint="default"/>
                <w:b w:val="0"/>
                <w:bCs w:val="0"/>
                <w:sz w:val="18"/>
                <w:szCs w:val="18"/>
              </w:rPr>
            </w:r>
          </w:hyperlink>
        </w:p>
        <w:p>
          <w:pPr>
            <w:pStyle w:val="TOC2"/>
            <w:tabs>
              <w:tab w:pos="9785" w:val="right" w:leader="dot"/>
            </w:tabs>
            <w:spacing w:line="240" w:lineRule="auto" w:before="187"/>
            <w:ind w:right="0"/>
            <w:jc w:val="left"/>
            <w:rPr>
              <w:rFonts w:ascii="Times New Roman" w:hAnsi="Times New Roman" w:cs="Times New Roman" w:eastAsia="Times New Roman" w:hint="default"/>
              <w:b w:val="0"/>
              <w:bCs w:val="0"/>
              <w:i w:val="0"/>
              <w:sz w:val="18"/>
              <w:szCs w:val="18"/>
            </w:rPr>
          </w:pPr>
          <w:hyperlink w:history="true" w:anchor="_bookmark2">
            <w:r>
              <w:rPr>
                <w:i w:val="0"/>
                <w:sz w:val="24"/>
                <w:szCs w:val="24"/>
              </w:rPr>
              <w:t>第三节</w:t>
            </w:r>
            <w:r>
              <w:rPr>
                <w:i w:val="0"/>
                <w:spacing w:val="2"/>
                <w:sz w:val="24"/>
                <w:szCs w:val="24"/>
              </w:rPr>
              <w:t> </w:t>
            </w:r>
            <w:r>
              <w:rPr>
                <w:i w:val="0"/>
                <w:sz w:val="24"/>
                <w:szCs w:val="24"/>
              </w:rPr>
              <w:t>公司业务概要</w:t>
            </w:r>
            <w:r>
              <w:rPr>
                <w:rFonts w:ascii="Times New Roman" w:hAnsi="Times New Roman" w:cs="Times New Roman" w:eastAsia="Times New Roman" w:hint="default"/>
                <w:i w:val="0"/>
                <w:sz w:val="18"/>
                <w:szCs w:val="18"/>
              </w:rPr>
              <w:tab/>
              <w:t>12</w:t>
            </w:r>
            <w:r>
              <w:rPr>
                <w:rFonts w:ascii="Times New Roman" w:hAnsi="Times New Roman" w:cs="Times New Roman" w:eastAsia="Times New Roman" w:hint="default"/>
                <w:b w:val="0"/>
                <w:bCs w:val="0"/>
                <w:i w:val="0"/>
                <w:sz w:val="18"/>
                <w:szCs w:val="18"/>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sz w:val="18"/>
              <w:szCs w:val="18"/>
            </w:rPr>
          </w:pPr>
          <w:hyperlink w:history="true" w:anchor="_bookmark3">
            <w:r>
              <w:rPr/>
              <w:t>第四节</w:t>
            </w:r>
            <w:r>
              <w:rPr>
                <w:spacing w:val="1"/>
              </w:rPr>
              <w:t> </w:t>
            </w:r>
            <w:r>
              <w:rPr/>
              <w:t>经营情况讨论与分析</w:t>
            </w:r>
            <w:r>
              <w:rPr>
                <w:rFonts w:ascii="Times New Roman" w:hAnsi="Times New Roman" w:cs="Times New Roman" w:eastAsia="Times New Roman" w:hint="default"/>
                <w:sz w:val="18"/>
                <w:szCs w:val="18"/>
              </w:rPr>
              <w:tab/>
              <w:t>16</w:t>
            </w:r>
            <w:r>
              <w:rPr>
                <w:rFonts w:ascii="Times New Roman" w:hAnsi="Times New Roman" w:cs="Times New Roman" w:eastAsia="Times New Roman" w:hint="default"/>
                <w:b w:val="0"/>
                <w:bCs w:val="0"/>
                <w:sz w:val="18"/>
                <w:szCs w:val="18"/>
              </w:rPr>
            </w:r>
          </w:hyperlink>
        </w:p>
        <w:p>
          <w:pPr>
            <w:pStyle w:val="TOC2"/>
            <w:tabs>
              <w:tab w:pos="9785"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4">
            <w:r>
              <w:rPr>
                <w:i w:val="0"/>
                <w:sz w:val="24"/>
                <w:szCs w:val="24"/>
              </w:rPr>
              <w:t>第五节</w:t>
            </w:r>
            <w:r>
              <w:rPr>
                <w:i w:val="0"/>
                <w:spacing w:val="1"/>
                <w:sz w:val="24"/>
                <w:szCs w:val="24"/>
              </w:rPr>
              <w:t> </w:t>
            </w:r>
            <w:r>
              <w:rPr>
                <w:i w:val="0"/>
                <w:sz w:val="24"/>
                <w:szCs w:val="24"/>
              </w:rPr>
              <w:t>重要事项</w:t>
            </w:r>
            <w:r>
              <w:rPr>
                <w:rFonts w:ascii="Times New Roman" w:hAnsi="Times New Roman" w:cs="Times New Roman" w:eastAsia="Times New Roman" w:hint="default"/>
                <w:i w:val="0"/>
                <w:sz w:val="18"/>
                <w:szCs w:val="18"/>
              </w:rPr>
              <w:tab/>
              <w:t>38</w:t>
            </w:r>
            <w:r>
              <w:rPr>
                <w:rFonts w:ascii="Times New Roman" w:hAnsi="Times New Roman" w:cs="Times New Roman" w:eastAsia="Times New Roman" w:hint="default"/>
                <w:b w:val="0"/>
                <w:bCs w:val="0"/>
                <w:i w:val="0"/>
                <w:sz w:val="18"/>
                <w:szCs w:val="18"/>
              </w:rPr>
            </w:r>
          </w:hyperlink>
        </w:p>
        <w:p>
          <w:pPr>
            <w:pStyle w:val="TOC1"/>
            <w:tabs>
              <w:tab w:pos="9785" w:val="right" w:leader="dot"/>
            </w:tabs>
            <w:spacing w:line="240" w:lineRule="auto" w:before="187"/>
            <w:ind w:right="0"/>
            <w:jc w:val="left"/>
            <w:rPr>
              <w:rFonts w:ascii="Times New Roman" w:hAnsi="Times New Roman" w:cs="Times New Roman" w:eastAsia="Times New Roman" w:hint="default"/>
              <w:b w:val="0"/>
              <w:bCs w:val="0"/>
              <w:sz w:val="18"/>
              <w:szCs w:val="18"/>
            </w:rPr>
          </w:pPr>
          <w:hyperlink w:history="true" w:anchor="_bookmark5">
            <w:r>
              <w:rPr/>
              <w:t>第六节</w:t>
            </w:r>
            <w:r>
              <w:rPr>
                <w:spacing w:val="1"/>
              </w:rPr>
              <w:t> </w:t>
            </w:r>
            <w:r>
              <w:rPr/>
              <w:t>股份变动及股东情况</w:t>
            </w:r>
            <w:r>
              <w:rPr>
                <w:rFonts w:ascii="Times New Roman" w:hAnsi="Times New Roman" w:cs="Times New Roman" w:eastAsia="Times New Roman" w:hint="default"/>
                <w:sz w:val="18"/>
                <w:szCs w:val="18"/>
              </w:rPr>
              <w:tab/>
              <w:t>60</w:t>
            </w:r>
            <w:r>
              <w:rPr>
                <w:rFonts w:ascii="Times New Roman" w:hAnsi="Times New Roman" w:cs="Times New Roman" w:eastAsia="Times New Roman" w:hint="default"/>
                <w:b w:val="0"/>
                <w:bCs w:val="0"/>
                <w:sz w:val="18"/>
                <w:szCs w:val="18"/>
              </w:rPr>
            </w:r>
          </w:hyperlink>
        </w:p>
        <w:p>
          <w:pPr>
            <w:pStyle w:val="TOC2"/>
            <w:tabs>
              <w:tab w:pos="9785"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6">
            <w:r>
              <w:rPr>
                <w:i w:val="0"/>
                <w:sz w:val="24"/>
                <w:szCs w:val="24"/>
              </w:rPr>
              <w:t>第七节</w:t>
            </w:r>
            <w:r>
              <w:rPr>
                <w:i w:val="0"/>
                <w:spacing w:val="1"/>
                <w:sz w:val="24"/>
                <w:szCs w:val="24"/>
              </w:rPr>
              <w:t> </w:t>
            </w:r>
            <w:r>
              <w:rPr>
                <w:i w:val="0"/>
                <w:sz w:val="24"/>
                <w:szCs w:val="24"/>
              </w:rPr>
              <w:t>优先股相关情况</w:t>
            </w:r>
            <w:r>
              <w:rPr>
                <w:rFonts w:ascii="Times New Roman" w:hAnsi="Times New Roman" w:cs="Times New Roman" w:eastAsia="Times New Roman" w:hint="default"/>
                <w:i w:val="0"/>
                <w:sz w:val="18"/>
                <w:szCs w:val="18"/>
              </w:rPr>
              <w:tab/>
              <w:t>67</w:t>
            </w:r>
            <w:r>
              <w:rPr>
                <w:rFonts w:ascii="Times New Roman" w:hAnsi="Times New Roman" w:cs="Times New Roman" w:eastAsia="Times New Roman" w:hint="default"/>
                <w:b w:val="0"/>
                <w:bCs w:val="0"/>
                <w:i w:val="0"/>
                <w:sz w:val="18"/>
                <w:szCs w:val="18"/>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sz w:val="18"/>
              <w:szCs w:val="18"/>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sz w:val="18"/>
                <w:szCs w:val="18"/>
              </w:rPr>
              <w:tab/>
              <w:t>68</w:t>
            </w:r>
            <w:r>
              <w:rPr>
                <w:rFonts w:ascii="Times New Roman" w:hAnsi="Times New Roman" w:cs="Times New Roman" w:eastAsia="Times New Roman" w:hint="default"/>
                <w:b w:val="0"/>
                <w:bCs w:val="0"/>
                <w:sz w:val="18"/>
                <w:szCs w:val="18"/>
              </w:rPr>
            </w:r>
          </w:hyperlink>
        </w:p>
        <w:p>
          <w:pPr>
            <w:pStyle w:val="TOC1"/>
            <w:tabs>
              <w:tab w:pos="9785" w:val="right" w:leader="dot"/>
            </w:tabs>
            <w:spacing w:line="240" w:lineRule="auto" w:before="187"/>
            <w:ind w:right="0"/>
            <w:jc w:val="left"/>
            <w:rPr>
              <w:rFonts w:ascii="Times New Roman" w:hAnsi="Times New Roman" w:cs="Times New Roman" w:eastAsia="Times New Roman" w:hint="default"/>
              <w:b w:val="0"/>
              <w:bCs w:val="0"/>
              <w:sz w:val="18"/>
              <w:szCs w:val="18"/>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sz w:val="18"/>
                <w:szCs w:val="18"/>
              </w:rPr>
              <w:tab/>
              <w:t>69</w:t>
            </w:r>
            <w:r>
              <w:rPr>
                <w:rFonts w:ascii="Times New Roman" w:hAnsi="Times New Roman" w:cs="Times New Roman" w:eastAsia="Times New Roman" w:hint="default"/>
                <w:b w:val="0"/>
                <w:bCs w:val="0"/>
                <w:sz w:val="18"/>
                <w:szCs w:val="18"/>
              </w:rPr>
            </w:r>
          </w:hyperlink>
        </w:p>
        <w:p>
          <w:pPr>
            <w:pStyle w:val="TOC2"/>
            <w:tabs>
              <w:tab w:pos="9785"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9">
            <w:r>
              <w:rPr>
                <w:i w:val="0"/>
                <w:sz w:val="24"/>
                <w:szCs w:val="24"/>
              </w:rPr>
              <w:t>第十节</w:t>
            </w:r>
            <w:r>
              <w:rPr>
                <w:i w:val="0"/>
                <w:spacing w:val="2"/>
                <w:sz w:val="24"/>
                <w:szCs w:val="24"/>
              </w:rPr>
              <w:t> </w:t>
            </w:r>
            <w:r>
              <w:rPr>
                <w:i w:val="0"/>
                <w:sz w:val="24"/>
                <w:szCs w:val="24"/>
              </w:rPr>
              <w:t>公司治理</w:t>
            </w:r>
            <w:r>
              <w:rPr>
                <w:rFonts w:ascii="Times New Roman" w:hAnsi="Times New Roman" w:cs="Times New Roman" w:eastAsia="Times New Roman" w:hint="default"/>
                <w:i w:val="0"/>
                <w:sz w:val="18"/>
                <w:szCs w:val="18"/>
              </w:rPr>
              <w:tab/>
              <w:t>80</w:t>
            </w:r>
            <w:r>
              <w:rPr>
                <w:rFonts w:ascii="Times New Roman" w:hAnsi="Times New Roman" w:cs="Times New Roman" w:eastAsia="Times New Roman" w:hint="default"/>
                <w:b w:val="0"/>
                <w:bCs w:val="0"/>
                <w:i w:val="0"/>
                <w:sz w:val="18"/>
                <w:szCs w:val="18"/>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sz w:val="18"/>
              <w:szCs w:val="18"/>
            </w:rPr>
          </w:pPr>
          <w:hyperlink w:history="true" w:anchor="_bookmark10">
            <w:r>
              <w:rPr/>
              <w:t>第十一节</w:t>
            </w:r>
            <w:r>
              <w:rPr>
                <w:spacing w:val="-1"/>
              </w:rPr>
              <w:t> </w:t>
            </w:r>
            <w:r>
              <w:rPr/>
              <w:t>公司债券相关情况</w:t>
            </w:r>
            <w:r>
              <w:rPr>
                <w:rFonts w:ascii="Times New Roman" w:hAnsi="Times New Roman" w:cs="Times New Roman" w:eastAsia="Times New Roman" w:hint="default"/>
                <w:sz w:val="18"/>
                <w:szCs w:val="18"/>
              </w:rPr>
              <w:tab/>
              <w:t>86</w:t>
            </w:r>
            <w:r>
              <w:rPr>
                <w:rFonts w:ascii="Times New Roman" w:hAnsi="Times New Roman" w:cs="Times New Roman" w:eastAsia="Times New Roman" w:hint="default"/>
                <w:b w:val="0"/>
                <w:bCs w:val="0"/>
                <w:sz w:val="18"/>
                <w:szCs w:val="18"/>
              </w:rPr>
            </w:r>
          </w:hyperlink>
        </w:p>
        <w:p>
          <w:pPr>
            <w:pStyle w:val="TOC2"/>
            <w:tabs>
              <w:tab w:pos="9785" w:val="right" w:leader="dot"/>
            </w:tabs>
            <w:spacing w:line="240" w:lineRule="auto" w:before="187"/>
            <w:ind w:right="0"/>
            <w:jc w:val="left"/>
            <w:rPr>
              <w:rFonts w:ascii="Times New Roman" w:hAnsi="Times New Roman" w:cs="Times New Roman" w:eastAsia="Times New Roman" w:hint="default"/>
              <w:b w:val="0"/>
              <w:bCs w:val="0"/>
              <w:i w:val="0"/>
              <w:sz w:val="18"/>
              <w:szCs w:val="18"/>
            </w:rPr>
          </w:pPr>
          <w:hyperlink w:history="true" w:anchor="_bookmark11">
            <w:r>
              <w:rPr>
                <w:i w:val="0"/>
                <w:sz w:val="24"/>
                <w:szCs w:val="24"/>
              </w:rPr>
              <w:t>第十二节</w:t>
            </w:r>
            <w:r>
              <w:rPr>
                <w:i w:val="0"/>
                <w:spacing w:val="-1"/>
                <w:sz w:val="24"/>
                <w:szCs w:val="24"/>
              </w:rPr>
              <w:t> </w:t>
            </w:r>
            <w:r>
              <w:rPr>
                <w:i w:val="0"/>
                <w:sz w:val="24"/>
                <w:szCs w:val="24"/>
              </w:rPr>
              <w:t>财务报告</w:t>
            </w:r>
            <w:r>
              <w:rPr>
                <w:rFonts w:ascii="Times New Roman" w:hAnsi="Times New Roman" w:cs="Times New Roman" w:eastAsia="Times New Roman" w:hint="default"/>
                <w:i w:val="0"/>
                <w:sz w:val="18"/>
                <w:szCs w:val="18"/>
              </w:rPr>
              <w:tab/>
              <w:t>87</w:t>
            </w:r>
            <w:r>
              <w:rPr>
                <w:rFonts w:ascii="Times New Roman" w:hAnsi="Times New Roman" w:cs="Times New Roman" w:eastAsia="Times New Roman" w:hint="default"/>
                <w:b w:val="0"/>
                <w:bCs w:val="0"/>
                <w:i w:val="0"/>
                <w:sz w:val="18"/>
                <w:szCs w:val="18"/>
              </w:rPr>
            </w:r>
          </w:hyperlink>
        </w:p>
        <w:p>
          <w:pPr>
            <w:pStyle w:val="TOC2"/>
            <w:tabs>
              <w:tab w:pos="9785"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12">
            <w:r>
              <w:rPr>
                <w:i w:val="0"/>
                <w:sz w:val="24"/>
                <w:szCs w:val="24"/>
              </w:rPr>
              <w:t>第十三节</w:t>
            </w:r>
            <w:r>
              <w:rPr>
                <w:i w:val="0"/>
                <w:spacing w:val="-1"/>
                <w:sz w:val="24"/>
                <w:szCs w:val="24"/>
              </w:rPr>
              <w:t> </w:t>
            </w:r>
            <w:r>
              <w:rPr>
                <w:i w:val="0"/>
                <w:sz w:val="24"/>
                <w:szCs w:val="24"/>
              </w:rPr>
              <w:t>备查文件目录</w:t>
            </w:r>
            <w:r>
              <w:rPr>
                <w:rFonts w:ascii="Times New Roman" w:hAnsi="Times New Roman" w:cs="Times New Roman" w:eastAsia="Times New Roman" w:hint="default"/>
                <w:i w:val="0"/>
                <w:sz w:val="18"/>
                <w:szCs w:val="18"/>
              </w:rPr>
              <w:tab/>
              <w:t>207</w:t>
            </w:r>
            <w:r>
              <w:rPr>
                <w:rFonts w:ascii="Times New Roman" w:hAnsi="Times New Roman" w:cs="Times New Roman" w:eastAsia="Times New Roman" w:hint="default"/>
                <w:b w:val="0"/>
                <w:bCs w:val="0"/>
                <w:i w:val="0"/>
                <w:sz w:val="18"/>
                <w:szCs w:val="18"/>
              </w:rPr>
            </w:r>
          </w:hyperlink>
        </w:p>
      </w:sdtContent>
    </w:sdt>
    <w:p>
      <w:pPr>
        <w:spacing w:after="0" w:line="240" w:lineRule="auto"/>
        <w:jc w:val="left"/>
        <w:rPr>
          <w:rFonts w:ascii="Times New Roman" w:hAnsi="Times New Roman" w:cs="Times New Roman" w:eastAsia="Times New Roman" w:hint="default"/>
          <w:sz w:val="18"/>
          <w:szCs w:val="18"/>
        </w:rPr>
        <w:sectPr>
          <w:footerReference w:type="default" r:id="rId11"/>
          <w:pgSz w:w="11910" w:h="16840"/>
          <w:pgMar w:footer="980" w:header="933" w:top="1240" w:bottom="1160" w:left="980" w:right="0"/>
          <w:pgNumType w:start="5"/>
        </w:sectPr>
      </w:pPr>
    </w:p>
    <w:p>
      <w:pPr>
        <w:pStyle w:val="Heading1"/>
        <w:spacing w:line="240" w:lineRule="auto" w:before="706"/>
        <w:ind w:right="3132"/>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610"/>
        <w:gridCol w:w="5425"/>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公司、宇信、宇信科技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北京宇信科技集团股份有限公司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宇琴鸿泰</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0"/>
              <w:jc w:val="left"/>
              <w:rPr>
                <w:rFonts w:ascii="宋体" w:hAnsi="宋体" w:cs="宋体" w:eastAsia="宋体" w:hint="default"/>
                <w:sz w:val="18"/>
                <w:szCs w:val="18"/>
              </w:rPr>
            </w:pPr>
            <w:r>
              <w:rPr>
                <w:rFonts w:ascii="宋体" w:hAnsi="宋体" w:cs="宋体" w:eastAsia="宋体" w:hint="default"/>
                <w:spacing w:val="-2"/>
                <w:sz w:val="18"/>
                <w:szCs w:val="18"/>
              </w:rPr>
              <w:t>珠海宇琴鸿泰信息咨询有限公司，原名珠海宇琴鸿泰资产管理有限公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司，为公司控股股东</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远创基因</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82"/>
              <w:jc w:val="left"/>
              <w:rPr>
                <w:rFonts w:ascii="宋体" w:hAnsi="宋体" w:cs="宋体" w:eastAsia="宋体" w:hint="default"/>
                <w:sz w:val="18"/>
                <w:szCs w:val="18"/>
              </w:rPr>
            </w:pPr>
            <w:r>
              <w:rPr>
                <w:rFonts w:ascii="宋体" w:hAnsi="宋体" w:cs="宋体" w:eastAsia="宋体" w:hint="default"/>
                <w:w w:val="99"/>
                <w:sz w:val="18"/>
                <w:szCs w:val="18"/>
              </w:rPr>
              <w:t>远创基因投资有限公司（</w:t>
            </w:r>
            <w:r>
              <w:rPr>
                <w:rFonts w:ascii="Times New Roman" w:hAnsi="Times New Roman" w:cs="Times New Roman" w:eastAsia="Times New Roman" w:hint="default"/>
                <w:w w:val="99"/>
                <w:sz w:val="18"/>
                <w:szCs w:val="18"/>
              </w:rPr>
              <w:t>CSOF</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1"/>
                <w:w w:val="99"/>
                <w:sz w:val="18"/>
                <w:szCs w:val="18"/>
              </w:rPr>
              <w:t>Genetic</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
                <w:w w:val="99"/>
                <w:sz w:val="18"/>
                <w:szCs w:val="18"/>
              </w:rPr>
              <w:t>Investment</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8"/>
                <w:sz w:val="18"/>
                <w:szCs w:val="18"/>
              </w:rPr>
              <w:t>Limited</w:t>
            </w:r>
            <w:r>
              <w:rPr>
                <w:rFonts w:ascii="宋体" w:hAnsi="宋体" w:cs="宋体" w:eastAsia="宋体" w:hint="default"/>
                <w:spacing w:val="-8"/>
                <w:sz w:val="18"/>
                <w:szCs w:val="18"/>
              </w:rPr>
              <w:t>），为公司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w:t>
            </w:r>
          </w:p>
        </w:tc>
      </w:tr>
      <w:tr>
        <w:trPr>
          <w:trHeight w:val="392"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340" w:lineRule="auto" w:before="49"/>
              <w:ind w:left="24"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茗峰开发、</w:t>
            </w:r>
            <w:r>
              <w:rPr>
                <w:rFonts w:ascii="Times New Roman" w:hAnsi="Times New Roman" w:cs="Times New Roman" w:eastAsia="Times New Roman" w:hint="default"/>
                <w:sz w:val="18"/>
                <w:szCs w:val="18"/>
              </w:rPr>
              <w:t>Port </w:t>
            </w:r>
            <w:r>
              <w:rPr>
                <w:rFonts w:ascii="Times New Roman" w:hAnsi="Times New Roman" w:cs="Times New Roman" w:eastAsia="Times New Roman" w:hint="default"/>
                <w:spacing w:val="-3"/>
                <w:sz w:val="18"/>
                <w:szCs w:val="18"/>
              </w:rPr>
              <w:t>Wing </w:t>
            </w:r>
            <w:r>
              <w:rPr>
                <w:rFonts w:ascii="Times New Roman" w:hAnsi="Times New Roman" w:cs="Times New Roman" w:eastAsia="Times New Roman" w:hint="default"/>
                <w:sz w:val="18"/>
                <w:szCs w:val="18"/>
              </w:rPr>
              <w:t>Development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Company</w:t>
            </w:r>
            <w:r>
              <w:rPr>
                <w:rFonts w:ascii="Times New Roman" w:hAnsi="Times New Roman" w:cs="Times New Roman" w:eastAsia="Times New Roman" w:hint="default"/>
                <w:sz w:val="18"/>
                <w:szCs w:val="18"/>
              </w:rPr>
              <w:t> Limited</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29"/>
              <w:jc w:val="left"/>
              <w:rPr>
                <w:rFonts w:ascii="宋体" w:hAnsi="宋体" w:cs="宋体" w:eastAsia="宋体" w:hint="default"/>
                <w:sz w:val="18"/>
                <w:szCs w:val="18"/>
              </w:rPr>
            </w:pPr>
            <w:r>
              <w:rPr>
                <w:rFonts w:ascii="宋体" w:hAnsi="宋体" w:cs="宋体" w:eastAsia="宋体" w:hint="default"/>
                <w:w w:val="99"/>
                <w:sz w:val="18"/>
                <w:szCs w:val="18"/>
              </w:rPr>
              <w:t>茗峰开发有限公司（</w:t>
            </w:r>
            <w:r>
              <w:rPr>
                <w:rFonts w:ascii="Times New Roman" w:hAnsi="Times New Roman" w:cs="Times New Roman" w:eastAsia="Times New Roman" w:hint="default"/>
                <w:w w:val="99"/>
                <w:sz w:val="18"/>
                <w:szCs w:val="18"/>
              </w:rPr>
              <w:t>Port </w:t>
            </w:r>
            <w:r>
              <w:rPr>
                <w:rFonts w:ascii="Times New Roman" w:hAnsi="Times New Roman" w:cs="Times New Roman" w:eastAsia="Times New Roman" w:hint="default"/>
                <w:spacing w:val="-3"/>
                <w:sz w:val="18"/>
                <w:szCs w:val="18"/>
              </w:rPr>
              <w:t>Wing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1"/>
                <w:w w:val="99"/>
                <w:sz w:val="18"/>
                <w:szCs w:val="18"/>
              </w:rPr>
              <w:t>Development</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sz w:val="18"/>
                <w:szCs w:val="18"/>
              </w:rPr>
              <w:t>Company</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9"/>
                <w:sz w:val="18"/>
                <w:szCs w:val="18"/>
              </w:rPr>
              <w:t>Limited</w:t>
            </w:r>
            <w:r>
              <w:rPr>
                <w:rFonts w:ascii="宋体" w:hAnsi="宋体" w:cs="宋体" w:eastAsia="宋体" w:hint="default"/>
                <w:spacing w:val="-9"/>
                <w:sz w:val="18"/>
                <w:szCs w:val="18"/>
              </w:rPr>
              <w:t>），为公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司股东</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尚远有限</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尚远有限公司（</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
                <w:sz w:val="18"/>
                <w:szCs w:val="18"/>
              </w:rPr>
              <w:t>up</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pacing w:val="-2"/>
                <w:sz w:val="18"/>
                <w:szCs w:val="18"/>
              </w:rPr>
              <w:t>i</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r B</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4"/>
                <w:sz w:val="18"/>
                <w:szCs w:val="18"/>
              </w:rPr>
              <w:t>y</w:t>
            </w:r>
            <w:r>
              <w:rPr>
                <w:rFonts w:ascii="Times New Roman" w:hAnsi="Times New Roman" w:cs="Times New Roman" w:eastAsia="Times New Roman" w:hint="default"/>
                <w:spacing w:val="1"/>
                <w:sz w:val="18"/>
                <w:szCs w:val="18"/>
              </w:rPr>
              <w:t>on</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3"/>
                <w:sz w:val="18"/>
                <w:szCs w:val="18"/>
              </w:rPr>
              <w:t>m</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2"/>
                <w:sz w:val="18"/>
                <w:szCs w:val="18"/>
              </w:rPr>
              <w:t>d</w:t>
            </w:r>
            <w:r>
              <w:rPr>
                <w:rFonts w:ascii="宋体" w:hAnsi="宋体" w:cs="宋体" w:eastAsia="宋体" w:hint="default"/>
                <w:spacing w:val="-92"/>
                <w:sz w:val="18"/>
                <w:szCs w:val="18"/>
              </w:rPr>
              <w:t>）</w:t>
            </w:r>
            <w:r>
              <w:rPr>
                <w:rFonts w:ascii="宋体" w:hAnsi="宋体" w:cs="宋体" w:eastAsia="宋体" w:hint="default"/>
                <w:sz w:val="18"/>
                <w:szCs w:val="18"/>
              </w:rPr>
              <w:t>，为公司股东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海富恒歆</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杭州海富恒歆股权投资合伙企业（有限合伙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爱康佳华</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珠海爱康佳华资产管理合伙企业（有限合伙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华侨星城</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华侨星城（上海）股权投资基金合伙企业（有限合伙</w:t>
            </w:r>
            <w:r>
              <w:rPr>
                <w:rFonts w:ascii="宋体" w:hAnsi="宋体" w:cs="宋体" w:eastAsia="宋体" w:hint="default"/>
                <w:spacing w:val="-92"/>
                <w:sz w:val="18"/>
                <w:szCs w:val="18"/>
              </w:rPr>
              <w:t>）</w:t>
            </w:r>
            <w:r>
              <w:rPr>
                <w:rFonts w:ascii="宋体" w:hAnsi="宋体" w:cs="宋体" w:eastAsia="宋体" w:hint="default"/>
                <w:sz w:val="18"/>
                <w:szCs w:val="18"/>
              </w:rPr>
              <w:t>，为</w:t>
            </w:r>
            <w:r>
              <w:rPr>
                <w:rFonts w:ascii="宋体" w:hAnsi="宋体" w:cs="宋体" w:eastAsia="宋体" w:hint="default"/>
                <w:spacing w:val="2"/>
                <w:sz w:val="18"/>
                <w:szCs w:val="18"/>
              </w:rPr>
              <w:t>公</w:t>
            </w:r>
            <w:r>
              <w:rPr>
                <w:rFonts w:ascii="宋体" w:hAnsi="宋体" w:cs="宋体" w:eastAsia="宋体" w:hint="default"/>
                <w:sz w:val="18"/>
                <w:szCs w:val="18"/>
              </w:rPr>
              <w:t>司股东</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巨富投资</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59"/>
              <w:jc w:val="left"/>
              <w:rPr>
                <w:rFonts w:ascii="宋体" w:hAnsi="宋体" w:cs="宋体" w:eastAsia="宋体" w:hint="default"/>
                <w:sz w:val="18"/>
                <w:szCs w:val="18"/>
              </w:rPr>
            </w:pPr>
            <w:r>
              <w:rPr>
                <w:rFonts w:ascii="宋体" w:hAnsi="宋体" w:cs="宋体" w:eastAsia="宋体" w:hint="default"/>
                <w:sz w:val="18"/>
                <w:szCs w:val="18"/>
              </w:rPr>
              <w:t>巨富中国投资有限公司（</w:t>
            </w:r>
            <w:r>
              <w:rPr>
                <w:rFonts w:ascii="Times New Roman" w:hAnsi="Times New Roman" w:cs="Times New Roman" w:eastAsia="Times New Roman" w:hint="default"/>
                <w:sz w:val="18"/>
                <w:szCs w:val="18"/>
              </w:rPr>
              <w:t>Huge Fortune China Investment</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，为 公司股东</w:t>
            </w:r>
          </w:p>
        </w:tc>
      </w:tr>
      <w:tr>
        <w:trPr>
          <w:trHeight w:val="391"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光控基因</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19"/>
              <w:jc w:val="left"/>
              <w:rPr>
                <w:rFonts w:ascii="宋体" w:hAnsi="宋体" w:cs="宋体" w:eastAsia="宋体" w:hint="default"/>
                <w:sz w:val="18"/>
                <w:szCs w:val="18"/>
              </w:rPr>
            </w:pPr>
            <w:r>
              <w:rPr>
                <w:rFonts w:ascii="宋体" w:hAnsi="宋体" w:cs="宋体" w:eastAsia="宋体" w:hint="default"/>
                <w:sz w:val="18"/>
                <w:szCs w:val="18"/>
              </w:rPr>
              <w:t>光控基因投资有限公司（</w:t>
            </w:r>
            <w:r>
              <w:rPr>
                <w:rFonts w:ascii="Times New Roman" w:hAnsi="Times New Roman" w:cs="Times New Roman" w:eastAsia="Times New Roman" w:hint="default"/>
                <w:sz w:val="18"/>
                <w:szCs w:val="18"/>
              </w:rPr>
              <w:t>CEL </w:t>
            </w:r>
            <w:r>
              <w:rPr>
                <w:rFonts w:ascii="Times New Roman" w:hAnsi="Times New Roman" w:cs="Times New Roman" w:eastAsia="Times New Roman" w:hint="default"/>
                <w:spacing w:val="-1"/>
                <w:w w:val="99"/>
                <w:sz w:val="18"/>
                <w:szCs w:val="18"/>
              </w:rPr>
              <w:t>Genetic</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w w:val="99"/>
                <w:sz w:val="18"/>
                <w:szCs w:val="18"/>
              </w:rPr>
              <w:t>Investment</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spacing w:val="-8"/>
                <w:sz w:val="18"/>
                <w:szCs w:val="18"/>
              </w:rPr>
              <w:t>Limited</w:t>
            </w:r>
            <w:r>
              <w:rPr>
                <w:rFonts w:ascii="宋体" w:hAnsi="宋体" w:cs="宋体" w:eastAsia="宋体" w:hint="default"/>
                <w:spacing w:val="-8"/>
                <w:sz w:val="18"/>
                <w:szCs w:val="18"/>
              </w:rPr>
              <w:t>），为公司股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FIS</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Fidelity Information Services International Holdings,</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，为公司股东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宇琴广源</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珠海宇琴广源信息咨询合伙企业（有限合伙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宇琴通诚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珠海宇琴通诚信息咨询合伙企业（有限合伙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宇琴广利</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珠海宇琴广利信息咨询合伙企业（有限合伙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宇琴华创</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珠海宇琴华创信息咨询合伙企业（有限合伙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宇琴金智</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珠海宇琴金智信息咨询合伙企业（有限合伙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宇琴高科</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珠海宇琴高科信息咨询合伙企业（有限合伙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，为公司股东</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宇琴优迪</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珠海宇琴优迪信息咨询合伙企业（有限合伙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宇琴鸿信</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珠海宇琴鸿信信息咨询合伙企业（有限合伙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宇琴鸿程</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珠海宇琴鸿程信息咨询合伙企业（有限合伙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杭州班克</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杭州班克控股有限公司，为公司股东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宇信恒升</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宇信易初</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北京宇信易初科技有限公司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广州宇信易诚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广州宇信易诚信息科技有限公司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北京宇信金地</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北京宇信金地科技有限公司</w:t>
            </w:r>
          </w:p>
        </w:tc>
      </w:tr>
    </w:tbl>
    <w:p>
      <w:pPr>
        <w:spacing w:after="0" w:line="240" w:lineRule="auto"/>
        <w:jc w:val="left"/>
        <w:rPr>
          <w:rFonts w:ascii="宋体" w:hAnsi="宋体" w:cs="宋体" w:eastAsia="宋体" w:hint="default"/>
          <w:sz w:val="18"/>
          <w:szCs w:val="18"/>
        </w:rPr>
        <w:sectPr>
          <w:headerReference w:type="default" r:id="rId12"/>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宇信启融</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无锡宇信易诚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无锡宇信易诚科技有限公司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无锡培训</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无锡宇信易诚培训有限公司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珠海宇诚信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珠海宇信鸿泰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珠海宇信鸿泰科技有限公司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珠海宇信易诚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珠海宇信易诚科技有限公司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优迪信息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北京优迪信息技术有限公司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宇信鸿泰信息技术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北京宇信鸿泰信息技术有限公司（原名：北京宇信易诚信息技术有限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天津宇信易诚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天津宇信易诚科技有限公司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宇信鸿泰软件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北京宇信鸿泰软件技术有限公司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上海宇信易诚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上海宇信易诚软件技术有限公司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厦门宇诚科技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厦门宇诚科技有限公司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宇信征信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北京宇信征信有限公司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宇信数据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湖南宇信鸿泰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湖南宇信鸿泰资产管理有限责任公司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长沙宇信鸿泰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长沙宇信鸿泰信息科技有限公司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厦门宇信鸿泰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厦门市宇信鸿泰科技有限公司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宇信企慧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北京宇信企慧信息技术有限公司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宇信金服</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宇信金服科技有限公司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数通天下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宇信融汇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西安宇信融汇网络科技有限公司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香港宇信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宇信鸿泰科技（香港）有限公司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新加坡宇信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YUSYS TECHNOLOGIES PTE.</w:t>
            </w:r>
            <w:r>
              <w:rPr>
                <w:rFonts w:ascii="Times New Roman"/>
                <w:spacing w:val="-8"/>
                <w:sz w:val="18"/>
              </w:rPr>
              <w:t> </w:t>
            </w:r>
            <w:r>
              <w:rPr>
                <w:rFonts w:ascii="Times New Roman"/>
                <w:spacing w:val="-5"/>
                <w:sz w:val="18"/>
              </w:rPr>
              <w:t>LTD.</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Canalyst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Canalyst Financial Modeling</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（中文名称：卡纳利斯特金融 建模公司）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Yucheng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Yucheng </w:t>
            </w:r>
            <w:r>
              <w:rPr>
                <w:rFonts w:ascii="Times New Roman"/>
                <w:sz w:val="18"/>
              </w:rPr>
              <w:t>Technologies</w:t>
            </w:r>
            <w:r>
              <w:rPr>
                <w:rFonts w:ascii="Times New Roman"/>
                <w:spacing w:val="-23"/>
                <w:sz w:val="18"/>
              </w:rPr>
              <w:t> </w:t>
            </w:r>
            <w:r>
              <w:rPr>
                <w:rFonts w:ascii="Times New Roman"/>
                <w:sz w:val="18"/>
              </w:rPr>
              <w:t>Limited</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京北阳光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北京京北阳光投资中心（有限合伙）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丝路华创</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丝路华创（北京）有限公司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丝路控股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丝路控股集团有限公司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湖北消费金融</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湖北消费金融股份有限公司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宇新大数据基金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宇新（厦门）大数据股权投资基金合伙企业（有限合伙）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派衍信息科技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派衍信息科技（苏州）有限公司</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7"/>
          <w:szCs w:val="27"/>
        </w:rPr>
      </w:pPr>
    </w:p>
    <w:p>
      <w:pPr>
        <w:pStyle w:val="Heading1"/>
        <w:spacing w:line="240" w:lineRule="auto"/>
        <w:ind w:left="2723" w:right="1133"/>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39996pt;margin-top:114.681595pt;width:361.55pt;height:19.75pt;mso-position-horizontal-relative:page;mso-position-vertical-relative:paragraph;z-index:-1228360"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宇信科技</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300674</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北京宇信科技集团股份有限公司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宇信科技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5"/>
                <w:sz w:val="18"/>
              </w:rPr>
              <w:t>Yusys </w:t>
            </w:r>
            <w:r>
              <w:rPr>
                <w:rFonts w:ascii="Times New Roman"/>
                <w:sz w:val="18"/>
              </w:rPr>
              <w:t>Technologies Co.,</w:t>
            </w:r>
            <w:r>
              <w:rPr>
                <w:rFonts w:ascii="Times New Roman"/>
                <w:spacing w:val="-13"/>
                <w:sz w:val="18"/>
              </w:rPr>
              <w:t> </w:t>
            </w:r>
            <w:r>
              <w:rPr>
                <w:rFonts w:ascii="Times New Roman"/>
                <w:sz w:val="18"/>
              </w:rPr>
              <w:t>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pacing w:val="-5"/>
                <w:sz w:val="18"/>
              </w:rPr>
              <w:t>Yusys</w:t>
            </w:r>
            <w:r>
              <w:rPr>
                <w:rFonts w:ascii="Times New Roman"/>
                <w:spacing w:val="-14"/>
                <w:sz w:val="18"/>
              </w:rPr>
              <w:t> </w:t>
            </w:r>
            <w:r>
              <w:rPr>
                <w:rFonts w:ascii="Times New Roman"/>
                <w:sz w:val="18"/>
              </w:rPr>
              <w:t>Technologies</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洪卫东</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北京市海淀区高粱桥斜街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1-519</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北京市朝阳区酒仙桥东路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号院电子城研发中心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100015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3">
              <w:r>
                <w:rPr>
                  <w:rFonts w:ascii="Times New Roman"/>
                  <w:sz w:val="18"/>
                </w:rPr>
                <w:t>http://www.yusys.com.cn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4">
              <w:r>
                <w:rPr>
                  <w:rFonts w:ascii="Times New Roman"/>
                  <w:sz w:val="18"/>
                </w:rPr>
                <w:t>ir@yusys.com.cn</w:t>
              </w:r>
            </w:hyperlink>
          </w:p>
        </w:tc>
      </w:tr>
    </w:tbl>
    <w:p>
      <w:pPr>
        <w:spacing w:line="240" w:lineRule="auto" w:before="1"/>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bookmarkStart w:name="二、联系人和联系方式" w:id="6"/>
      <w:bookmarkEnd w:id="6"/>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刘卓妮</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93"/>
              <w:jc w:val="left"/>
              <w:rPr>
                <w:rFonts w:ascii="宋体" w:hAnsi="宋体" w:cs="宋体" w:eastAsia="宋体" w:hint="default"/>
                <w:sz w:val="18"/>
                <w:szCs w:val="18"/>
              </w:rPr>
            </w:pPr>
            <w:r>
              <w:rPr>
                <w:rFonts w:ascii="宋体" w:hAnsi="宋体" w:cs="宋体" w:eastAsia="宋体" w:hint="default"/>
                <w:sz w:val="18"/>
                <w:szCs w:val="18"/>
              </w:rPr>
              <w:t>北京市朝阳区酒仙桥东路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号院电子城 研发中心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A2 </w:t>
            </w:r>
            <w:r>
              <w:rPr>
                <w:rFonts w:ascii="宋体" w:hAnsi="宋体" w:cs="宋体" w:eastAsia="宋体" w:hint="default"/>
                <w:sz w:val="18"/>
                <w:szCs w:val="18"/>
              </w:rPr>
              <w:t>号楼东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北京市朝阳区酒仙桥东路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号院电子城 研发中心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A2 </w:t>
            </w:r>
            <w:r>
              <w:rPr>
                <w:rFonts w:ascii="宋体" w:hAnsi="宋体" w:cs="宋体" w:eastAsia="宋体" w:hint="default"/>
                <w:sz w:val="18"/>
                <w:szCs w:val="18"/>
              </w:rPr>
              <w:t>号楼东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010-59137700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010-59137700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010-59137800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010-59137800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4">
              <w:r>
                <w:rPr>
                  <w:rFonts w:ascii="Times New Roman"/>
                  <w:sz w:val="18"/>
                </w:rPr>
                <w:t>ir@yusys.com.cn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4">
              <w:r>
                <w:rPr>
                  <w:rFonts w:ascii="Times New Roman"/>
                  <w:sz w:val="18"/>
                </w:rPr>
                <w:t>ir@yusys.com.cn</w:t>
              </w:r>
            </w:hyperlink>
          </w:p>
        </w:tc>
      </w:tr>
    </w:tbl>
    <w:p>
      <w:pPr>
        <w:spacing w:line="240" w:lineRule="auto" w:before="1"/>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bookmarkStart w:name="三、信息披露及备置地点" w:id="7"/>
      <w:bookmarkEnd w:id="7"/>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北京市朝阳区酒仙桥东路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号院电子城研发中心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bookmarkStart w:name="四、其他有关资料" w:id="8"/>
      <w:bookmarkEnd w:id="8"/>
      <w:r>
        <w:rPr/>
      </w:r>
      <w:r>
        <w:rPr>
          <w:rFonts w:ascii="宋体" w:hAnsi="宋体" w:cs="宋体" w:eastAsia="宋体" w:hint="default"/>
          <w:b/>
          <w:bCs/>
          <w:sz w:val="24"/>
          <w:szCs w:val="24"/>
        </w:rPr>
        <w:t>四、其他有关资料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号四楼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张金华、郭晓清</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号国贸大厦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石一杰、任志强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350" w:lineRule="auto" w:before="115"/>
        <w:ind w:right="9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追溯调整或重述原因 会计政策变更</w:t>
      </w:r>
    </w:p>
    <w:tbl>
      <w:tblPr>
        <w:tblW w:w="0" w:type="auto"/>
        <w:jc w:val="left"/>
        <w:tblInd w:w="160" w:type="dxa"/>
        <w:tblLayout w:type="fixed"/>
        <w:tblCellMar>
          <w:top w:w="0" w:type="dxa"/>
          <w:left w:w="0" w:type="dxa"/>
          <w:bottom w:w="0" w:type="dxa"/>
          <w:right w:w="0" w:type="dxa"/>
        </w:tblCellMar>
        <w:tblLook w:val="01E0"/>
      </w:tblPr>
      <w:tblGrid>
        <w:gridCol w:w="2337"/>
        <w:gridCol w:w="1211"/>
        <w:gridCol w:w="1202"/>
        <w:gridCol w:w="1200"/>
        <w:gridCol w:w="1202"/>
        <w:gridCol w:w="1201"/>
        <w:gridCol w:w="1202"/>
      </w:tblGrid>
      <w:tr>
        <w:trPr>
          <w:trHeight w:val="182" w:hRule="exact"/>
        </w:trPr>
        <w:tc>
          <w:tcPr>
            <w:tcW w:w="2337" w:type="dxa"/>
            <w:vMerge w:val="restart"/>
            <w:tcBorders>
              <w:top w:val="single" w:sz="4" w:space="0" w:color="000000"/>
              <w:left w:val="single" w:sz="4" w:space="0" w:color="000000"/>
              <w:right w:val="single" w:sz="4" w:space="0" w:color="000000"/>
            </w:tcBorders>
            <w:shd w:val="clear" w:color="auto" w:fill="D2D2D2"/>
          </w:tcPr>
          <w:p>
            <w:pPr/>
          </w:p>
        </w:tc>
        <w:tc>
          <w:tcPr>
            <w:tcW w:w="121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1"/>
              <w:ind w:left="415" w:right="144" w:hanging="269"/>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21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0" w:hRule="exact"/>
        </w:trPr>
        <w:tc>
          <w:tcPr>
            <w:tcW w:w="2337" w:type="dxa"/>
            <w:vMerge w:val="restart"/>
            <w:tcBorders>
              <w:top w:val="nil" w:sz="6" w:space="0" w:color="auto"/>
              <w:left w:val="single" w:sz="4" w:space="0" w:color="000000"/>
              <w:right w:val="single" w:sz="4" w:space="0" w:color="000000"/>
            </w:tcBorders>
            <w:shd w:val="clear" w:color="auto" w:fill="D2D2D2"/>
          </w:tcPr>
          <w:p>
            <w:pPr/>
          </w:p>
        </w:tc>
        <w:tc>
          <w:tcPr>
            <w:tcW w:w="12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21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1"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2,651,726,752.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2,140,560,716.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2,140,560,716.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23.88%</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1,624,278,563.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1,624,278,563.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06</w:t>
            </w:r>
          </w:p>
        </w:tc>
      </w:tr>
      <w:tr>
        <w:trPr>
          <w:trHeight w:val="394" w:hRule="exact"/>
        </w:trPr>
        <w:tc>
          <w:tcPr>
            <w:tcW w:w="2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11" w:type="dxa"/>
            <w:vMerge/>
            <w:tcBorders>
              <w:left w:val="single" w:sz="10"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1" w:type="dxa"/>
            <w:vMerge/>
            <w:tcBorders>
              <w:left w:val="single" w:sz="10"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3"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274,181,197.42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195,617,892.13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195,617,892.13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40.16%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187,783,108.64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187,783,108.64</w:t>
            </w:r>
          </w:p>
        </w:tc>
      </w:tr>
      <w:tr>
        <w:trPr>
          <w:trHeight w:val="715"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263,649,269.91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177,593,584.93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177,593,584.93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48.46%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145,581,029.12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145,581,029.12</w:t>
            </w:r>
          </w:p>
        </w:tc>
      </w:tr>
      <w:tr>
        <w:trPr>
          <w:trHeight w:val="713"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180,520,749.60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170,910,668.72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170,910,668.72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51,902,130.42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51,902,130.42</w:t>
            </w:r>
          </w:p>
        </w:tc>
      </w:tr>
      <w:tr>
        <w:trPr>
          <w:trHeight w:val="403"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30.19%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0.52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0.52</w:t>
            </w:r>
          </w:p>
        </w:tc>
      </w:tr>
      <w:tr>
        <w:trPr>
          <w:trHeight w:val="401"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30.19%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0.52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0.52</w:t>
            </w:r>
          </w:p>
        </w:tc>
      </w:tr>
      <w:tr>
        <w:trPr>
          <w:trHeight w:val="40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17.27%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17.27%</w:t>
            </w:r>
          </w:p>
        </w:tc>
      </w:tr>
      <w:tr>
        <w:trPr>
          <w:trHeight w:val="161" w:hRule="exact"/>
        </w:trPr>
        <w:tc>
          <w:tcPr>
            <w:tcW w:w="2337" w:type="dxa"/>
            <w:vMerge w:val="restart"/>
            <w:tcBorders>
              <w:top w:val="single" w:sz="4" w:space="0" w:color="000000"/>
              <w:left w:val="single" w:sz="4" w:space="0" w:color="000000"/>
              <w:right w:val="single" w:sz="4" w:space="0" w:color="000000"/>
            </w:tcBorders>
            <w:shd w:val="clear" w:color="auto" w:fill="D2D2D2"/>
          </w:tcPr>
          <w:p>
            <w:pPr/>
          </w:p>
        </w:tc>
        <w:tc>
          <w:tcPr>
            <w:tcW w:w="121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6" w:right="55"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21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2" w:hRule="exact"/>
        </w:trPr>
        <w:tc>
          <w:tcPr>
            <w:tcW w:w="2337" w:type="dxa"/>
            <w:vMerge w:val="restart"/>
            <w:tcBorders>
              <w:top w:val="nil" w:sz="6" w:space="0" w:color="auto"/>
              <w:left w:val="single" w:sz="4" w:space="0" w:color="000000"/>
              <w:right w:val="single" w:sz="4" w:space="0" w:color="000000"/>
            </w:tcBorders>
            <w:shd w:val="clear" w:color="auto" w:fill="D2D2D2"/>
          </w:tcPr>
          <w:p>
            <w:pPr/>
          </w:p>
        </w:tc>
        <w:tc>
          <w:tcPr>
            <w:tcW w:w="12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21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2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1"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3,973,501,368.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3,243,804,920.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78</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3,243,804,920.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22.50%</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2,628,131,223.</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2,628,131,223.</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w:t>
            </w:r>
          </w:p>
        </w:tc>
      </w:tr>
      <w:tr>
        <w:trPr>
          <w:trHeight w:val="391" w:hRule="exact"/>
        </w:trPr>
        <w:tc>
          <w:tcPr>
            <w:tcW w:w="2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11" w:type="dxa"/>
            <w:vMerge/>
            <w:tcBorders>
              <w:left w:val="single" w:sz="10"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1" w:type="dxa"/>
            <w:vMerge/>
            <w:tcBorders>
              <w:left w:val="single" w:sz="10"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5"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1,846,220,093.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1,664,287,965.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1,664,287,965.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10.93%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1,180,157,444.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1,180,157,444.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pStyle w:val="BodyText"/>
        <w:spacing w:line="360" w:lineRule="auto" w:before="142"/>
        <w:ind w:left="515" w:right="6285" w:hanging="363"/>
        <w:jc w:val="left"/>
      </w:pPr>
      <w:r>
        <w:rPr/>
        <w:t>会计政策变更的原因及会计差错更正的情况 </w:t>
      </w:r>
      <w:r>
        <w:rPr>
          <w:spacing w:val="-4"/>
          <w:w w:val="100"/>
        </w:rPr>
        <w:t>详见</w:t>
      </w:r>
      <w:r>
        <w:rPr>
          <w:rFonts w:ascii="Times New Roman" w:hAnsi="Times New Roman" w:cs="Times New Roman" w:eastAsia="Times New Roman" w:hint="default"/>
          <w:spacing w:val="-4"/>
          <w:w w:val="100"/>
        </w:rPr>
        <w:t>“</w:t>
      </w:r>
      <w:r>
        <w:rPr>
          <w:spacing w:val="-4"/>
          <w:w w:val="100"/>
        </w:rPr>
        <w:t>第十二节、五、</w:t>
      </w:r>
      <w:r>
        <w:rPr>
          <w:rFonts w:ascii="Times New Roman" w:hAnsi="Times New Roman" w:cs="Times New Roman" w:eastAsia="Times New Roman" w:hint="default"/>
          <w:spacing w:val="-4"/>
          <w:w w:val="100"/>
        </w:rPr>
        <w:t>29</w:t>
      </w:r>
      <w:r>
        <w:rPr>
          <w:spacing w:val="-4"/>
          <w:w w:val="100"/>
        </w:rPr>
        <w:t>、（</w:t>
      </w:r>
      <w:r>
        <w:rPr>
          <w:rFonts w:ascii="Times New Roman" w:hAnsi="Times New Roman" w:cs="Times New Roman" w:eastAsia="Times New Roman" w:hint="default"/>
          <w:spacing w:val="-4"/>
          <w:w w:val="100"/>
        </w:rPr>
        <w:t>1</w:t>
      </w:r>
      <w:r>
        <w:rPr>
          <w:spacing w:val="-4"/>
          <w:w w:val="100"/>
        </w:rPr>
        <w:t>）重要会计政策变更</w:t>
      </w:r>
      <w:r>
        <w:rPr>
          <w:rFonts w:ascii="Times New Roman" w:hAnsi="Times New Roman" w:cs="Times New Roman" w:eastAsia="Times New Roman" w:hint="default"/>
          <w:spacing w:val="-4"/>
          <w:w w:val="100"/>
        </w:rPr>
        <w:t>”</w:t>
      </w:r>
      <w:r>
        <w:rPr>
          <w:spacing w:val="-4"/>
          <w:w w:val="100"/>
        </w:rPr>
        <w:t>。</w:t>
      </w:r>
    </w:p>
    <w:p>
      <w:pPr>
        <w:spacing w:line="240" w:lineRule="auto" w:before="5"/>
        <w:rPr>
          <w:rFonts w:ascii="宋体" w:hAnsi="宋体" w:cs="宋体" w:eastAsia="宋体" w:hint="default"/>
          <w:sz w:val="16"/>
          <w:szCs w:val="16"/>
        </w:rPr>
      </w:pPr>
    </w:p>
    <w:p>
      <w:pPr>
        <w:pStyle w:val="Heading2"/>
        <w:spacing w:line="240" w:lineRule="auto"/>
        <w:ind w:right="113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292,535,382.75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774,316,853.10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476,255,832.31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1,108,618,684.33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985,667.30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80,029,502.59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8,550,720.70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184,615,306.83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-993,581.69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75,588,494.55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7,973,834.13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181,080,522.92</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-320,303,567.29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-228,230,031.91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111,003,705.51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618,050,643.29</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8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-7,958,078.55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2,877,280.77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16,392,383.02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16,194,807.50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16,322,251.59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26,684,759.97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47,366.97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1,430,666.67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2,918,857.41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3,343,554.30</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227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3,829,610.28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4,629.78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-183,634.20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-2,690,258.56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1,397,126.98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-452,543.57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2,691,755.24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2,181,570.68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5,150,046.93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89,688.95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-777,746.67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65,151.00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10,531,927.51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18,024,307.20</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spacing w:val="-1"/>
                <w:sz w:val="18"/>
              </w:rPr>
              <w:t>42,202,079.52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852" w:footer="980" w:top="130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25" w:right="1133"/>
        <w:jc w:val="left"/>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3" w:right="1133"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rFonts w:ascii="Times New Roman" w:hAnsi="Times New Roman" w:cs="Times New Roman" w:eastAsia="Times New Roman" w:hint="default"/>
        </w:rPr>
        <w:t>1</w:t>
      </w:r>
      <w:r>
        <w:rPr/>
        <w:t>、公司主营业务和经营情况 </w:t>
      </w:r>
      <w:r>
        <w:rPr>
          <w:spacing w:val="-2"/>
        </w:rPr>
        <w:t>公司是国内规模最大的金融科技解决方案市场的领军者之一。报告期内，主要通过提供包括咨询规划、软件产品、软件</w:t>
      </w:r>
    </w:p>
    <w:p>
      <w:pPr>
        <w:pStyle w:val="BodyText"/>
        <w:spacing w:line="319" w:lineRule="auto" w:before="17"/>
        <w:ind w:right="1131"/>
        <w:jc w:val="both"/>
      </w:pPr>
      <w:r>
        <w:rPr>
          <w:spacing w:val="-2"/>
        </w:rPr>
        <w:t>开发及服务、运营维护、系统集成等科技服务，从事向以银行为主的金融机构以及受银保监会监管的其他非银金融机构的金</w:t>
      </w:r>
      <w:r>
        <w:rPr>
          <w:spacing w:val="-66"/>
        </w:rPr>
        <w:t> </w:t>
      </w:r>
      <w:r>
        <w:rPr>
          <w:spacing w:val="-66"/>
        </w:rPr>
      </w:r>
      <w:r>
        <w:rPr>
          <w:spacing w:val="-2"/>
        </w:rPr>
        <w:t>融科技赋能。公司主营业务包括软件开发及服务、系统集成销售及服务、创新运营服务和其他主营业务四大类，产品和解决</w:t>
      </w:r>
      <w:r>
        <w:rPr>
          <w:spacing w:val="-65"/>
        </w:rPr>
        <w:t> </w:t>
      </w:r>
      <w:r>
        <w:rPr>
          <w:spacing w:val="-65"/>
        </w:rPr>
      </w:r>
      <w:r>
        <w:rPr>
          <w:spacing w:val="-2"/>
        </w:rPr>
        <w:t>方案全面覆盖业务类、渠道类和管理类解决方案，并始终保持在网络银行、信贷管理、商业智能、风险管理等多个细分解决</w:t>
      </w:r>
      <w:r>
        <w:rPr>
          <w:spacing w:val="-67"/>
        </w:rPr>
        <w:t> </w:t>
      </w:r>
      <w:r>
        <w:rPr>
          <w:spacing w:val="-67"/>
        </w:rPr>
      </w:r>
      <w:r>
        <w:rPr/>
        <w:t>方案领域的领先地位；同时，公司在各类解决方案的整合、以及创新业务领域更是建立了明显的优势。</w:t>
      </w:r>
    </w:p>
    <w:p>
      <w:pPr>
        <w:pStyle w:val="BodyText"/>
        <w:spacing w:line="312" w:lineRule="auto" w:before="17"/>
        <w:ind w:right="1130" w:firstLine="360"/>
        <w:jc w:val="both"/>
      </w:pPr>
      <w:r>
        <w:rPr>
          <w:spacing w:val="-2"/>
        </w:rPr>
        <w:t>公司自成立至今，一直以银行为主的金融机构作为主要服务对象，凭借行业领先的自主软件产品、业务优势及优秀的综</w:t>
      </w:r>
      <w:r>
        <w:rPr/>
        <w:t> </w:t>
      </w:r>
      <w:r>
        <w:rPr>
          <w:spacing w:val="-2"/>
        </w:rPr>
        <w:t>合能力，在金融领域内积累了大量具有长期稳定合作关系的客户。目前，公司已经为中国人民银行、国家开发银行、两大政</w:t>
      </w:r>
      <w:r>
        <w:rPr>
          <w:spacing w:val="-67"/>
        </w:rPr>
        <w:t> </w:t>
      </w:r>
      <w:r>
        <w:rPr>
          <w:spacing w:val="-67"/>
        </w:rPr>
      </w:r>
      <w:r>
        <w:rPr/>
        <w:t>策性银行、六大国有商业银行、</w:t>
      </w:r>
      <w:r>
        <w:rPr>
          <w:rFonts w:ascii="Times New Roman" w:hAnsi="Times New Roman" w:cs="Times New Roman" w:eastAsia="Times New Roman" w:hint="default"/>
        </w:rPr>
        <w:t>12</w:t>
      </w:r>
      <w:r>
        <w:rPr/>
        <w:t>家股份制银行以及</w:t>
      </w:r>
      <w:r>
        <w:rPr>
          <w:rFonts w:ascii="Times New Roman" w:hAnsi="Times New Roman" w:cs="Times New Roman" w:eastAsia="Times New Roman" w:hint="default"/>
        </w:rPr>
        <w:t>100</w:t>
      </w:r>
      <w:r>
        <w:rPr/>
        <w:t>多家区域性商业银行和农村信用社以及十余家外资银行提供了相关</w:t>
      </w:r>
      <w:r>
        <w:rPr>
          <w:spacing w:val="-85"/>
        </w:rPr>
        <w:t> </w:t>
      </w:r>
      <w:r>
        <w:rPr>
          <w:spacing w:val="-85"/>
        </w:rPr>
      </w:r>
      <w:r>
        <w:rPr>
          <w:spacing w:val="-2"/>
        </w:rPr>
        <w:t>产品和服务；同时也为包括十多家消费金融公司、汽车金融公司、金控公司、财务公司在内的非银机构提供了多样化的产品</w:t>
      </w:r>
      <w:r>
        <w:rPr>
          <w:spacing w:val="-64"/>
        </w:rPr>
        <w:t> </w:t>
      </w:r>
      <w:r>
        <w:rPr>
          <w:spacing w:val="-64"/>
        </w:rPr>
      </w:r>
      <w:r>
        <w:rPr>
          <w:spacing w:val="-1"/>
        </w:rPr>
        <w:t>和解决方案，在行业内拥有较高的品牌声誉。根据</w:t>
      </w:r>
      <w:r>
        <w:rPr>
          <w:rFonts w:ascii="Times New Roman" w:hAnsi="Times New Roman" w:cs="Times New Roman" w:eastAsia="Times New Roman" w:hint="default"/>
          <w:spacing w:val="-1"/>
        </w:rPr>
        <w:t>IDC</w:t>
      </w:r>
      <w:r>
        <w:rPr>
          <w:spacing w:val="-1"/>
        </w:rPr>
        <w:t>报告显示，公司自</w:t>
      </w:r>
      <w:r>
        <w:rPr>
          <w:rFonts w:ascii="Times New Roman" w:hAnsi="Times New Roman" w:cs="Times New Roman" w:eastAsia="Times New Roman" w:hint="default"/>
          <w:spacing w:val="-1"/>
        </w:rPr>
        <w:t>2010</w:t>
      </w:r>
      <w:r>
        <w:rPr>
          <w:spacing w:val="-1"/>
        </w:rPr>
        <w:t>年起连续多年在中国银行业</w:t>
      </w:r>
      <w:r>
        <w:rPr>
          <w:rFonts w:ascii="Times New Roman" w:hAnsi="Times New Roman" w:cs="Times New Roman" w:eastAsia="Times New Roman" w:hint="default"/>
          <w:spacing w:val="-1"/>
        </w:rPr>
        <w:t>IT</w:t>
      </w:r>
      <w:r>
        <w:rPr>
          <w:spacing w:val="-1"/>
        </w:rPr>
        <w:t>解决方案供应商</w:t>
      </w:r>
      <w:r>
        <w:rPr>
          <w:spacing w:val="-58"/>
        </w:rPr>
        <w:t> </w:t>
      </w:r>
      <w:r>
        <w:rPr>
          <w:spacing w:val="-58"/>
        </w:rPr>
      </w:r>
      <w:r>
        <w:rPr/>
        <w:t>中排名领先。</w:t>
      </w:r>
    </w:p>
    <w:p>
      <w:pPr>
        <w:pStyle w:val="BodyText"/>
        <w:spacing w:line="307" w:lineRule="auto" w:before="22"/>
        <w:ind w:right="1130" w:firstLine="360"/>
        <w:jc w:val="both"/>
      </w:pPr>
      <w:r>
        <w:rPr>
          <w:spacing w:val="-2"/>
        </w:rPr>
        <w:t>公司以银行为主的金融机构为主要客户，通过招投标或协议销售软件产品、软件开发及服务。公司的营销模式为</w:t>
      </w:r>
      <w:r>
        <w:rPr>
          <w:rFonts w:ascii="Times New Roman" w:hAnsi="Times New Roman" w:cs="Times New Roman" w:eastAsia="Times New Roman" w:hint="default"/>
          <w:spacing w:val="-2"/>
        </w:rPr>
        <w:t>“</w:t>
      </w:r>
      <w:r>
        <w:rPr>
          <w:spacing w:val="-2"/>
        </w:rPr>
        <w:t>研发</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2"/>
        </w:rPr>
        <w:t>产品</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模式，为客户提供咨询、方案设计、系统实施及相关技术服务。公司在已有自主研发的软件产品的基础上，根据</w:t>
      </w:r>
      <w:r>
        <w:rPr>
          <w:spacing w:val="-64"/>
        </w:rPr>
        <w:t> </w:t>
      </w:r>
      <w:r>
        <w:rPr>
          <w:spacing w:val="-64"/>
        </w:rPr>
      </w:r>
      <w:r>
        <w:rPr>
          <w:spacing w:val="-2"/>
        </w:rPr>
        <w:t>客户的个性化需求，以自主软件为核心基础，对软件进行二次开发。公司的盈利模式主要分为应用软件产品定制化开发及服</w:t>
      </w:r>
      <w:r>
        <w:rPr>
          <w:spacing w:val="-63"/>
        </w:rPr>
        <w:t> </w:t>
      </w:r>
      <w:r>
        <w:rPr>
          <w:spacing w:val="-63"/>
        </w:rPr>
      </w:r>
      <w:r>
        <w:rPr/>
        <w:t>务、运营分成、系统集成设备销售及服务及其他收费模式。</w:t>
      </w:r>
    </w:p>
    <w:p>
      <w:pPr>
        <w:pStyle w:val="BodyText"/>
        <w:spacing w:line="300" w:lineRule="auto" w:before="26"/>
        <w:ind w:left="513" w:right="1133"/>
        <w:jc w:val="left"/>
      </w:pPr>
      <w:r>
        <w:rPr>
          <w:rFonts w:ascii="Times New Roman" w:hAnsi="Times New Roman" w:cs="Times New Roman" w:eastAsia="Times New Roman" w:hint="default"/>
        </w:rPr>
        <w:t>2</w:t>
      </w:r>
      <w:r>
        <w:rPr/>
        <w:t>、公司所处行业分析 </w:t>
      </w:r>
      <w:r>
        <w:rPr>
          <w:spacing w:val="-2"/>
        </w:rPr>
        <w:t>公司所处行业属于</w:t>
      </w:r>
      <w:r>
        <w:rPr>
          <w:rFonts w:ascii="Times New Roman" w:hAnsi="Times New Roman" w:cs="Times New Roman" w:eastAsia="Times New Roman" w:hint="default"/>
          <w:spacing w:val="-2"/>
        </w:rPr>
        <w:t>“</w:t>
      </w:r>
      <w:r>
        <w:rPr>
          <w:spacing w:val="-2"/>
        </w:rPr>
        <w:t>软件和信息技术服务业</w:t>
      </w:r>
      <w:r>
        <w:rPr>
          <w:rFonts w:ascii="Times New Roman" w:hAnsi="Times New Roman" w:cs="Times New Roman" w:eastAsia="Times New Roman" w:hint="default"/>
          <w:spacing w:val="-2"/>
        </w:rPr>
        <w:t>”</w:t>
      </w:r>
      <w:r>
        <w:rPr>
          <w:spacing w:val="-2"/>
        </w:rPr>
        <w:t>。公司主要下游行业中银行业与宏观经济紧密相关，为国民经济的核心支柱</w:t>
      </w:r>
    </w:p>
    <w:p>
      <w:pPr>
        <w:pStyle w:val="BodyText"/>
        <w:spacing w:line="240" w:lineRule="auto" w:before="13"/>
        <w:ind w:right="1133"/>
        <w:jc w:val="left"/>
      </w:pPr>
      <w:r>
        <w:rPr/>
        <w:t>产业，对宏观经济波动的敏感度较高。</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）宏观经济情况</w:t>
      </w:r>
    </w:p>
    <w:p>
      <w:pPr>
        <w:pStyle w:val="BodyText"/>
        <w:spacing w:line="307" w:lineRule="auto" w:before="63"/>
        <w:ind w:right="1133" w:firstLine="360"/>
        <w:jc w:val="both"/>
      </w:pPr>
      <w:r>
        <w:rPr>
          <w:rFonts w:ascii="Times New Roman" w:hAnsi="Times New Roman" w:cs="Times New Roman" w:eastAsia="Times New Roman" w:hint="default"/>
          <w:spacing w:val="-2"/>
        </w:rPr>
        <w:t>2019</w:t>
      </w:r>
      <w:r>
        <w:rPr>
          <w:spacing w:val="-2"/>
        </w:rPr>
        <w:t>年，我国经济总体保持平稳运行态势，经济运行中出现诸多积极变化，但也面临着经济下行压力加大、工业运行稳</w:t>
      </w:r>
      <w:r>
        <w:rPr/>
        <w:t> </w:t>
      </w:r>
      <w:r>
        <w:rPr>
          <w:spacing w:val="-2"/>
        </w:rPr>
        <w:t>中趋缓、物价水平上涨较快、投资需求不振、消费需求不稳、区域增长不平衡加剧等难题。</w:t>
      </w:r>
      <w:r>
        <w:rPr>
          <w:rFonts w:ascii="Times New Roman" w:hAnsi="Times New Roman" w:cs="Times New Roman" w:eastAsia="Times New Roman" w:hint="default"/>
          <w:spacing w:val="-2"/>
        </w:rPr>
        <w:t>2020</w:t>
      </w:r>
      <w:r>
        <w:rPr>
          <w:spacing w:val="-2"/>
        </w:rPr>
        <w:t>年，受全球疫情蔓延，中美</w:t>
      </w:r>
      <w:r>
        <w:rPr>
          <w:spacing w:val="-67"/>
        </w:rPr>
        <w:t> </w:t>
      </w:r>
      <w:r>
        <w:rPr>
          <w:spacing w:val="-67"/>
        </w:rPr>
      </w:r>
      <w:r>
        <w:rPr>
          <w:spacing w:val="-2"/>
        </w:rPr>
        <w:t>贸易摩擦等影响，未来仍存变数。全球各主要经济体增速均呈现下滑态势，多国央行降息，经济下行压力犹存，但周期性因</w:t>
      </w:r>
      <w:r>
        <w:rPr>
          <w:spacing w:val="-67"/>
        </w:rPr>
        <w:t> </w:t>
      </w:r>
      <w:r>
        <w:rPr>
          <w:spacing w:val="-67"/>
        </w:rPr>
      </w:r>
      <w:r>
        <w:rPr/>
        <w:t>素或产生积极影响，叠加逆周期调节政策持续发力，经济下行压力有望减弱。</w:t>
      </w:r>
    </w:p>
    <w:p>
      <w:pPr>
        <w:pStyle w:val="BodyText"/>
        <w:spacing w:line="300" w:lineRule="auto" w:before="26"/>
        <w:ind w:left="513" w:right="986"/>
        <w:jc w:val="left"/>
      </w:pPr>
      <w:r>
        <w:rPr/>
        <w:t>（</w:t>
      </w:r>
      <w:r>
        <w:rPr>
          <w:rFonts w:ascii="Times New Roman" w:hAnsi="Times New Roman" w:cs="Times New Roman" w:eastAsia="Times New Roman" w:hint="default"/>
        </w:rPr>
        <w:t>2</w:t>
      </w:r>
      <w:r>
        <w:rPr/>
        <w:t>）金融行业趋势 </w:t>
      </w:r>
      <w:r>
        <w:rPr>
          <w:spacing w:val="-2"/>
        </w:rPr>
        <w:t>金融行业作为现代经济的核心，是国民经济各行业中信息化应用最密集、应用水平最高的行业之一。在政策趋紧、利率</w:t>
      </w:r>
    </w:p>
    <w:p>
      <w:pPr>
        <w:pStyle w:val="BodyText"/>
        <w:spacing w:line="309" w:lineRule="auto" w:before="31"/>
        <w:ind w:right="1034"/>
        <w:jc w:val="left"/>
      </w:pPr>
      <w:r>
        <w:rPr>
          <w:spacing w:val="-2"/>
        </w:rPr>
        <w:t>市场化加速、盈利增速放缓、竞争更加激烈的局面下，以及互联网技术及其衍生出的新业态对其传统盈利模式巨大的冲击与</w:t>
      </w:r>
      <w:r>
        <w:rPr>
          <w:spacing w:val="-63"/>
        </w:rPr>
        <w:t> </w:t>
      </w:r>
      <w:r>
        <w:rPr>
          <w:spacing w:val="-63"/>
        </w:rPr>
      </w:r>
      <w:r>
        <w:rPr>
          <w:spacing w:val="-2"/>
        </w:rPr>
        <w:t>挑战下，银行经营转型提出了更高要求。面对经营环境的深刻变化，银行业金融机构将进一步深化体制机制改革，充分激发</w:t>
      </w:r>
      <w:r>
        <w:rPr>
          <w:spacing w:val="-65"/>
        </w:rPr>
        <w:t> </w:t>
      </w:r>
      <w:r>
        <w:rPr>
          <w:spacing w:val="-65"/>
        </w:rPr>
      </w:r>
      <w:r>
        <w:rPr/>
        <w:t>经营活力，持续提升核心竞争力，不断提升服务实体经济质效。一是监管导向仍将从各个方面发力，持续引导金融机构</w:t>
      </w:r>
      <w:r>
        <w:rPr>
          <w:rFonts w:ascii="Times New Roman" w:hAnsi="Times New Roman" w:cs="Times New Roman" w:eastAsia="Times New Roman" w:hint="default"/>
        </w:rPr>
        <w:t>“</w:t>
      </w:r>
      <w:r>
        <w:rPr/>
        <w:t>脱</w:t>
      </w:r>
      <w:r>
        <w:rPr>
          <w:spacing w:val="-73"/>
        </w:rPr>
        <w:t> </w:t>
      </w:r>
      <w:r>
        <w:rPr/>
        <w:t>虚向实</w:t>
      </w:r>
      <w:r>
        <w:rPr>
          <w:rFonts w:ascii="Times New Roman" w:hAnsi="Times New Roman" w:cs="Times New Roman" w:eastAsia="Times New Roman" w:hint="default"/>
        </w:rPr>
        <w:t>”</w:t>
      </w:r>
      <w:r>
        <w:rPr/>
        <w:t>，服务实体经济。二是金融监管并不会放松，要求银行必须严格遵守监管要求，切实提高风险合规意识。三是金融</w:t>
      </w:r>
      <w:r>
        <w:rPr>
          <w:spacing w:val="-76"/>
        </w:rPr>
        <w:t> </w:t>
      </w:r>
      <w:r>
        <w:rPr>
          <w:spacing w:val="-76"/>
        </w:rPr>
      </w:r>
      <w:r>
        <w:rPr>
          <w:spacing w:val="-4"/>
        </w:rPr>
        <w:t>科技是技术驱动的金融创新。银行业需要充分重视科技的巨大作用，借助科技手段突破发展障碍，以科技赋能铸就竞争优势。</w:t>
      </w:r>
      <w:r>
        <w:rPr>
          <w:spacing w:val="-44"/>
        </w:rPr>
        <w:t> </w:t>
      </w:r>
      <w:r>
        <w:rPr>
          <w:spacing w:val="-44"/>
        </w:rPr>
      </w:r>
      <w:r>
        <w:rPr>
          <w:rFonts w:ascii="Times New Roman" w:hAnsi="Times New Roman" w:cs="Times New Roman" w:eastAsia="Times New Roman" w:hint="default"/>
        </w:rPr>
        <w:t>2019</w:t>
      </w:r>
      <w:r>
        <w:rPr/>
        <w:t>年，银行布局金融科技子公司速度明显加快，包括兴业银行、平安银行、招商银行、光大银行、建设银行、民生银行、 华夏银行、北京银行、工商银行、中国银行等银行陆续成立了金融科技子公司。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月，中国人民银行印发《金融科技</w:t>
      </w:r>
    </w:p>
    <w:p>
      <w:pPr>
        <w:pStyle w:val="BodyText"/>
        <w:spacing w:line="300" w:lineRule="auto" w:before="5"/>
        <w:ind w:right="986"/>
        <w:jc w:val="left"/>
      </w:pPr>
      <w:r>
        <w:rPr>
          <w:spacing w:val="-2"/>
        </w:rPr>
        <w:t>（</w:t>
      </w:r>
      <w:r>
        <w:rPr>
          <w:rFonts w:ascii="Times New Roman" w:hAnsi="Times New Roman" w:cs="Times New Roman" w:eastAsia="Times New Roman" w:hint="default"/>
          <w:spacing w:val="-2"/>
        </w:rPr>
        <w:t>FinTech</w:t>
      </w:r>
      <w:r>
        <w:rPr>
          <w:spacing w:val="-2"/>
        </w:rPr>
        <w:t>）发展规划（</w:t>
      </w:r>
      <w:r>
        <w:rPr>
          <w:rFonts w:ascii="Times New Roman" w:hAnsi="Times New Roman" w:cs="Times New Roman" w:eastAsia="Times New Roman" w:hint="default"/>
          <w:spacing w:val="-2"/>
        </w:rPr>
        <w:t>2019-2021</w:t>
      </w:r>
      <w:r>
        <w:rPr>
          <w:spacing w:val="-2"/>
        </w:rPr>
        <w:t>年）》（以下简称</w:t>
      </w:r>
      <w:r>
        <w:rPr>
          <w:rFonts w:ascii="Times New Roman" w:hAnsi="Times New Roman" w:cs="Times New Roman" w:eastAsia="Times New Roman" w:hint="default"/>
          <w:spacing w:val="-2"/>
        </w:rPr>
        <w:t>“</w:t>
      </w:r>
      <w:r>
        <w:rPr>
          <w:spacing w:val="-2"/>
        </w:rPr>
        <w:t>《规划》</w:t>
      </w:r>
      <w:r>
        <w:rPr>
          <w:rFonts w:ascii="Times New Roman" w:hAnsi="Times New Roman" w:cs="Times New Roman" w:eastAsia="Times New Roman" w:hint="default"/>
          <w:spacing w:val="-2"/>
        </w:rPr>
        <w:t>”</w:t>
      </w:r>
      <w:r>
        <w:rPr>
          <w:spacing w:val="-2"/>
        </w:rPr>
        <w:t>），明确提出未来三年金融科技工作的指导思想、基本原则、</w:t>
      </w:r>
      <w:r>
        <w:rPr>
          <w:spacing w:val="-66"/>
        </w:rPr>
        <w:t> </w:t>
      </w:r>
      <w:r>
        <w:rPr>
          <w:spacing w:val="-66"/>
        </w:rPr>
      </w:r>
      <w:r>
        <w:rPr/>
        <w:t>发展目标、重点任务和保障措施。要求金融业要秉持</w:t>
      </w:r>
      <w:r>
        <w:rPr>
          <w:rFonts w:ascii="Times New Roman" w:hAnsi="Times New Roman" w:cs="Times New Roman" w:eastAsia="Times New Roman" w:hint="default"/>
        </w:rPr>
        <w:t>“</w:t>
      </w:r>
      <w:r>
        <w:rPr/>
        <w:t>守正创新、安全可控、普惠民生、开放共赢</w:t>
      </w:r>
      <w:r>
        <w:rPr>
          <w:rFonts w:ascii="Times New Roman" w:hAnsi="Times New Roman" w:cs="Times New Roman" w:eastAsia="Times New Roman" w:hint="default"/>
        </w:rPr>
        <w:t>”</w:t>
      </w:r>
      <w:r>
        <w:rPr/>
        <w:t>的基本原则，充分发挥金 融科技赋能作用，推动我国金融业高质量发展。《规划》提出，到</w:t>
      </w:r>
      <w:r>
        <w:rPr>
          <w:rFonts w:ascii="Times New Roman" w:hAnsi="Times New Roman" w:cs="Times New Roman" w:eastAsia="Times New Roman" w:hint="default"/>
        </w:rPr>
        <w:t>2021</w:t>
      </w:r>
      <w:r>
        <w:rPr/>
        <w:t>年，建立健全我国金融科技发展的</w:t>
      </w:r>
      <w:r>
        <w:rPr>
          <w:rFonts w:ascii="Times New Roman" w:hAnsi="Times New Roman" w:cs="Times New Roman" w:eastAsia="Times New Roman" w:hint="default"/>
        </w:rPr>
        <w:t>“</w:t>
      </w:r>
      <w:r>
        <w:rPr/>
        <w:t>四梁八柱</w:t>
      </w:r>
      <w:r>
        <w:rPr>
          <w:rFonts w:ascii="Times New Roman" w:hAnsi="Times New Roman" w:cs="Times New Roman" w:eastAsia="Times New Roman" w:hint="default"/>
        </w:rPr>
        <w:t>”</w:t>
      </w:r>
      <w:r>
        <w:rPr/>
        <w:t>，进一 </w:t>
      </w:r>
      <w:r>
        <w:rPr>
          <w:spacing w:val="-2"/>
        </w:rPr>
        <w:t>步增强金融业科技应用能力，实现金融与科技深度融合、协调发展，明显增强人民群众对数字化、网络化、智能化金融产品</w:t>
      </w:r>
    </w:p>
    <w:p>
      <w:pPr>
        <w:spacing w:after="0" w:line="300" w:lineRule="auto"/>
        <w:jc w:val="left"/>
        <w:sectPr>
          <w:pgSz w:w="11910" w:h="16840"/>
          <w:pgMar w:header="852" w:footer="980" w:top="1300" w:bottom="1160" w:left="980" w:right="0"/>
        </w:sectPr>
      </w:pPr>
    </w:p>
    <w:p>
      <w:pPr>
        <w:pStyle w:val="BodyText"/>
        <w:spacing w:line="319" w:lineRule="auto" w:before="142"/>
        <w:ind w:right="986"/>
        <w:jc w:val="left"/>
      </w:pPr>
      <w:r>
        <w:rPr>
          <w:spacing w:val="-2"/>
        </w:rPr>
        <w:t>和服务的满意度，推动我国金融科技发展居于国际领先水平，实现金融科技应用先进可控、金融服务能力稳步增强、金融风</w:t>
      </w:r>
      <w:r>
        <w:rPr>
          <w:spacing w:val="-64"/>
        </w:rPr>
        <w:t> </w:t>
      </w:r>
      <w:r>
        <w:rPr>
          <w:spacing w:val="-64"/>
        </w:rPr>
      </w:r>
      <w:r>
        <w:rPr/>
        <w:t>控水平明显提高、金融监管效能持续提升、金融科技支撑不断完善、金融科技产业繁荣发展。</w:t>
      </w:r>
    </w:p>
    <w:p>
      <w:pPr>
        <w:pStyle w:val="BodyText"/>
        <w:spacing w:line="340" w:lineRule="auto" w:before="17"/>
        <w:ind w:left="513" w:right="986"/>
        <w:jc w:val="left"/>
      </w:pPr>
      <w:r>
        <w:rPr/>
        <w:t>（</w:t>
      </w:r>
      <w:r>
        <w:rPr>
          <w:rFonts w:ascii="Times New Roman" w:hAnsi="Times New Roman" w:cs="Times New Roman" w:eastAsia="Times New Roman" w:hint="default"/>
        </w:rPr>
        <w:t>3</w:t>
      </w:r>
      <w:r>
        <w:rPr/>
        <w:t>）软件行业情况 </w:t>
      </w:r>
      <w:r>
        <w:rPr>
          <w:spacing w:val="-2"/>
        </w:rPr>
        <w:t>软件产业属于国家鼓励发展的战略性、基础性和先导性支柱产业，为推动其发展，国家先后颁布了一系列政策，大力扶</w:t>
      </w:r>
    </w:p>
    <w:p>
      <w:pPr>
        <w:pStyle w:val="BodyText"/>
        <w:spacing w:line="312" w:lineRule="auto" w:before="1"/>
        <w:ind w:right="986"/>
        <w:jc w:val="left"/>
      </w:pPr>
      <w:r>
        <w:rPr>
          <w:spacing w:val="-2"/>
        </w:rPr>
        <w:t>持软件行业的发展，解决软件产业在人才、投资、税收、技术保护等方面的困扰，为软件行业的发展营造了良好氛围。根据</w:t>
      </w:r>
      <w:r>
        <w:rPr>
          <w:spacing w:val="-68"/>
        </w:rPr>
        <w:t> </w:t>
      </w:r>
      <w:r>
        <w:rPr>
          <w:spacing w:val="-68"/>
        </w:rPr>
      </w:r>
      <w:r>
        <w:rPr>
          <w:spacing w:val="-2"/>
        </w:rPr>
        <w:t>工信部公布的数据，</w:t>
      </w:r>
      <w:r>
        <w:rPr>
          <w:rFonts w:ascii="Times New Roman" w:hAnsi="Times New Roman" w:cs="Times New Roman" w:eastAsia="Times New Roman" w:hint="default"/>
          <w:spacing w:val="-2"/>
        </w:rPr>
        <w:t>2019</w:t>
      </w:r>
      <w:r>
        <w:rPr>
          <w:spacing w:val="-2"/>
        </w:rPr>
        <w:t>年，我国软件和信息技术服务业呈现平稳向好发展态势，收入和利润均保持较快增长，从业人数稳</w:t>
      </w:r>
      <w:r>
        <w:rPr>
          <w:spacing w:val="-60"/>
        </w:rPr>
        <w:t> </w:t>
      </w:r>
      <w:r>
        <w:rPr>
          <w:spacing w:val="-60"/>
        </w:rPr>
      </w:r>
      <w:r>
        <w:rPr>
          <w:spacing w:val="-7"/>
        </w:rPr>
        <w:t>步增加；信息技术服务加快云化发展，软件应用服务化、平台化趋势明显，全年实现软件业务收入</w:t>
      </w:r>
      <w:r>
        <w:rPr>
          <w:rFonts w:ascii="Times New Roman" w:hAnsi="Times New Roman" w:cs="Times New Roman" w:eastAsia="Times New Roman" w:hint="default"/>
          <w:spacing w:val="-7"/>
        </w:rPr>
        <w:t>71,768</w:t>
      </w:r>
      <w:r>
        <w:rPr>
          <w:spacing w:val="-7"/>
        </w:rPr>
        <w:t>亿元，同比增长</w:t>
      </w:r>
      <w:r>
        <w:rPr>
          <w:rFonts w:ascii="Times New Roman" w:hAnsi="Times New Roman" w:cs="Times New Roman" w:eastAsia="Times New Roman" w:hint="default"/>
          <w:spacing w:val="-7"/>
        </w:rPr>
        <w:t>15.4%</w:t>
      </w:r>
      <w:r>
        <w:rPr>
          <w:spacing w:val="-7"/>
        </w:rPr>
        <w:t>。</w:t>
      </w:r>
      <w:r>
        <w:rPr>
          <w:spacing w:val="-70"/>
        </w:rPr>
        <w:t> </w:t>
      </w:r>
      <w:r>
        <w:rPr>
          <w:spacing w:val="-2"/>
        </w:rPr>
        <w:t>近年来，随着社会认可度的逐渐提高，信息技术已经从一种辅助工具逐渐发展成为行业创新发展的主要方式，新型开发理念</w:t>
      </w:r>
      <w:r>
        <w:rPr>
          <w:spacing w:val="-63"/>
        </w:rPr>
        <w:t> </w:t>
      </w:r>
      <w:r>
        <w:rPr>
          <w:spacing w:val="-63"/>
        </w:rPr>
      </w:r>
      <w:r>
        <w:rPr/>
        <w:t>和技术不断涌现，推动了软件行业的快速发展。随着</w:t>
      </w:r>
      <w:r>
        <w:rPr>
          <w:rFonts w:ascii="Times New Roman" w:hAnsi="Times New Roman" w:cs="Times New Roman" w:eastAsia="Times New Roman" w:hint="default"/>
        </w:rPr>
        <w:t>“</w:t>
      </w:r>
      <w:r>
        <w:rPr/>
        <w:t>云概念</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区块链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等新技术新概念的出现， </w:t>
      </w:r>
      <w:r>
        <w:rPr>
          <w:spacing w:val="-2"/>
        </w:rPr>
        <w:t>实现了对各种现有技术和服务的有效支持，使得其功能和性能更加完善，为银行信息化提供了更多的选择，从而更好的去创</w:t>
      </w:r>
      <w:r>
        <w:rPr>
          <w:spacing w:val="-62"/>
        </w:rPr>
        <w:t> </w:t>
      </w:r>
      <w:r>
        <w:rPr>
          <w:spacing w:val="-62"/>
        </w:rPr>
      </w:r>
      <w:r>
        <w:rPr>
          <w:spacing w:val="-4"/>
        </w:rPr>
        <w:t>造和满足市场需求，推动了行业的持续发展，加速了公司的持续创新转型。金融科技作为金融系统运行的重要支柱，服务器、</w:t>
      </w:r>
      <w:r>
        <w:rPr>
          <w:spacing w:val="-46"/>
        </w:rPr>
        <w:t> </w:t>
      </w:r>
      <w:r>
        <w:rPr>
          <w:spacing w:val="-46"/>
        </w:rPr>
      </w:r>
      <w:r>
        <w:rPr>
          <w:spacing w:val="-2"/>
        </w:rPr>
        <w:t>数据库、操作系统、应用软件等安全可靠运行的要求将进一步提升。而中美贸易战的持续发酵，使得金融行业网络安全和自</w:t>
      </w:r>
      <w:r>
        <w:rPr>
          <w:spacing w:val="-64"/>
        </w:rPr>
        <w:t> </w:t>
      </w:r>
      <w:r>
        <w:rPr>
          <w:spacing w:val="-64"/>
        </w:rPr>
      </w:r>
      <w:r>
        <w:rPr>
          <w:spacing w:val="-2"/>
        </w:rPr>
        <w:t>主可控建设进一步加速，国产化程度进一步提高，这也给公司等金融科技企业提供了更大的机遇和挑战。随着经济下行压力</w:t>
      </w:r>
      <w:r>
        <w:rPr>
          <w:spacing w:val="-63"/>
        </w:rPr>
        <w:t> </w:t>
      </w:r>
      <w:r>
        <w:rPr>
          <w:spacing w:val="-63"/>
        </w:rPr>
      </w:r>
      <w:r>
        <w:rPr>
          <w:spacing w:val="-2"/>
        </w:rPr>
        <w:t>不断增强，对于中小银行来说，公司业务风险逐渐累积和加大，对银行风险管理能力和资产管理能力提出了更高的要求。对</w:t>
      </w:r>
      <w:r>
        <w:rPr>
          <w:spacing w:val="-64"/>
        </w:rPr>
        <w:t> </w:t>
      </w:r>
      <w:r>
        <w:rPr>
          <w:spacing w:val="-64"/>
        </w:rPr>
      </w:r>
      <w:r>
        <w:rPr>
          <w:spacing w:val="-2"/>
        </w:rPr>
        <w:t>于那些还没有建设独立的贷前管理系统、独立的贷后管理系统、资产保全系统（不良资产管理）、资产证券化系统、押品管</w:t>
      </w:r>
      <w:r>
        <w:rPr>
          <w:spacing w:val="-68"/>
        </w:rPr>
        <w:t> </w:t>
      </w:r>
      <w:r>
        <w:rPr>
          <w:spacing w:val="-68"/>
        </w:rPr>
      </w:r>
      <w:r>
        <w:rPr/>
        <w:t>理系统（风险缓释）、内部评级系统、经济资本计量系统、运营风险预警、信用风险预警等</w:t>
      </w:r>
      <w:r>
        <w:rPr>
          <w:rFonts w:ascii="Times New Roman" w:hAnsi="Times New Roman" w:cs="Times New Roman" w:eastAsia="Times New Roman" w:hint="default"/>
        </w:rPr>
        <w:t>IT</w:t>
      </w:r>
      <w:r>
        <w:rPr/>
        <w:t>系统的银行，也将迎来相关</w:t>
      </w:r>
      <w:r>
        <w:rPr>
          <w:rFonts w:ascii="Times New Roman" w:hAnsi="Times New Roman" w:cs="Times New Roman" w:eastAsia="Times New Roman" w:hint="default"/>
        </w:rPr>
        <w:t>IT </w:t>
      </w:r>
      <w:r>
        <w:rPr/>
        <w:t>系统建设的高潮。</w:t>
      </w:r>
    </w:p>
    <w:p>
      <w:pPr>
        <w:spacing w:line="240" w:lineRule="auto" w:before="12"/>
        <w:rPr>
          <w:rFonts w:ascii="宋体" w:hAnsi="宋体" w:cs="宋体" w:eastAsia="宋体" w:hint="default"/>
          <w:sz w:val="20"/>
          <w:szCs w:val="20"/>
        </w:rPr>
      </w:pPr>
    </w:p>
    <w:p>
      <w:pPr>
        <w:pStyle w:val="Heading2"/>
        <w:spacing w:line="240" w:lineRule="auto"/>
        <w:ind w:right="1133"/>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5"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9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48"/>
              <w:jc w:val="left"/>
              <w:rPr>
                <w:rFonts w:ascii="宋体" w:hAnsi="宋体" w:cs="宋体" w:eastAsia="宋体" w:hint="default"/>
                <w:sz w:val="18"/>
                <w:szCs w:val="18"/>
              </w:rPr>
            </w:pPr>
            <w:r>
              <w:rPr>
                <w:rFonts w:ascii="宋体" w:hAnsi="宋体" w:cs="宋体" w:eastAsia="宋体" w:hint="default"/>
                <w:sz w:val="18"/>
                <w:szCs w:val="18"/>
              </w:rPr>
              <w:t>本报告期末较上一年度末长期股权投资增加主要为本报告期新增对联营公司派衍 信息科技（苏州）有限公司人民币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万元投资和宇新（厦门）大数据股权投资</w:t>
            </w:r>
          </w:p>
          <w:p>
            <w:pPr>
              <w:pStyle w:val="TableParagraph"/>
              <w:spacing w:line="248" w:lineRule="exact"/>
              <w:ind w:left="16" w:right="0"/>
              <w:jc w:val="left"/>
              <w:rPr>
                <w:rFonts w:ascii="宋体" w:hAnsi="宋体" w:cs="宋体" w:eastAsia="宋体" w:hint="default"/>
                <w:sz w:val="18"/>
                <w:szCs w:val="18"/>
              </w:rPr>
            </w:pPr>
            <w:r>
              <w:rPr>
                <w:rFonts w:ascii="宋体" w:hAnsi="宋体" w:cs="宋体" w:eastAsia="宋体" w:hint="default"/>
                <w:sz w:val="18"/>
                <w:szCs w:val="18"/>
              </w:rPr>
              <w:t>基金合伙企业（有限合伙）人民币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亿元，追加对联营公司湖北消费金融股份有限</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公司人民币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万元投资，减少对丝路华创（北京）有限公司的投资折合人民币</w:t>
            </w:r>
          </w:p>
          <w:p>
            <w:pPr>
              <w:pStyle w:val="TableParagraph"/>
              <w:spacing w:line="307" w:lineRule="auto" w:before="63"/>
              <w:ind w:left="1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11,761.15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万元；根据权益法确认投资收益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2,407.12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万元。本报告期末较上一年度末</w:t>
            </w:r>
            <w:r>
              <w:rPr>
                <w:rFonts w:ascii="宋体" w:hAnsi="宋体" w:cs="宋体" w:eastAsia="宋体" w:hint="default"/>
                <w:sz w:val="18"/>
                <w:szCs w:val="18"/>
              </w:rPr>
              <w:t> 其他股权投资增加主要为本报告期增加对丝路控股集团有限公司折合人民币 </w:t>
            </w:r>
            <w:r>
              <w:rPr>
                <w:rFonts w:ascii="Times New Roman" w:hAnsi="Times New Roman" w:cs="Times New Roman" w:eastAsia="Times New Roman" w:hint="default"/>
                <w:sz w:val="18"/>
                <w:szCs w:val="18"/>
              </w:rPr>
              <w:t>10,813.11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万元的股权投资、增加对卡纳利斯特金融建模公司折合人民币</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2,111.56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 元的股权投资。</w:t>
            </w: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D2D2D2"/>
              <w:right w:val="single" w:sz="4" w:space="0" w:color="000000"/>
            </w:tcBorders>
          </w:tcPr>
          <w:p>
            <w:pPr/>
          </w:p>
        </w:tc>
      </w:tr>
      <w:tr>
        <w:trPr>
          <w:trHeight w:val="109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本报告期无重大变化</w:t>
            </w:r>
          </w:p>
        </w:tc>
      </w:tr>
      <w:tr>
        <w:trPr>
          <w:trHeight w:val="404"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本报告期无重大变化。</w:t>
            </w:r>
          </w:p>
        </w:tc>
      </w:tr>
      <w:tr>
        <w:trPr>
          <w:trHeight w:val="31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3"/>
              <w:jc w:val="both"/>
              <w:rPr>
                <w:rFonts w:ascii="宋体" w:hAnsi="宋体" w:cs="宋体" w:eastAsia="宋体" w:hint="default"/>
                <w:sz w:val="18"/>
                <w:szCs w:val="18"/>
              </w:rPr>
            </w:pPr>
            <w:r>
              <w:rPr>
                <w:rFonts w:ascii="宋体" w:hAnsi="宋体" w:cs="宋体" w:eastAsia="宋体" w:hint="default"/>
                <w:sz w:val="18"/>
                <w:szCs w:val="18"/>
              </w:rPr>
              <w:t>本报告期末较上一年度末增加主要为公司开发建设珠海横琴新区</w:t>
            </w:r>
            <w:r>
              <w:rPr>
                <w:rFonts w:ascii="Times New Roman" w:hAnsi="Times New Roman" w:cs="Times New Roman" w:eastAsia="Times New Roman" w:hint="default"/>
                <w:sz w:val="18"/>
                <w:szCs w:val="18"/>
              </w:rPr>
              <w:t>“</w:t>
            </w:r>
            <w:r>
              <w:rPr>
                <w:rFonts w:ascii="宋体" w:hAnsi="宋体" w:cs="宋体" w:eastAsia="宋体" w:hint="default"/>
                <w:sz w:val="18"/>
                <w:szCs w:val="18"/>
              </w:rPr>
              <w:t>宇信大厦</w:t>
            </w:r>
            <w:r>
              <w:rPr>
                <w:rFonts w:ascii="Times New Roman" w:hAnsi="Times New Roman" w:cs="Times New Roman" w:eastAsia="Times New Roman" w:hint="default"/>
                <w:sz w:val="18"/>
                <w:szCs w:val="18"/>
              </w:rPr>
              <w:t>”</w:t>
            </w:r>
            <w:r>
              <w:rPr>
                <w:rFonts w:ascii="宋体" w:hAnsi="宋体" w:cs="宋体" w:eastAsia="宋体" w:hint="default"/>
                <w:sz w:val="18"/>
                <w:szCs w:val="18"/>
              </w:rPr>
              <w:t>本报告 期持续投入所致，宇信大厦项目于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日正式开工。截至本报告期末， 宇信大厦主体工程正在建设中，预计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年完成验收，</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年年底前交付使用。</w:t>
            </w: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D2D2D2"/>
              <w:right w:val="single" w:sz="4" w:space="0" w:color="000000"/>
            </w:tcBorders>
          </w:tcPr>
          <w:p>
            <w:pPr/>
          </w:p>
        </w:tc>
      </w:tr>
      <w:tr>
        <w:trPr>
          <w:trHeight w:val="31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4"/>
        <w:gridCol w:w="1058"/>
      </w:tblGrid>
      <w:tr>
        <w:trPr>
          <w:trHeight w:val="10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5"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对丝路控股 集团有限公 司投资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布局海外业 务对外投资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10,813.11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持有被投资 单位的少数 股权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定期跟踪被 投资单位经 营情况</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盈利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对卡纳利斯 特金融建模 公司投资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布局海外业 务对外投资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2,111.56</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持有被投资 单位的少数 股权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定期跟踪被 投资单位经 营情况</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1"/>
              <w:jc w:val="left"/>
              <w:rPr>
                <w:rFonts w:ascii="宋体" w:hAnsi="宋体" w:cs="宋体" w:eastAsia="宋体" w:hint="default"/>
                <w:sz w:val="18"/>
                <w:szCs w:val="18"/>
              </w:rPr>
            </w:pPr>
            <w:r>
              <w:rPr>
                <w:rFonts w:ascii="宋体" w:hAnsi="宋体" w:cs="宋体" w:eastAsia="宋体" w:hint="default"/>
                <w:sz w:val="18"/>
                <w:szCs w:val="18"/>
              </w:rPr>
              <w:t>前期投入阶 段，亏损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86"/>
        <w:jc w:val="left"/>
      </w:pPr>
      <w:r>
        <w:rPr>
          <w:rFonts w:ascii="Times New Roman" w:hAnsi="Times New Roman" w:cs="Times New Roman" w:eastAsia="Times New Roman" w:hint="default"/>
        </w:rPr>
        <w:t>1</w:t>
      </w:r>
      <w:r>
        <w:rPr/>
        <w:t>、技术优势 </w:t>
      </w:r>
      <w:r>
        <w:rPr>
          <w:spacing w:val="-2"/>
        </w:rPr>
        <w:t>公司高度重视产品研发和技术积累，采用业务产品和技术平台并重的策略，充分发挥公司十余年的金融</w:t>
      </w:r>
      <w:r>
        <w:rPr>
          <w:rFonts w:ascii="Times New Roman" w:hAnsi="Times New Roman" w:cs="Times New Roman" w:eastAsia="Times New Roman" w:hint="default"/>
          <w:spacing w:val="-2"/>
        </w:rPr>
        <w:t>IT</w:t>
      </w:r>
      <w:r>
        <w:rPr>
          <w:spacing w:val="-2"/>
        </w:rPr>
        <w:t>行业经验，遵</w:t>
      </w:r>
    </w:p>
    <w:p>
      <w:pPr>
        <w:pStyle w:val="BodyText"/>
        <w:spacing w:line="240" w:lineRule="auto" w:before="13"/>
        <w:ind w:right="0"/>
        <w:jc w:val="both"/>
      </w:pPr>
      <w:r>
        <w:rPr/>
        <w:t>循先进的</w:t>
      </w:r>
      <w:r>
        <w:rPr>
          <w:rFonts w:ascii="Times New Roman" w:hAnsi="Times New Roman" w:cs="Times New Roman" w:eastAsia="Times New Roman" w:hint="default"/>
        </w:rPr>
        <w:t>“</w:t>
      </w:r>
      <w:r>
        <w:rPr/>
        <w:t>以客户为中心、以金融产品为依托、以控制风险为主线、以</w:t>
      </w:r>
      <w:r>
        <w:rPr>
          <w:rFonts w:ascii="Times New Roman" w:hAnsi="Times New Roman" w:cs="Times New Roman" w:eastAsia="Times New Roman" w:hint="default"/>
        </w:rPr>
        <w:t>IT</w:t>
      </w:r>
      <w:r>
        <w:rPr/>
        <w:t>管理为保障</w:t>
      </w:r>
      <w:r>
        <w:rPr>
          <w:rFonts w:ascii="Times New Roman" w:hAnsi="Times New Roman" w:cs="Times New Roman" w:eastAsia="Times New Roman" w:hint="default"/>
        </w:rPr>
        <w:t>”</w:t>
      </w:r>
      <w:r>
        <w:rPr/>
        <w:t>的</w:t>
      </w:r>
      <w:r>
        <w:rPr>
          <w:rFonts w:ascii="Times New Roman" w:hAnsi="Times New Roman" w:cs="Times New Roman" w:eastAsia="Times New Roman" w:hint="default"/>
        </w:rPr>
        <w:t>IT</w:t>
      </w:r>
      <w:r>
        <w:rPr/>
        <w:t>构架理念，跟踪行业动态，从金融</w:t>
      </w:r>
    </w:p>
    <w:p>
      <w:pPr>
        <w:pStyle w:val="BodyText"/>
        <w:spacing w:line="300" w:lineRule="auto" w:before="63"/>
        <w:ind w:left="513" w:right="986" w:hanging="361"/>
        <w:jc w:val="left"/>
      </w:pPr>
      <w:r>
        <w:rPr>
          <w:rFonts w:ascii="Times New Roman" w:hAnsi="Times New Roman" w:cs="Times New Roman" w:eastAsia="Times New Roman" w:hint="default"/>
        </w:rPr>
        <w:t>IT</w:t>
      </w:r>
      <w:r>
        <w:rPr/>
        <w:t>系统整体架构视角出发，持续的投入研发，逐步补充覆盖渠道、业务系统、管理系统等全方位的产品版图。</w:t>
      </w:r>
      <w:r>
        <w:rPr>
          <w:w w:val="99"/>
        </w:rPr>
        <w:t> </w:t>
      </w:r>
      <w:r>
        <w:rPr>
          <w:spacing w:val="-2"/>
        </w:rPr>
        <w:t>公司自</w:t>
      </w:r>
      <w:r>
        <w:rPr>
          <w:rFonts w:ascii="Times New Roman" w:hAnsi="Times New Roman" w:cs="Times New Roman" w:eastAsia="Times New Roman" w:hint="default"/>
          <w:spacing w:val="-2"/>
        </w:rPr>
        <w:t>2010</w:t>
      </w:r>
      <w:r>
        <w:rPr>
          <w:spacing w:val="-2"/>
        </w:rPr>
        <w:t>年起连续</w:t>
      </w:r>
      <w:r>
        <w:rPr>
          <w:rFonts w:ascii="Times New Roman" w:hAnsi="Times New Roman" w:cs="Times New Roman" w:eastAsia="Times New Roman" w:hint="default"/>
          <w:spacing w:val="-2"/>
        </w:rPr>
        <w:t>7</w:t>
      </w:r>
      <w:r>
        <w:rPr>
          <w:spacing w:val="-2"/>
        </w:rPr>
        <w:t>年稳居中国银行业</w:t>
      </w:r>
      <w:r>
        <w:rPr>
          <w:rFonts w:ascii="Times New Roman" w:hAnsi="Times New Roman" w:cs="Times New Roman" w:eastAsia="Times New Roman" w:hint="default"/>
          <w:spacing w:val="-2"/>
        </w:rPr>
        <w:t>IT</w:t>
      </w:r>
      <w:r>
        <w:rPr>
          <w:spacing w:val="-2"/>
        </w:rPr>
        <w:t>解决方案整体市场占有率第一，始终保持在网络银行、信贷管理、商业智能、</w:t>
      </w:r>
    </w:p>
    <w:p>
      <w:pPr>
        <w:pStyle w:val="BodyText"/>
        <w:spacing w:line="316" w:lineRule="auto" w:before="13"/>
        <w:ind w:right="1135"/>
        <w:jc w:val="both"/>
      </w:pPr>
      <w:r>
        <w:rPr>
          <w:spacing w:val="-2"/>
        </w:rPr>
        <w:t>风险管理领域的领先地位。同时，在客户关系管理、移动金融、呼叫中心、柜台交易以及系统增值服务等领域也拥有业界领</w:t>
      </w:r>
      <w:r>
        <w:rPr>
          <w:spacing w:val="-67"/>
        </w:rPr>
        <w:t> </w:t>
      </w:r>
      <w:r>
        <w:rPr>
          <w:spacing w:val="-67"/>
        </w:rPr>
      </w:r>
      <w:r>
        <w:rPr/>
        <w:t>先的产品并保持着强劲的增长势头。</w:t>
      </w:r>
    </w:p>
    <w:p>
      <w:pPr>
        <w:pStyle w:val="BodyText"/>
        <w:spacing w:line="300" w:lineRule="auto" w:before="19"/>
        <w:ind w:right="1129" w:firstLine="360"/>
        <w:jc w:val="both"/>
      </w:pPr>
      <w:r>
        <w:rPr>
          <w:spacing w:val="-2"/>
        </w:rPr>
        <w:t>公司为高新技术企业，拥有</w:t>
      </w:r>
      <w:r>
        <w:rPr>
          <w:rFonts w:ascii="Times New Roman" w:hAnsi="Times New Roman" w:cs="Times New Roman" w:eastAsia="Times New Roman" w:hint="default"/>
          <w:spacing w:val="-2"/>
        </w:rPr>
        <w:t>CMMI5</w:t>
      </w:r>
      <w:r>
        <w:rPr>
          <w:spacing w:val="-2"/>
        </w:rPr>
        <w:t>认证、</w:t>
      </w:r>
      <w:r>
        <w:rPr>
          <w:rFonts w:ascii="Times New Roman" w:hAnsi="Times New Roman" w:cs="Times New Roman" w:eastAsia="Times New Roman" w:hint="default"/>
          <w:spacing w:val="-2"/>
        </w:rPr>
        <w:t>ISO9001</w:t>
      </w:r>
      <w:r>
        <w:rPr>
          <w:spacing w:val="-2"/>
        </w:rPr>
        <w:t>质量管理体系认证、信息系统集成及服务资质认证。公司参与制定了</w:t>
      </w:r>
      <w:r>
        <w:rPr/>
        <w:t> </w:t>
      </w:r>
      <w:r>
        <w:rPr>
          <w:spacing w:val="12"/>
        </w:rPr>
        <w:t>工信部的《</w:t>
      </w:r>
      <w:r>
        <w:rPr>
          <w:spacing w:val="-69"/>
        </w:rPr>
        <w:t> </w:t>
      </w:r>
      <w:r>
        <w:rPr>
          <w:spacing w:val="14"/>
        </w:rPr>
        <w:t>软件研发成本度量规范》（</w:t>
      </w:r>
      <w:r>
        <w:rPr>
          <w:spacing w:val="-63"/>
        </w:rPr>
        <w:t> </w:t>
      </w:r>
      <w:r>
        <w:rPr>
          <w:rFonts w:ascii="Times New Roman" w:hAnsi="Times New Roman" w:cs="Times New Roman" w:eastAsia="Times New Roman" w:hint="default"/>
          <w:spacing w:val="6"/>
        </w:rPr>
        <w:t>SJ/T11463-2013</w:t>
      </w:r>
      <w:r>
        <w:rPr>
          <w:spacing w:val="6"/>
        </w:rPr>
        <w:t>）和北京市地方标准《</w:t>
      </w:r>
      <w:r>
        <w:rPr>
          <w:spacing w:val="-69"/>
        </w:rPr>
        <w:t> </w:t>
      </w:r>
      <w:r>
        <w:rPr>
          <w:spacing w:val="14"/>
        </w:rPr>
        <w:t>信息化项目软件开发费用测算规范》</w:t>
      </w:r>
    </w:p>
    <w:p>
      <w:pPr>
        <w:pStyle w:val="BodyText"/>
        <w:spacing w:line="240" w:lineRule="auto" w:before="13"/>
        <w:ind w:right="0"/>
        <w:jc w:val="both"/>
      </w:pPr>
      <w:r>
        <w:rPr/>
        <w:t>（</w:t>
      </w:r>
      <w:r>
        <w:rPr>
          <w:rFonts w:ascii="Times New Roman" w:hAnsi="Times New Roman" w:cs="Times New Roman" w:eastAsia="Times New Roman" w:hint="default"/>
        </w:rPr>
        <w:t>DB11/T1010-2013</w:t>
      </w:r>
      <w:r>
        <w:rPr/>
        <w:t>）。</w:t>
      </w:r>
    </w:p>
    <w:p>
      <w:pPr>
        <w:pStyle w:val="BodyText"/>
        <w:spacing w:line="300" w:lineRule="auto" w:before="63"/>
        <w:ind w:left="513" w:right="986"/>
        <w:jc w:val="left"/>
      </w:pPr>
      <w:r>
        <w:rPr>
          <w:rFonts w:ascii="Times New Roman" w:hAnsi="Times New Roman" w:cs="Times New Roman" w:eastAsia="Times New Roman" w:hint="default"/>
        </w:rPr>
        <w:t>2</w:t>
      </w:r>
      <w:r>
        <w:rPr/>
        <w:t>、人才及团队优势 </w:t>
      </w:r>
      <w:r>
        <w:rPr>
          <w:spacing w:val="-2"/>
        </w:rPr>
        <w:t>人才是企业重要资源，更是金融软件企业最重要的核心竞争力。银行信息化行业属于技术和业务密集型产业，融合了软</w:t>
      </w:r>
    </w:p>
    <w:p>
      <w:pPr>
        <w:pStyle w:val="BodyText"/>
        <w:spacing w:line="316" w:lineRule="auto" w:before="31"/>
        <w:ind w:right="1131"/>
        <w:jc w:val="both"/>
      </w:pPr>
      <w:r>
        <w:rPr>
          <w:spacing w:val="-2"/>
        </w:rPr>
        <w:t>件、金融两个行业领域的专业技术知识。公司自成立以来高度重视人才队伍建设，随着企业不断发展，公司已建立了一支专</w:t>
      </w:r>
      <w:r>
        <w:rPr>
          <w:spacing w:val="-65"/>
        </w:rPr>
        <w:t> </w:t>
      </w:r>
      <w:r>
        <w:rPr>
          <w:spacing w:val="-65"/>
        </w:rPr>
      </w:r>
      <w:r>
        <w:rPr>
          <w:spacing w:val="-2"/>
        </w:rPr>
        <w:t>业知识匹配、管理经验丰富、年龄结构合理的高素质复合型人才队伍。公司管理团队及核心技术人员均具有丰富的银行信息</w:t>
      </w:r>
      <w:r>
        <w:rPr>
          <w:spacing w:val="-65"/>
        </w:rPr>
        <w:t> </w:t>
      </w:r>
      <w:r>
        <w:rPr>
          <w:spacing w:val="-65"/>
        </w:rPr>
      </w:r>
      <w:r>
        <w:rPr>
          <w:spacing w:val="-2"/>
        </w:rPr>
        <w:t>化行业从业经验，对行业未来的发展方向有着较为准确的判断和认识。目前，公司董事、监事和高级管理人员平均行业从业</w:t>
      </w:r>
      <w:r>
        <w:rPr>
          <w:spacing w:val="-66"/>
        </w:rPr>
        <w:t> </w:t>
      </w:r>
      <w:r>
        <w:rPr>
          <w:spacing w:val="-66"/>
        </w:rPr>
      </w:r>
      <w:r>
        <w:rPr/>
        <w:t>经验超过</w:t>
      </w:r>
      <w:r>
        <w:rPr>
          <w:rFonts w:ascii="Times New Roman" w:hAnsi="Times New Roman" w:cs="Times New Roman" w:eastAsia="Times New Roman" w:hint="default"/>
        </w:rPr>
        <w:t>15</w:t>
      </w:r>
      <w:r>
        <w:rPr/>
        <w:t>年，平均在公司服务年限超过</w:t>
      </w:r>
      <w:r>
        <w:rPr>
          <w:rFonts w:ascii="Times New Roman" w:hAnsi="Times New Roman" w:cs="Times New Roman" w:eastAsia="Times New Roman" w:hint="default"/>
        </w:rPr>
        <w:t>10</w:t>
      </w:r>
      <w:r>
        <w:rPr/>
        <w:t>年。</w:t>
      </w:r>
    </w:p>
    <w:p>
      <w:pPr>
        <w:pStyle w:val="BodyText"/>
        <w:spacing w:line="316" w:lineRule="auto"/>
        <w:ind w:right="1132" w:firstLine="360"/>
        <w:jc w:val="both"/>
      </w:pPr>
      <w:r>
        <w:rPr>
          <w:spacing w:val="-2"/>
        </w:rPr>
        <w:t>与此同时，公司制定了具有行业竞争力的薪酬体系及有效的激励机制，在保证现有员工稳定工作的基础上不断扩充公司</w:t>
      </w:r>
      <w:r>
        <w:rPr/>
        <w:t> 人才队伍，满足企业未来发展需要。</w:t>
      </w:r>
    </w:p>
    <w:p>
      <w:pPr>
        <w:pStyle w:val="BodyText"/>
        <w:spacing w:line="300" w:lineRule="auto" w:before="19"/>
        <w:ind w:left="513" w:right="986"/>
        <w:jc w:val="left"/>
      </w:pPr>
      <w:r>
        <w:rPr>
          <w:rFonts w:ascii="Times New Roman" w:hAnsi="Times New Roman" w:cs="Times New Roman" w:eastAsia="Times New Roman" w:hint="default"/>
        </w:rPr>
        <w:t>3</w:t>
      </w:r>
      <w:r>
        <w:rPr/>
        <w:t>、实施经验优势 </w:t>
      </w:r>
      <w:r>
        <w:rPr>
          <w:spacing w:val="-2"/>
        </w:rPr>
        <w:t>金融行业是国民经济的重要支柱行业，具有技术要求高、安全保密性强、信息化程度依赖高等特点，因此对于信息系统</w:t>
      </w:r>
    </w:p>
    <w:p>
      <w:pPr>
        <w:pStyle w:val="BodyText"/>
        <w:spacing w:line="319" w:lineRule="auto" w:before="31"/>
        <w:ind w:right="1130"/>
        <w:jc w:val="both"/>
      </w:pPr>
      <w:r>
        <w:rPr>
          <w:spacing w:val="-2"/>
        </w:rPr>
        <w:t>的专业性、稳定性、精密性远高于一般行业。金融机构在进行供应商挑选时，更加青睐规模大、产品功能先进、产品种类齐</w:t>
      </w:r>
      <w:r>
        <w:rPr>
          <w:spacing w:val="-68"/>
        </w:rPr>
        <w:t> </w:t>
      </w:r>
      <w:r>
        <w:rPr>
          <w:spacing w:val="-68"/>
        </w:rPr>
      </w:r>
      <w:r>
        <w:rPr>
          <w:spacing w:val="-2"/>
        </w:rPr>
        <w:t>全、产品稳定性强及人员配备有保障的公司，而以上条件的具备均需要足够长的实践周期和项目数量来保证。在金融企业进</w:t>
      </w:r>
      <w:r>
        <w:rPr>
          <w:spacing w:val="-63"/>
        </w:rPr>
        <w:t> </w:t>
      </w:r>
      <w:r>
        <w:rPr>
          <w:spacing w:val="-63"/>
        </w:rPr>
      </w:r>
      <w:r>
        <w:rPr/>
        <w:t>行信息化招标时，大多对投标企业设立资格门槛，要求投标单位具备类似项目的成功实施案例。</w:t>
      </w:r>
    </w:p>
    <w:p>
      <w:pPr>
        <w:pStyle w:val="BodyText"/>
        <w:spacing w:line="309" w:lineRule="auto" w:before="17"/>
        <w:ind w:right="1130" w:firstLine="360"/>
        <w:jc w:val="both"/>
      </w:pPr>
      <w:r>
        <w:rPr>
          <w:spacing w:val="-2"/>
        </w:rPr>
        <w:t>公司是一家行业经验丰富的金融</w:t>
      </w:r>
      <w:r>
        <w:rPr>
          <w:rFonts w:ascii="Times New Roman" w:hAnsi="Times New Roman" w:cs="Times New Roman" w:eastAsia="Times New Roman" w:hint="default"/>
          <w:spacing w:val="-2"/>
        </w:rPr>
        <w:t>IT</w:t>
      </w:r>
      <w:r>
        <w:rPr>
          <w:spacing w:val="-2"/>
        </w:rPr>
        <w:t>解决方案供应商，对金融机构</w:t>
      </w:r>
      <w:r>
        <w:rPr>
          <w:rFonts w:ascii="Times New Roman" w:hAnsi="Times New Roman" w:cs="Times New Roman" w:eastAsia="Times New Roman" w:hint="default"/>
          <w:spacing w:val="-2"/>
        </w:rPr>
        <w:t>IT</w:t>
      </w:r>
      <w:r>
        <w:rPr>
          <w:spacing w:val="-2"/>
        </w:rPr>
        <w:t>架构建设、渠道系统建设、业务系统建设、管理系统</w:t>
      </w:r>
      <w:r>
        <w:rPr/>
        <w:t> </w:t>
      </w:r>
      <w:r>
        <w:rPr>
          <w:spacing w:val="-2"/>
        </w:rPr>
        <w:t>建设有着深刻的理解。公司在与不同金融机构建立合作过程中，对客户的信息化需求理解也更为深入，为公司未来发展奠定</w:t>
      </w:r>
      <w:r>
        <w:rPr>
          <w:spacing w:val="-63"/>
        </w:rPr>
        <w:t> </w:t>
      </w:r>
      <w:r>
        <w:rPr>
          <w:spacing w:val="-63"/>
        </w:rPr>
      </w:r>
      <w:r>
        <w:rPr/>
        <w:t>了坚实基础。</w:t>
      </w:r>
    </w:p>
    <w:p>
      <w:pPr>
        <w:pStyle w:val="BodyText"/>
        <w:spacing w:line="300" w:lineRule="auto" w:before="24"/>
        <w:ind w:left="513" w:right="986"/>
        <w:jc w:val="left"/>
      </w:pPr>
      <w:r>
        <w:rPr>
          <w:rFonts w:ascii="Times New Roman" w:hAnsi="Times New Roman" w:cs="Times New Roman" w:eastAsia="Times New Roman" w:hint="default"/>
        </w:rPr>
        <w:t>4</w:t>
      </w:r>
      <w:r>
        <w:rPr/>
        <w:t>、整体综合能力优势 </w:t>
      </w:r>
      <w:r>
        <w:rPr>
          <w:spacing w:val="-2"/>
        </w:rPr>
        <w:t>公司过去二十年跟客户深度合作的过程中，除了在技术产品和业务解决方案方面的优势之外，公司还建立了金融业务系</w:t>
      </w:r>
    </w:p>
    <w:p>
      <w:pPr>
        <w:pStyle w:val="BodyText"/>
        <w:spacing w:line="300" w:lineRule="auto" w:before="31"/>
        <w:ind w:right="1129"/>
        <w:jc w:val="both"/>
      </w:pPr>
      <w:r>
        <w:rPr>
          <w:spacing w:val="-2"/>
        </w:rPr>
        <w:t>统</w:t>
      </w:r>
      <w:r>
        <w:rPr>
          <w:rFonts w:ascii="Times New Roman" w:hAnsi="Times New Roman" w:cs="Times New Roman" w:eastAsia="Times New Roman" w:hint="default"/>
          <w:spacing w:val="-2"/>
        </w:rPr>
        <w:t>7x24</w:t>
      </w:r>
      <w:r>
        <w:rPr>
          <w:spacing w:val="-2"/>
        </w:rPr>
        <w:t>的</w:t>
      </w:r>
      <w:r>
        <w:rPr>
          <w:rFonts w:ascii="Times New Roman" w:hAnsi="Times New Roman" w:cs="Times New Roman" w:eastAsia="Times New Roman" w:hint="default"/>
          <w:spacing w:val="-2"/>
        </w:rPr>
        <w:t>SaaS</w:t>
      </w:r>
      <w:r>
        <w:rPr>
          <w:spacing w:val="-2"/>
        </w:rPr>
        <w:t>服务能力。公司通过整合自身的相关的软件产品、业务经营能力、</w:t>
      </w:r>
      <w:r>
        <w:rPr>
          <w:rFonts w:ascii="Times New Roman" w:hAnsi="Times New Roman" w:cs="Times New Roman" w:eastAsia="Times New Roman" w:hint="default"/>
          <w:spacing w:val="-2"/>
        </w:rPr>
        <w:t>SaaS</w:t>
      </w:r>
      <w:r>
        <w:rPr>
          <w:spacing w:val="-2"/>
        </w:rPr>
        <w:t>服务能力，在银行业零售转型和数字化</w:t>
      </w:r>
      <w:r>
        <w:rPr>
          <w:spacing w:val="-57"/>
        </w:rPr>
        <w:t> </w:t>
      </w:r>
      <w:r>
        <w:rPr>
          <w:spacing w:val="-57"/>
        </w:rPr>
      </w:r>
      <w:r>
        <w:rPr/>
        <w:t>转型的发展过程中，在新的领域和创新运营业务领域，取得了突破。</w:t>
      </w:r>
    </w:p>
    <w:p>
      <w:pPr>
        <w:pStyle w:val="BodyText"/>
        <w:spacing w:line="300" w:lineRule="auto" w:before="31"/>
        <w:ind w:left="513" w:right="986"/>
        <w:jc w:val="left"/>
      </w:pPr>
      <w:r>
        <w:rPr>
          <w:rFonts w:ascii="Times New Roman" w:hAnsi="Times New Roman" w:cs="Times New Roman" w:eastAsia="Times New Roman" w:hint="default"/>
        </w:rPr>
        <w:t>5</w:t>
      </w:r>
      <w:r>
        <w:rPr/>
        <w:t>、品牌与客户资源优势 </w:t>
      </w:r>
      <w:r>
        <w:rPr>
          <w:spacing w:val="-2"/>
        </w:rPr>
        <w:t>由于信息系统在金融业中的特殊地位，以银行业为主的金融行业客户在选择信息系统产品和服务时十分谨慎，更倾向于</w:t>
      </w:r>
    </w:p>
    <w:p>
      <w:pPr>
        <w:spacing w:after="0" w:line="300" w:lineRule="auto"/>
        <w:jc w:val="left"/>
        <w:sectPr>
          <w:pgSz w:w="11910" w:h="16840"/>
          <w:pgMar w:header="852" w:footer="980" w:top="1300" w:bottom="1160" w:left="980" w:right="0"/>
        </w:sectPr>
      </w:pPr>
    </w:p>
    <w:p>
      <w:pPr>
        <w:pStyle w:val="BodyText"/>
        <w:spacing w:line="312" w:lineRule="auto" w:before="142"/>
        <w:ind w:right="1034"/>
        <w:jc w:val="left"/>
      </w:pPr>
      <w:r>
        <w:rPr/>
        <w:t>选择与自己有过成功合作经验或者在行业中拥有较多成功案例，具有较高品牌知名度的企业进行合作。经过十余年的发展， 公司已经为中国人民银行、三大政策性银行、六大国有商业银行、</w:t>
      </w:r>
      <w:r>
        <w:rPr>
          <w:rFonts w:ascii="Times New Roman" w:hAnsi="Times New Roman" w:cs="Times New Roman" w:eastAsia="Times New Roman" w:hint="default"/>
        </w:rPr>
        <w:t>12</w:t>
      </w:r>
      <w:r>
        <w:rPr/>
        <w:t>家股份制银行以及</w:t>
      </w:r>
      <w:r>
        <w:rPr>
          <w:rFonts w:ascii="Times New Roman" w:hAnsi="Times New Roman" w:cs="Times New Roman" w:eastAsia="Times New Roman" w:hint="default"/>
        </w:rPr>
        <w:t>100</w:t>
      </w:r>
      <w:r>
        <w:rPr/>
        <w:t>多家区域性商业银行和农村信用</w:t>
      </w:r>
      <w:r>
        <w:rPr>
          <w:spacing w:val="-85"/>
        </w:rPr>
        <w:t> </w:t>
      </w:r>
      <w:r>
        <w:rPr>
          <w:spacing w:val="-85"/>
        </w:rPr>
      </w:r>
      <w:r>
        <w:rPr>
          <w:spacing w:val="-2"/>
        </w:rPr>
        <w:t>社以及十余家外资银行提供了相关产品和服务；同时也为包括十多家消费金融公司、汽车金融公司等在内的非银行金融机构</w:t>
      </w:r>
      <w:r>
        <w:rPr>
          <w:spacing w:val="-63"/>
        </w:rPr>
        <w:t> </w:t>
      </w:r>
      <w:r>
        <w:rPr>
          <w:spacing w:val="-63"/>
        </w:rPr>
      </w:r>
      <w:r>
        <w:rPr/>
        <w:t>提供了多样化的产品和解决方案，在行业内拥有较高的品牌声誉。</w:t>
      </w:r>
    </w:p>
    <w:p>
      <w:pPr>
        <w:spacing w:after="0" w:line="312" w:lineRule="auto"/>
        <w:jc w:val="left"/>
        <w:sectPr>
          <w:pgSz w:w="11910" w:h="16840"/>
          <w:pgMar w:header="852" w:footer="980" w:top="130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left="3045" w:right="1133"/>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报告期内，受益于国家信息技术应用创新产业的发展战略，大型商业银行、股份制银行、中小银行以及非银行金融机构</w:t>
      </w:r>
      <w:r>
        <w:rPr/>
        <w:t> </w:t>
      </w:r>
      <w:r>
        <w:rPr>
          <w:spacing w:val="-2"/>
        </w:rPr>
        <w:t>积极推动金融和科技的深度融合，软件开发市场需求大幅增加。公司管理层围绕董事会制定的年度经营计划，充分利用自身</w:t>
      </w:r>
      <w:r>
        <w:rPr>
          <w:spacing w:val="-63"/>
        </w:rPr>
        <w:t> </w:t>
      </w:r>
      <w:r>
        <w:rPr>
          <w:spacing w:val="-63"/>
        </w:rPr>
      </w:r>
      <w:r>
        <w:rPr>
          <w:spacing w:val="-2"/>
        </w:rPr>
        <w:t>的核心竞争力，深入推进人工智能、大数据、云服务等新技术在行业中的应用，在金融科技市场大环境与公司竞争力双优的</w:t>
      </w:r>
      <w:r>
        <w:rPr>
          <w:spacing w:val="-64"/>
        </w:rPr>
        <w:t> </w:t>
      </w:r>
      <w:r>
        <w:rPr>
          <w:spacing w:val="-64"/>
        </w:rPr>
      </w:r>
      <w:r>
        <w:rPr>
          <w:spacing w:val="-2"/>
        </w:rPr>
        <w:t>共同驱动、持续改进管理体系实现精益运营的情况下，主营业务收入、营业利润和利润总额都保持了较高的增长。在增收的</w:t>
      </w:r>
      <w:r>
        <w:rPr>
          <w:spacing w:val="-64"/>
        </w:rPr>
        <w:t> </w:t>
      </w:r>
      <w:r>
        <w:rPr>
          <w:spacing w:val="-64"/>
        </w:rPr>
      </w:r>
      <w:r>
        <w:rPr/>
        <w:t>同时，公司大力投入研发，提高公司的产品化程度，使得公司利润增速明显高于收入增速。</w:t>
      </w:r>
    </w:p>
    <w:p>
      <w:pPr>
        <w:pStyle w:val="BodyText"/>
        <w:spacing w:line="309" w:lineRule="auto" w:before="19"/>
        <w:ind w:right="1130" w:firstLine="360"/>
        <w:jc w:val="both"/>
      </w:pPr>
      <w:r>
        <w:rPr/>
        <w:t>报告期内，公司营业收入持续快速增长，营业收入达到</w:t>
      </w:r>
      <w:r>
        <w:rPr>
          <w:rFonts w:ascii="Times New Roman" w:hAnsi="Times New Roman" w:cs="Times New Roman" w:eastAsia="Times New Roman" w:hint="default"/>
        </w:rPr>
        <w:t>26.52</w:t>
      </w:r>
      <w:r>
        <w:rPr/>
        <w:t>亿元，较上年同期增长</w:t>
      </w:r>
      <w:r>
        <w:rPr>
          <w:rFonts w:ascii="Times New Roman" w:hAnsi="Times New Roman" w:cs="Times New Roman" w:eastAsia="Times New Roman" w:hint="default"/>
        </w:rPr>
        <w:t>23.88%</w:t>
      </w:r>
      <w:r>
        <w:rPr/>
        <w:t>，其中公司软件开发及服务 </w:t>
      </w:r>
      <w:r>
        <w:rPr>
          <w:spacing w:val="-1"/>
        </w:rPr>
        <w:t>收入较上年同期增加</w:t>
      </w:r>
      <w:r>
        <w:rPr>
          <w:rFonts w:ascii="Times New Roman" w:hAnsi="Times New Roman" w:cs="Times New Roman" w:eastAsia="Times New Roman" w:hint="default"/>
          <w:spacing w:val="-1"/>
        </w:rPr>
        <w:t>3.35</w:t>
      </w:r>
      <w:r>
        <w:rPr>
          <w:spacing w:val="-1"/>
        </w:rPr>
        <w:t>亿元，增幅</w:t>
      </w:r>
      <w:r>
        <w:rPr>
          <w:rFonts w:ascii="Times New Roman" w:hAnsi="Times New Roman" w:cs="Times New Roman" w:eastAsia="Times New Roman" w:hint="default"/>
          <w:spacing w:val="-1"/>
        </w:rPr>
        <w:t>21.27%</w:t>
      </w:r>
      <w:r>
        <w:rPr>
          <w:spacing w:val="-1"/>
        </w:rPr>
        <w:t>；系统集成销售及服务收入较去年同期增加</w:t>
      </w:r>
      <w:r>
        <w:rPr>
          <w:rFonts w:ascii="Times New Roman" w:hAnsi="Times New Roman" w:cs="Times New Roman" w:eastAsia="Times New Roman" w:hint="default"/>
          <w:spacing w:val="-1"/>
        </w:rPr>
        <w:t>1.26</w:t>
      </w:r>
      <w:r>
        <w:rPr>
          <w:spacing w:val="-1"/>
        </w:rPr>
        <w:t>亿元，增幅</w:t>
      </w:r>
      <w:r>
        <w:rPr>
          <w:rFonts w:ascii="Times New Roman" w:hAnsi="Times New Roman" w:cs="Times New Roman" w:eastAsia="Times New Roman" w:hint="default"/>
          <w:spacing w:val="-1"/>
        </w:rPr>
        <w:t>26.66%</w:t>
      </w:r>
      <w:r>
        <w:rPr>
          <w:spacing w:val="-1"/>
        </w:rPr>
        <w:t>，主要原因为</w:t>
      </w:r>
      <w:r>
        <w:rPr>
          <w:spacing w:val="-58"/>
        </w:rPr>
        <w:t> </w:t>
      </w:r>
      <w:r>
        <w:rPr>
          <w:spacing w:val="-58"/>
        </w:rPr>
      </w:r>
      <w:r>
        <w:rPr>
          <w:spacing w:val="-2"/>
        </w:rPr>
        <w:t>国有商业银行和股份制商业银行等客户积极响应国家信息技术创新产业的发展战略，大力推进云计算、大数据体系、及分布</w:t>
      </w:r>
      <w:r>
        <w:rPr>
          <w:spacing w:val="-66"/>
        </w:rPr>
        <w:t> </w:t>
      </w:r>
      <w:r>
        <w:rPr>
          <w:spacing w:val="-66"/>
        </w:rPr>
      </w:r>
      <w:r>
        <w:rPr>
          <w:spacing w:val="-2"/>
        </w:rPr>
        <w:t>式架构的建设，使得相关集成设备及服务的采购需求増加。与此同时，公司布局多年的创新业务也取得了实质性的突破，助</w:t>
      </w:r>
      <w:r>
        <w:rPr>
          <w:spacing w:val="-64"/>
        </w:rPr>
        <w:t> </w:t>
      </w:r>
      <w:r>
        <w:rPr>
          <w:spacing w:val="-64"/>
        </w:rPr>
      </w:r>
      <w:r>
        <w:rPr/>
        <w:t>力多家城商行有效提升了相关业务的业绩，并实现收入</w:t>
      </w:r>
      <w:r>
        <w:rPr>
          <w:rFonts w:ascii="Times New Roman" w:hAnsi="Times New Roman" w:cs="Times New Roman" w:eastAsia="Times New Roman" w:hint="default"/>
        </w:rPr>
        <w:t>7,604.55</w:t>
      </w:r>
      <w:r>
        <w:rPr/>
        <w:t>万元，较上年增加</w:t>
      </w:r>
      <w:r>
        <w:rPr>
          <w:rFonts w:ascii="Times New Roman" w:hAnsi="Times New Roman" w:cs="Times New Roman" w:eastAsia="Times New Roman" w:hint="default"/>
        </w:rPr>
        <w:t>6,455.35</w:t>
      </w:r>
      <w:r>
        <w:rPr/>
        <w:t>万元，增幅为</w:t>
      </w:r>
      <w:r>
        <w:rPr>
          <w:rFonts w:ascii="Times New Roman" w:hAnsi="Times New Roman" w:cs="Times New Roman" w:eastAsia="Times New Roman" w:hint="default"/>
        </w:rPr>
        <w:t>561.73%</w:t>
      </w:r>
      <w:r>
        <w:rPr/>
        <w:t>。</w:t>
      </w:r>
    </w:p>
    <w:p>
      <w:pPr>
        <w:pStyle w:val="BodyText"/>
        <w:spacing w:line="307" w:lineRule="auto" w:before="5"/>
        <w:ind w:right="1129" w:firstLine="360"/>
        <w:jc w:val="both"/>
      </w:pPr>
      <w:r>
        <w:rPr/>
        <w:t>报告期内，公司营业成本为</w:t>
      </w:r>
      <w:r>
        <w:rPr>
          <w:rFonts w:ascii="Times New Roman" w:hAnsi="Times New Roman" w:cs="Times New Roman" w:eastAsia="Times New Roman" w:hint="default"/>
        </w:rPr>
        <w:t>17.24</w:t>
      </w:r>
      <w:r>
        <w:rPr/>
        <w:t>亿元，较上年同期增长</w:t>
      </w:r>
      <w:r>
        <w:rPr>
          <w:rFonts w:ascii="Times New Roman" w:hAnsi="Times New Roman" w:cs="Times New Roman" w:eastAsia="Times New Roman" w:hint="default"/>
        </w:rPr>
        <w:t>19.72%</w:t>
      </w:r>
      <w:r>
        <w:rPr/>
        <w:t>，主要为公司软件开发及服务收入持续增长相应的人工 成本增加，同时系统集成销售及服务收入增加相应的硬件采购成本增加。公司综合毛利率为</w:t>
      </w:r>
      <w:r>
        <w:rPr>
          <w:rFonts w:ascii="Times New Roman" w:hAnsi="Times New Roman" w:cs="Times New Roman" w:eastAsia="Times New Roman" w:hint="default"/>
        </w:rPr>
        <w:t>35.00%</w:t>
      </w:r>
      <w:r>
        <w:rPr/>
        <w:t>，较上年同期提高</w:t>
      </w:r>
      <w:r>
        <w:rPr>
          <w:rFonts w:ascii="Times New Roman" w:hAnsi="Times New Roman" w:cs="Times New Roman" w:eastAsia="Times New Roman" w:hint="default"/>
        </w:rPr>
        <w:t>2.26</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2"/>
        </w:rPr>
        <w:t>个百分点，主要原因为毛利率较高的公司创新运营服务业务实现突破性增长、收入占比提高而提升了整体毛利率。报告期内</w:t>
      </w:r>
      <w:r>
        <w:rPr>
          <w:spacing w:val="-62"/>
        </w:rPr>
        <w:t> </w:t>
      </w:r>
      <w:r>
        <w:rPr>
          <w:spacing w:val="-62"/>
        </w:rPr>
      </w:r>
      <w:r>
        <w:rPr/>
        <w:t>公司创新运营业务毛利率达到</w:t>
      </w:r>
      <w:r>
        <w:rPr>
          <w:rFonts w:ascii="Times New Roman" w:hAnsi="Times New Roman" w:cs="Times New Roman" w:eastAsia="Times New Roman" w:hint="default"/>
        </w:rPr>
        <w:t>84.16%</w:t>
      </w:r>
      <w:r>
        <w:rPr/>
        <w:t>，较上年同期提高</w:t>
      </w:r>
      <w:r>
        <w:rPr>
          <w:rFonts w:ascii="Times New Roman" w:hAnsi="Times New Roman" w:cs="Times New Roman" w:eastAsia="Times New Roman" w:hint="default"/>
        </w:rPr>
        <w:t>48.55</w:t>
      </w:r>
      <w:r>
        <w:rPr/>
        <w:t>个百分点，主要原因为宇信运营平台服务收入依据客户在平台</w:t>
      </w:r>
      <w:r>
        <w:rPr>
          <w:spacing w:val="-59"/>
        </w:rPr>
        <w:t> </w:t>
      </w:r>
      <w:r>
        <w:rPr>
          <w:spacing w:val="-59"/>
        </w:rPr>
      </w:r>
      <w:r>
        <w:rPr>
          <w:spacing w:val="-2"/>
        </w:rPr>
        <w:t>上的业务量进行计费，报告期内该平台服务的客户业务交易量大幅增加，公司运营服务收入形成规模化效应，而创新运营平</w:t>
      </w:r>
      <w:r>
        <w:rPr>
          <w:spacing w:val="-63"/>
        </w:rPr>
        <w:t> </w:t>
      </w:r>
      <w:r>
        <w:rPr>
          <w:spacing w:val="-63"/>
        </w:rPr>
      </w:r>
      <w:r>
        <w:rPr>
          <w:spacing w:val="-2"/>
        </w:rPr>
        <w:t>台前期研发投入全部费用化、运营期日常项目开发和运营人员复用率高等因素，有效地提高了毛利率；同时报告期内软件开</w:t>
      </w:r>
      <w:r>
        <w:rPr>
          <w:spacing w:val="-63"/>
        </w:rPr>
        <w:t> </w:t>
      </w:r>
      <w:r>
        <w:rPr>
          <w:spacing w:val="-63"/>
        </w:rPr>
      </w:r>
      <w:r>
        <w:rPr>
          <w:spacing w:val="-1"/>
        </w:rPr>
        <w:t>发及服务毛利率为</w:t>
      </w:r>
      <w:r>
        <w:rPr>
          <w:rFonts w:ascii="Times New Roman" w:hAnsi="Times New Roman" w:cs="Times New Roman" w:eastAsia="Times New Roman" w:hint="default"/>
          <w:spacing w:val="-1"/>
        </w:rPr>
        <w:t>40.12%</w:t>
      </w:r>
      <w:r>
        <w:rPr>
          <w:spacing w:val="-1"/>
        </w:rPr>
        <w:t>，较上年同期提高</w:t>
      </w:r>
      <w:r>
        <w:rPr>
          <w:rFonts w:ascii="Times New Roman" w:hAnsi="Times New Roman" w:cs="Times New Roman" w:eastAsia="Times New Roman" w:hint="default"/>
          <w:spacing w:val="-1"/>
        </w:rPr>
        <w:t>1.87</w:t>
      </w:r>
      <w:r>
        <w:rPr>
          <w:spacing w:val="-1"/>
        </w:rPr>
        <w:t>个百分点，主要原因为公司过去几年持续加大研发投入，提升公司产品的标</w:t>
      </w:r>
      <w:r>
        <w:rPr>
          <w:spacing w:val="-87"/>
        </w:rPr>
        <w:t> </w:t>
      </w:r>
      <w:r>
        <w:rPr>
          <w:spacing w:val="-87"/>
        </w:rPr>
      </w:r>
      <w:r>
        <w:rPr>
          <w:spacing w:val="-2"/>
        </w:rPr>
        <w:t>准化程度、改进定制化实施工艺，同时加强项目跟踪和管理，逐步形成产品化经营思路，减少重复性的项目基础开发等提高</w:t>
      </w:r>
      <w:r>
        <w:rPr>
          <w:spacing w:val="-64"/>
        </w:rPr>
        <w:t> </w:t>
      </w:r>
      <w:r>
        <w:rPr>
          <w:spacing w:val="-64"/>
        </w:rPr>
      </w:r>
      <w:r>
        <w:rPr>
          <w:spacing w:val="-1"/>
        </w:rPr>
        <w:t>毛利率，同时上年同期存在多个大型战略项目使得整体毛利率略低；系统集成销售及服务业务毛利率较上年同期提高</w:t>
      </w:r>
      <w:r>
        <w:rPr>
          <w:rFonts w:ascii="Times New Roman" w:hAnsi="Times New Roman" w:cs="Times New Roman" w:eastAsia="Times New Roman" w:hint="default"/>
          <w:spacing w:val="-1"/>
        </w:rPr>
        <w:t>1.90</w:t>
      </w:r>
      <w:r>
        <w:rPr>
          <w:spacing w:val="-1"/>
        </w:rPr>
        <w:t>个</w:t>
      </w:r>
      <w:r>
        <w:rPr>
          <w:spacing w:val="-72"/>
        </w:rPr>
        <w:t> </w:t>
      </w:r>
      <w:r>
        <w:rPr/>
        <w:t>百分点，主要原因为</w:t>
      </w:r>
      <w:r>
        <w:rPr>
          <w:rFonts w:ascii="Times New Roman" w:hAnsi="Times New Roman" w:cs="Times New Roman" w:eastAsia="Times New Roman" w:hint="default"/>
        </w:rPr>
        <w:t>2018</w:t>
      </w:r>
      <w:r>
        <w:rPr/>
        <w:t>年底个别重点客户的大额集成项目毛利率偏低。</w:t>
      </w:r>
    </w:p>
    <w:p>
      <w:pPr>
        <w:pStyle w:val="BodyText"/>
        <w:spacing w:line="312" w:lineRule="auto" w:before="7"/>
        <w:ind w:right="986" w:firstLine="360"/>
        <w:jc w:val="left"/>
        <w:rPr>
          <w:rFonts w:ascii="MS Gothic" w:hAnsi="MS Gothic" w:cs="MS Gothic" w:eastAsia="MS Gothic" w:hint="default"/>
        </w:rPr>
      </w:pPr>
      <w:r>
        <w:rPr>
          <w:spacing w:val="-3"/>
        </w:rPr>
        <w:t>报告期内，归属于上市公司股东的净利润为</w:t>
      </w:r>
      <w:r>
        <w:rPr>
          <w:rFonts w:ascii="Times New Roman" w:hAnsi="Times New Roman" w:cs="Times New Roman" w:eastAsia="Times New Roman" w:hint="default"/>
          <w:spacing w:val="-3"/>
        </w:rPr>
        <w:t>2.74</w:t>
      </w:r>
      <w:r>
        <w:rPr>
          <w:spacing w:val="-3"/>
        </w:rPr>
        <w:t>亿元，较上年同期增加</w:t>
      </w:r>
      <w:r>
        <w:rPr>
          <w:rFonts w:ascii="Times New Roman" w:hAnsi="Times New Roman" w:cs="Times New Roman" w:eastAsia="Times New Roman" w:hint="default"/>
          <w:spacing w:val="-3"/>
        </w:rPr>
        <w:t>40.16%</w:t>
      </w:r>
      <w:r>
        <w:rPr>
          <w:spacing w:val="-3"/>
        </w:rPr>
        <w:t>，主要原因为</w:t>
      </w:r>
      <w:r>
        <w:rPr>
          <w:rFonts w:ascii="Times New Roman" w:hAnsi="Times New Roman" w:cs="Times New Roman" w:eastAsia="Times New Roman" w:hint="default"/>
          <w:spacing w:val="-3"/>
        </w:rPr>
        <w:t>2019</w:t>
      </w:r>
      <w:r>
        <w:rPr>
          <w:spacing w:val="-3"/>
        </w:rPr>
        <w:t>年收入和毛利大幅增加，</w:t>
      </w:r>
      <w:r>
        <w:rPr/>
        <w:t> </w:t>
      </w:r>
      <w:r>
        <w:rPr>
          <w:spacing w:val="-2"/>
        </w:rPr>
        <w:t>经营管理效率提高，相应的销售费用和管理费用增长较为稳定，使得公司与经营相关的利润增加；报告期内股权处置损失较</w:t>
      </w:r>
      <w:r>
        <w:rPr>
          <w:spacing w:val="-63"/>
        </w:rPr>
        <w:t> </w:t>
      </w:r>
      <w:r>
        <w:rPr>
          <w:spacing w:val="-63"/>
        </w:rPr>
      </w:r>
      <w:r>
        <w:rPr>
          <w:spacing w:val="-2"/>
        </w:rPr>
        <w:t>大而上年股权处置收益较高等使得报告期内非流动资产处置收益较上年大幅减少，因此本报告期内扣除非经常性损益后归属</w:t>
      </w:r>
      <w:r>
        <w:rPr>
          <w:spacing w:val="-64"/>
        </w:rPr>
        <w:t> </w:t>
      </w:r>
      <w:r>
        <w:rPr>
          <w:spacing w:val="-64"/>
        </w:rPr>
      </w:r>
      <w:r>
        <w:rPr/>
        <w:t>于上市公司的净利润为</w:t>
      </w:r>
      <w:r>
        <w:rPr>
          <w:rFonts w:ascii="Times New Roman" w:hAnsi="Times New Roman" w:cs="Times New Roman" w:eastAsia="Times New Roman" w:hint="default"/>
        </w:rPr>
        <w:t>2.64</w:t>
      </w:r>
      <w:r>
        <w:rPr/>
        <w:t>亿元，较上年同期增长</w:t>
      </w:r>
      <w:r>
        <w:rPr>
          <w:rFonts w:ascii="Times New Roman" w:hAnsi="Times New Roman" w:cs="Times New Roman" w:eastAsia="Times New Roman" w:hint="default"/>
        </w:rPr>
        <w:t>48.46%</w:t>
      </w:r>
      <w:r>
        <w:rPr/>
        <w:t>，增幅高于归属于上市公司净利润的增幅</w:t>
      </w:r>
      <w:r>
        <w:rPr>
          <w:rFonts w:ascii="MS Gothic" w:hAnsi="MS Gothic" w:cs="MS Gothic" w:eastAsia="MS Gothic" w:hint="default"/>
        </w:rPr>
        <w:t>｡</w:t>
      </w:r>
    </w:p>
    <w:p>
      <w:pPr>
        <w:pStyle w:val="BodyText"/>
        <w:spacing w:line="240" w:lineRule="auto" w:before="3"/>
        <w:ind w:left="513" w:right="1133"/>
        <w:jc w:val="left"/>
      </w:pPr>
      <w:r>
        <w:rPr>
          <w:rFonts w:ascii="Times New Roman" w:hAnsi="Times New Roman" w:cs="Times New Roman" w:eastAsia="Times New Roman" w:hint="default"/>
        </w:rPr>
        <w:t>1</w:t>
      </w:r>
      <w:r>
        <w:rPr/>
        <w:t>、报告期内主要完成工作如下：</w:t>
      </w:r>
    </w:p>
    <w:p>
      <w:pPr>
        <w:pStyle w:val="BodyText"/>
        <w:spacing w:line="300" w:lineRule="auto" w:before="63"/>
        <w:ind w:left="513" w:right="986"/>
        <w:jc w:val="left"/>
      </w:pPr>
      <w:r>
        <w:rPr/>
        <w:t>（</w:t>
      </w:r>
      <w:r>
        <w:rPr>
          <w:rFonts w:ascii="Times New Roman" w:hAnsi="Times New Roman" w:cs="Times New Roman" w:eastAsia="Times New Roman" w:hint="default"/>
        </w:rPr>
        <w:t>1</w:t>
      </w:r>
      <w:r>
        <w:rPr/>
        <w:t>）传统业务保持良好增速 </w:t>
      </w:r>
      <w:r>
        <w:rPr>
          <w:spacing w:val="-2"/>
        </w:rPr>
        <w:t>报告期内，公司传统继续保持良好增速。分客户来说，国有大型商业银行以及股份制银行等积极推动金融和科技的深度</w:t>
      </w:r>
    </w:p>
    <w:p>
      <w:pPr>
        <w:pStyle w:val="BodyText"/>
        <w:spacing w:line="319" w:lineRule="auto" w:before="31"/>
        <w:ind w:right="1130"/>
        <w:jc w:val="both"/>
      </w:pPr>
      <w:r>
        <w:rPr>
          <w:spacing w:val="-2"/>
        </w:rPr>
        <w:t>融合，加速筹建金融科技子公司，推动营业网点智慧转型，借力金融科技提升经营效率及产品营销成功率，相应的软件开发</w:t>
      </w:r>
      <w:r>
        <w:rPr>
          <w:spacing w:val="-64"/>
        </w:rPr>
        <w:t> </w:t>
      </w:r>
      <w:r>
        <w:rPr>
          <w:spacing w:val="-64"/>
        </w:rPr>
      </w:r>
      <w:r>
        <w:rPr>
          <w:spacing w:val="-2"/>
        </w:rPr>
        <w:t>需求增加，使得公司软件开发及服务收入持续增加。同时，随着农村信用社加入农村金融市场竞争、积极提高信息化建设水</w:t>
      </w:r>
      <w:r>
        <w:rPr>
          <w:spacing w:val="-62"/>
        </w:rPr>
        <w:t> </w:t>
      </w:r>
      <w:r>
        <w:rPr>
          <w:spacing w:val="-62"/>
        </w:rPr>
      </w:r>
      <w:r>
        <w:rPr>
          <w:spacing w:val="-2"/>
        </w:rPr>
        <w:t>平，公司来自农村信用社的软件开发及服务收入大幅增加。另外，股份制商业银行等对大数据体系建设、云计算及分布式架</w:t>
      </w:r>
      <w:r>
        <w:rPr>
          <w:spacing w:val="-65"/>
        </w:rPr>
        <w:t> </w:t>
      </w:r>
      <w:r>
        <w:rPr>
          <w:spacing w:val="-65"/>
        </w:rPr>
      </w:r>
      <w:r>
        <w:rPr/>
        <w:t>构建设继续保持投资力度，使得公司相关集成设备及服务的采购需求増加。</w:t>
      </w:r>
    </w:p>
    <w:p>
      <w:pPr>
        <w:pStyle w:val="BodyText"/>
        <w:spacing w:line="240" w:lineRule="auto" w:before="17"/>
        <w:ind w:left="513" w:right="1133"/>
        <w:jc w:val="left"/>
      </w:pPr>
      <w:r>
        <w:rPr/>
        <w:t>（</w:t>
      </w:r>
      <w:r>
        <w:rPr>
          <w:rFonts w:ascii="Times New Roman" w:hAnsi="Times New Roman" w:cs="Times New Roman" w:eastAsia="Times New Roman" w:hint="default"/>
        </w:rPr>
        <w:t>2</w:t>
      </w:r>
      <w:r>
        <w:rPr/>
        <w:t>）创新业务取得实质性突破</w:t>
      </w:r>
    </w:p>
    <w:p>
      <w:pPr>
        <w:pStyle w:val="BodyText"/>
        <w:spacing w:line="300" w:lineRule="auto" w:before="63"/>
        <w:ind w:right="1040" w:firstLine="360"/>
        <w:jc w:val="both"/>
      </w:pPr>
      <w:r>
        <w:rPr>
          <w:rFonts w:ascii="Times New Roman" w:hAnsi="Times New Roman" w:cs="Times New Roman" w:eastAsia="Times New Roman" w:hint="default"/>
          <w:spacing w:val="-2"/>
        </w:rPr>
        <w:t>2018</w:t>
      </w:r>
      <w:r>
        <w:rPr>
          <w:spacing w:val="-2"/>
        </w:rPr>
        <w:t>年开始落地的创新业务使公司开拓了跳脱传统的项目实施的经营模式，为公司的创新转型打下了坚实的基础，报告</w:t>
      </w:r>
      <w:r>
        <w:rPr/>
        <w:t> </w:t>
      </w:r>
      <w:r>
        <w:rPr>
          <w:spacing w:val="2"/>
        </w:rPr>
        <w:t>期内的创新业务取得了实质性突破，助力多家城商行有效提升了相关业务的业绩，并实现收入</w:t>
      </w:r>
      <w:r>
        <w:rPr>
          <w:rFonts w:ascii="Times New Roman" w:hAnsi="Times New Roman" w:cs="Times New Roman" w:eastAsia="Times New Roman" w:hint="default"/>
          <w:spacing w:val="2"/>
        </w:rPr>
        <w:t>7,604.55</w:t>
      </w:r>
      <w:r>
        <w:rPr>
          <w:spacing w:val="2"/>
        </w:rPr>
        <w:t>万元，较上年增加</w:t>
      </w:r>
      <w:r>
        <w:rPr>
          <w:spacing w:val="-40"/>
        </w:rPr>
        <w:t> </w:t>
      </w:r>
      <w:r>
        <w:rPr>
          <w:spacing w:val="-40"/>
        </w:rPr>
      </w:r>
      <w:r>
        <w:rPr>
          <w:rFonts w:ascii="Times New Roman" w:hAnsi="Times New Roman" w:cs="Times New Roman" w:eastAsia="Times New Roman" w:hint="default"/>
          <w:spacing w:val="-3"/>
        </w:rPr>
        <w:t>6,455.35</w:t>
      </w:r>
      <w:r>
        <w:rPr>
          <w:spacing w:val="-3"/>
        </w:rPr>
        <w:t>万元，增幅为</w:t>
      </w:r>
      <w:r>
        <w:rPr>
          <w:rFonts w:ascii="Times New Roman" w:hAnsi="Times New Roman" w:cs="Times New Roman" w:eastAsia="Times New Roman" w:hint="default"/>
          <w:spacing w:val="-3"/>
        </w:rPr>
        <w:t>561.73%</w:t>
      </w:r>
      <w:r>
        <w:rPr>
          <w:spacing w:val="-3"/>
        </w:rPr>
        <w:t>。公司的创新业务主要包括：①针对多家城商行的需求而开发、运营的金融生态平台，具有</w:t>
      </w:r>
      <w:r>
        <w:rPr>
          <w:rFonts w:ascii="Times New Roman" w:hAnsi="Times New Roman" w:cs="Times New Roman" w:eastAsia="Times New Roman" w:hint="default"/>
          <w:spacing w:val="-3"/>
        </w:rPr>
        <w:t>“</w:t>
      </w:r>
      <w:r>
        <w:rPr>
          <w:spacing w:val="-3"/>
        </w:rPr>
        <w:t>上</w:t>
      </w:r>
      <w:r>
        <w:rPr>
          <w:spacing w:val="-80"/>
        </w:rPr>
        <w:t> </w:t>
      </w:r>
      <w:r>
        <w:rPr/>
        <w:t>线快、可扩展、好运维</w:t>
      </w:r>
      <w:r>
        <w:rPr>
          <w:rFonts w:ascii="Times New Roman" w:hAnsi="Times New Roman" w:cs="Times New Roman" w:eastAsia="Times New Roman" w:hint="default"/>
        </w:rPr>
        <w:t>”</w:t>
      </w:r>
      <w:r>
        <w:rPr/>
        <w:t>等特点，并采用</w:t>
      </w:r>
      <w:r>
        <w:rPr>
          <w:rFonts w:ascii="Times New Roman" w:hAnsi="Times New Roman" w:cs="Times New Roman" w:eastAsia="Times New Roman" w:hint="default"/>
        </w:rPr>
        <w:t>“</w:t>
      </w:r>
      <w:r>
        <w:rPr/>
        <w:t>先盈利再付费</w:t>
      </w:r>
      <w:r>
        <w:rPr>
          <w:rFonts w:ascii="Times New Roman" w:hAnsi="Times New Roman" w:cs="Times New Roman" w:eastAsia="Times New Roman" w:hint="default"/>
        </w:rPr>
        <w:t>”</w:t>
      </w:r>
      <w:r>
        <w:rPr/>
        <w:t>等多种合作模式，可以帮助客户实现零投入快速上线、快速做大零</w:t>
      </w:r>
      <w:r>
        <w:rPr>
          <w:spacing w:val="-56"/>
        </w:rPr>
        <w:t> </w:t>
      </w:r>
      <w:r>
        <w:rPr>
          <w:spacing w:val="-56"/>
        </w:rPr>
      </w:r>
      <w:r>
        <w:rPr/>
        <w:t>售资产规模、显著降低贷款不良率、无风险大幅增长收入和利润的功能。②为了更好的面向</w:t>
      </w:r>
      <w:r>
        <w:rPr>
          <w:rFonts w:ascii="Times New Roman" w:hAnsi="Times New Roman" w:cs="Times New Roman" w:eastAsia="Times New Roman" w:hint="default"/>
        </w:rPr>
        <w:t>5G</w:t>
      </w:r>
      <w:r>
        <w:rPr/>
        <w:t>、人工智能、物联网等技术</w:t>
      </w:r>
      <w:r>
        <w:rPr>
          <w:spacing w:val="-39"/>
        </w:rPr>
        <w:t> </w:t>
      </w:r>
      <w:r>
        <w:rPr>
          <w:spacing w:val="-39"/>
        </w:rPr>
      </w:r>
      <w:r>
        <w:rPr>
          <w:spacing w:val="-3"/>
          <w:w w:val="100"/>
        </w:rPr>
        <w:t>趋势，公司自主研发了智慧柜员，承建的某国有银行首批三家</w:t>
      </w:r>
      <w:r>
        <w:rPr>
          <w:rFonts w:ascii="Times New Roman" w:hAnsi="Times New Roman" w:cs="Times New Roman" w:eastAsia="Times New Roman" w:hint="default"/>
          <w:spacing w:val="-3"/>
          <w:w w:val="100"/>
        </w:rPr>
        <w:t>“5G+</w:t>
      </w:r>
      <w:r>
        <w:rPr>
          <w:spacing w:val="-3"/>
          <w:w w:val="100"/>
        </w:rPr>
        <w:t>智能银行</w:t>
      </w:r>
      <w:r>
        <w:rPr>
          <w:rFonts w:ascii="Times New Roman" w:hAnsi="Times New Roman" w:cs="Times New Roman" w:eastAsia="Times New Roman" w:hint="default"/>
          <w:spacing w:val="-3"/>
          <w:w w:val="100"/>
        </w:rPr>
        <w:t>”</w:t>
      </w:r>
      <w:r>
        <w:rPr>
          <w:spacing w:val="-3"/>
          <w:w w:val="100"/>
        </w:rPr>
        <w:t>也已成功落地</w:t>
      </w:r>
      <w:r>
        <w:rPr>
          <w:rFonts w:ascii="Times New Roman" w:hAnsi="Times New Roman" w:cs="Times New Roman" w:eastAsia="Times New Roman" w:hint="default"/>
          <w:spacing w:val="-3"/>
          <w:w w:val="100"/>
        </w:rPr>
        <w:t>,</w:t>
      </w:r>
      <w:r>
        <w:rPr>
          <w:spacing w:val="-3"/>
          <w:w w:val="100"/>
        </w:rPr>
        <w:t>该业务未来具有较好的发展前景。</w:t>
      </w:r>
    </w:p>
    <w:p>
      <w:pPr>
        <w:spacing w:after="0" w:line="300" w:lineRule="auto"/>
        <w:jc w:val="both"/>
        <w:sectPr>
          <w:pgSz w:w="11910" w:h="16840"/>
          <w:pgMar w:header="852" w:footer="980" w:top="1300" w:bottom="1160" w:left="980" w:right="0"/>
        </w:sectPr>
      </w:pPr>
    </w:p>
    <w:p>
      <w:pPr>
        <w:pStyle w:val="BodyText"/>
        <w:spacing w:line="319" w:lineRule="auto" w:before="142"/>
        <w:ind w:right="986"/>
        <w:jc w:val="left"/>
      </w:pPr>
      <w:r>
        <w:rPr>
          <w:spacing w:val="-2"/>
        </w:rPr>
        <w:t>基于金融科技的发展趋势，公司将从客户的实际需求出发，结合自身在行业内深耕多年的各项资源优势，形成与客户的联合</w:t>
      </w:r>
      <w:r>
        <w:rPr>
          <w:spacing w:val="-62"/>
        </w:rPr>
        <w:t> </w:t>
      </w:r>
      <w:r>
        <w:rPr>
          <w:spacing w:val="-62"/>
        </w:rPr>
      </w:r>
      <w:r>
        <w:rPr/>
        <w:t>经营、共赢互利的合作模式，是未来公司经营发展的新方向。</w:t>
      </w:r>
    </w:p>
    <w:p>
      <w:pPr>
        <w:pStyle w:val="BodyText"/>
        <w:spacing w:line="300" w:lineRule="auto" w:before="17"/>
        <w:ind w:left="513" w:right="1133"/>
        <w:jc w:val="left"/>
      </w:pPr>
      <w:r>
        <w:rPr/>
        <w:t>（</w:t>
      </w:r>
      <w:r>
        <w:rPr>
          <w:rFonts w:ascii="Times New Roman" w:hAnsi="Times New Roman" w:cs="Times New Roman" w:eastAsia="Times New Roman" w:hint="default"/>
        </w:rPr>
        <w:t>3</w:t>
      </w:r>
      <w:r>
        <w:rPr/>
        <w:t>）研发投入持续加大 </w:t>
      </w:r>
      <w:r>
        <w:rPr>
          <w:spacing w:val="-1"/>
        </w:rPr>
        <w:t>公司自成立起即重视自主研发和技术创新，报告期内公司研发投入</w:t>
      </w:r>
      <w:r>
        <w:rPr>
          <w:rFonts w:ascii="Times New Roman" w:hAnsi="Times New Roman" w:cs="Times New Roman" w:eastAsia="Times New Roman" w:hint="default"/>
          <w:spacing w:val="-1"/>
        </w:rPr>
        <w:t>27,450.47</w:t>
      </w:r>
      <w:r>
        <w:rPr>
          <w:spacing w:val="-1"/>
        </w:rPr>
        <w:t>万元，较上年增加</w:t>
      </w:r>
      <w:r>
        <w:rPr>
          <w:rFonts w:ascii="Times New Roman" w:hAnsi="Times New Roman" w:cs="Times New Roman" w:eastAsia="Times New Roman" w:hint="default"/>
          <w:spacing w:val="-1"/>
        </w:rPr>
        <w:t>49.08%</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月，公</w:t>
      </w:r>
    </w:p>
    <w:p>
      <w:pPr>
        <w:pStyle w:val="BodyText"/>
        <w:spacing w:line="307" w:lineRule="auto" w:before="13"/>
        <w:ind w:right="1039"/>
        <w:jc w:val="left"/>
      </w:pPr>
      <w:r>
        <w:rPr/>
        <w:t>司正式发布</w:t>
      </w:r>
      <w:r>
        <w:rPr>
          <w:rFonts w:ascii="Times New Roman" w:hAnsi="Times New Roman" w:cs="Times New Roman" w:eastAsia="Times New Roman" w:hint="default"/>
        </w:rPr>
        <w:t>“</w:t>
      </w:r>
      <w:r>
        <w:rPr/>
        <w:t>原型设计工具</w:t>
      </w:r>
      <w:r>
        <w:rPr>
          <w:rFonts w:ascii="Times New Roman" w:hAnsi="Times New Roman" w:cs="Times New Roman" w:eastAsia="Times New Roman" w:hint="default"/>
        </w:rPr>
        <w:t>”</w:t>
      </w:r>
      <w:r>
        <w:rPr/>
        <w:t>，提供可视化、社交化的金融业务系统原型设计能力，并可自动导入生成前端界面代码，节省大 </w:t>
      </w:r>
      <w:r>
        <w:rPr>
          <w:spacing w:val="-2"/>
        </w:rPr>
        <w:t>量的前端开发工作量；</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月，公司正式发布</w:t>
      </w:r>
      <w:r>
        <w:rPr>
          <w:rFonts w:ascii="Times New Roman" w:hAnsi="Times New Roman" w:cs="Times New Roman" w:eastAsia="Times New Roman" w:hint="default"/>
          <w:spacing w:val="-2"/>
        </w:rPr>
        <w:t>“</w:t>
      </w:r>
      <w:r>
        <w:rPr>
          <w:spacing w:val="-2"/>
        </w:rPr>
        <w:t>微服务管控平台</w:t>
      </w:r>
      <w:r>
        <w:rPr>
          <w:rFonts w:ascii="Times New Roman" w:hAnsi="Times New Roman" w:cs="Times New Roman" w:eastAsia="Times New Roman" w:hint="default"/>
          <w:spacing w:val="-2"/>
        </w:rPr>
        <w:t>2.0</w:t>
      </w:r>
      <w:r>
        <w:rPr>
          <w:spacing w:val="-2"/>
        </w:rPr>
        <w:t>版本</w:t>
      </w:r>
      <w:r>
        <w:rPr>
          <w:rFonts w:ascii="Times New Roman" w:hAnsi="Times New Roman" w:cs="Times New Roman" w:eastAsia="Times New Roman" w:hint="default"/>
          <w:spacing w:val="-2"/>
        </w:rPr>
        <w:t>”</w:t>
      </w:r>
      <w:r>
        <w:rPr>
          <w:spacing w:val="-2"/>
        </w:rPr>
        <w:t>，提供从代码自动构建到应用部署的全自动流程，</w:t>
      </w:r>
      <w:r>
        <w:rPr>
          <w:spacing w:val="-80"/>
        </w:rPr>
        <w:t> </w:t>
      </w:r>
      <w:r>
        <w:rPr>
          <w:spacing w:val="-80"/>
        </w:rPr>
      </w:r>
      <w:r>
        <w:rPr/>
        <w:t>支持虚拟机和容器化两种部署模式，提供更详细的</w:t>
      </w:r>
      <w:r>
        <w:rPr>
          <w:rFonts w:ascii="Times New Roman" w:hAnsi="Times New Roman" w:cs="Times New Roman" w:eastAsia="Times New Roman" w:hint="default"/>
        </w:rPr>
        <w:t>API</w:t>
      </w:r>
      <w:r>
        <w:rPr/>
        <w:t>和</w:t>
      </w:r>
      <w:r>
        <w:rPr>
          <w:rFonts w:ascii="Times New Roman" w:hAnsi="Times New Roman" w:cs="Times New Roman" w:eastAsia="Times New Roman" w:hint="default"/>
        </w:rPr>
        <w:t>APM</w:t>
      </w:r>
      <w:r>
        <w:rPr/>
        <w:t>监控功能等；公司</w:t>
      </w:r>
      <w:r>
        <w:rPr>
          <w:rFonts w:ascii="Times New Roman" w:hAnsi="Times New Roman" w:cs="Times New Roman" w:eastAsia="Times New Roman" w:hint="default"/>
        </w:rPr>
        <w:t>“</w:t>
      </w:r>
      <w:r>
        <w:rPr/>
        <w:t>新一代银行不良资产管理系统</w:t>
      </w:r>
      <w:r>
        <w:rPr>
          <w:rFonts w:ascii="Times New Roman" w:hAnsi="Times New Roman" w:cs="Times New Roman" w:eastAsia="Times New Roman" w:hint="default"/>
        </w:rPr>
        <w:t>”</w:t>
      </w:r>
      <w:r>
        <w:rPr/>
        <w:t>研发成功， </w:t>
      </w:r>
      <w:r>
        <w:rPr>
          <w:spacing w:val="-2"/>
        </w:rPr>
        <w:t>该系统定位于面向包括银行、资产管理公司、信托公司、评估公司、评级公司、律师事务所及投资机构等资产管理链条上的</w:t>
      </w:r>
      <w:r>
        <w:rPr>
          <w:spacing w:val="-67"/>
        </w:rPr>
        <w:t> </w:t>
      </w:r>
      <w:r>
        <w:rPr>
          <w:spacing w:val="-67"/>
        </w:rPr>
      </w:r>
      <w:r>
        <w:rPr>
          <w:spacing w:val="-2"/>
        </w:rPr>
        <w:t>机构，采用先进的分布式微服务架构，充分应用大数据、区块链先进技术，实现了全口径不良资产管理，业务全生命周期管</w:t>
      </w:r>
      <w:r>
        <w:rPr>
          <w:spacing w:val="-67"/>
        </w:rPr>
        <w:t> </w:t>
      </w:r>
      <w:r>
        <w:rPr>
          <w:spacing w:val="-67"/>
        </w:rPr>
      </w:r>
      <w:r>
        <w:rPr/>
        <w:t>理，不良资产处置过程的全视图管理；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月，公司正式发布</w:t>
      </w:r>
      <w:r>
        <w:rPr>
          <w:rFonts w:ascii="Times New Roman" w:hAnsi="Times New Roman" w:cs="Times New Roman" w:eastAsia="Times New Roman" w:hint="default"/>
        </w:rPr>
        <w:t>“</w:t>
      </w:r>
      <w:r>
        <w:rPr/>
        <w:t>金融开放平台</w:t>
      </w:r>
      <w:r>
        <w:rPr>
          <w:rFonts w:ascii="Times New Roman" w:hAnsi="Times New Roman" w:cs="Times New Roman" w:eastAsia="Times New Roman" w:hint="default"/>
        </w:rPr>
        <w:t>”</w:t>
      </w:r>
      <w:r>
        <w:rPr/>
        <w:t>，该平台是顺应当前银行渠道业务模式的</w:t>
      </w:r>
      <w:r>
        <w:rPr>
          <w:spacing w:val="-67"/>
        </w:rPr>
        <w:t> </w:t>
      </w:r>
      <w:r>
        <w:rPr>
          <w:spacing w:val="-67"/>
        </w:rPr>
      </w:r>
      <w:r>
        <w:rPr>
          <w:spacing w:val="-2"/>
        </w:rPr>
        <w:t>发展要求而打造的面向众多开发者的能力共享平台，作为公司协助银行面向互联网金融转型打造的产品蓝图中重要的组成部</w:t>
      </w:r>
      <w:r>
        <w:rPr>
          <w:spacing w:val="-64"/>
        </w:rPr>
        <w:t> </w:t>
      </w:r>
      <w:r>
        <w:rPr>
          <w:spacing w:val="-64"/>
        </w:rPr>
      </w:r>
      <w:r>
        <w:rPr/>
        <w:t>分。</w:t>
      </w:r>
    </w:p>
    <w:p>
      <w:pPr>
        <w:pStyle w:val="BodyText"/>
        <w:spacing w:line="240" w:lineRule="auto" w:before="26"/>
        <w:ind w:left="513" w:right="1133"/>
        <w:jc w:val="left"/>
      </w:pPr>
      <w:r>
        <w:rPr/>
        <w:t>（</w:t>
      </w:r>
      <w:r>
        <w:rPr>
          <w:rFonts w:ascii="Times New Roman" w:hAnsi="Times New Roman" w:cs="Times New Roman" w:eastAsia="Times New Roman" w:hint="default"/>
        </w:rPr>
        <w:t>4</w:t>
      </w:r>
      <w:r>
        <w:rPr/>
        <w:t>）积极布局海外市场</w:t>
      </w:r>
    </w:p>
    <w:p>
      <w:pPr>
        <w:pStyle w:val="BodyText"/>
        <w:spacing w:line="309" w:lineRule="auto" w:before="63"/>
        <w:ind w:right="986" w:firstLine="360"/>
        <w:jc w:val="left"/>
      </w:pPr>
      <w:r>
        <w:rPr/>
        <w:t>报告期内，公司新设宇信鸿泰科技（香港）有限公司和</w:t>
      </w:r>
      <w:r>
        <w:rPr>
          <w:rFonts w:ascii="Times New Roman" w:hAnsi="Times New Roman" w:cs="Times New Roman" w:eastAsia="Times New Roman" w:hint="default"/>
        </w:rPr>
        <w:t>YUSYS TECHNELOGIES</w:t>
      </w:r>
      <w:r>
        <w:rPr>
          <w:rFonts w:ascii="Times New Roman" w:hAnsi="Times New Roman" w:cs="Times New Roman" w:eastAsia="Times New Roman" w:hint="default"/>
          <w:spacing w:val="7"/>
        </w:rPr>
        <w:t> </w:t>
      </w:r>
      <w:r>
        <w:rPr>
          <w:rFonts w:ascii="Times New Roman" w:hAnsi="Times New Roman" w:cs="Times New Roman" w:eastAsia="Times New Roman" w:hint="default"/>
        </w:rPr>
        <w:t>PTE.LTD.</w:t>
      </w:r>
      <w:r>
        <w:rPr/>
        <w:t>（新加坡宇信），这些子公 </w:t>
      </w:r>
      <w:r>
        <w:rPr>
          <w:spacing w:val="-2"/>
        </w:rPr>
        <w:t>司的新设，体现了公司从东南亚市场寻求突破，深入布局海外市场的坚定信心和有力决心。未来五年，海外市场的拓展将是</w:t>
      </w:r>
      <w:r>
        <w:rPr>
          <w:spacing w:val="-64"/>
        </w:rPr>
        <w:t> </w:t>
      </w:r>
      <w:r>
        <w:rPr>
          <w:spacing w:val="-64"/>
        </w:rPr>
      </w:r>
      <w:r>
        <w:rPr>
          <w:spacing w:val="-2"/>
        </w:rPr>
        <w:t>公司整体发展战略的重要组成部分之一。东南亚市场有以下几个特点：①东南亚多个国家的经济增速、人口数量、移动互联</w:t>
      </w:r>
      <w:r>
        <w:rPr>
          <w:spacing w:val="-62"/>
        </w:rPr>
        <w:t> </w:t>
      </w:r>
      <w:r>
        <w:rPr>
          <w:spacing w:val="-62"/>
        </w:rPr>
      </w:r>
      <w:r>
        <w:rPr>
          <w:spacing w:val="-2"/>
        </w:rPr>
        <w:t>网普及率、以及普惠金融的缺口严重程度等各方面因素，互联网经济发展将是东南亚市场的下一个爆发点，这个趋势将会带</w:t>
      </w:r>
      <w:r>
        <w:rPr>
          <w:spacing w:val="-63"/>
        </w:rPr>
        <w:t> </w:t>
      </w:r>
      <w:r>
        <w:rPr>
          <w:spacing w:val="-63"/>
        </w:rPr>
      </w:r>
      <w:r>
        <w:rPr/>
        <w:t>动市场对金融科技产品和服务的需求。②银行传统</w:t>
      </w:r>
      <w:r>
        <w:rPr>
          <w:rFonts w:ascii="Times New Roman" w:hAnsi="Times New Roman" w:cs="Times New Roman" w:eastAsia="Times New Roman" w:hint="default"/>
        </w:rPr>
        <w:t>IT</w:t>
      </w:r>
      <w:r>
        <w:rPr/>
        <w:t>市场由欧美几个核心厂商以及少量本地厂商主导，产品相对比较陈旧， 急需升级；③客户普遍对传统厂商的定价和服务反馈不佳；④近年来随着</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政策东风以及东南亚国家和中国的文化 </w:t>
      </w:r>
      <w:r>
        <w:rPr>
          <w:spacing w:val="-4"/>
        </w:rPr>
        <w:t>比较接近，东南亚社会对中国厂商的认知度和接受度大幅提高。公司将充分利用这个机会，和公司长期合作伙伴，包括华为、</w:t>
      </w:r>
      <w:r>
        <w:rPr>
          <w:spacing w:val="-46"/>
        </w:rPr>
        <w:t> </w:t>
      </w:r>
      <w:r>
        <w:rPr>
          <w:spacing w:val="-46"/>
        </w:rPr>
      </w:r>
      <w:r>
        <w:rPr>
          <w:rFonts w:ascii="Times New Roman" w:hAnsi="Times New Roman" w:cs="Times New Roman" w:eastAsia="Times New Roman" w:hint="default"/>
        </w:rPr>
        <w:t>NTT</w:t>
      </w:r>
      <w:r>
        <w:rPr>
          <w:rFonts w:ascii="Times New Roman" w:hAnsi="Times New Roman" w:cs="Times New Roman" w:eastAsia="Times New Roman" w:hint="default"/>
          <w:spacing w:val="-2"/>
        </w:rPr>
        <w:t> </w:t>
      </w:r>
      <w:r>
        <w:rPr>
          <w:rFonts w:ascii="Times New Roman" w:hAnsi="Times New Roman" w:cs="Times New Roman" w:eastAsia="Times New Roman" w:hint="default"/>
        </w:rPr>
        <w:t>DATA</w:t>
      </w:r>
      <w:r>
        <w:rPr/>
        <w:t>、新加坡华侨银行等，整合资源，将公司在中国市场积累的先进产品和服务输出到东南亚市场。</w:t>
      </w:r>
    </w:p>
    <w:p>
      <w:pPr>
        <w:pStyle w:val="BodyText"/>
        <w:spacing w:line="300" w:lineRule="auto" w:before="5"/>
        <w:ind w:left="513" w:right="986"/>
        <w:jc w:val="left"/>
      </w:pPr>
      <w:r>
        <w:rPr/>
        <w:t>（</w:t>
      </w:r>
      <w:r>
        <w:rPr>
          <w:rFonts w:ascii="Times New Roman" w:hAnsi="Times New Roman" w:cs="Times New Roman" w:eastAsia="Times New Roman" w:hint="default"/>
        </w:rPr>
        <w:t>5</w:t>
      </w:r>
      <w:r>
        <w:rPr/>
        <w:t>）引入百度为战略股东 </w:t>
      </w:r>
      <w:r>
        <w:rPr>
          <w:spacing w:val="-2"/>
        </w:rPr>
        <w:t>报告期内，公司与百度经过多次沟通，并于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日通过协议转让股份引入百度作为战略股东。同时，公司与百度</w:t>
      </w:r>
    </w:p>
    <w:p>
      <w:pPr>
        <w:pStyle w:val="BodyText"/>
        <w:spacing w:line="309" w:lineRule="auto" w:before="13"/>
        <w:ind w:right="1130"/>
        <w:jc w:val="both"/>
      </w:pPr>
      <w:r>
        <w:rPr>
          <w:spacing w:val="-2"/>
        </w:rPr>
        <w:t>签署战略合作协议，旨在在金融云、互联网核心、分布式数据库、大数据分析平台、智能金融大脑、区块链、可信计算、智</w:t>
      </w:r>
      <w:r>
        <w:rPr>
          <w:spacing w:val="-65"/>
        </w:rPr>
        <w:t> </w:t>
      </w:r>
      <w:r>
        <w:rPr>
          <w:spacing w:val="-65"/>
        </w:rPr>
      </w:r>
      <w:r>
        <w:rPr/>
        <w:t>能交互等层面展开创新合作。作为</w:t>
      </w:r>
      <w:r>
        <w:rPr>
          <w:rFonts w:ascii="Times New Roman" w:hAnsi="Times New Roman" w:cs="Times New Roman" w:eastAsia="Times New Roman" w:hint="default"/>
        </w:rPr>
        <w:t>AI to</w:t>
      </w:r>
      <w:r>
        <w:rPr>
          <w:rFonts w:ascii="Times New Roman" w:hAnsi="Times New Roman" w:cs="Times New Roman" w:eastAsia="Times New Roman" w:hint="default"/>
          <w:spacing w:val="1"/>
        </w:rPr>
        <w:t> </w:t>
      </w:r>
      <w:r>
        <w:rPr>
          <w:rFonts w:ascii="Times New Roman" w:hAnsi="Times New Roman" w:cs="Times New Roman" w:eastAsia="Times New Roman" w:hint="default"/>
        </w:rPr>
        <w:t>B</w:t>
      </w:r>
      <w:r>
        <w:rPr/>
        <w:t>的技术赋能者，百度在</w:t>
      </w:r>
      <w:r>
        <w:rPr>
          <w:rFonts w:ascii="Times New Roman" w:hAnsi="Times New Roman" w:cs="Times New Roman" w:eastAsia="Times New Roman" w:hint="default"/>
        </w:rPr>
        <w:t>AI</w:t>
      </w:r>
      <w:r>
        <w:rPr/>
        <w:t>、云计算、大数据、</w:t>
      </w:r>
      <w:r>
        <w:rPr>
          <w:rFonts w:ascii="Times New Roman" w:hAnsi="Times New Roman" w:cs="Times New Roman" w:eastAsia="Times New Roman" w:hint="default"/>
        </w:rPr>
        <w:t>5G</w:t>
      </w:r>
      <w:r>
        <w:rPr/>
        <w:t>、边缘计算、区块链等前沿领域 </w:t>
      </w:r>
      <w:r>
        <w:rPr>
          <w:spacing w:val="-2"/>
        </w:rPr>
        <w:t>拥有领先技术及布局。公司与百度将进行深度技术整合，由百度提供技术平台能力，宇信科技提供技术应用能力，以安全为</w:t>
      </w:r>
      <w:r>
        <w:rPr>
          <w:spacing w:val="-65"/>
        </w:rPr>
        <w:t> </w:t>
      </w:r>
      <w:r>
        <w:rPr>
          <w:spacing w:val="-65"/>
        </w:rPr>
      </w:r>
      <w:r>
        <w:rPr>
          <w:spacing w:val="-2"/>
        </w:rPr>
        <w:t>前提，联合打造行业内先进的</w:t>
      </w:r>
      <w:r>
        <w:rPr>
          <w:rFonts w:ascii="Times New Roman" w:hAnsi="Times New Roman" w:cs="Times New Roman" w:eastAsia="Times New Roman" w:hint="default"/>
          <w:spacing w:val="-2"/>
        </w:rPr>
        <w:t>“</w:t>
      </w:r>
      <w:r>
        <w:rPr>
          <w:spacing w:val="-2"/>
        </w:rPr>
        <w:t>技术</w:t>
      </w:r>
      <w:r>
        <w:rPr>
          <w:rFonts w:ascii="Times New Roman" w:hAnsi="Times New Roman" w:cs="Times New Roman" w:eastAsia="Times New Roman" w:hint="default"/>
          <w:spacing w:val="-2"/>
        </w:rPr>
        <w:t>+</w:t>
      </w:r>
      <w:r>
        <w:rPr>
          <w:spacing w:val="-2"/>
        </w:rPr>
        <w:t>应用</w:t>
      </w:r>
      <w:r>
        <w:rPr>
          <w:rFonts w:ascii="Times New Roman" w:hAnsi="Times New Roman" w:cs="Times New Roman" w:eastAsia="Times New Roman" w:hint="default"/>
          <w:spacing w:val="-2"/>
        </w:rPr>
        <w:t>+</w:t>
      </w:r>
      <w:r>
        <w:rPr>
          <w:spacing w:val="-2"/>
        </w:rPr>
        <w:t>生态</w:t>
      </w:r>
      <w:r>
        <w:rPr>
          <w:rFonts w:ascii="Times New Roman" w:hAnsi="Times New Roman" w:cs="Times New Roman" w:eastAsia="Times New Roman" w:hint="default"/>
          <w:spacing w:val="-2"/>
        </w:rPr>
        <w:t>”</w:t>
      </w:r>
      <w:r>
        <w:rPr>
          <w:spacing w:val="-2"/>
        </w:rPr>
        <w:t>整合能力，共同推动自主创新的软件产品在金融行业的应用普及，为中国的</w:t>
      </w:r>
      <w:r>
        <w:rPr>
          <w:spacing w:val="-65"/>
        </w:rPr>
        <w:t> </w:t>
      </w:r>
      <w:r>
        <w:rPr>
          <w:spacing w:val="-65"/>
        </w:rPr>
      </w:r>
      <w:r>
        <w:rPr/>
        <w:t>金融业智能化发展提供更多助力。</w:t>
      </w:r>
    </w:p>
    <w:p>
      <w:pPr>
        <w:pStyle w:val="BodyText"/>
        <w:spacing w:line="300" w:lineRule="auto" w:before="24"/>
        <w:ind w:left="513" w:right="1133"/>
        <w:jc w:val="left"/>
      </w:pPr>
      <w:r>
        <w:rPr/>
        <w:t>（</w:t>
      </w:r>
      <w:r>
        <w:rPr>
          <w:rFonts w:ascii="Times New Roman" w:hAnsi="Times New Roman" w:cs="Times New Roman" w:eastAsia="Times New Roman" w:hint="default"/>
        </w:rPr>
        <w:t>6</w:t>
      </w:r>
      <w:r>
        <w:rPr/>
        <w:t>）品牌建设持续推进 报告期内，公司</w:t>
      </w:r>
      <w:r>
        <w:rPr>
          <w:rFonts w:ascii="Times New Roman" w:hAnsi="Times New Roman" w:cs="Times New Roman" w:eastAsia="Times New Roman" w:hint="default"/>
        </w:rPr>
        <w:t>“</w:t>
      </w:r>
      <w:r>
        <w:rPr/>
        <w:t>基于大数据分析及自动化风控的信贷系统研发及应用</w:t>
      </w:r>
      <w:r>
        <w:rPr>
          <w:rFonts w:ascii="Times New Roman" w:hAnsi="Times New Roman" w:cs="Times New Roman" w:eastAsia="Times New Roman" w:hint="default"/>
        </w:rPr>
        <w:t>”</w:t>
      </w:r>
      <w:r>
        <w:rPr/>
        <w:t>项目荣获北京市政府颁发的</w:t>
      </w:r>
      <w:r>
        <w:rPr>
          <w:rFonts w:ascii="Times New Roman" w:hAnsi="Times New Roman" w:cs="Times New Roman" w:eastAsia="Times New Roman" w:hint="default"/>
        </w:rPr>
        <w:t>“2018</w:t>
      </w:r>
      <w:r>
        <w:rPr/>
        <w:t>年北京市科技</w:t>
      </w:r>
    </w:p>
    <w:p>
      <w:pPr>
        <w:pStyle w:val="BodyText"/>
        <w:spacing w:line="302" w:lineRule="auto" w:before="13"/>
        <w:ind w:right="1131"/>
        <w:jc w:val="both"/>
      </w:pPr>
      <w:r>
        <w:rPr/>
        <w:t>技术奖三等奖</w:t>
      </w:r>
      <w:r>
        <w:rPr>
          <w:rFonts w:ascii="Times New Roman" w:hAnsi="Times New Roman" w:cs="Times New Roman" w:eastAsia="Times New Roman" w:hint="default"/>
        </w:rPr>
        <w:t>”</w:t>
      </w:r>
      <w:r>
        <w:rPr/>
        <w:t>；荣登中国电子信息行业联合会发布的</w:t>
      </w:r>
      <w:r>
        <w:rPr>
          <w:rFonts w:ascii="Times New Roman" w:hAnsi="Times New Roman" w:cs="Times New Roman" w:eastAsia="Times New Roman" w:hint="default"/>
        </w:rPr>
        <w:t>“2019</w:t>
      </w:r>
      <w:r>
        <w:rPr/>
        <w:t>年软件与信息技术服务综合竞争力百强企业</w:t>
      </w:r>
      <w:r>
        <w:rPr>
          <w:rFonts w:ascii="Times New Roman" w:hAnsi="Times New Roman" w:cs="Times New Roman" w:eastAsia="Times New Roman" w:hint="default"/>
        </w:rPr>
        <w:t>”</w:t>
      </w:r>
      <w:r>
        <w:rPr/>
        <w:t>；荣获北京软件和</w:t>
      </w:r>
      <w:r>
        <w:rPr>
          <w:spacing w:val="-59"/>
        </w:rPr>
        <w:t> </w:t>
      </w:r>
      <w:r>
        <w:rPr>
          <w:spacing w:val="-59"/>
        </w:rPr>
      </w:r>
      <w:r>
        <w:rPr>
          <w:spacing w:val="-1"/>
        </w:rPr>
        <w:t>信息服务业协会颁布的</w:t>
      </w:r>
      <w:r>
        <w:rPr>
          <w:rFonts w:ascii="Times New Roman" w:hAnsi="Times New Roman" w:cs="Times New Roman" w:eastAsia="Times New Roman" w:hint="default"/>
          <w:spacing w:val="-1"/>
        </w:rPr>
        <w:t>“</w:t>
      </w:r>
      <w:r>
        <w:rPr>
          <w:spacing w:val="-1"/>
        </w:rPr>
        <w:t>综合实力百强</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“2019</w:t>
      </w:r>
      <w:r>
        <w:rPr>
          <w:spacing w:val="-1"/>
        </w:rPr>
        <w:t>北京市软件企业核心竞争力评价（规模型）</w:t>
      </w:r>
      <w:r>
        <w:rPr>
          <w:rFonts w:ascii="Times New Roman" w:hAnsi="Times New Roman" w:cs="Times New Roman" w:eastAsia="Times New Roman" w:hint="default"/>
          <w:spacing w:val="-1"/>
        </w:rPr>
        <w:t>”</w:t>
      </w:r>
      <w:r>
        <w:rPr>
          <w:spacing w:val="-1"/>
        </w:rPr>
        <w:t>两项大奖；荣登中关村互联网金</w:t>
      </w:r>
      <w:r>
        <w:rPr>
          <w:spacing w:val="-78"/>
        </w:rPr>
        <w:t> </w:t>
      </w:r>
      <w:r>
        <w:rPr>
          <w:spacing w:val="-78"/>
        </w:rPr>
      </w:r>
      <w:r>
        <w:rPr/>
        <w:t>融研究院发布的</w:t>
      </w:r>
      <w:r>
        <w:rPr>
          <w:rFonts w:ascii="Times New Roman" w:hAnsi="Times New Roman" w:cs="Times New Roman" w:eastAsia="Times New Roman" w:hint="default"/>
        </w:rPr>
        <w:t>“2019</w:t>
      </w:r>
      <w:r>
        <w:rPr/>
        <w:t>中关村金融科技</w:t>
      </w:r>
      <w:r>
        <w:rPr>
          <w:rFonts w:ascii="Times New Roman" w:hAnsi="Times New Roman" w:cs="Times New Roman" w:eastAsia="Times New Roman" w:hint="default"/>
        </w:rPr>
        <w:t>30</w:t>
      </w:r>
      <w:r>
        <w:rPr/>
        <w:t>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中国金融科技竞争力</w:t>
      </w:r>
      <w:r>
        <w:rPr>
          <w:rFonts w:ascii="Times New Roman" w:hAnsi="Times New Roman" w:cs="Times New Roman" w:eastAsia="Times New Roman" w:hint="default"/>
        </w:rPr>
        <w:t>100</w:t>
      </w:r>
      <w:r>
        <w:rPr/>
        <w:t>强</w:t>
      </w:r>
      <w:r>
        <w:rPr>
          <w:rFonts w:ascii="Times New Roman" w:hAnsi="Times New Roman" w:cs="Times New Roman" w:eastAsia="Times New Roman" w:hint="default"/>
        </w:rPr>
        <w:t>”</w:t>
      </w:r>
      <w:r>
        <w:rPr/>
        <w:t>；作为华为金融行业的重要合作伙伴，荣获</w:t>
      </w:r>
      <w:r>
        <w:rPr>
          <w:spacing w:val="-54"/>
        </w:rPr>
        <w:t> </w:t>
      </w:r>
      <w:r>
        <w:rPr>
          <w:spacing w:val="-54"/>
        </w:rPr>
      </w:r>
      <w:r>
        <w:rPr>
          <w:rFonts w:ascii="Times New Roman" w:hAnsi="Times New Roman" w:cs="Times New Roman" w:eastAsia="Times New Roman" w:hint="default"/>
        </w:rPr>
        <w:t>“2019</w:t>
      </w:r>
      <w:r>
        <w:rPr/>
        <w:t>年华为中国生态伙伴大会</w:t>
      </w:r>
      <w:r>
        <w:rPr>
          <w:rFonts w:ascii="Times New Roman" w:hAnsi="Times New Roman" w:cs="Times New Roman" w:eastAsia="Times New Roman" w:hint="default"/>
        </w:rPr>
        <w:t>”</w:t>
      </w:r>
      <w:r>
        <w:rPr/>
        <w:t>评选的</w:t>
      </w:r>
      <w:r>
        <w:rPr>
          <w:rFonts w:ascii="Times New Roman" w:hAnsi="Times New Roman" w:cs="Times New Roman" w:eastAsia="Times New Roman" w:hint="default"/>
        </w:rPr>
        <w:t>“</w:t>
      </w:r>
      <w:r>
        <w:rPr/>
        <w:t>卓越合作伙伴奖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优秀</w:t>
      </w:r>
      <w:r>
        <w:rPr>
          <w:rFonts w:ascii="Times New Roman" w:hAnsi="Times New Roman" w:cs="Times New Roman" w:eastAsia="Times New Roman" w:hint="default"/>
        </w:rPr>
        <w:t>ISV</w:t>
      </w:r>
      <w:r>
        <w:rPr/>
        <w:t>联合解决方案耕耘奖</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优秀金融行业突出贡献奖</w:t>
      </w:r>
      <w:r>
        <w:rPr>
          <w:rFonts w:ascii="Times New Roman" w:hAnsi="Times New Roman" w:cs="Times New Roman" w:eastAsia="Times New Roman" w:hint="default"/>
        </w:rPr>
        <w:t>”</w:t>
      </w:r>
      <w:r>
        <w:rPr/>
        <w:t>等</w:t>
      </w:r>
      <w:r>
        <w:rPr>
          <w:spacing w:val="-32"/>
        </w:rPr>
        <w:t> </w:t>
      </w:r>
      <w:r>
        <w:rPr>
          <w:spacing w:val="-2"/>
        </w:rPr>
        <w:t>重要奖项；作为首批创始会员之一，与华为等多家金融行业企业成立金融开放创新联盟，共建金融开放生态；作为阿里云重</w:t>
      </w:r>
      <w:r>
        <w:rPr>
          <w:spacing w:val="-65"/>
        </w:rPr>
        <w:t> </w:t>
      </w:r>
      <w:r>
        <w:rPr>
          <w:spacing w:val="-65"/>
        </w:rPr>
      </w:r>
      <w:r>
        <w:rPr>
          <w:spacing w:val="-1"/>
        </w:rPr>
        <w:t>要生态合作伙伴，公司应邀出席</w:t>
      </w:r>
      <w:r>
        <w:rPr>
          <w:rFonts w:ascii="Times New Roman" w:hAnsi="Times New Roman" w:cs="Times New Roman" w:eastAsia="Times New Roman" w:hint="default"/>
          <w:spacing w:val="-1"/>
        </w:rPr>
        <w:t>“2019</w:t>
      </w:r>
      <w:r>
        <w:rPr>
          <w:spacing w:val="-1"/>
        </w:rPr>
        <w:t>年阿里云峰会</w:t>
      </w:r>
      <w:r>
        <w:rPr>
          <w:rFonts w:ascii="Times New Roman" w:hAnsi="Times New Roman" w:cs="Times New Roman" w:eastAsia="Times New Roman" w:hint="default"/>
          <w:spacing w:val="-1"/>
        </w:rPr>
        <w:t>”</w:t>
      </w:r>
      <w:r>
        <w:rPr>
          <w:spacing w:val="-1"/>
        </w:rPr>
        <w:t>，并携手其他生态伙伴，参与</w:t>
      </w:r>
      <w:r>
        <w:rPr>
          <w:rFonts w:ascii="Times New Roman" w:hAnsi="Times New Roman" w:cs="Times New Roman" w:eastAsia="Times New Roman" w:hint="default"/>
          <w:spacing w:val="-1"/>
        </w:rPr>
        <w:t>“</w:t>
      </w:r>
      <w:r>
        <w:rPr>
          <w:spacing w:val="-1"/>
        </w:rPr>
        <w:t>构筑云上数字经济共同体</w:t>
      </w:r>
      <w:r>
        <w:rPr>
          <w:rFonts w:ascii="Times New Roman" w:hAnsi="Times New Roman" w:cs="Times New Roman" w:eastAsia="Times New Roman" w:hint="default"/>
          <w:spacing w:val="-1"/>
        </w:rPr>
        <w:t>”</w:t>
      </w:r>
      <w:r>
        <w:rPr>
          <w:spacing w:val="-1"/>
        </w:rPr>
        <w:t>启动仪式，充</w:t>
      </w:r>
      <w:r>
        <w:rPr>
          <w:spacing w:val="-77"/>
        </w:rPr>
        <w:t> </w:t>
      </w:r>
      <w:r>
        <w:rPr>
          <w:spacing w:val="-77"/>
        </w:rPr>
      </w:r>
      <w:r>
        <w:rPr/>
        <w:t>分展示了公司在聚焦新零售、新金融等领域的研发实力和成功案例。</w:t>
      </w:r>
    </w:p>
    <w:p>
      <w:pPr>
        <w:pStyle w:val="BodyText"/>
        <w:spacing w:line="240" w:lineRule="auto" w:before="29"/>
        <w:ind w:left="513" w:right="1133"/>
        <w:jc w:val="left"/>
      </w:pPr>
      <w:r>
        <w:rPr>
          <w:rFonts w:ascii="Times New Roman" w:hAnsi="Times New Roman" w:cs="Times New Roman" w:eastAsia="Times New Roman" w:hint="default"/>
        </w:rPr>
        <w:t>2</w:t>
      </w:r>
      <w:r>
        <w:rPr/>
        <w:t>、面对经营环境的深刻变化，公司认为：</w:t>
      </w:r>
    </w:p>
    <w:p>
      <w:pPr>
        <w:pStyle w:val="BodyText"/>
        <w:spacing w:line="300" w:lineRule="auto" w:before="63"/>
        <w:ind w:right="1124" w:firstLine="360"/>
        <w:jc w:val="left"/>
      </w:pPr>
      <w:r>
        <w:rPr/>
        <w:t>（</w:t>
      </w:r>
      <w:r>
        <w:rPr>
          <w:rFonts w:ascii="Times New Roman" w:hAnsi="Times New Roman" w:cs="Times New Roman" w:eastAsia="Times New Roman" w:hint="default"/>
        </w:rPr>
        <w:t>1</w:t>
      </w:r>
      <w:r>
        <w:rPr/>
        <w:t>）当今时代是技术快速更新迭代的时代，金融行业的技术已经完全深入到具体的应用和场景当中。技术作为宇信之 本，公司将继续加大技术投入和对外技术合作的力度，满足公司和客户对技术层面提出的新要求。</w:t>
      </w:r>
    </w:p>
    <w:p>
      <w:pPr>
        <w:pStyle w:val="BodyText"/>
        <w:spacing w:line="300" w:lineRule="auto" w:before="31"/>
        <w:ind w:right="1132" w:firstLine="360"/>
        <w:jc w:val="both"/>
      </w:pPr>
      <w:r>
        <w:rPr/>
        <w:t>（</w:t>
      </w:r>
      <w:r>
        <w:rPr>
          <w:rFonts w:ascii="Times New Roman" w:hAnsi="Times New Roman" w:cs="Times New Roman" w:eastAsia="Times New Roman" w:hint="default"/>
        </w:rPr>
        <w:t>2</w:t>
      </w:r>
      <w:r>
        <w:rPr/>
        <w:t>）现代金融行业的表现形式和落地手法愈发多样，市场对产品、业务、技术，以及运营等解决方案要求更高，公司 </w:t>
      </w:r>
      <w:r>
        <w:rPr>
          <w:spacing w:val="-2"/>
        </w:rPr>
        <w:t>将形成</w:t>
      </w:r>
      <w:r>
        <w:rPr>
          <w:rFonts w:ascii="Times New Roman" w:hAnsi="Times New Roman" w:cs="Times New Roman" w:eastAsia="Times New Roman" w:hint="default"/>
          <w:spacing w:val="-2"/>
        </w:rPr>
        <w:t>“</w:t>
      </w:r>
      <w:r>
        <w:rPr>
          <w:spacing w:val="-2"/>
        </w:rPr>
        <w:t>技术＋产品＋业务＋运营</w:t>
      </w:r>
      <w:r>
        <w:rPr>
          <w:rFonts w:ascii="Times New Roman" w:hAnsi="Times New Roman" w:cs="Times New Roman" w:eastAsia="Times New Roman" w:hint="default"/>
          <w:spacing w:val="-2"/>
        </w:rPr>
        <w:t>”</w:t>
      </w:r>
      <w:r>
        <w:rPr>
          <w:spacing w:val="-2"/>
        </w:rPr>
        <w:t>一体化，更好的为金融机构提供科技赋能，提质增效，这也是实现公司创新与转型的必要</w:t>
      </w:r>
      <w:r>
        <w:rPr>
          <w:spacing w:val="-45"/>
        </w:rPr>
        <w:t> </w:t>
      </w:r>
      <w:r>
        <w:rPr>
          <w:spacing w:val="-45"/>
        </w:rPr>
      </w:r>
      <w:r>
        <w:rPr/>
        <w:t>条件和必经之路。</w:t>
      </w:r>
    </w:p>
    <w:p>
      <w:pPr>
        <w:pStyle w:val="BodyText"/>
        <w:spacing w:line="240" w:lineRule="auto" w:before="31"/>
        <w:ind w:left="513" w:right="986"/>
        <w:jc w:val="left"/>
      </w:pPr>
      <w:r>
        <w:rPr/>
        <w:t>（</w:t>
      </w:r>
      <w:r>
        <w:rPr>
          <w:rFonts w:ascii="Times New Roman" w:hAnsi="Times New Roman" w:cs="Times New Roman" w:eastAsia="Times New Roman" w:hint="default"/>
        </w:rPr>
        <w:t>3</w:t>
      </w:r>
      <w:r>
        <w:rPr/>
        <w:t>）在金融与科技更加紧密结合的背景下，除了以消费金融发力的金融科技外，监管科技自主可控逐渐成为行业的趋</w:t>
      </w:r>
    </w:p>
    <w:p>
      <w:pPr>
        <w:spacing w:after="0" w:line="240" w:lineRule="auto"/>
        <w:jc w:val="left"/>
        <w:sectPr>
          <w:pgSz w:w="11910" w:h="16840"/>
          <w:pgMar w:header="852" w:footer="980" w:top="1300" w:bottom="1160" w:left="980" w:right="0"/>
        </w:sectPr>
      </w:pPr>
    </w:p>
    <w:p>
      <w:pPr>
        <w:pStyle w:val="BodyText"/>
        <w:spacing w:line="240" w:lineRule="auto" w:before="142"/>
        <w:ind w:right="1133"/>
        <w:jc w:val="left"/>
      </w:pPr>
      <w:r>
        <w:rPr/>
        <w:t>势和热点，公司也将在这些方面予以重点关注和业务开拓。</w:t>
      </w:r>
    </w:p>
    <w:p>
      <w:pPr>
        <w:pStyle w:val="BodyText"/>
        <w:spacing w:line="300" w:lineRule="auto" w:before="77"/>
        <w:ind w:right="1124" w:firstLine="360"/>
        <w:jc w:val="left"/>
      </w:pPr>
      <w:r>
        <w:rPr/>
        <w:t>（</w:t>
      </w:r>
      <w:r>
        <w:rPr>
          <w:rFonts w:ascii="Times New Roman" w:hAnsi="Times New Roman" w:cs="Times New Roman" w:eastAsia="Times New Roman" w:hint="default"/>
        </w:rPr>
        <w:t>4</w:t>
      </w:r>
      <w:r>
        <w:rPr/>
        <w:t>）海外市场机会较多且目前还有难点，但相信是优势大过劣势。公司将运用全球视野，以技术优势逐步走出去，为 公司的长期发展蓄力。</w:t>
      </w:r>
    </w:p>
    <w:p>
      <w:pPr>
        <w:pStyle w:val="BodyText"/>
        <w:spacing w:line="340" w:lineRule="auto" w:before="31"/>
        <w:ind w:left="513" w:right="986"/>
        <w:jc w:val="left"/>
      </w:pPr>
      <w:r>
        <w:rPr>
          <w:rFonts w:ascii="Times New Roman" w:hAnsi="Times New Roman" w:cs="Times New Roman" w:eastAsia="Times New Roman" w:hint="default"/>
        </w:rPr>
        <w:t>3</w:t>
      </w:r>
      <w:r>
        <w:rPr/>
        <w:t>、未来发展策略概述 </w:t>
      </w:r>
      <w:r>
        <w:rPr>
          <w:spacing w:val="-2"/>
        </w:rPr>
        <w:t>面对金融业与新兴科技正在进行深度融合，金融科技已成为促进金融业全面转型升级的重要推动力量。公司作为中国金</w:t>
      </w:r>
    </w:p>
    <w:p>
      <w:pPr>
        <w:pStyle w:val="BodyText"/>
        <w:spacing w:line="302" w:lineRule="auto" w:before="1"/>
        <w:ind w:right="1130"/>
        <w:jc w:val="both"/>
      </w:pPr>
      <w:r>
        <w:rPr>
          <w:spacing w:val="-2"/>
        </w:rPr>
        <w:t>融科技服务领军企业之一，未来将会持续加大在金融科技创新中的投入，利用科技创新推动金融市场化的进程。主要在三个</w:t>
      </w:r>
      <w:r>
        <w:rPr>
          <w:spacing w:val="-63"/>
        </w:rPr>
        <w:t> </w:t>
      </w:r>
      <w:r>
        <w:rPr>
          <w:spacing w:val="-63"/>
        </w:rPr>
      </w:r>
      <w:r>
        <w:rPr>
          <w:spacing w:val="-1"/>
        </w:rPr>
        <w:t>方面发力：传统业务</w:t>
      </w:r>
      <w:r>
        <w:rPr>
          <w:rFonts w:ascii="Times New Roman" w:hAnsi="Times New Roman" w:cs="Times New Roman" w:eastAsia="Times New Roman" w:hint="default"/>
          <w:spacing w:val="-1"/>
        </w:rPr>
        <w:t>+</w:t>
      </w:r>
      <w:r>
        <w:rPr>
          <w:spacing w:val="-1"/>
        </w:rPr>
        <w:t>创新运营业务</w:t>
      </w:r>
      <w:r>
        <w:rPr>
          <w:rFonts w:ascii="Times New Roman" w:hAnsi="Times New Roman" w:cs="Times New Roman" w:eastAsia="Times New Roman" w:hint="default"/>
          <w:spacing w:val="-1"/>
        </w:rPr>
        <w:t>+</w:t>
      </w:r>
      <w:r>
        <w:rPr>
          <w:spacing w:val="-1"/>
        </w:rPr>
        <w:t>海外业务。（</w:t>
      </w:r>
      <w:r>
        <w:rPr>
          <w:rFonts w:ascii="Times New Roman" w:hAnsi="Times New Roman" w:cs="Times New Roman" w:eastAsia="Times New Roman" w:hint="default"/>
          <w:spacing w:val="-1"/>
        </w:rPr>
        <w:t>1</w:t>
      </w:r>
      <w:r>
        <w:rPr>
          <w:spacing w:val="-1"/>
        </w:rPr>
        <w:t>）公司将继续加大产品研发的投入，协同百度的技术优势，提升产品能</w:t>
      </w:r>
      <w:r>
        <w:rPr>
          <w:spacing w:val="-53"/>
        </w:rPr>
        <w:t> </w:t>
      </w:r>
      <w:r>
        <w:rPr>
          <w:spacing w:val="-53"/>
        </w:rPr>
      </w:r>
      <w:r>
        <w:rPr/>
        <w:t>力，进一步巩固公司在传统银行</w:t>
      </w:r>
      <w:r>
        <w:rPr>
          <w:rFonts w:ascii="Times New Roman" w:hAnsi="Times New Roman" w:cs="Times New Roman" w:eastAsia="Times New Roman" w:hint="default"/>
        </w:rPr>
        <w:t>IT</w:t>
      </w:r>
      <w:r>
        <w:rPr/>
        <w:t>的领先地位；而在金融科技的深度技术整合方面，跟百度深度合作、强势联合，实现</w:t>
      </w:r>
      <w:r>
        <w:rPr>
          <w:rFonts w:ascii="Times New Roman" w:hAnsi="Times New Roman" w:cs="Times New Roman" w:eastAsia="Times New Roman" w:hint="default"/>
        </w:rPr>
        <w:t>“</w:t>
      </w:r>
      <w:r>
        <w:rPr/>
        <w:t>技</w:t>
      </w:r>
      <w:r>
        <w:rPr>
          <w:spacing w:val="-64"/>
        </w:rPr>
        <w:t> </w:t>
      </w:r>
      <w:r>
        <w:rPr/>
        <w:t>术</w:t>
      </w:r>
      <w:r>
        <w:rPr>
          <w:rFonts w:ascii="Times New Roman" w:hAnsi="Times New Roman" w:cs="Times New Roman" w:eastAsia="Times New Roman" w:hint="default"/>
        </w:rPr>
        <w:t>+</w:t>
      </w:r>
      <w:r>
        <w:rPr/>
        <w:t>应用</w:t>
      </w:r>
      <w:r>
        <w:rPr>
          <w:rFonts w:ascii="Times New Roman" w:hAnsi="Times New Roman" w:cs="Times New Roman" w:eastAsia="Times New Roman" w:hint="default"/>
        </w:rPr>
        <w:t>+</w:t>
      </w:r>
      <w:r>
        <w:rPr/>
        <w:t>生态</w:t>
      </w:r>
      <w:r>
        <w:rPr>
          <w:rFonts w:ascii="Times New Roman" w:hAnsi="Times New Roman" w:cs="Times New Roman" w:eastAsia="Times New Roman" w:hint="default"/>
        </w:rPr>
        <w:t>”</w:t>
      </w:r>
      <w:r>
        <w:rPr/>
        <w:t>的综合建设，和百度共同推广区块链</w:t>
      </w:r>
      <w:r>
        <w:rPr>
          <w:rFonts w:ascii="Times New Roman" w:hAnsi="Times New Roman" w:cs="Times New Roman" w:eastAsia="Times New Roman" w:hint="default"/>
        </w:rPr>
        <w:t>+</w:t>
      </w:r>
      <w:r>
        <w:rPr/>
        <w:t>金融的行业级解决方案，包括但不限于供应链金融、积分链、可信计</w:t>
      </w:r>
      <w:r>
        <w:rPr>
          <w:spacing w:val="-29"/>
        </w:rPr>
        <w:t> </w:t>
      </w:r>
      <w:r>
        <w:rPr>
          <w:spacing w:val="-29"/>
        </w:rPr>
      </w:r>
      <w:r>
        <w:rPr/>
        <w:t>算、合规 </w:t>
      </w:r>
      <w:r>
        <w:rPr>
          <w:rFonts w:ascii="Times New Roman" w:hAnsi="Times New Roman" w:cs="Times New Roman" w:eastAsia="Times New Roman" w:hint="default"/>
        </w:rPr>
        <w:t>Token</w:t>
      </w:r>
      <w:r>
        <w:rPr>
          <w:rFonts w:ascii="Times New Roman" w:hAnsi="Times New Roman" w:cs="Times New Roman" w:eastAsia="Times New Roman" w:hint="default"/>
          <w:spacing w:val="41"/>
        </w:rPr>
        <w:t> </w:t>
      </w:r>
      <w:r>
        <w:rPr/>
        <w:t>等内容；同时，作为金融开放创新联盟的创始会员和华为鲲鹏合作伙伴，我们也将在智慧银行等方面深化 合作，帮助客户在信息技术应用创新方面提供更好的产品和解决方案。（</w:t>
      </w:r>
      <w:r>
        <w:rPr>
          <w:rFonts w:ascii="Times New Roman" w:hAnsi="Times New Roman" w:cs="Times New Roman" w:eastAsia="Times New Roman" w:hint="default"/>
        </w:rPr>
        <w:t>2</w:t>
      </w:r>
      <w:r>
        <w:rPr/>
        <w:t>）在</w:t>
      </w:r>
      <w:r>
        <w:rPr>
          <w:rFonts w:ascii="Times New Roman" w:hAnsi="Times New Roman" w:cs="Times New Roman" w:eastAsia="Times New Roman" w:hint="default"/>
        </w:rPr>
        <w:t>2019</w:t>
      </w:r>
      <w:r>
        <w:rPr/>
        <w:t>年获得了突破，公司在创新运营业务的</w:t>
      </w:r>
      <w:r>
        <w:rPr>
          <w:spacing w:val="-85"/>
        </w:rPr>
        <w:t> </w:t>
      </w:r>
      <w:r>
        <w:rPr>
          <w:spacing w:val="-85"/>
        </w:rPr>
      </w:r>
      <w:r>
        <w:rPr/>
        <w:t>投入将进一步加大力度，为客户提供更加多样的运营平台和服务，提升创新运营业务收入在整体收入的比例；（</w:t>
      </w:r>
      <w:r>
        <w:rPr>
          <w:rFonts w:ascii="Times New Roman" w:hAnsi="Times New Roman" w:cs="Times New Roman" w:eastAsia="Times New Roman" w:hint="default"/>
        </w:rPr>
        <w:t>3</w:t>
      </w:r>
      <w:r>
        <w:rPr/>
        <w:t>）深度开</w:t>
      </w:r>
      <w:r>
        <w:rPr>
          <w:spacing w:val="-82"/>
        </w:rPr>
        <w:t> </w:t>
      </w:r>
      <w:r>
        <w:rPr/>
        <w:t>拓东南亚市场，跟公司的长期合作伙伴紧密合作，实现市场的突破。</w:t>
      </w:r>
    </w:p>
    <w:p>
      <w:pPr>
        <w:spacing w:line="240" w:lineRule="auto" w:before="6"/>
        <w:rPr>
          <w:rFonts w:ascii="宋体" w:hAnsi="宋体" w:cs="宋体" w:eastAsia="宋体" w:hint="default"/>
          <w:sz w:val="21"/>
          <w:szCs w:val="21"/>
        </w:rPr>
      </w:pPr>
    </w:p>
    <w:p>
      <w:pPr>
        <w:pStyle w:val="Heading2"/>
        <w:spacing w:line="240" w:lineRule="auto"/>
        <w:ind w:right="1133"/>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2,651,726,752.49</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2,140,560,716.62</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23.88%</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2,308,375,231.05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87.05%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1,740,585,861.58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81.31%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32.62%</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非银行金融机构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216,368,879.32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253,946,352.61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-14.80%</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126,982,642.12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146,028,502.43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1,908,142,202.21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71.95%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1,573,503,627.77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73.51%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21.27%</w:t>
            </w:r>
          </w:p>
        </w:tc>
      </w:tr>
      <w:tr>
        <w:trPr>
          <w:trHeight w:val="71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系统集成销售及服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596,775,034.60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22.51%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471,179,341.54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26.66%</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创新运营业务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76,045,546.82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11,492,000.23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561.73%</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70,763,968.86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84,385,747.08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-16.14%</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77,815,995.31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78,916,857.80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1,280,649,309.26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1,093,471,400.19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17.12%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548,726,295.29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352,285,056.17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55.76%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384,089,578.86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267,838,482.86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43.40%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235,536,292.84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210,170,860.29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46,814,110.40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54,057,925.68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-13.40%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77,263,631.81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83,820,133.63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831,538.72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96"/>
        <w:gridCol w:w="1020"/>
        <w:gridCol w:w="1009"/>
        <w:gridCol w:w="1013"/>
        <w:gridCol w:w="1011"/>
        <w:gridCol w:w="1003"/>
        <w:gridCol w:w="1006"/>
        <w:gridCol w:w="1001"/>
        <w:gridCol w:w="1003"/>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2"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292,535,382.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774,316,853.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476,255,832.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1,108,618,68</w:t>
            </w:r>
          </w:p>
          <w:p>
            <w:pPr>
              <w:pStyle w:val="TableParagraph"/>
              <w:spacing w:line="240" w:lineRule="auto" w:before="105"/>
              <w:ind w:left="665" w:right="0"/>
              <w:jc w:val="left"/>
              <w:rPr>
                <w:rFonts w:ascii="Times New Roman" w:hAnsi="Times New Roman" w:cs="Times New Roman" w:eastAsia="Times New Roman" w:hint="default"/>
                <w:sz w:val="18"/>
                <w:szCs w:val="18"/>
              </w:rPr>
            </w:pPr>
            <w:r>
              <w:rPr>
                <w:rFonts w:ascii="Times New Roman"/>
                <w:sz w:val="18"/>
              </w:rPr>
              <w:t>4.33</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215,400,347.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543,169,396.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303,967,230.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1,078,023,74</w:t>
            </w:r>
          </w:p>
          <w:p>
            <w:pPr>
              <w:pStyle w:val="TableParagraph"/>
              <w:spacing w:line="240" w:lineRule="auto" w:before="105"/>
              <w:ind w:left="655" w:right="0"/>
              <w:jc w:val="left"/>
              <w:rPr>
                <w:rFonts w:ascii="Times New Roman" w:hAnsi="Times New Roman" w:cs="Times New Roman" w:eastAsia="Times New Roman" w:hint="default"/>
                <w:sz w:val="18"/>
                <w:szCs w:val="18"/>
              </w:rPr>
            </w:pPr>
            <w:r>
              <w:rPr>
                <w:rFonts w:ascii="Times New Roman"/>
                <w:sz w:val="18"/>
              </w:rPr>
              <w:t>2.08</w:t>
            </w:r>
          </w:p>
        </w:tc>
      </w:tr>
      <w:tr>
        <w:trPr>
          <w:trHeight w:val="394"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0"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985,667.30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80,029,502.5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8,550,720.70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184,615,306.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-15,086,550.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82,344,645.6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14,862,292.2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113,497,504.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35</w:t>
            </w:r>
          </w:p>
        </w:tc>
      </w:tr>
    </w:tbl>
    <w:p>
      <w:pPr>
        <w:pStyle w:val="BodyText"/>
        <w:spacing w:line="360" w:lineRule="auto" w:before="49"/>
        <w:ind w:left="513" w:right="1133" w:hanging="361"/>
        <w:jc w:val="left"/>
        <w:rPr>
          <w:rFonts w:ascii="Times New Roman" w:hAnsi="Times New Roman" w:cs="Times New Roman" w:eastAsia="Times New Roman" w:hint="default"/>
        </w:rPr>
      </w:pPr>
      <w:r>
        <w:rPr/>
        <w:t>说明经营季节性（或周期性）发生的原因及波动风险 </w:t>
      </w:r>
      <w:r>
        <w:rPr>
          <w:spacing w:val="-2"/>
        </w:rPr>
        <w:t>公司业务存在一定季节性，第四季度收入占比较高，主要原因与公司客户</w:t>
      </w:r>
      <w:r>
        <w:rPr>
          <w:rFonts w:ascii="Times New Roman" w:hAnsi="Times New Roman" w:cs="Times New Roman" w:eastAsia="Times New Roman" w:hint="default"/>
          <w:spacing w:val="-2"/>
        </w:rPr>
        <w:t>IT</w:t>
      </w:r>
      <w:r>
        <w:rPr>
          <w:spacing w:val="-2"/>
        </w:rPr>
        <w:t>采购流程有关。公司作为国内最大的金融</w:t>
      </w:r>
      <w:r>
        <w:rPr>
          <w:rFonts w:ascii="Times New Roman" w:hAnsi="Times New Roman" w:cs="Times New Roman" w:eastAsia="Times New Roman" w:hint="default"/>
          <w:spacing w:val="-2"/>
        </w:rPr>
        <w:t>IT</w:t>
      </w:r>
    </w:p>
    <w:p>
      <w:pPr>
        <w:pStyle w:val="BodyText"/>
        <w:spacing w:line="212" w:lineRule="exact"/>
        <w:ind w:right="0"/>
        <w:jc w:val="both"/>
      </w:pPr>
      <w:r>
        <w:rPr/>
        <w:t>服务提供商之一，客户主要为以银行为主的金融机构，金融机构对</w:t>
      </w:r>
      <w:r>
        <w:rPr>
          <w:rFonts w:ascii="Times New Roman" w:hAnsi="Times New Roman" w:cs="Times New Roman" w:eastAsia="Times New Roman" w:hint="default"/>
        </w:rPr>
        <w:t>IT</w:t>
      </w:r>
      <w:r>
        <w:rPr/>
        <w:t>系统的采购需履行严格的预算管理制度，通常是年初制</w:t>
      </w:r>
    </w:p>
    <w:p>
      <w:pPr>
        <w:pStyle w:val="BodyText"/>
        <w:spacing w:line="304" w:lineRule="auto" w:before="63"/>
        <w:ind w:right="1130"/>
        <w:jc w:val="both"/>
      </w:pPr>
      <w:r>
        <w:rPr>
          <w:spacing w:val="-2"/>
        </w:rPr>
        <w:t>定投资计划，通过预算、审批、招标、签订合同等流程，年底则集中开展对供应商开发的</w:t>
      </w:r>
      <w:r>
        <w:rPr>
          <w:rFonts w:ascii="Times New Roman" w:hAnsi="Times New Roman" w:cs="Times New Roman" w:eastAsia="Times New Roman" w:hint="default"/>
          <w:spacing w:val="-2"/>
        </w:rPr>
        <w:t>IT</w:t>
      </w:r>
      <w:r>
        <w:rPr>
          <w:spacing w:val="-2"/>
        </w:rPr>
        <w:t>系统进行测试、验收等工作，公</w:t>
      </w:r>
      <w:r>
        <w:rPr>
          <w:spacing w:val="-55"/>
        </w:rPr>
        <w:t> </w:t>
      </w:r>
      <w:r>
        <w:rPr>
          <w:spacing w:val="-55"/>
        </w:rPr>
      </w:r>
      <w:r>
        <w:rPr/>
        <w:t>司收到验收单后确认收入，使得公司收入第四季度收入较高。</w:t>
      </w:r>
      <w:r>
        <w:rPr>
          <w:rFonts w:ascii="Times New Roman" w:hAnsi="Times New Roman" w:cs="Times New Roman" w:eastAsia="Times New Roman" w:hint="default"/>
        </w:rPr>
        <w:t>2019</w:t>
      </w:r>
      <w:r>
        <w:rPr/>
        <w:t>年第四季度收入占比较上年同期占比降低，主要为</w:t>
      </w:r>
      <w:r>
        <w:rPr>
          <w:rFonts w:ascii="Times New Roman" w:hAnsi="Times New Roman" w:cs="Times New Roman" w:eastAsia="Times New Roman" w:hint="default"/>
        </w:rPr>
        <w:t>2018</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2"/>
        </w:rPr>
        <w:t>年部分大额的系统集成设备及服务项目集中在第四季度验收，同时随着客户对于项目管理越来越成熟，公司也不断加强项目</w:t>
      </w:r>
      <w:r>
        <w:rPr>
          <w:spacing w:val="-63"/>
        </w:rPr>
        <w:t> </w:t>
      </w:r>
      <w:r>
        <w:rPr>
          <w:spacing w:val="-63"/>
        </w:rPr>
      </w:r>
      <w:r>
        <w:rPr>
          <w:spacing w:val="-2"/>
        </w:rPr>
        <w:t>的日常运营管理，使得公司在</w:t>
      </w:r>
      <w:r>
        <w:rPr>
          <w:rFonts w:ascii="Times New Roman" w:hAnsi="Times New Roman" w:cs="Times New Roman" w:eastAsia="Times New Roman" w:hint="default"/>
          <w:spacing w:val="-2"/>
        </w:rPr>
        <w:t>2019</w:t>
      </w:r>
      <w:r>
        <w:rPr>
          <w:spacing w:val="-2"/>
        </w:rPr>
        <w:t>年前三个季度的收入占比跟</w:t>
      </w:r>
      <w:r>
        <w:rPr>
          <w:rFonts w:ascii="Times New Roman" w:hAnsi="Times New Roman" w:cs="Times New Roman" w:eastAsia="Times New Roman" w:hint="default"/>
          <w:spacing w:val="-2"/>
        </w:rPr>
        <w:t>2018</w:t>
      </w:r>
      <w:r>
        <w:rPr>
          <w:spacing w:val="-2"/>
        </w:rPr>
        <w:t>年的前三个季度相比有所提升，公司整年收入的季节性有</w:t>
      </w:r>
      <w:r>
        <w:rPr>
          <w:spacing w:val="-59"/>
        </w:rPr>
        <w:t> </w:t>
      </w:r>
      <w:r>
        <w:rPr>
          <w:spacing w:val="-59"/>
        </w:rPr>
      </w:r>
      <w:r>
        <w:rPr/>
        <w:t>所改善。</w:t>
      </w:r>
    </w:p>
    <w:p>
      <w:pPr>
        <w:pStyle w:val="BodyText"/>
        <w:spacing w:line="314" w:lineRule="auto" w:before="68"/>
        <w:ind w:right="1133" w:firstLine="288"/>
        <w:jc w:val="left"/>
      </w:pPr>
      <w:r>
        <w:rPr>
          <w:spacing w:val="-1"/>
        </w:rPr>
        <w:t>公司第四季度归属于上市公司股东的净利润占比较高，主要为受收入季节性影响，而公司费用主要为人工成本，每月费</w:t>
      </w:r>
      <w:r>
        <w:rPr/>
        <w:t> 用发生金额比较平稳。公司第二季度归属于上市公司股东的净利润较高同样源自公司第二季度收入较高。</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80" w:top="130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580" w:bottom="70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2,308,375,231.05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1,525,221,518.27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1,908,142,202.21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1,142,675,465.32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596,775,034.60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527,043,710.60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1,280,649,309.26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865,721,572.33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548,726,295.29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323,876,145.16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384,089,578.86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275,353,639.77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973,396,848.49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765,430,864.96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38,156,268.92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39,446,217.09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38,597,552.26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45,335,555.38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473,049,915.43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337,332,393.05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2,020,933.17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484,834.86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63,468.49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非银金融机构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109,078,103.47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114,669,103.19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非银金融机构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5,492,168.68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7,151,746.68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非银金融机构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2,331,853.05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11,617,618.88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非银金融机构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1,124,481.58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15,204,778.58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-92.60%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非银金融机构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340,384.82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30,827,117.77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28,775,735.48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638,583.38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3,844,813.04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227,796.73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992,889.83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-77.06%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47,634,678.61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68,851,889.48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-30.82%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73,172.79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177,979.93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650,242.08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380,323.92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70.97%</w:t>
            </w:r>
          </w:p>
        </w:tc>
      </w:tr>
    </w:tbl>
    <w:p>
      <w:pPr>
        <w:pStyle w:val="BodyText"/>
        <w:spacing w:line="240" w:lineRule="auto" w:before="49"/>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1,073,033,076.48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879,078,170.09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29,847,060.14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34,393,276.68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39,245,861.57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57,830,319.82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1,693.80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547,773.33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413,843.12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32.36%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851,590.35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1,078,057.29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2,493,747.48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2,494,134.11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4,273.50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521,807,381.82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421,389,061.11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23.83%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1,886,717.45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150,288.73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1,155.40%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创新运营业务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5,359,688.15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3,707,915.29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创新运营业务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4,782,428.93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3,477,507.99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创新运营业务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1,907,066.97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115,744.27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1,547.66%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创新运营业务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98,682.94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34,057,714.75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25,011,560.96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7,163,784.43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10,077,858.03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650,242.08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443,792.41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46.52%</w:t>
            </w:r>
          </w:p>
        </w:tc>
      </w:tr>
    </w:tbl>
    <w:p>
      <w:pPr>
        <w:pStyle w:val="BodyText"/>
        <w:spacing w:line="240" w:lineRule="auto" w:before="49"/>
        <w:ind w:right="1133"/>
        <w:jc w:val="left"/>
      </w:pPr>
      <w:r>
        <w:rPr/>
        <w:t>说明</w:t>
      </w:r>
    </w:p>
    <w:p>
      <w:pPr>
        <w:pStyle w:val="BodyText"/>
        <w:spacing w:line="240" w:lineRule="auto" w:before="115"/>
        <w:ind w:left="513" w:right="986"/>
        <w:jc w:val="left"/>
      </w:pPr>
      <w:r>
        <w:rPr/>
        <w:t>报告期内公司营业成本较上年同期增长</w:t>
      </w:r>
      <w:r>
        <w:rPr>
          <w:rFonts w:ascii="Times New Roman" w:hAnsi="Times New Roman" w:cs="Times New Roman" w:eastAsia="Times New Roman" w:hint="default"/>
        </w:rPr>
        <w:t>2.84</w:t>
      </w:r>
      <w:r>
        <w:rPr/>
        <w:t>亿元，增幅</w:t>
      </w:r>
      <w:r>
        <w:rPr>
          <w:rFonts w:ascii="Times New Roman" w:hAnsi="Times New Roman" w:cs="Times New Roman" w:eastAsia="Times New Roman" w:hint="default"/>
        </w:rPr>
        <w:t>19.72%</w:t>
      </w:r>
      <w:r>
        <w:rPr/>
        <w:t>，其中：人工成本同比增加</w:t>
      </w:r>
      <w:r>
        <w:rPr>
          <w:rFonts w:ascii="Times New Roman" w:hAnsi="Times New Roman" w:cs="Times New Roman" w:eastAsia="Times New Roman" w:hint="default"/>
        </w:rPr>
        <w:t>2.04</w:t>
      </w:r>
      <w:r>
        <w:rPr/>
        <w:t>亿元，增幅</w:t>
      </w:r>
      <w:r>
        <w:rPr>
          <w:rFonts w:ascii="Times New Roman" w:hAnsi="Times New Roman" w:cs="Times New Roman" w:eastAsia="Times New Roman" w:hint="default"/>
        </w:rPr>
        <w:t>22.49%</w:t>
      </w:r>
      <w:r>
        <w:rPr/>
        <w:t>，主要</w:t>
      </w:r>
    </w:p>
    <w:p>
      <w:pPr>
        <w:pStyle w:val="BodyText"/>
        <w:spacing w:line="300" w:lineRule="auto" w:before="63"/>
        <w:ind w:right="1131"/>
        <w:jc w:val="both"/>
      </w:pPr>
      <w:r>
        <w:rPr>
          <w:spacing w:val="-1"/>
        </w:rPr>
        <w:t>随着公司软件开发及服务业务收入增长而增加。软硬件采购成本同比增加</w:t>
      </w:r>
      <w:r>
        <w:rPr>
          <w:rFonts w:ascii="Times New Roman" w:hAnsi="Times New Roman" w:cs="Times New Roman" w:eastAsia="Times New Roman" w:hint="default"/>
          <w:spacing w:val="-1"/>
        </w:rPr>
        <w:t>1</w:t>
      </w:r>
      <w:r>
        <w:rPr>
          <w:spacing w:val="-1"/>
        </w:rPr>
        <w:t>亿元，增幅</w:t>
      </w:r>
      <w:r>
        <w:rPr>
          <w:rFonts w:ascii="Times New Roman" w:hAnsi="Times New Roman" w:cs="Times New Roman" w:eastAsia="Times New Roman" w:hint="default"/>
          <w:spacing w:val="-1"/>
        </w:rPr>
        <w:t>23.83%</w:t>
      </w:r>
      <w:r>
        <w:rPr>
          <w:spacing w:val="-1"/>
        </w:rPr>
        <w:t>，主要系公司集成业务规模增</w:t>
      </w:r>
      <w:r>
        <w:rPr>
          <w:spacing w:val="-44"/>
        </w:rPr>
        <w:t> </w:t>
      </w:r>
      <w:r>
        <w:rPr>
          <w:spacing w:val="-44"/>
        </w:rPr>
      </w:r>
      <w:r>
        <w:rPr>
          <w:spacing w:val="-2"/>
        </w:rPr>
        <w:t>长所致。外包服务费同比减少</w:t>
      </w:r>
      <w:r>
        <w:rPr>
          <w:rFonts w:ascii="Times New Roman" w:hAnsi="Times New Roman" w:cs="Times New Roman" w:eastAsia="Times New Roman" w:hint="default"/>
          <w:spacing w:val="-2"/>
        </w:rPr>
        <w:t>0.17</w:t>
      </w:r>
      <w:r>
        <w:rPr>
          <w:spacing w:val="-2"/>
        </w:rPr>
        <w:t>亿元，减幅</w:t>
      </w:r>
      <w:r>
        <w:rPr>
          <w:rFonts w:ascii="Times New Roman" w:hAnsi="Times New Roman" w:cs="Times New Roman" w:eastAsia="Times New Roman" w:hint="default"/>
          <w:spacing w:val="-2"/>
        </w:rPr>
        <w:t>28.97%</w:t>
      </w:r>
      <w:r>
        <w:rPr>
          <w:spacing w:val="-2"/>
        </w:rPr>
        <w:t>，主要原因为公司报告期内软件开发人员增加，更多采用自有员工完成</w:t>
      </w:r>
      <w:r>
        <w:rPr>
          <w:spacing w:val="-33"/>
        </w:rPr>
        <w:t> </w:t>
      </w:r>
      <w:r>
        <w:rPr>
          <w:spacing w:val="-33"/>
        </w:rPr>
      </w:r>
      <w:r>
        <w:rPr/>
        <w:t>客户的软件开发需求，使得外包成本减少。</w:t>
      </w:r>
    </w:p>
    <w:p>
      <w:pPr>
        <w:pStyle w:val="BodyText"/>
        <w:spacing w:line="340" w:lineRule="auto" w:before="72"/>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after="0" w:line="340" w:lineRule="auto"/>
        <w:jc w:val="left"/>
        <w:sectPr>
          <w:pgSz w:w="11910" w:h="16840"/>
          <w:pgMar w:header="852" w:footer="980" w:top="1300" w:bottom="1160" w:left="980" w:right="0"/>
        </w:sectPr>
      </w:pPr>
    </w:p>
    <w:p>
      <w:pPr>
        <w:pStyle w:val="BodyText"/>
        <w:spacing w:line="240" w:lineRule="auto" w:before="142"/>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1,113,302,069.73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908,875,703.63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44,287,020.98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50,442,776.81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41,157,202.04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57,946,064.09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-28.97%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521,809,075.62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421,389,061.11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2,434,490.78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662,814.79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63,468.49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1,722,989,859.15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1,439,379,888.92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656"/>
        <w:gridCol w:w="3135"/>
        <w:gridCol w:w="2343"/>
        <w:gridCol w:w="2230"/>
      </w:tblGrid>
      <w:tr>
        <w:trPr>
          <w:trHeight w:val="346"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变动情况</w:t>
            </w:r>
            <w:r>
              <w:rPr>
                <w:rFonts w:ascii="宋体" w:hAnsi="宋体" w:cs="宋体" w:eastAsia="宋体" w:hint="default"/>
                <w:sz w:val="18"/>
                <w:szCs w:val="18"/>
              </w:rPr>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变更原因</w:t>
            </w:r>
            <w:r>
              <w:rPr>
                <w:rFonts w:ascii="宋体" w:hAnsi="宋体" w:cs="宋体" w:eastAsia="宋体" w:hint="default"/>
                <w:sz w:val="18"/>
                <w:szCs w:val="18"/>
              </w:rPr>
            </w:r>
          </w:p>
        </w:tc>
      </w:tr>
      <w:tr>
        <w:trPr>
          <w:trHeight w:val="348"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3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西安宇信融汇网络科技有限公司</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r>
      <w:tr>
        <w:trPr>
          <w:trHeight w:val="346"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3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宇信鸿泰科技（香港）有限公司</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r>
      <w:tr>
        <w:trPr>
          <w:trHeight w:val="348"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w:t>
            </w:r>
          </w:p>
        </w:tc>
        <w:tc>
          <w:tcPr>
            <w:tcW w:w="3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YUSYS TECHNOLOGIES PTE.</w:t>
            </w:r>
            <w:r>
              <w:rPr>
                <w:rFonts w:ascii="Times New Roman"/>
                <w:spacing w:val="-10"/>
                <w:sz w:val="18"/>
              </w:rPr>
              <w:t> </w:t>
            </w:r>
            <w:r>
              <w:rPr>
                <w:rFonts w:ascii="Times New Roman"/>
                <w:sz w:val="18"/>
              </w:rPr>
              <w:t>LTD.</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r>
      <w:tr>
        <w:trPr>
          <w:trHeight w:val="348"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w:t>
            </w:r>
          </w:p>
        </w:tc>
        <w:tc>
          <w:tcPr>
            <w:tcW w:w="3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北京宇信征信有限公司</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减少</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注销子公司</w:t>
            </w:r>
          </w:p>
        </w:tc>
      </w:tr>
    </w:tbl>
    <w:p>
      <w:pPr>
        <w:spacing w:line="240" w:lineRule="auto" w:before="13"/>
        <w:rPr>
          <w:rFonts w:ascii="宋体" w:hAnsi="宋体" w:cs="宋体" w:eastAsia="宋体" w:hint="default"/>
          <w:sz w:val="6"/>
          <w:szCs w:val="6"/>
        </w:rPr>
      </w:pPr>
    </w:p>
    <w:p>
      <w:pPr>
        <w:pStyle w:val="BodyText"/>
        <w:spacing w:line="405" w:lineRule="auto" w:before="44"/>
        <w:ind w:left="436" w:right="2550"/>
        <w:jc w:val="left"/>
      </w:pPr>
      <w:r>
        <w:rPr/>
        <w:t>说明：本期子公司北京宇信鸿泰信息技术有限公司对北京宇信征信有限公司进行清算，北京宇信征信 有限公司于</w:t>
      </w:r>
      <w:r>
        <w:rPr>
          <w:spacing w:val="-46"/>
        </w:rPr>
        <w:t> </w:t>
      </w:r>
      <w:r>
        <w:rPr>
          <w:rFonts w:ascii="宋体" w:hAnsi="宋体" w:cs="宋体" w:eastAsia="宋体" w:hint="default"/>
        </w:rPr>
        <w:t>2019</w:t>
      </w:r>
      <w:r>
        <w:rPr>
          <w:rFonts w:ascii="宋体" w:hAnsi="宋体" w:cs="宋体" w:eastAsia="宋体" w:hint="default"/>
          <w:spacing w:val="-47"/>
        </w:rPr>
        <w:t> </w:t>
      </w:r>
      <w:r>
        <w:rPr/>
        <w:t>年</w:t>
      </w:r>
      <w:r>
        <w:rPr>
          <w:spacing w:val="-46"/>
        </w:rPr>
        <w:t> </w:t>
      </w:r>
      <w:r>
        <w:rPr>
          <w:rFonts w:ascii="宋体" w:hAnsi="宋体" w:cs="宋体" w:eastAsia="宋体" w:hint="default"/>
        </w:rPr>
        <w:t>9</w:t>
      </w:r>
      <w:r>
        <w:rPr>
          <w:rFonts w:ascii="宋体" w:hAnsi="宋体" w:cs="宋体" w:eastAsia="宋体" w:hint="default"/>
          <w:spacing w:val="-47"/>
        </w:rPr>
        <w:t> </w:t>
      </w:r>
      <w:r>
        <w:rPr/>
        <w:t>月</w:t>
      </w:r>
      <w:r>
        <w:rPr>
          <w:spacing w:val="-46"/>
        </w:rPr>
        <w:t> </w:t>
      </w:r>
      <w:r>
        <w:rPr>
          <w:rFonts w:ascii="宋体" w:hAnsi="宋体" w:cs="宋体" w:eastAsia="宋体" w:hint="default"/>
        </w:rPr>
        <w:t>25</w:t>
      </w:r>
      <w:r>
        <w:rPr>
          <w:rFonts w:ascii="宋体" w:hAnsi="宋体" w:cs="宋体" w:eastAsia="宋体" w:hint="default"/>
          <w:spacing w:val="-45"/>
        </w:rPr>
        <w:t> </w:t>
      </w:r>
      <w:r>
        <w:rPr/>
        <w:t>日办理工商注销登记。</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3"/>
        <w:spacing w:line="240" w:lineRule="auto"/>
        <w:ind w:right="113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1,076,414,813.00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40.59%</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4" w:right="0"/>
              <w:jc w:val="left"/>
              <w:rPr>
                <w:rFonts w:ascii="Times New Roman" w:hAnsi="Times New Roman" w:cs="Times New Roman" w:eastAsia="Times New Roman" w:hint="default"/>
                <w:sz w:val="18"/>
                <w:szCs w:val="18"/>
              </w:rPr>
            </w:pPr>
            <w:r>
              <w:rPr>
                <w:rFonts w:ascii="Times New Roman"/>
                <w:sz w:val="18"/>
              </w:rPr>
              <w:t>621,153,153.78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223,057,160.14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81,705,324.89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78,332,625.19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72,166,549.00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1,076,414,813.00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40.59%</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362,807,221.84</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66.76%</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127,571,822.21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114,725,253.28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79,666,324.33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28,572,286.61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12,271,535.41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362,807,221.84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66.76%</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125,623,106.53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108,477,764.15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15.81%</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销售费用增加主要原因为公司业务 规模扩大导致相应的销售人员成本 和费用增加。</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232,122,447.38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206,935,603.37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12.17%</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管理费用增加主要原因为人工成本 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25,553,359.57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24,886,283.50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2.68%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财务费用略有增加主要为公司利息 支出增加。</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274,504,659.83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184,132,951.14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49.08%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研发费用增加主要为公司立足中长 期发展，为提高公司核心竞争力加大 研发投入，研发人工成本增加较多。</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pStyle w:val="Heading3"/>
        <w:spacing w:line="240" w:lineRule="auto" w:before="122"/>
        <w:ind w:right="1133"/>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近三年公司研发投入金额及占营业收入的比例</w:t>
      </w:r>
    </w:p>
    <w:p>
      <w:pPr>
        <w:spacing w:line="240" w:lineRule="auto" w:before="9"/>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274,504,659.83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184,132,951.14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134,956,448.45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both"/>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研发投入资本化率大幅变动的原因及其合理性说明</w:t>
      </w:r>
    </w:p>
    <w:p>
      <w:pPr>
        <w:pStyle w:val="BodyText"/>
        <w:spacing w:line="240" w:lineRule="auto" w:before="4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40" w:lineRule="auto" w:before="101"/>
        <w:ind w:left="513" w:right="986"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2"/>
        </w:rPr>
        <w:t>在金融科技的浪潮中，行业的发展对技术平台和金融业务提出了更多的要求，公司去年年初把研发组织架构调整为技术</w:t>
      </w:r>
    </w:p>
    <w:p>
      <w:pPr>
        <w:pStyle w:val="BodyText"/>
        <w:spacing w:line="316" w:lineRule="auto" w:before="1"/>
        <w:ind w:right="1130"/>
        <w:jc w:val="both"/>
      </w:pPr>
      <w:r>
        <w:rPr>
          <w:spacing w:val="-2"/>
        </w:rPr>
        <w:t>研发中心和业务中心，把技术平台的研发提升了一个高度。技术研发中心聚焦于技术平台和底层平台，重点研发统一开发平</w:t>
      </w:r>
      <w:r>
        <w:rPr>
          <w:spacing w:val="-63"/>
        </w:rPr>
        <w:t> </w:t>
      </w:r>
      <w:r>
        <w:rPr>
          <w:spacing w:val="-63"/>
        </w:rPr>
      </w:r>
      <w:r>
        <w:rPr>
          <w:spacing w:val="-2"/>
        </w:rPr>
        <w:t>台和数据中台，提供基于分布式架构的微服务开发平台，满足金融领域全业务场景的需要；业务中心则打破了传统产品线的</w:t>
      </w:r>
      <w:r>
        <w:rPr>
          <w:spacing w:val="-63"/>
        </w:rPr>
        <w:t> </w:t>
      </w:r>
      <w:r>
        <w:rPr>
          <w:spacing w:val="-63"/>
        </w:rPr>
      </w:r>
      <w:r>
        <w:rPr/>
        <w:t>界限，而是根据业务发展的需要，重新整合各产品的组件，提供更加精准的解决方案，为客户业务做好金融科技赋能。</w:t>
      </w:r>
    </w:p>
    <w:p>
      <w:pPr>
        <w:pStyle w:val="BodyText"/>
        <w:spacing w:line="338" w:lineRule="auto" w:before="59"/>
        <w:ind w:left="513" w:right="3689"/>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年公司进行了多项新产品研发、产品升级及产品优化工作，主要产品研发包括： 新一代统一开发平台：</w:t>
      </w:r>
    </w:p>
    <w:p>
      <w:pPr>
        <w:pStyle w:val="BodyText"/>
        <w:spacing w:line="300" w:lineRule="auto" w:before="43"/>
        <w:ind w:right="1133" w:firstLine="360"/>
        <w:jc w:val="both"/>
      </w:pPr>
      <w:r>
        <w:rPr/>
        <w:t>基于微服务架构的统一开发平台完成了新一轮的架构升级，融合了</w:t>
      </w:r>
      <w:r>
        <w:rPr>
          <w:spacing w:val="-61"/>
        </w:rPr>
        <w:t> </w:t>
      </w:r>
      <w:r>
        <w:rPr>
          <w:rFonts w:ascii="Times New Roman" w:hAnsi="Times New Roman" w:cs="Times New Roman" w:eastAsia="Times New Roman" w:hint="default"/>
        </w:rPr>
        <w:t>ServiceMesh</w:t>
      </w:r>
      <w:r>
        <w:rPr>
          <w:rFonts w:ascii="Times New Roman" w:hAnsi="Times New Roman" w:cs="Times New Roman" w:eastAsia="Times New Roman" w:hint="default"/>
          <w:spacing w:val="-16"/>
        </w:rPr>
        <w:t> </w:t>
      </w:r>
      <w:r>
        <w:rPr/>
        <w:t>框架，高度封装了面向金融业务场景的 分布式事务、分布式消息、流程编排等各种技术和业务组件，全面支持多币种、多时区、多语言。</w:t>
      </w:r>
    </w:p>
    <w:p>
      <w:pPr>
        <w:pStyle w:val="BodyText"/>
        <w:spacing w:line="312" w:lineRule="auto" w:before="72"/>
        <w:ind w:right="1129" w:firstLine="360"/>
        <w:jc w:val="both"/>
      </w:pPr>
      <w:r>
        <w:rPr>
          <w:spacing w:val="-2"/>
        </w:rPr>
        <w:t>新平台版本已经在多家银行、金控集团、消费金融公司等各类客户试用，基于平台开发的业务系统涵盖消费信贷、综合</w:t>
      </w:r>
      <w:r>
        <w:rPr/>
        <w:t> </w:t>
      </w:r>
      <w:r>
        <w:rPr>
          <w:spacing w:val="-2"/>
        </w:rPr>
        <w:t>信贷、网贷、资产管理、风险运营监测、统一门户、手机银行、零售营销、客户关系管理等各类应用，帮助这些客户构建了</w:t>
      </w:r>
      <w:r>
        <w:rPr>
          <w:spacing w:val="-65"/>
        </w:rPr>
        <w:t> </w:t>
      </w:r>
      <w:r>
        <w:rPr>
          <w:spacing w:val="-65"/>
        </w:rPr>
      </w:r>
      <w:r>
        <w:rPr/>
        <w:t>统一数据模型、统一用户体验、统一技术平台、统一开发标准的企业级开发平台，大大降低了企业</w:t>
      </w:r>
      <w:r>
        <w:rPr>
          <w:spacing w:val="-43"/>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系统开发维护的总体 成本。</w:t>
      </w:r>
    </w:p>
    <w:p>
      <w:pPr>
        <w:pStyle w:val="BodyText"/>
        <w:spacing w:line="360" w:lineRule="auto" w:before="61"/>
        <w:ind w:left="513" w:right="986"/>
        <w:jc w:val="left"/>
      </w:pPr>
      <w:r>
        <w:rPr/>
        <w:t>智慧银行服务平台： </w:t>
      </w:r>
      <w:r>
        <w:rPr>
          <w:spacing w:val="-2"/>
        </w:rPr>
        <w:t>随着网点智慧化转型脚步的加快，在金融科技发展的驱动下，公司对智慧银行服务平台进行了多场景、多维度、多模式</w:t>
      </w:r>
    </w:p>
    <w:p>
      <w:pPr>
        <w:pStyle w:val="BodyText"/>
        <w:spacing w:line="236" w:lineRule="exact"/>
        <w:ind w:right="0"/>
        <w:jc w:val="both"/>
      </w:pPr>
      <w:r>
        <w:rPr/>
        <w:t>的创新和研发。平台整合了包括</w:t>
      </w:r>
      <w:r>
        <w:rPr>
          <w:spacing w:val="-54"/>
        </w:rPr>
        <w:t> </w:t>
      </w:r>
      <w:r>
        <w:rPr>
          <w:rFonts w:ascii="Times New Roman" w:hAnsi="Times New Roman" w:cs="Times New Roman" w:eastAsia="Times New Roman" w:hint="default"/>
        </w:rPr>
        <w:t>5G</w:t>
      </w:r>
      <w:r>
        <w:rPr/>
        <w:t>、</w:t>
      </w:r>
      <w:r>
        <w:rPr>
          <w:rFonts w:ascii="Times New Roman" w:hAnsi="Times New Roman" w:cs="Times New Roman" w:eastAsia="Times New Roman" w:hint="default"/>
        </w:rPr>
        <w:t>VR</w:t>
      </w:r>
      <w:r>
        <w:rPr>
          <w:rFonts w:ascii="Times New Roman" w:hAnsi="Times New Roman" w:cs="Times New Roman" w:eastAsia="Times New Roman" w:hint="default"/>
          <w:spacing w:val="-9"/>
        </w:rPr>
        <w:t> </w:t>
      </w:r>
      <w:r>
        <w:rPr/>
        <w:t>等最前沿的技术，突破网点的物理局限，将网点信息发布、厅堂营销、互动体验、</w:t>
      </w:r>
    </w:p>
    <w:p>
      <w:pPr>
        <w:pStyle w:val="BodyText"/>
        <w:spacing w:line="316" w:lineRule="auto" w:before="63"/>
        <w:ind w:right="986"/>
        <w:jc w:val="left"/>
      </w:pPr>
      <w:r>
        <w:rPr>
          <w:spacing w:val="-2"/>
        </w:rPr>
        <w:t>数字化运营、生态建设、权益增值整合到一个平台之中，并配合实际有效的线上线下活动整合，打破银行网点转型中业务各</w:t>
      </w:r>
      <w:r>
        <w:rPr>
          <w:spacing w:val="-63"/>
        </w:rPr>
        <w:t> </w:t>
      </w:r>
      <w:r>
        <w:rPr>
          <w:spacing w:val="-63"/>
        </w:rPr>
      </w:r>
      <w:r>
        <w:rPr/>
        <w:t>条线间的坚实壁垒，为银行网点赋能。</w:t>
      </w:r>
    </w:p>
    <w:p>
      <w:pPr>
        <w:pStyle w:val="BodyText"/>
        <w:spacing w:line="357" w:lineRule="auto" w:before="59"/>
        <w:ind w:left="513" w:right="3013"/>
        <w:jc w:val="left"/>
      </w:pPr>
      <w:r>
        <w:rPr/>
        <w:t>公司的升级版智慧银行服务平台已经中标在多家国有商业银行、股份制银行、城市商业银行。 分布式零售信贷系统：</w:t>
      </w:r>
    </w:p>
    <w:p>
      <w:pPr>
        <w:pStyle w:val="BodyText"/>
        <w:spacing w:line="316" w:lineRule="auto" w:before="29"/>
        <w:ind w:right="1130" w:firstLine="360"/>
        <w:jc w:val="both"/>
      </w:pPr>
      <w:r>
        <w:rPr>
          <w:spacing w:val="-2"/>
        </w:rPr>
        <w:t>在传统的宇信信贷业务开发平台基础上，引入公司最新的统一微服务开发平台对底层做了微服务重构，成功塑造了基于</w:t>
      </w:r>
      <w:r>
        <w:rPr/>
        <w:t> </w:t>
      </w:r>
      <w:r>
        <w:rPr>
          <w:spacing w:val="-2"/>
        </w:rPr>
        <w:t>零售信贷业务的宇信分布式零售信贷系统。产品在继承原信贷平台领先的多跑道、产品工厂引擎、动态业务模式创新的能力</w:t>
      </w:r>
    </w:p>
    <w:p>
      <w:pPr>
        <w:spacing w:after="0" w:line="316" w:lineRule="auto"/>
        <w:jc w:val="both"/>
        <w:sectPr>
          <w:pgSz w:w="11910" w:h="16840"/>
          <w:pgMar w:header="852" w:footer="980" w:top="1300" w:bottom="1160" w:left="980" w:right="0"/>
        </w:sectPr>
      </w:pPr>
    </w:p>
    <w:p>
      <w:pPr>
        <w:pStyle w:val="BodyText"/>
        <w:spacing w:line="314" w:lineRule="auto" w:before="142"/>
        <w:ind w:right="986"/>
        <w:jc w:val="left"/>
      </w:pPr>
      <w:r>
        <w:rPr>
          <w:spacing w:val="-4"/>
        </w:rPr>
        <w:t>基础上，引入互联网海量数据处理机制及高频次响应机制，为传统银行竞争互联网市场、适应数字时代挑战提供强有力支撑。</w:t>
      </w:r>
      <w:r>
        <w:rPr>
          <w:spacing w:val="-44"/>
        </w:rPr>
        <w:t> </w:t>
      </w:r>
      <w:r>
        <w:rPr>
          <w:spacing w:val="-44"/>
        </w:rPr>
      </w:r>
      <w:r>
        <w:rPr>
          <w:spacing w:val="-3"/>
        </w:rPr>
        <w:t>目前，随着</w:t>
      </w:r>
      <w:r>
        <w:rPr>
          <w:spacing w:val="-51"/>
        </w:rPr>
        <w:t> </w:t>
      </w:r>
      <w:r>
        <w:rPr>
          <w:rFonts w:ascii="Times New Roman" w:hAnsi="Times New Roman" w:cs="Times New Roman" w:eastAsia="Times New Roman" w:hint="default"/>
        </w:rPr>
        <w:t>AI</w:t>
      </w:r>
      <w:r>
        <w:rPr>
          <w:rFonts w:ascii="Times New Roman" w:hAnsi="Times New Roman" w:cs="Times New Roman" w:eastAsia="Times New Roman" w:hint="default"/>
          <w:spacing w:val="-6"/>
        </w:rPr>
        <w:t> </w:t>
      </w:r>
      <w:r>
        <w:rPr/>
        <w:t>智能时代的到来，产品将引入</w:t>
      </w:r>
      <w:r>
        <w:rPr>
          <w:spacing w:val="-50"/>
        </w:rPr>
        <w:t> </w:t>
      </w:r>
      <w:r>
        <w:rPr>
          <w:rFonts w:ascii="Times New Roman" w:hAnsi="Times New Roman" w:cs="Times New Roman" w:eastAsia="Times New Roman" w:hint="default"/>
        </w:rPr>
        <w:t>AI</w:t>
      </w:r>
      <w:r>
        <w:rPr>
          <w:rFonts w:ascii="Times New Roman" w:hAnsi="Times New Roman" w:cs="Times New Roman" w:eastAsia="Times New Roman" w:hint="default"/>
          <w:spacing w:val="-6"/>
        </w:rPr>
        <w:t> </w:t>
      </w:r>
      <w:r>
        <w:rPr/>
        <w:t>开发引擎，支撑各类新兴的智能技术设备，结合</w:t>
      </w:r>
      <w:r>
        <w:rPr>
          <w:spacing w:val="-50"/>
        </w:rPr>
        <w:t> </w:t>
      </w:r>
      <w:r>
        <w:rPr>
          <w:rFonts w:ascii="Times New Roman" w:hAnsi="Times New Roman" w:cs="Times New Roman" w:eastAsia="Times New Roman" w:hint="default"/>
        </w:rPr>
        <w:t>5G</w:t>
      </w:r>
      <w:r>
        <w:rPr>
          <w:rFonts w:ascii="Times New Roman" w:hAnsi="Times New Roman" w:cs="Times New Roman" w:eastAsia="Times New Roman" w:hint="default"/>
          <w:spacing w:val="-7"/>
        </w:rPr>
        <w:t> </w:t>
      </w:r>
      <w:r>
        <w:rPr/>
        <w:t>云计算技术触及各类互 </w:t>
      </w:r>
      <w:r>
        <w:rPr>
          <w:spacing w:val="-2"/>
        </w:rPr>
        <w:t>联网金融场景，助力传统零售信贷进入互联网化的竞争运营模式。通过技术能力打破传统零售业务和互联网的界限，实现传</w:t>
      </w:r>
      <w:r>
        <w:rPr>
          <w:spacing w:val="-63"/>
        </w:rPr>
        <w:t> </w:t>
      </w:r>
      <w:r>
        <w:rPr>
          <w:spacing w:val="-63"/>
        </w:rPr>
      </w:r>
      <w:r>
        <w:rPr>
          <w:spacing w:val="-2"/>
        </w:rPr>
        <w:t>统银行进入互联网客群流量的充分竞争。宇信分布式零售信贷系统将成为传统银行零售业务新时代争夺互联网场景金融后半</w:t>
      </w:r>
      <w:r>
        <w:rPr>
          <w:spacing w:val="-64"/>
        </w:rPr>
        <w:t> </w:t>
      </w:r>
      <w:r>
        <w:rPr>
          <w:spacing w:val="-64"/>
        </w:rPr>
      </w:r>
      <w:r>
        <w:rPr/>
        <w:t>场的竞争利器。</w:t>
      </w:r>
    </w:p>
    <w:p>
      <w:pPr>
        <w:pStyle w:val="BodyText"/>
        <w:spacing w:line="316" w:lineRule="auto" w:before="61"/>
        <w:ind w:right="986" w:firstLine="360"/>
        <w:jc w:val="left"/>
      </w:pPr>
      <w:r>
        <w:rPr>
          <w:spacing w:val="-4"/>
        </w:rPr>
        <w:t>产品能够为客户提供丰富的多渠道精准获客、便捷的工厂化产品管理、高效的作业化运营流程、多维的嵌入式智能风控、</w:t>
      </w:r>
      <w:r>
        <w:rPr/>
        <w:t> 构建生态圈的敏捷服务支撑体系，从而提升服务创新效能。</w:t>
      </w:r>
    </w:p>
    <w:p>
      <w:pPr>
        <w:pStyle w:val="BodyText"/>
        <w:spacing w:line="360" w:lineRule="auto" w:before="57"/>
        <w:ind w:left="513" w:right="1133"/>
        <w:jc w:val="left"/>
      </w:pPr>
      <w:r>
        <w:rPr/>
        <w:t>微服务消费信贷产品 </w:t>
      </w:r>
      <w:r>
        <w:rPr>
          <w:spacing w:val="-2"/>
        </w:rPr>
        <w:t>新产品基于公司统一微服务开发平台和分布式的微服务架构，引入分布式版本管理、测试、发布和监控等机制，统一系</w:t>
      </w:r>
    </w:p>
    <w:p>
      <w:pPr>
        <w:pStyle w:val="BodyText"/>
        <w:spacing w:line="222" w:lineRule="exact"/>
        <w:ind w:right="986"/>
        <w:jc w:val="left"/>
      </w:pPr>
      <w:r>
        <w:rPr/>
        <w:t>统中所有子系统的应用架构，统一管理，自动化发布，在资源共用的同时降低维护成本及运营成本。产品利用微服务体系，</w:t>
      </w:r>
    </w:p>
    <w:p>
      <w:pPr>
        <w:pStyle w:val="BodyText"/>
        <w:spacing w:line="316" w:lineRule="auto" w:before="76"/>
        <w:ind w:right="986"/>
        <w:jc w:val="left"/>
      </w:pPr>
      <w:r>
        <w:rPr>
          <w:spacing w:val="-2"/>
        </w:rPr>
        <w:t>通过业务中台的理念重构了消费信贷产品的核心功能，为系统的持续发展，可复用性，高扩展性提供了坚实的基础能力。同</w:t>
      </w:r>
      <w:r>
        <w:rPr>
          <w:spacing w:val="-66"/>
        </w:rPr>
        <w:t> </w:t>
      </w:r>
      <w:r>
        <w:rPr>
          <w:spacing w:val="-66"/>
        </w:rPr>
      </w:r>
      <w:r>
        <w:rPr/>
        <w:t>时，以领域驱动模型的理论方法为基础，为消费信贷产品进行了合理的微服务拆分，实现业务处理能力的动态扩缩容。</w:t>
      </w:r>
    </w:p>
    <w:p>
      <w:pPr>
        <w:pStyle w:val="BodyText"/>
        <w:spacing w:line="240" w:lineRule="auto" w:before="60"/>
        <w:ind w:left="513" w:right="986"/>
        <w:jc w:val="left"/>
      </w:pPr>
      <w:r>
        <w:rPr/>
        <w:t>产品已经成功在消费金融公司实施落地，在同样的硬件系统上，显著提升了业务处理能力和速度，成功实现迭代灰度发</w:t>
      </w:r>
    </w:p>
    <w:p>
      <w:pPr>
        <w:pStyle w:val="BodyText"/>
        <w:spacing w:line="240" w:lineRule="auto" w:before="76"/>
        <w:ind w:right="1133"/>
        <w:jc w:val="left"/>
      </w:pPr>
      <w:r>
        <w:rPr/>
        <w:t>布。</w:t>
      </w:r>
    </w:p>
    <w:p>
      <w:pPr>
        <w:pStyle w:val="BodyText"/>
        <w:spacing w:line="240" w:lineRule="auto" w:before="115"/>
        <w:ind w:left="513" w:right="1133"/>
        <w:jc w:val="left"/>
      </w:pPr>
      <w:r>
        <w:rPr/>
        <w:t>微服务信贷核算</w:t>
      </w:r>
    </w:p>
    <w:p>
      <w:pPr>
        <w:pStyle w:val="BodyText"/>
        <w:spacing w:line="240" w:lineRule="auto" w:before="117"/>
        <w:ind w:left="513" w:right="1133"/>
        <w:jc w:val="left"/>
      </w:pPr>
      <w:r>
        <w:rPr/>
        <w:t>微服务信贷核算产品支持开源数据库</w:t>
      </w:r>
      <w:r>
        <w:rPr>
          <w:spacing w:val="-45"/>
        </w:rPr>
        <w:t> </w:t>
      </w:r>
      <w:r>
        <w:rPr>
          <w:rFonts w:ascii="Times New Roman" w:hAnsi="Times New Roman" w:cs="Times New Roman" w:eastAsia="Times New Roman" w:hint="default"/>
        </w:rPr>
        <w:t>My</w:t>
      </w:r>
      <w:r>
        <w:rPr>
          <w:rFonts w:ascii="Times New Roman" w:hAnsi="Times New Roman" w:cs="Times New Roman" w:eastAsia="Times New Roman" w:hint="default"/>
          <w:spacing w:val="-5"/>
        </w:rPr>
        <w:t> </w:t>
      </w:r>
      <w:r>
        <w:rPr>
          <w:rFonts w:ascii="Times New Roman" w:hAnsi="Times New Roman" w:cs="Times New Roman" w:eastAsia="Times New Roman" w:hint="default"/>
        </w:rPr>
        <w:t>SQL</w:t>
      </w:r>
      <w:r>
        <w:rPr/>
        <w:t>，采用</w:t>
      </w:r>
      <w:r>
        <w:rPr>
          <w:spacing w:val="-46"/>
        </w:rPr>
        <w:t> </w:t>
      </w:r>
      <w:r>
        <w:rPr>
          <w:rFonts w:ascii="Times New Roman" w:hAnsi="Times New Roman" w:cs="Times New Roman" w:eastAsia="Times New Roman" w:hint="default"/>
        </w:rPr>
        <w:t>Spring</w:t>
      </w:r>
      <w:r>
        <w:rPr>
          <w:rFonts w:ascii="Times New Roman" w:hAnsi="Times New Roman" w:cs="Times New Roman" w:eastAsia="Times New Roman" w:hint="default"/>
          <w:spacing w:val="-2"/>
        </w:rPr>
        <w:t> </w:t>
      </w:r>
      <w:r>
        <w:rPr>
          <w:rFonts w:ascii="Times New Roman" w:hAnsi="Times New Roman" w:cs="Times New Roman" w:eastAsia="Times New Roman" w:hint="default"/>
        </w:rPr>
        <w:t>Cloud</w:t>
      </w:r>
      <w:r>
        <w:rPr>
          <w:rFonts w:ascii="Times New Roman" w:hAnsi="Times New Roman" w:cs="Times New Roman" w:eastAsia="Times New Roman" w:hint="default"/>
          <w:spacing w:val="2"/>
        </w:rPr>
        <w:t> </w:t>
      </w:r>
      <w:r>
        <w:rPr/>
        <w:t>微服务技术，使用了</w:t>
      </w:r>
      <w:r>
        <w:rPr>
          <w:spacing w:val="-46"/>
        </w:rPr>
        <w:t> </w:t>
      </w:r>
      <w:r>
        <w:rPr>
          <w:rFonts w:ascii="Times New Roman" w:hAnsi="Times New Roman" w:cs="Times New Roman" w:eastAsia="Times New Roman" w:hint="default"/>
        </w:rPr>
        <w:t>Redis</w:t>
      </w:r>
      <w:r>
        <w:rPr/>
        <w:t>、</w:t>
      </w:r>
      <w:r>
        <w:rPr>
          <w:rFonts w:ascii="Times New Roman" w:hAnsi="Times New Roman" w:cs="Times New Roman" w:eastAsia="Times New Roman" w:hint="default"/>
        </w:rPr>
        <w:t>Redis</w:t>
      </w:r>
      <w:r>
        <w:rPr>
          <w:rFonts w:ascii="Times New Roman" w:hAnsi="Times New Roman" w:cs="Times New Roman" w:eastAsia="Times New Roman" w:hint="default"/>
          <w:spacing w:val="-1"/>
        </w:rPr>
        <w:t> </w:t>
      </w:r>
      <w:r>
        <w:rPr>
          <w:rFonts w:ascii="Times New Roman" w:hAnsi="Times New Roman" w:cs="Times New Roman" w:eastAsia="Times New Roman" w:hint="default"/>
        </w:rPr>
        <w:t>MQ</w:t>
      </w:r>
      <w:r>
        <w:rPr/>
        <w:t>、数据库分库</w:t>
      </w:r>
    </w:p>
    <w:p>
      <w:pPr>
        <w:pStyle w:val="BodyText"/>
        <w:spacing w:line="312" w:lineRule="auto" w:before="63"/>
        <w:ind w:right="1131"/>
        <w:jc w:val="both"/>
      </w:pPr>
      <w:r>
        <w:rPr>
          <w:spacing w:val="-2"/>
        </w:rPr>
        <w:t>及分表技术，引入了微服务、流计算等新兴技术框架，完成了产品的全面提升，同时也实现了针对数据库数据的动态扩容机</w:t>
      </w:r>
      <w:r>
        <w:rPr>
          <w:spacing w:val="-64"/>
        </w:rPr>
        <w:t> </w:t>
      </w:r>
      <w:r>
        <w:rPr>
          <w:spacing w:val="-64"/>
        </w:rPr>
      </w:r>
      <w:r>
        <w:rPr>
          <w:spacing w:val="-2"/>
        </w:rPr>
        <w:t>制，支持高并发，高可靠性，为核算服务提供非受限横向扩展能力，从根本上规避了数据库的瓶颈问题。微服务信贷核算保</w:t>
      </w:r>
      <w:r>
        <w:rPr>
          <w:spacing w:val="-65"/>
        </w:rPr>
        <w:t> </w:t>
      </w:r>
      <w:r>
        <w:rPr>
          <w:spacing w:val="-65"/>
        </w:rPr>
      </w:r>
      <w:r>
        <w:rPr/>
        <w:t>证了在海量数据</w:t>
      </w:r>
      <w:r>
        <w:rPr>
          <w:rFonts w:ascii="Times New Roman" w:hAnsi="Times New Roman" w:cs="Times New Roman" w:eastAsia="Times New Roman" w:hint="default"/>
        </w:rPr>
        <w:t>+</w:t>
      </w:r>
      <w:r>
        <w:rPr/>
        <w:t>高并发场景下，核算无论实时交易与批量任务均能在较短执行完毕，解决了金融机构在对接业务场景尤其 是对接头部电商场景时的系统性能瓶颈问题。</w:t>
      </w:r>
    </w:p>
    <w:p>
      <w:pPr>
        <w:pStyle w:val="BodyText"/>
        <w:spacing w:line="357" w:lineRule="auto" w:before="63"/>
        <w:ind w:left="513" w:right="3553"/>
        <w:jc w:val="left"/>
      </w:pPr>
      <w:r>
        <w:rPr/>
        <w:t>产品适用客户包括传统银行、财务集团、金融集团、消费金融公司、汽车金融公司等。 智能模型实验室平台：</w:t>
      </w:r>
    </w:p>
    <w:p>
      <w:pPr>
        <w:pStyle w:val="BodyText"/>
        <w:spacing w:line="312" w:lineRule="auto" w:before="29"/>
        <w:ind w:right="1129" w:firstLine="360"/>
        <w:jc w:val="both"/>
      </w:pPr>
      <w:r>
        <w:rPr>
          <w:spacing w:val="-2"/>
        </w:rPr>
        <w:t>银行数字化转型的根本是数字化度量，而数字化度量的核心能力是算法。数学建模支撑了用概率计算取代值计算、用全</w:t>
      </w:r>
      <w:r>
        <w:rPr/>
        <w:t> </w:t>
      </w:r>
      <w:r>
        <w:rPr>
          <w:spacing w:val="-2"/>
        </w:rPr>
        <w:t>量计算取代抽样计算，金融大数据的价值得以更加客观、更加科学的方式显现。公司自主研发了智能模型实验室平台，实现</w:t>
      </w:r>
      <w:r>
        <w:rPr>
          <w:spacing w:val="-65"/>
        </w:rPr>
        <w:t> </w:t>
      </w:r>
      <w:r>
        <w:rPr>
          <w:spacing w:val="-65"/>
        </w:rPr>
      </w:r>
      <w:r>
        <w:rPr/>
        <w:t>了机器学习算法封装和统一调度，包括较完备的数据预处理和特征工程算法、基于</w:t>
      </w:r>
      <w:r>
        <w:rPr>
          <w:spacing w:val="-65"/>
        </w:rPr>
        <w:t> </w:t>
      </w:r>
      <w:r>
        <w:rPr>
          <w:rFonts w:ascii="Times New Roman" w:hAnsi="Times New Roman" w:cs="Times New Roman" w:eastAsia="Times New Roman" w:hint="default"/>
        </w:rPr>
        <w:t>scikit-learn</w:t>
      </w:r>
      <w:r>
        <w:rPr>
          <w:rFonts w:ascii="Times New Roman" w:hAnsi="Times New Roman" w:cs="Times New Roman" w:eastAsia="Times New Roman" w:hint="default"/>
          <w:spacing w:val="-21"/>
        </w:rPr>
        <w:t> </w:t>
      </w:r>
      <w:r>
        <w:rPr>
          <w:spacing w:val="-3"/>
        </w:rPr>
        <w:t>的机器学习算法，以及模型结</w:t>
      </w:r>
      <w:r>
        <w:rPr/>
        <w:t> 果评价和图像输出；基于</w:t>
      </w:r>
      <w:r>
        <w:rPr>
          <w:spacing w:val="-44"/>
        </w:rPr>
        <w:t> </w:t>
      </w:r>
      <w:r>
        <w:rPr>
          <w:rFonts w:ascii="Times New Roman" w:hAnsi="Times New Roman" w:cs="Times New Roman" w:eastAsia="Times New Roman" w:hint="default"/>
        </w:rPr>
        <w:t>VUE</w:t>
      </w:r>
      <w:r>
        <w:rPr>
          <w:rFonts w:ascii="Times New Roman" w:hAnsi="Times New Roman" w:cs="Times New Roman" w:eastAsia="Times New Roman" w:hint="default"/>
          <w:spacing w:val="-2"/>
        </w:rPr>
        <w:t> </w:t>
      </w:r>
      <w:r>
        <w:rPr/>
        <w:t>可视化拖拽组件的前端建模流程画布设计，可以使得建模人员脱离代码，快速高效建模，并 </w:t>
      </w:r>
      <w:r>
        <w:rPr>
          <w:spacing w:val="-2"/>
        </w:rPr>
        <w:t>实时可视化调整模型；针对金融领域，定制若干基于机器学习算法的典型业务场景，包括信用评分评级、贷后预警、智能营</w:t>
      </w:r>
      <w:r>
        <w:rPr>
          <w:spacing w:val="-67"/>
        </w:rPr>
        <w:t> </w:t>
      </w:r>
      <w:r>
        <w:rPr>
          <w:spacing w:val="-67"/>
        </w:rPr>
      </w:r>
      <w:r>
        <w:rPr/>
        <w:t>销、客户流失分析和唤醒等。</w:t>
      </w:r>
    </w:p>
    <w:p>
      <w:pPr>
        <w:pStyle w:val="BodyText"/>
        <w:spacing w:line="240" w:lineRule="auto" w:before="63"/>
        <w:ind w:left="513" w:right="986"/>
        <w:jc w:val="left"/>
      </w:pPr>
      <w:r>
        <w:rPr/>
        <w:t>公司利用智能模型实验室平台中标了某国有大型银行的不良资产定价项目，利用机器学习模型，为不良资产进行定价估</w:t>
      </w:r>
    </w:p>
    <w:p>
      <w:pPr>
        <w:pStyle w:val="BodyText"/>
        <w:spacing w:line="240" w:lineRule="auto" w:before="76"/>
        <w:ind w:right="1133"/>
        <w:jc w:val="left"/>
      </w:pPr>
      <w:r>
        <w:rPr/>
        <w:t>值。</w:t>
      </w:r>
    </w:p>
    <w:p>
      <w:pPr>
        <w:pStyle w:val="BodyText"/>
        <w:spacing w:line="360" w:lineRule="auto" w:before="115"/>
        <w:ind w:left="513" w:right="986"/>
        <w:jc w:val="left"/>
      </w:pPr>
      <w:r>
        <w:rPr/>
        <w:t>接口自动化测试平台和服务虚拟化仿真平台： </w:t>
      </w:r>
      <w:r>
        <w:rPr>
          <w:spacing w:val="-2"/>
        </w:rPr>
        <w:t>现代软件开发产业是典型的知识密集型产业，需要依靠大量人力完成各阶段工作。在上述各环节中，软件测试工作消耗</w:t>
      </w:r>
    </w:p>
    <w:p>
      <w:pPr>
        <w:pStyle w:val="BodyText"/>
        <w:spacing w:line="222" w:lineRule="exact"/>
        <w:ind w:right="986"/>
        <w:jc w:val="left"/>
      </w:pPr>
      <w:r>
        <w:rPr/>
        <w:t>了大量人力成本。如何利用自动化、智能化技术，降低软件测试工作的人员消耗成本、提高软件测试工作的工作效率，成为</w:t>
      </w:r>
    </w:p>
    <w:p>
      <w:pPr>
        <w:pStyle w:val="BodyText"/>
        <w:spacing w:line="340" w:lineRule="auto" w:before="76"/>
        <w:ind w:left="513" w:right="986" w:hanging="361"/>
        <w:jc w:val="left"/>
      </w:pPr>
      <w:r>
        <w:rPr/>
        <w:t>行业面临的重大挑战</w:t>
      </w:r>
      <w:r>
        <w:rPr>
          <w:rFonts w:ascii="Times New Roman" w:hAnsi="Times New Roman" w:cs="Times New Roman" w:eastAsia="Times New Roman" w:hint="default"/>
        </w:rPr>
        <w:t>&amp;</w:t>
      </w:r>
      <w:r>
        <w:rPr/>
        <w:t>机遇。目前，市场主要被国外软件公司产品所主导。 </w:t>
      </w:r>
      <w:r>
        <w:rPr>
          <w:spacing w:val="-2"/>
        </w:rPr>
        <w:t>宇信自主研发的接口自动化测试平台和服务虚拟化仿真平台，能够满足客户构建全链路自动化测试，自动化回归测试场</w:t>
      </w:r>
    </w:p>
    <w:p>
      <w:pPr>
        <w:pStyle w:val="BodyText"/>
        <w:spacing w:line="300" w:lineRule="auto" w:before="1"/>
        <w:ind w:right="1117"/>
        <w:jc w:val="left"/>
      </w:pPr>
      <w:r>
        <w:rPr>
          <w:spacing w:val="-4"/>
        </w:rPr>
        <w:t>景，作为</w:t>
      </w:r>
      <w:r>
        <w:rPr>
          <w:spacing w:val="-58"/>
        </w:rPr>
        <w:t> </w:t>
      </w:r>
      <w:r>
        <w:rPr>
          <w:rFonts w:ascii="Times New Roman" w:hAnsi="Times New Roman" w:cs="Times New Roman" w:eastAsia="Times New Roman" w:hint="default"/>
        </w:rPr>
        <w:t>DevOps</w:t>
      </w:r>
      <w:r>
        <w:rPr>
          <w:rFonts w:ascii="Times New Roman" w:hAnsi="Times New Roman" w:cs="Times New Roman" w:eastAsia="Times New Roman" w:hint="default"/>
          <w:spacing w:val="-14"/>
        </w:rPr>
        <w:t> </w:t>
      </w:r>
      <w:r>
        <w:rPr/>
        <w:t>工具链的重要环节，作为大中型企业提高软件研发效率和软件测试资产复用的重要抓手。目前已经在银行 业、非银行金融业、大中型企事业单位的标杆级用户使用，并获得客户好评。</w:t>
      </w:r>
    </w:p>
    <w:p>
      <w:pPr>
        <w:pStyle w:val="BodyText"/>
        <w:spacing w:line="360" w:lineRule="auto" w:before="70"/>
        <w:ind w:left="513" w:right="986"/>
        <w:jc w:val="left"/>
      </w:pPr>
      <w:r>
        <w:rPr/>
        <w:t>智能金融数据中台： </w:t>
      </w:r>
      <w:r>
        <w:rPr>
          <w:spacing w:val="-2"/>
        </w:rPr>
        <w:t>公司结合在大数据业务线的技术和业务积累，重点打造金融机构的数据中台产品能力矩阵，在数据中台的产品体系上进</w:t>
      </w:r>
    </w:p>
    <w:p>
      <w:pPr>
        <w:pStyle w:val="BodyText"/>
        <w:spacing w:line="236" w:lineRule="exact"/>
        <w:ind w:right="986"/>
        <w:jc w:val="left"/>
      </w:pPr>
      <w:r>
        <w:rPr>
          <w:spacing w:val="-3"/>
        </w:rPr>
        <w:t>行了三项关键突破：一、充分运用实时计算、</w:t>
      </w:r>
      <w:r>
        <w:rPr>
          <w:rFonts w:ascii="Times New Roman" w:hAnsi="Times New Roman" w:cs="Times New Roman" w:eastAsia="Times New Roman" w:hint="default"/>
          <w:spacing w:val="-3"/>
        </w:rPr>
        <w:t>NLP</w:t>
      </w:r>
      <w:r>
        <w:rPr>
          <w:spacing w:val="-3"/>
        </w:rPr>
        <w:t>、机器学习、知识图谱、机器学习等技术，对产品进行智能、智慧化升级；</w:t>
      </w:r>
    </w:p>
    <w:p>
      <w:pPr>
        <w:pStyle w:val="BodyText"/>
        <w:spacing w:line="316" w:lineRule="auto" w:before="63"/>
        <w:ind w:right="986"/>
        <w:jc w:val="left"/>
      </w:pPr>
      <w:r>
        <w:rPr>
          <w:spacing w:val="-2"/>
        </w:rPr>
        <w:t>二、基于公司统一微服务开发平台和分布式的微服务架构，建立数据开发与服务能力的全模块化，搭建数据中台的基础能力</w:t>
      </w:r>
      <w:r>
        <w:rPr>
          <w:spacing w:val="-63"/>
        </w:rPr>
        <w:t> </w:t>
      </w:r>
      <w:r>
        <w:rPr>
          <w:spacing w:val="-63"/>
        </w:rPr>
      </w:r>
      <w:r>
        <w:rPr>
          <w:spacing w:val="-4"/>
        </w:rPr>
        <w:t>底座；三、应对数据业务化、场景化的特点，建立智能数据模型实验室、数据探索平台、数据开放共享平台、数据融合平台，</w:t>
      </w:r>
    </w:p>
    <w:p>
      <w:pPr>
        <w:spacing w:after="0" w:line="316" w:lineRule="auto"/>
        <w:jc w:val="left"/>
        <w:sectPr>
          <w:pgSz w:w="11910" w:h="16840"/>
          <w:pgMar w:header="852" w:footer="980" w:top="1300" w:bottom="1160" w:left="980" w:right="0"/>
        </w:sectPr>
      </w:pPr>
    </w:p>
    <w:p>
      <w:pPr>
        <w:pStyle w:val="BodyText"/>
        <w:spacing w:line="319" w:lineRule="auto" w:before="142"/>
        <w:ind w:right="1034"/>
        <w:jc w:val="left"/>
      </w:pPr>
      <w:r>
        <w:rPr>
          <w:spacing w:val="-2"/>
        </w:rPr>
        <w:t>打破传统的业务与数据的最后一公里，让业务实现数据使用与服务的全线上化。通过三项关键能力的提升，数据中台解决方</w:t>
      </w:r>
      <w:r>
        <w:rPr>
          <w:spacing w:val="-63"/>
        </w:rPr>
        <w:t> </w:t>
      </w:r>
      <w:r>
        <w:rPr>
          <w:spacing w:val="-63"/>
        </w:rPr>
      </w:r>
      <w:r>
        <w:rPr/>
        <w:t>案与产品体系可以为不同类型的金融机构提供一站式的金融数字化转型服务，为金融机构解决数据的“可见、可懂、可用、</w:t>
      </w:r>
      <w:r>
        <w:rPr/>
        <w:t> </w:t>
      </w:r>
      <w:r>
        <w:rPr>
          <w:spacing w:val="-6"/>
        </w:rPr>
        <w:t>可运营”，建立中台武器弹药库。</w:t>
      </w:r>
    </w:p>
    <w:p>
      <w:pPr>
        <w:pStyle w:val="BodyText"/>
        <w:spacing w:line="316" w:lineRule="auto" w:before="58"/>
        <w:ind w:right="986" w:firstLine="360"/>
        <w:jc w:val="left"/>
      </w:pPr>
      <w:r>
        <w:rPr>
          <w:spacing w:val="-2"/>
        </w:rPr>
        <w:t>数据中台产品目前已中标多家银行、泛金融金融机构进行实施落地，构建了领先于同业的大数据能力体系，极大了提升</w:t>
      </w:r>
      <w:r>
        <w:rPr/>
        <w:t> 了业务的响应效率和智能化程度，显著提升了金融机构在精细化运营、产品创新、获客营销、风险管控上的战略能力。</w:t>
      </w:r>
    </w:p>
    <w:p>
      <w:pPr>
        <w:pStyle w:val="BodyText"/>
        <w:spacing w:line="360" w:lineRule="auto" w:before="57"/>
        <w:ind w:left="513" w:right="1033"/>
        <w:jc w:val="left"/>
      </w:pPr>
      <w:r>
        <w:rPr/>
        <w:t>互联网线上金融聚合平台： 基于公司新一代统一开发平台，采用最新分布式技术体系成功研发了可弹性伸缩，快速响应用户持续需求变化集开发、</w:t>
      </w:r>
    </w:p>
    <w:p>
      <w:pPr>
        <w:pStyle w:val="BodyText"/>
        <w:spacing w:line="236" w:lineRule="exact"/>
        <w:ind w:right="986"/>
        <w:jc w:val="left"/>
      </w:pPr>
      <w:r>
        <w:rPr/>
        <w:t>测试、运营一体的金融聚合平台，平台在实际运营中做到</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到</w:t>
      </w:r>
      <w:r>
        <w:rPr>
          <w:spacing w:val="-46"/>
        </w:rPr>
        <w:t> </w:t>
      </w:r>
      <w:r>
        <w:rPr>
          <w:rFonts w:ascii="Times New Roman" w:hAnsi="Times New Roman" w:cs="Times New Roman" w:eastAsia="Times New Roman" w:hint="default"/>
        </w:rPr>
        <w:t>4 </w:t>
      </w:r>
      <w:r>
        <w:rPr/>
        <w:t>周完成新增业务产品接入；能做到每日支撑千万级业务量；</w:t>
      </w:r>
    </w:p>
    <w:p>
      <w:pPr>
        <w:pStyle w:val="BodyText"/>
        <w:spacing w:line="240" w:lineRule="auto" w:before="63"/>
        <w:ind w:right="1133"/>
        <w:jc w:val="left"/>
      </w:pPr>
      <w:r>
        <w:rPr/>
        <w:t>每日迭代上线，适应不断变化的业务需求。</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2,764,172,084.42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2,274,405,959.89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21.53%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2,583,651,334.82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2,103,495,291.17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22.83%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180,520,749.60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170,910,668.72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829,338,012.08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296,177,142.93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1,279,234,873.94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497,260,699.45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157.26%</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-449,896,861.86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-201,083,556.52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123.74%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975,553,966.07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868,989,832.79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649,793,644.25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646,760,137.34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325,760,321.82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222,229,695.45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46.59%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56,076,597.15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192,998,158.92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-70.94%</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14"/>
          <w:szCs w:val="14"/>
        </w:rPr>
      </w:pPr>
    </w:p>
    <w:p>
      <w:pPr>
        <w:pStyle w:val="BodyText"/>
        <w:spacing w:line="297" w:lineRule="auto"/>
        <w:ind w:right="1199" w:firstLine="360"/>
        <w:jc w:val="left"/>
      </w:pPr>
      <w:r>
        <w:rPr>
          <w:rFonts w:ascii="Times New Roman" w:hAnsi="Times New Roman" w:cs="Times New Roman" w:eastAsia="Times New Roman" w:hint="default"/>
        </w:rPr>
        <w:t>2019</w:t>
      </w:r>
      <w:r>
        <w:rPr/>
        <w:t>年现金及现金等价物净增加额与</w:t>
      </w:r>
      <w:r>
        <w:rPr>
          <w:rFonts w:ascii="Times New Roman" w:hAnsi="Times New Roman" w:cs="Times New Roman" w:eastAsia="Times New Roman" w:hint="default"/>
        </w:rPr>
        <w:t>2018</w:t>
      </w:r>
      <w:r>
        <w:rPr/>
        <w:t>年同比下降</w:t>
      </w:r>
      <w:r>
        <w:rPr>
          <w:rFonts w:ascii="Times New Roman" w:hAnsi="Times New Roman" w:cs="Times New Roman" w:eastAsia="Times New Roman" w:hint="default"/>
        </w:rPr>
        <w:t>70.94%</w:t>
      </w:r>
      <w:r>
        <w:rPr/>
        <w:t>，主要为公司本报告期内通过借款筹集的资金大幅少于对 外投资和宇信大厦建设等投出资金所致。</w:t>
      </w:r>
    </w:p>
    <w:p>
      <w:pPr>
        <w:pStyle w:val="BodyText"/>
        <w:spacing w:line="300" w:lineRule="auto" w:before="154"/>
        <w:ind w:right="1213" w:firstLine="360"/>
        <w:jc w:val="both"/>
      </w:pPr>
      <w:r>
        <w:rPr/>
        <w:t>（</w:t>
      </w:r>
      <w:r>
        <w:rPr>
          <w:rFonts w:ascii="Times New Roman" w:hAnsi="Times New Roman" w:cs="Times New Roman" w:eastAsia="Times New Roman" w:hint="default"/>
        </w:rPr>
        <w:t>1</w:t>
      </w:r>
      <w:r>
        <w:rPr/>
        <w:t>）报告期内公司经营活动产生的现金流量净额较上年增长</w:t>
      </w:r>
      <w:r>
        <w:rPr>
          <w:rFonts w:ascii="Times New Roman" w:hAnsi="Times New Roman" w:cs="Times New Roman" w:eastAsia="Times New Roman" w:hint="default"/>
        </w:rPr>
        <w:t>5.62%</w:t>
      </w:r>
      <w:r>
        <w:rPr/>
        <w:t>，主要原因为报告期内公司软件业务发展相应的软 件业务收款增加使得经营活动现金流入较上年增长</w:t>
      </w:r>
      <w:r>
        <w:rPr>
          <w:rFonts w:ascii="Times New Roman" w:hAnsi="Times New Roman" w:cs="Times New Roman" w:eastAsia="Times New Roman" w:hint="default"/>
        </w:rPr>
        <w:t>21.53%</w:t>
      </w:r>
      <w:r>
        <w:rPr/>
        <w:t>，而软件业务的持续发展相应的人工成本支出增加使得报告期内 经营活动现金流出较上年增长</w:t>
      </w:r>
      <w:r>
        <w:rPr>
          <w:rFonts w:ascii="Times New Roman" w:hAnsi="Times New Roman" w:cs="Times New Roman" w:eastAsia="Times New Roman" w:hint="default"/>
        </w:rPr>
        <w:t>22.83%</w:t>
      </w:r>
      <w:r>
        <w:rPr/>
        <w:t>，但经营活动现金流出绝对值低于经营活动现金流入，使得经营活动产生的现金流量 净额较上年增加。</w:t>
      </w:r>
    </w:p>
    <w:p>
      <w:pPr>
        <w:pStyle w:val="BodyText"/>
        <w:spacing w:line="300" w:lineRule="auto" w:before="151"/>
        <w:ind w:right="986"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年投资活动现金流入比</w:t>
      </w:r>
      <w:r>
        <w:rPr>
          <w:rFonts w:ascii="Times New Roman" w:hAnsi="Times New Roman" w:cs="Times New Roman" w:eastAsia="Times New Roman" w:hint="default"/>
        </w:rPr>
        <w:t>2018</w:t>
      </w:r>
      <w:r>
        <w:rPr/>
        <w:t>年同比增长</w:t>
      </w:r>
      <w:r>
        <w:rPr>
          <w:rFonts w:ascii="Times New Roman" w:hAnsi="Times New Roman" w:cs="Times New Roman" w:eastAsia="Times New Roman" w:hint="default"/>
        </w:rPr>
        <w:t>180.01%</w:t>
      </w:r>
      <w:r>
        <w:rPr/>
        <w:t>，主要原因为公司本报告期内使用闲置募集资金购买理财产 </w:t>
      </w:r>
      <w:r>
        <w:rPr>
          <w:spacing w:val="-2"/>
        </w:rPr>
        <w:t>品到期赎回金额增加，同时收回对丝路华创的投资也增加了投资活动现金流入；</w:t>
      </w:r>
      <w:r>
        <w:rPr>
          <w:rFonts w:ascii="Times New Roman" w:hAnsi="Times New Roman" w:cs="Times New Roman" w:eastAsia="Times New Roman" w:hint="default"/>
          <w:spacing w:val="-2"/>
        </w:rPr>
        <w:t>2019</w:t>
      </w:r>
      <w:r>
        <w:rPr>
          <w:spacing w:val="-2"/>
        </w:rPr>
        <w:t>年投资活动现金流出比</w:t>
      </w:r>
      <w:r>
        <w:rPr>
          <w:rFonts w:ascii="Times New Roman" w:hAnsi="Times New Roman" w:cs="Times New Roman" w:eastAsia="Times New Roman" w:hint="default"/>
          <w:spacing w:val="-2"/>
        </w:rPr>
        <w:t>2018</w:t>
      </w:r>
      <w:r>
        <w:rPr>
          <w:spacing w:val="-2"/>
        </w:rPr>
        <w:t>年同比增长</w:t>
      </w:r>
      <w:r>
        <w:rPr>
          <w:spacing w:val="-59"/>
        </w:rPr>
        <w:t> </w:t>
      </w:r>
      <w:r>
        <w:rPr>
          <w:spacing w:val="-59"/>
        </w:rPr>
      </w:r>
      <w:r>
        <w:rPr>
          <w:rFonts w:ascii="Times New Roman" w:hAnsi="Times New Roman" w:cs="Times New Roman" w:eastAsia="Times New Roman" w:hint="default"/>
          <w:spacing w:val="-1"/>
        </w:rPr>
        <w:t>157.26%</w:t>
      </w:r>
      <w:r>
        <w:rPr>
          <w:spacing w:val="-1"/>
        </w:rPr>
        <w:t>，主要原因为公司本报告期内增加对宇新大数据基金、派衍信息科技、丝路控股和湖北消费金融的投资额，使用闲</w:t>
      </w:r>
      <w:r>
        <w:rPr>
          <w:spacing w:val="-44"/>
        </w:rPr>
        <w:t> </w:t>
      </w:r>
      <w:r>
        <w:rPr>
          <w:spacing w:val="-44"/>
        </w:rPr>
      </w:r>
      <w:r>
        <w:rPr/>
        <w:t>置募集资金购买理财产品投资金额增加以及宇信大厦建设持续投入。</w:t>
      </w:r>
    </w:p>
    <w:p>
      <w:pPr>
        <w:spacing w:after="0" w:line="300" w:lineRule="auto"/>
        <w:jc w:val="left"/>
        <w:sectPr>
          <w:pgSz w:w="11910" w:h="16840"/>
          <w:pgMar w:header="852" w:footer="980" w:top="1300" w:bottom="1160" w:left="980" w:right="0"/>
        </w:sectPr>
      </w:pPr>
    </w:p>
    <w:p>
      <w:pPr>
        <w:pStyle w:val="BodyText"/>
        <w:spacing w:line="300" w:lineRule="auto" w:before="142"/>
        <w:ind w:right="1133" w:firstLine="360"/>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年筹资活动产生的现金净流量与</w:t>
      </w:r>
      <w:r>
        <w:rPr>
          <w:rFonts w:ascii="Times New Roman" w:hAnsi="Times New Roman" w:cs="Times New Roman" w:eastAsia="Times New Roman" w:hint="default"/>
          <w:spacing w:val="-1"/>
        </w:rPr>
        <w:t>2018</w:t>
      </w:r>
      <w:r>
        <w:rPr>
          <w:spacing w:val="-1"/>
        </w:rPr>
        <w:t>年同比增长</w:t>
      </w:r>
      <w:r>
        <w:rPr>
          <w:rFonts w:ascii="Times New Roman" w:hAnsi="Times New Roman" w:cs="Times New Roman" w:eastAsia="Times New Roman" w:hint="default"/>
          <w:spacing w:val="-1"/>
        </w:rPr>
        <w:t>46.59%</w:t>
      </w:r>
      <w:r>
        <w:rPr>
          <w:spacing w:val="-1"/>
        </w:rPr>
        <w:t>，主要为公司本报告期内业务发展较快、对外投资增</w:t>
      </w:r>
      <w:r>
        <w:rPr/>
        <w:t> 加等所需筹集资金增加所致，报告期内公司主要依靠银行借款筹集资金。</w:t>
      </w:r>
    </w:p>
    <w:p>
      <w:pPr>
        <w:pStyle w:val="BodyText"/>
        <w:spacing w:line="240" w:lineRule="auto" w:before="151"/>
        <w:ind w:right="1133"/>
        <w:jc w:val="left"/>
      </w:pPr>
      <w:r>
        <w:rPr/>
        <w:t>报告期内公司经营活动产生的现金净流量与本年度净利润存在重大差异的原因说明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629"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22,212,309.01</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w:t>
            </w:r>
          </w:p>
        </w:tc>
        <w:tc>
          <w:tcPr>
            <w:tcW w:w="2168" w:type="dxa"/>
            <w:vMerge w:val="restart"/>
            <w:tcBorders>
              <w:top w:val="single" w:sz="4" w:space="0" w:color="000000"/>
              <w:left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投资收益主要包括联营公 司按权益法确认的投资收 </w:t>
            </w:r>
            <w:r>
              <w:rPr>
                <w:rFonts w:ascii="宋体" w:hAnsi="宋体" w:cs="宋体" w:eastAsia="宋体" w:hint="default"/>
                <w:spacing w:val="-5"/>
                <w:sz w:val="18"/>
                <w:szCs w:val="18"/>
              </w:rPr>
              <w:t>益、购买理财取得收益以及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处置子公司、联营公司投资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损失等。</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629"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73"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-681,061.31</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-0.24%</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公允价值变动损益主要为 交易性金融资产和其他非 流动金融资产公允价值变 动产生的损失。</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473"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-1,298,434.27</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-0.45%</w:t>
            </w:r>
          </w:p>
        </w:tc>
        <w:tc>
          <w:tcPr>
            <w:tcW w:w="2168" w:type="dxa"/>
            <w:vMerge w:val="restart"/>
            <w:tcBorders>
              <w:top w:val="single" w:sz="4" w:space="0" w:color="000000"/>
              <w:left w:val="single" w:sz="4" w:space="0" w:color="000000"/>
              <w:right w:val="single" w:sz="10" w:space="0" w:color="FFFFFF"/>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资产减值损失主要为公司 计提的固定资产减值准备。</w:t>
            </w:r>
          </w:p>
        </w:tc>
        <w:tc>
          <w:tcPr>
            <w:tcW w:w="2341" w:type="dxa"/>
            <w:vMerge w:val="restart"/>
            <w:tcBorders>
              <w:top w:val="single" w:sz="4" w:space="0" w:color="000000"/>
              <w:left w:val="single" w:sz="10" w:space="0" w:color="FFFFFF"/>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10" w:space="0" w:color="FFFFFF"/>
            </w:tcBorders>
          </w:tcPr>
          <w:p>
            <w:pPr/>
          </w:p>
        </w:tc>
        <w:tc>
          <w:tcPr>
            <w:tcW w:w="2341" w:type="dxa"/>
            <w:vMerge/>
            <w:tcBorders>
              <w:left w:val="single" w:sz="10" w:space="0" w:color="FFFFFF"/>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10" w:space="0" w:color="FFFFFF"/>
            </w:tcBorders>
          </w:tcPr>
          <w:p>
            <w:pPr/>
          </w:p>
        </w:tc>
        <w:tc>
          <w:tcPr>
            <w:tcW w:w="2341" w:type="dxa"/>
            <w:vMerge/>
            <w:tcBorders>
              <w:left w:val="single" w:sz="10" w:space="0" w:color="FFFFFF"/>
              <w:bottom w:val="single" w:sz="4" w:space="0" w:color="000000"/>
              <w:right w:val="single" w:sz="4" w:space="0" w:color="000000"/>
            </w:tcBorders>
          </w:tcPr>
          <w:p>
            <w:pP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2,045,595.68</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0.71%</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营业外收入主要为公司取 得的上市补助款。</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229,229.88</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0.08%</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营业外支出主要为对外捐 赠款。</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102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-15,355,746.29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信用减值损失主要为公司 计提应收款项的信用减值 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26,587,050.13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其他收益主要为公司取得 政府补助和增值税进项税 额加计抵减等。</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80" w:top="130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70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2228"/>
        <w:gridCol w:w="2259"/>
        <w:gridCol w:w="797"/>
        <w:gridCol w:w="290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161"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356"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31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1,017,639,287.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25.61%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950,427,760.45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29.34%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-3.73%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83"/>
              <w:jc w:val="both"/>
              <w:rPr>
                <w:rFonts w:ascii="宋体" w:hAnsi="宋体" w:cs="宋体" w:eastAsia="宋体" w:hint="default"/>
                <w:sz w:val="18"/>
                <w:szCs w:val="18"/>
              </w:rPr>
            </w:pPr>
            <w:r>
              <w:rPr>
                <w:rFonts w:ascii="宋体" w:hAnsi="宋体" w:cs="宋体" w:eastAsia="宋体" w:hint="default"/>
                <w:sz w:val="18"/>
                <w:szCs w:val="18"/>
              </w:rPr>
              <w:t>货币资金增加主要系公司报告期内 经营活动净现金流入增加以及通过 银行借款筹集资金增加所致。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769,826,622.0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19.37%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607,018,060.38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18.74%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0.63%</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应收账款余额随着收入增加而增加。</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532,195,342.3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13.39%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483,020,819.73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14.91%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-1.52%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83"/>
              <w:jc w:val="both"/>
              <w:rPr>
                <w:rFonts w:ascii="宋体" w:hAnsi="宋体" w:cs="宋体" w:eastAsia="宋体" w:hint="default"/>
                <w:sz w:val="18"/>
                <w:szCs w:val="18"/>
              </w:rPr>
            </w:pPr>
            <w:r>
              <w:rPr>
                <w:rFonts w:ascii="宋体" w:hAnsi="宋体" w:cs="宋体" w:eastAsia="宋体" w:hint="default"/>
                <w:sz w:val="18"/>
                <w:szCs w:val="18"/>
              </w:rPr>
              <w:t>存货增加主要系公司软件开发及服 务业务稳步发展相应的项目开发支 出增加。</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19,423,904.29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0.49%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10,802,928.45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0.33%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0.16%</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投资性房地产增加主要为报告期内 房屋因出租从固定资产转入投资性 房地产所致。</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457,597,633.9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11.52%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335,439,745.23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10.35%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1.17%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83"/>
              <w:jc w:val="both"/>
              <w:rPr>
                <w:rFonts w:ascii="宋体" w:hAnsi="宋体" w:cs="宋体" w:eastAsia="宋体" w:hint="default"/>
                <w:sz w:val="18"/>
                <w:szCs w:val="18"/>
              </w:rPr>
            </w:pPr>
            <w:r>
              <w:rPr>
                <w:rFonts w:ascii="宋体" w:hAnsi="宋体" w:cs="宋体" w:eastAsia="宋体" w:hint="default"/>
                <w:sz w:val="18"/>
                <w:szCs w:val="18"/>
              </w:rPr>
              <w:t>长期股权投资增加主要为联营公司 投资增加及对联营公司的投资收益 增加所致。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110,431,955.3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2.78%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130,589,643.20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4.03%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-1.25%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固定资产减少主要为逐月计提折旧 以及房屋因出租从固定资产转入投 资性房地产所致。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539,022,850.1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13.57%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303,525,726.67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9.37%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4.20%</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在建工程增加主要系宇信大厦建设 持续投入资金所致。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729,061,655.8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18.35%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508,583,632.42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15.70%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2.65%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短期借款增加主要系本报告期通过 银行借款筹措随着业务发展而增加 的经营资金需求以及投资所需资金。</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401,712,191.7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10.11%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270,269,468.63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8.34%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1.77%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83"/>
              <w:jc w:val="both"/>
              <w:rPr>
                <w:rFonts w:ascii="宋体" w:hAnsi="宋体" w:cs="宋体" w:eastAsia="宋体" w:hint="default"/>
                <w:sz w:val="18"/>
                <w:szCs w:val="18"/>
              </w:rPr>
            </w:pPr>
            <w:r>
              <w:rPr>
                <w:rFonts w:ascii="宋体" w:hAnsi="宋体" w:cs="宋体" w:eastAsia="宋体" w:hint="default"/>
                <w:sz w:val="18"/>
                <w:szCs w:val="18"/>
              </w:rPr>
              <w:t>长期借款增加主要系本报告期宇信 大厦项目建设持续投入向银行增加 借款所致。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025"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8,894,841.28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55,046,972.61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其他流动资产减少主要系期初对湖 北消费金融股份有限公司的股东存 款本报告期到期减少所致。</w:t>
            </w:r>
          </w:p>
        </w:tc>
      </w:tr>
      <w:tr>
        <w:trPr>
          <w:trHeight w:val="716"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4,120,853.88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1,537,969.60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长期待摊费用增加主要系经营租入 固定资产装修费增加所致。</w:t>
            </w:r>
          </w:p>
        </w:tc>
      </w:tr>
      <w:tr>
        <w:trPr>
          <w:trHeight w:val="1025"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14,423,237.23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10,108,420.34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递延所得税资产增加主要系本报告 期内部未实现利润及应收款项坏账 准备等可抵扣暂时性差异增加所致。</w:t>
            </w:r>
          </w:p>
        </w:tc>
      </w:tr>
      <w:tr>
        <w:trPr>
          <w:trHeight w:val="1339"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57,223,496.91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24,089,767.86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both"/>
              <w:rPr>
                <w:rFonts w:ascii="宋体" w:hAnsi="宋体" w:cs="宋体" w:eastAsia="宋体" w:hint="default"/>
                <w:sz w:val="18"/>
                <w:szCs w:val="18"/>
              </w:rPr>
            </w:pPr>
            <w:r>
              <w:rPr>
                <w:rFonts w:ascii="宋体" w:hAnsi="宋体" w:cs="宋体" w:eastAsia="宋体" w:hint="default"/>
                <w:sz w:val="18"/>
                <w:szCs w:val="18"/>
              </w:rPr>
              <w:t>其他流动资产增加主要系宇信大厦 建设采购增加相应的增值税留抵税 额增加以及预付宇信大厦工程款增 加所致。</w:t>
            </w:r>
          </w:p>
        </w:tc>
      </w:tr>
    </w:tbl>
    <w:p>
      <w:pPr>
        <w:spacing w:after="0" w:line="316" w:lineRule="auto"/>
        <w:jc w:val="both"/>
        <w:rPr>
          <w:rFonts w:ascii="宋体" w:hAnsi="宋体" w:cs="宋体" w:eastAsia="宋体"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19,062,510.00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2"/>
              <w:jc w:val="both"/>
              <w:rPr>
                <w:rFonts w:ascii="宋体" w:hAnsi="宋体" w:cs="宋体" w:eastAsia="宋体" w:hint="default"/>
                <w:sz w:val="18"/>
                <w:szCs w:val="18"/>
              </w:rPr>
            </w:pPr>
            <w:r>
              <w:rPr>
                <w:rFonts w:ascii="宋体" w:hAnsi="宋体" w:cs="宋体" w:eastAsia="宋体" w:hint="default"/>
                <w:sz w:val="18"/>
                <w:szCs w:val="18"/>
              </w:rPr>
              <w:t>应付票据增加主要系本报告期内公 司通过开具银行承兑汇票方式向集 成设备供应商采购商品所致。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61" w:firstLine="91"/>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2" w:firstLine="91"/>
              <w:jc w:val="left"/>
              <w:rPr>
                <w:rFonts w:ascii="宋体" w:hAnsi="宋体" w:cs="宋体" w:eastAsia="宋体" w:hint="default"/>
                <w:sz w:val="18"/>
                <w:szCs w:val="18"/>
              </w:rPr>
            </w:pPr>
            <w:r>
              <w:rPr>
                <w:rFonts w:ascii="宋体" w:hAnsi="宋体" w:cs="宋体" w:eastAsia="宋体" w:hint="default"/>
                <w:sz w:val="18"/>
                <w:szCs w:val="18"/>
              </w:rPr>
              <w:t>一年内到期的非流动负债增加系宇 信大厦工程建设筹集的长期借款在 一年内到期需还款金额增加所致。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7,283,068.49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交易性金融资产减少主要系公司购 买的理财产品到期赎回所致。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2"/>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129,280,609.2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4,559,685.46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both"/>
              <w:rPr>
                <w:rFonts w:ascii="宋体" w:hAnsi="宋体" w:cs="宋体" w:eastAsia="宋体" w:hint="default"/>
                <w:sz w:val="18"/>
                <w:szCs w:val="18"/>
              </w:rPr>
            </w:pPr>
            <w:r>
              <w:rPr>
                <w:rFonts w:ascii="宋体" w:hAnsi="宋体" w:cs="宋体" w:eastAsia="宋体" w:hint="default"/>
                <w:sz w:val="18"/>
                <w:szCs w:val="18"/>
              </w:rPr>
              <w:t>其他权益工具投资增加主要系公司 新增丝路控股等非交易性权益工具 投资所致。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5,142,444.49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6,106,574.29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其他非流动金融资产减少主要系公 司持有的京北阳光合伙企业份额的 公允价值变动所致。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53,662.41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121,768.54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递延所得税负债减少主要系金融资 产公允价值减少所致。</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82"/>
        <w:gridCol w:w="1021"/>
        <w:gridCol w:w="1058"/>
        <w:gridCol w:w="1193"/>
        <w:gridCol w:w="925"/>
        <w:gridCol w:w="1207"/>
        <w:gridCol w:w="1052"/>
        <w:gridCol w:w="920"/>
        <w:gridCol w:w="1212"/>
      </w:tblGrid>
      <w:tr>
        <w:trPr>
          <w:trHeight w:val="161" w:hRule="exact"/>
        </w:trPr>
        <w:tc>
          <w:tcPr>
            <w:tcW w:w="982" w:type="dxa"/>
            <w:vMerge w:val="restart"/>
            <w:tcBorders>
              <w:top w:val="single" w:sz="4" w:space="0" w:color="000000"/>
              <w:left w:val="single" w:sz="4" w:space="0" w:color="000000"/>
              <w:right w:val="single" w:sz="4" w:space="0" w:color="000000"/>
            </w:tcBorders>
            <w:shd w:val="clear" w:color="auto" w:fill="D2D2D2"/>
          </w:tcPr>
          <w:p>
            <w:pPr/>
          </w:p>
        </w:tc>
        <w:tc>
          <w:tcPr>
            <w:tcW w:w="1021" w:type="dxa"/>
            <w:vMerge w:val="restart"/>
            <w:tcBorders>
              <w:top w:val="single" w:sz="4" w:space="0" w:color="000000"/>
              <w:left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2" w:right="4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82" w:type="dxa"/>
            <w:vMerge/>
            <w:tcBorders>
              <w:left w:val="single" w:sz="4" w:space="0" w:color="000000"/>
              <w:bottom w:val="nil" w:sz="6" w:space="0" w:color="auto"/>
              <w:right w:val="single" w:sz="4" w:space="0" w:color="000000"/>
            </w:tcBorders>
            <w:shd w:val="clear" w:color="auto" w:fill="D2D2D2"/>
          </w:tcPr>
          <w:p>
            <w:pPr/>
          </w:p>
        </w:tc>
        <w:tc>
          <w:tcPr>
            <w:tcW w:w="1021"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89" w:right="93"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7"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0" w:right="69"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052"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82" w:type="dxa"/>
            <w:vMerge w:val="restart"/>
            <w:tcBorders>
              <w:top w:val="nil" w:sz="6" w:space="0" w:color="auto"/>
              <w:left w:val="single" w:sz="4" w:space="0" w:color="000000"/>
              <w:right w:val="single" w:sz="4" w:space="0" w:color="000000"/>
            </w:tcBorders>
            <w:shd w:val="clear" w:color="auto" w:fill="D2D2D2"/>
          </w:tcPr>
          <w:p>
            <w:pPr/>
          </w:p>
        </w:tc>
        <w:tc>
          <w:tcPr>
            <w:tcW w:w="1021" w:type="dxa"/>
            <w:vMerge w:val="restart"/>
            <w:tcBorders>
              <w:top w:val="nil" w:sz="6" w:space="0" w:color="auto"/>
              <w:left w:val="single" w:sz="4" w:space="0" w:color="000000"/>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982" w:type="dxa"/>
            <w:vMerge/>
            <w:tcBorders>
              <w:left w:val="single" w:sz="4" w:space="0" w:color="000000"/>
              <w:bottom w:val="single" w:sz="4" w:space="0" w:color="000000"/>
              <w:right w:val="single" w:sz="4" w:space="0" w:color="000000"/>
            </w:tcBorders>
            <w:shd w:val="clear" w:color="auto" w:fill="D2D2D2"/>
          </w:tcPr>
          <w:p>
            <w:pPr/>
          </w:p>
        </w:tc>
        <w:tc>
          <w:tcPr>
            <w:tcW w:w="1021" w:type="dxa"/>
            <w:vMerge/>
            <w:tcBorders>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15,050,000.0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283,068.49</w:t>
            </w: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574,850,000.00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582,900,000.</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7,283,068.49</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4,559,685.46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-4,525,738.40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-9,966,052.94</w:t>
            </w: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129,246,662.16</w:t>
            </w: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129,280,609.22</w:t>
            </w:r>
          </w:p>
        </w:tc>
      </w:tr>
      <w:tr>
        <w:trPr>
          <w:trHeight w:val="716"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19,609,685.4</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-4,242,669.91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-9,966,052.94</w:t>
            </w: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704,096,662.16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582,900,000.</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136,563,677.71</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6,106,574.29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-964,129.80</w:t>
            </w: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5,142,444.49</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25,716,259.7</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-5,206,799.71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-9,966,052.94</w:t>
            </w: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704,096,662.16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582,900,000.</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141,706,122.20</w:t>
            </w: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6794"/>
        <w:jc w:val="left"/>
      </w:pPr>
      <w:r>
        <w:rPr/>
        <w:t>其他变动的内容 报告期内公司主要资产计量属性是否发生重大变化</w:t>
      </w:r>
    </w:p>
    <w:p>
      <w:pPr>
        <w:spacing w:after="0" w:line="357" w:lineRule="auto"/>
        <w:jc w:val="left"/>
        <w:sectPr>
          <w:pgSz w:w="11910" w:h="16840"/>
          <w:pgMar w:header="852" w:footer="980" w:top="1300" w:bottom="1160" w:left="980" w:right="0"/>
        </w:sectPr>
      </w:pPr>
    </w:p>
    <w:p>
      <w:pPr>
        <w:pStyle w:val="BodyText"/>
        <w:spacing w:line="240" w:lineRule="auto" w:before="142"/>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w:t>
      </w:r>
      <w:r>
        <w:rPr>
          <w:rFonts w:ascii="Times New Roman" w:hAnsi="Times New Roman" w:cs="Times New Roman" w:eastAsia="Times New Roman" w:hint="default"/>
        </w:rPr>
        <w:t>1</w:t>
      </w:r>
      <w:r>
        <w:rPr/>
        <w:t>）固定资产、投资性房地产抵押</w:t>
      </w:r>
    </w:p>
    <w:p>
      <w:pPr>
        <w:pStyle w:val="BodyText"/>
        <w:spacing w:line="307" w:lineRule="auto" w:before="63"/>
        <w:ind w:right="103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日，子公司北京宇信金地科技有限公司与北京银行中关村科技园区支行签订编号</w:t>
      </w:r>
      <w:r>
        <w:rPr>
          <w:rFonts w:ascii="Times New Roman" w:hAnsi="Times New Roman" w:cs="Times New Roman" w:eastAsia="Times New Roman" w:hint="default"/>
        </w:rPr>
        <w:t>[0569832-001]</w:t>
      </w:r>
      <w:r>
        <w:rPr/>
        <w:t>最高额抵押 </w:t>
      </w:r>
      <w:r>
        <w:rPr>
          <w:spacing w:val="-2"/>
        </w:rPr>
        <w:t>合同，以北京宇信金地科技有限公司产权证号京（</w:t>
      </w:r>
      <w:r>
        <w:rPr>
          <w:rFonts w:ascii="Times New Roman" w:hAnsi="Times New Roman" w:cs="Times New Roman" w:eastAsia="Times New Roman" w:hint="default"/>
          <w:spacing w:val="-2"/>
        </w:rPr>
        <w:t>2017</w:t>
      </w:r>
      <w:r>
        <w:rPr>
          <w:spacing w:val="-2"/>
        </w:rPr>
        <w:t>）朝不动产权第</w:t>
      </w:r>
      <w:r>
        <w:rPr>
          <w:rFonts w:ascii="Times New Roman" w:hAnsi="Times New Roman" w:cs="Times New Roman" w:eastAsia="Times New Roman" w:hint="default"/>
          <w:spacing w:val="-2"/>
        </w:rPr>
        <w:t>0033183</w:t>
      </w:r>
      <w:r>
        <w:rPr>
          <w:spacing w:val="-2"/>
        </w:rPr>
        <w:t>号、</w:t>
      </w:r>
      <w:r>
        <w:rPr>
          <w:rFonts w:ascii="Times New Roman" w:hAnsi="Times New Roman" w:cs="Times New Roman" w:eastAsia="Times New Roman" w:hint="default"/>
          <w:spacing w:val="-2"/>
        </w:rPr>
        <w:t>0036040</w:t>
      </w:r>
      <w:r>
        <w:rPr>
          <w:spacing w:val="-2"/>
        </w:rPr>
        <w:t>号的位于北京市朝阳区酒仙桥东</w:t>
      </w:r>
      <w:r>
        <w:rPr>
          <w:spacing w:val="-52"/>
        </w:rPr>
        <w:t> </w:t>
      </w:r>
      <w:r>
        <w:rPr/>
        <w:t>路</w:t>
      </w:r>
      <w:r>
        <w:rPr>
          <w:rFonts w:ascii="Times New Roman" w:hAnsi="Times New Roman" w:cs="Times New Roman" w:eastAsia="Times New Roman" w:hint="default"/>
        </w:rPr>
        <w:t>9</w:t>
      </w:r>
      <w:r>
        <w:rPr/>
        <w:t>号院</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5</w:t>
      </w:r>
      <w:r>
        <w:rPr/>
        <w:t>层</w:t>
      </w:r>
      <w:r>
        <w:rPr>
          <w:rFonts w:ascii="Times New Roman" w:hAnsi="Times New Roman" w:cs="Times New Roman" w:eastAsia="Times New Roman" w:hint="default"/>
        </w:rPr>
        <w:t>502</w:t>
      </w:r>
      <w:r>
        <w:rPr/>
        <w:t>、</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602</w:t>
      </w:r>
      <w:r>
        <w:rPr/>
        <w:t>房产为抵押物，为本公司与北京银行订立的编号为</w:t>
      </w:r>
      <w:r>
        <w:rPr>
          <w:rFonts w:ascii="Times New Roman" w:hAnsi="Times New Roman" w:cs="Times New Roman" w:eastAsia="Times New Roman" w:hint="default"/>
        </w:rPr>
        <w:t>[0569832]</w:t>
      </w:r>
      <w:r>
        <w:rPr/>
        <w:t>的《综合授信合同》项下的借款</w:t>
      </w:r>
      <w:r>
        <w:rPr>
          <w:spacing w:val="-40"/>
        </w:rPr>
        <w:t> </w:t>
      </w:r>
      <w:r>
        <w:rPr>
          <w:spacing w:val="-40"/>
        </w:rPr>
      </w:r>
      <w:r>
        <w:rPr/>
        <w:t>合同提供抵押担保。被担保债权为主合同项下北京银行（及按主合同约定取得债权人地位的北京银行系统内其他分支机构） </w:t>
      </w:r>
      <w:r>
        <w:rPr>
          <w:spacing w:val="-2"/>
        </w:rPr>
        <w:t>的全部债权，包括主债权本金（最高限额为人民币肆亿元整）以及利息、罚息、违约金、损害赔偿金、实现债权和担保权益</w:t>
      </w:r>
      <w:r>
        <w:rPr>
          <w:spacing w:val="-70"/>
        </w:rPr>
        <w:t> </w:t>
      </w:r>
      <w:r>
        <w:rPr>
          <w:spacing w:val="-70"/>
        </w:rPr>
      </w:r>
      <w:r>
        <w:rPr/>
        <w:t>等其他款项。截止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日，抵押物账面价值</w:t>
      </w:r>
      <w:r>
        <w:rPr>
          <w:rFonts w:ascii="Times New Roman" w:hAnsi="Times New Roman" w:cs="Times New Roman" w:eastAsia="Times New Roman" w:hint="default"/>
        </w:rPr>
        <w:t>5,455.92</w:t>
      </w:r>
      <w:r>
        <w:rPr/>
        <w:t>万元。</w:t>
      </w:r>
    </w:p>
    <w:p>
      <w:pPr>
        <w:pStyle w:val="BodyText"/>
        <w:spacing w:line="240" w:lineRule="auto" w:before="7"/>
        <w:ind w:left="513" w:right="1133"/>
        <w:jc w:val="left"/>
      </w:pPr>
      <w:r>
        <w:rPr/>
        <w:t>（</w:t>
      </w:r>
      <w:r>
        <w:rPr>
          <w:rFonts w:ascii="Times New Roman" w:hAnsi="Times New Roman" w:cs="Times New Roman" w:eastAsia="Times New Roman" w:hint="default"/>
        </w:rPr>
        <w:t>2</w:t>
      </w:r>
      <w:r>
        <w:rPr/>
        <w:t>）无形资产、在建工程抵押</w:t>
      </w:r>
    </w:p>
    <w:p>
      <w:pPr>
        <w:pStyle w:val="BodyText"/>
        <w:spacing w:line="300" w:lineRule="auto" w:before="63"/>
        <w:ind w:right="1131"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w:t>
      </w:r>
      <w:r>
        <w:rPr>
          <w:spacing w:val="-59"/>
        </w:rPr>
        <w:t> </w:t>
      </w:r>
      <w:r>
        <w:rPr>
          <w:rFonts w:ascii="Times New Roman" w:hAnsi="Times New Roman" w:cs="Times New Roman" w:eastAsia="Times New Roman" w:hint="default"/>
        </w:rPr>
        <w:t>25</w:t>
      </w:r>
      <w:r>
        <w:rPr>
          <w:rFonts w:ascii="Times New Roman" w:hAnsi="Times New Roman" w:cs="Times New Roman" w:eastAsia="Times New Roman" w:hint="default"/>
          <w:spacing w:val="-13"/>
        </w:rPr>
        <w:t> </w:t>
      </w:r>
      <w:r>
        <w:rPr/>
        <w:t>日</w:t>
      </w:r>
      <w:r>
        <w:rPr>
          <w:spacing w:val="-60"/>
        </w:rPr>
        <w:t> </w:t>
      </w:r>
      <w:r>
        <w:rPr/>
        <w:t>，</w:t>
      </w:r>
      <w:r>
        <w:rPr>
          <w:spacing w:val="-60"/>
        </w:rPr>
        <w:t> </w:t>
      </w:r>
      <w:r>
        <w:rPr/>
        <w:t>子</w:t>
      </w:r>
      <w:r>
        <w:rPr>
          <w:spacing w:val="-60"/>
        </w:rPr>
        <w:t> </w:t>
      </w:r>
      <w:r>
        <w:rPr/>
        <w:t>公</w:t>
      </w:r>
      <w:r>
        <w:rPr>
          <w:spacing w:val="-57"/>
        </w:rPr>
        <w:t> </w:t>
      </w:r>
      <w:r>
        <w:rPr/>
        <w:t>司</w:t>
      </w:r>
      <w:r>
        <w:rPr>
          <w:spacing w:val="-57"/>
        </w:rPr>
        <w:t> </w:t>
      </w:r>
      <w:r>
        <w:rPr/>
        <w:t>珠</w:t>
      </w:r>
      <w:r>
        <w:rPr>
          <w:spacing w:val="-60"/>
        </w:rPr>
        <w:t> </w:t>
      </w:r>
      <w:r>
        <w:rPr/>
        <w:t>海</w:t>
      </w:r>
      <w:r>
        <w:rPr>
          <w:spacing w:val="-60"/>
        </w:rPr>
        <w:t> </w:t>
      </w:r>
      <w:r>
        <w:rPr/>
        <w:t>宇</w:t>
      </w:r>
      <w:r>
        <w:rPr>
          <w:spacing w:val="-57"/>
        </w:rPr>
        <w:t> </w:t>
      </w:r>
      <w:r>
        <w:rPr/>
        <w:t>诚</w:t>
      </w:r>
      <w:r>
        <w:rPr>
          <w:spacing w:val="-60"/>
        </w:rPr>
        <w:t> </w:t>
      </w:r>
      <w:r>
        <w:rPr/>
        <w:t>信</w:t>
      </w:r>
      <w:r>
        <w:rPr>
          <w:spacing w:val="-57"/>
        </w:rPr>
        <w:t> </w:t>
      </w:r>
      <w:r>
        <w:rPr/>
        <w:t>科</w:t>
      </w:r>
      <w:r>
        <w:rPr>
          <w:spacing w:val="-60"/>
        </w:rPr>
        <w:t> </w:t>
      </w:r>
      <w:r>
        <w:rPr/>
        <w:t>技</w:t>
      </w:r>
      <w:r>
        <w:rPr>
          <w:spacing w:val="-57"/>
        </w:rPr>
        <w:t> </w:t>
      </w:r>
      <w:r>
        <w:rPr/>
        <w:t>有</w:t>
      </w:r>
      <w:r>
        <w:rPr>
          <w:spacing w:val="-60"/>
        </w:rPr>
        <w:t> </w:t>
      </w:r>
      <w:r>
        <w:rPr/>
        <w:t>限</w:t>
      </w:r>
      <w:r>
        <w:rPr>
          <w:spacing w:val="-57"/>
        </w:rPr>
        <w:t> </w:t>
      </w:r>
      <w:r>
        <w:rPr/>
        <w:t>公</w:t>
      </w:r>
      <w:r>
        <w:rPr>
          <w:spacing w:val="-60"/>
        </w:rPr>
        <w:t> </w:t>
      </w:r>
      <w:r>
        <w:rPr/>
        <w:t>司</w:t>
      </w:r>
      <w:r>
        <w:rPr>
          <w:spacing w:val="-57"/>
        </w:rPr>
        <w:t> </w:t>
      </w:r>
      <w:r>
        <w:rPr/>
        <w:t>与</w:t>
      </w:r>
      <w:r>
        <w:rPr>
          <w:spacing w:val="-60"/>
        </w:rPr>
        <w:t> </w:t>
      </w:r>
      <w:r>
        <w:rPr/>
        <w:t>上</w:t>
      </w:r>
      <w:r>
        <w:rPr>
          <w:spacing w:val="-60"/>
        </w:rPr>
        <w:t> </w:t>
      </w:r>
      <w:r>
        <w:rPr/>
        <w:t>海</w:t>
      </w:r>
      <w:r>
        <w:rPr>
          <w:spacing w:val="-57"/>
        </w:rPr>
        <w:t> </w:t>
      </w:r>
      <w:r>
        <w:rPr/>
        <w:t>浦</w:t>
      </w:r>
      <w:r>
        <w:rPr>
          <w:spacing w:val="-60"/>
        </w:rPr>
        <w:t> </w:t>
      </w:r>
      <w:r>
        <w:rPr/>
        <w:t>东</w:t>
      </w:r>
      <w:r>
        <w:rPr>
          <w:spacing w:val="-57"/>
        </w:rPr>
        <w:t> </w:t>
      </w:r>
      <w:r>
        <w:rPr/>
        <w:t>发</w:t>
      </w:r>
      <w:r>
        <w:rPr>
          <w:spacing w:val="-60"/>
        </w:rPr>
        <w:t> </w:t>
      </w:r>
      <w:r>
        <w:rPr/>
        <w:t>展</w:t>
      </w:r>
      <w:r>
        <w:rPr>
          <w:spacing w:val="-57"/>
        </w:rPr>
        <w:t> </w:t>
      </w:r>
      <w:r>
        <w:rPr/>
        <w:t>股</w:t>
      </w:r>
      <w:r>
        <w:rPr>
          <w:spacing w:val="-60"/>
        </w:rPr>
        <w:t> </w:t>
      </w:r>
      <w:r>
        <w:rPr/>
        <w:t>份</w:t>
      </w:r>
      <w:r>
        <w:rPr>
          <w:spacing w:val="-57"/>
        </w:rPr>
        <w:t> </w:t>
      </w:r>
      <w:r>
        <w:rPr/>
        <w:t>有</w:t>
      </w:r>
      <w:r>
        <w:rPr>
          <w:spacing w:val="-60"/>
        </w:rPr>
        <w:t> </w:t>
      </w:r>
      <w:r>
        <w:rPr/>
        <w:t>限</w:t>
      </w:r>
      <w:r>
        <w:rPr>
          <w:spacing w:val="-57"/>
        </w:rPr>
        <w:t> </w:t>
      </w:r>
      <w:r>
        <w:rPr/>
        <w:t>公</w:t>
      </w:r>
      <w:r>
        <w:rPr>
          <w:spacing w:val="-60"/>
        </w:rPr>
        <w:t> </w:t>
      </w:r>
      <w:r>
        <w:rPr/>
        <w:t>司</w:t>
      </w:r>
      <w:r>
        <w:rPr>
          <w:spacing w:val="-60"/>
        </w:rPr>
        <w:t> </w:t>
      </w:r>
      <w:r>
        <w:rPr/>
        <w:t>珠</w:t>
      </w:r>
      <w:r>
        <w:rPr>
          <w:spacing w:val="-57"/>
        </w:rPr>
        <w:t> </w:t>
      </w:r>
      <w:r>
        <w:rPr/>
        <w:t>海</w:t>
      </w:r>
      <w:r>
        <w:rPr>
          <w:spacing w:val="-60"/>
        </w:rPr>
        <w:t> </w:t>
      </w:r>
      <w:r>
        <w:rPr/>
        <w:t>分</w:t>
      </w:r>
      <w:r>
        <w:rPr>
          <w:spacing w:val="-57"/>
        </w:rPr>
        <w:t> </w:t>
      </w:r>
      <w:r>
        <w:rPr/>
        <w:t>行</w:t>
      </w:r>
      <w:r>
        <w:rPr>
          <w:spacing w:val="-60"/>
        </w:rPr>
        <w:t> </w:t>
      </w:r>
      <w:r>
        <w:rPr/>
        <w:t>签</w:t>
      </w:r>
      <w:r>
        <w:rPr>
          <w:spacing w:val="-57"/>
        </w:rPr>
        <w:t> </w:t>
      </w:r>
      <w:r>
        <w:rPr/>
        <w:t>订</w:t>
      </w:r>
      <w:r>
        <w:rPr>
          <w:spacing w:val="-60"/>
        </w:rPr>
        <w:t> </w:t>
      </w:r>
      <w:r>
        <w:rPr/>
        <w:t>编</w:t>
      </w:r>
      <w:r>
        <w:rPr>
          <w:spacing w:val="-57"/>
        </w:rPr>
        <w:t> </w:t>
      </w:r>
      <w:r>
        <w:rPr/>
        <w:t>号</w:t>
      </w:r>
      <w:r>
        <w:rPr>
          <w:spacing w:val="-60"/>
        </w:rPr>
        <w:t> </w:t>
      </w:r>
      <w:r>
        <w:rPr/>
        <w:t>：</w:t>
      </w:r>
      <w:r>
        <w:rPr/>
        <w:t> </w:t>
      </w:r>
      <w:r>
        <w:rPr>
          <w:rFonts w:ascii="Times New Roman" w:hAnsi="Times New Roman" w:cs="Times New Roman" w:eastAsia="Times New Roman" w:hint="default"/>
        </w:rPr>
        <w:t>ZD1961201600000065</w:t>
      </w:r>
      <w:r>
        <w:rPr/>
        <w:t>最高额抵押合同，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日，签订编号</w:t>
      </w:r>
      <w:r>
        <w:rPr>
          <w:rFonts w:ascii="Times New Roman" w:hAnsi="Times New Roman" w:cs="Times New Roman" w:eastAsia="Times New Roman" w:hint="default"/>
        </w:rPr>
        <w:t>ZD1961201900000009</w:t>
      </w:r>
      <w:r>
        <w:rPr/>
        <w:t>最高额抵押合同，以位于珠海市横</w:t>
      </w:r>
      <w:r>
        <w:rPr>
          <w:spacing w:val="-44"/>
        </w:rPr>
        <w:t> </w:t>
      </w:r>
      <w:r>
        <w:rPr>
          <w:spacing w:val="-44"/>
        </w:rPr>
      </w:r>
      <w:r>
        <w:rPr/>
        <w:t>琴新区艺文二道东侧、港澳大道南侧、艺文一道西侧、濠江路北侧编号为粤（</w:t>
      </w:r>
      <w:r>
        <w:rPr>
          <w:rFonts w:ascii="Times New Roman" w:hAnsi="Times New Roman" w:cs="Times New Roman" w:eastAsia="Times New Roman" w:hint="default"/>
        </w:rPr>
        <w:t>2016</w:t>
      </w:r>
      <w:r>
        <w:rPr/>
        <w:t>）珠海市不动产权第</w:t>
      </w:r>
      <w:r>
        <w:rPr>
          <w:rFonts w:ascii="Times New Roman" w:hAnsi="Times New Roman" w:cs="Times New Roman" w:eastAsia="Times New Roman" w:hint="default"/>
        </w:rPr>
        <w:t>0023642</w:t>
      </w:r>
      <w:r>
        <w:rPr/>
        <w:t>号的土地使</w:t>
      </w:r>
      <w:r>
        <w:rPr>
          <w:spacing w:val="-86"/>
        </w:rPr>
        <w:t> </w:t>
      </w:r>
      <w:r>
        <w:rPr>
          <w:spacing w:val="-86"/>
        </w:rPr>
      </w:r>
      <w:r>
        <w:rPr>
          <w:spacing w:val="-2"/>
        </w:rPr>
        <w:t>用权及</w:t>
      </w:r>
      <w:r>
        <w:rPr>
          <w:rFonts w:ascii="Times New Roman" w:hAnsi="Times New Roman" w:cs="Times New Roman" w:eastAsia="Times New Roman" w:hint="default"/>
          <w:spacing w:val="-2"/>
        </w:rPr>
        <w:t>“</w:t>
      </w:r>
      <w:r>
        <w:rPr>
          <w:spacing w:val="-2"/>
        </w:rPr>
        <w:t>宇信大厦</w:t>
      </w:r>
      <w:r>
        <w:rPr>
          <w:rFonts w:ascii="Times New Roman" w:hAnsi="Times New Roman" w:cs="Times New Roman" w:eastAsia="Times New Roman" w:hint="default"/>
          <w:spacing w:val="-2"/>
        </w:rPr>
        <w:t>”</w:t>
      </w:r>
      <w:r>
        <w:rPr>
          <w:spacing w:val="-2"/>
        </w:rPr>
        <w:t>项目在建工程为抵押物，为子公司珠海宇诚信科技有限公司与上海浦东发展股份有限公司珠海分行订立的</w:t>
      </w:r>
      <w:r>
        <w:rPr>
          <w:spacing w:val="-44"/>
        </w:rPr>
        <w:t> </w:t>
      </w:r>
      <w:r>
        <w:rPr>
          <w:spacing w:val="-44"/>
        </w:rPr>
      </w:r>
      <w:r>
        <w:rPr/>
        <w:t>编号：</w:t>
      </w:r>
      <w:r>
        <w:rPr>
          <w:rFonts w:ascii="Times New Roman" w:hAnsi="Times New Roman" w:cs="Times New Roman" w:eastAsia="Times New Roman" w:hint="default"/>
        </w:rPr>
        <w:t>BC2016101400000164</w:t>
      </w:r>
      <w:r>
        <w:rPr/>
        <w:t>融资额度协议提供抵押担保。被担保主债权为上海浦东发展股份有限公司珠海分行在自</w:t>
      </w:r>
      <w:r>
        <w:rPr>
          <w:rFonts w:ascii="Times New Roman" w:hAnsi="Times New Roman" w:cs="Times New Roman" w:eastAsia="Times New Roman" w:hint="default"/>
        </w:rPr>
        <w:t>2016</w:t>
      </w:r>
      <w:r>
        <w:rPr/>
        <w:t>年</w:t>
      </w:r>
      <w:r>
        <w:rPr>
          <w:spacing w:val="-62"/>
        </w:rPr>
        <w:t> </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日至</w:t>
      </w:r>
      <w:r>
        <w:rPr>
          <w:rFonts w:ascii="Times New Roman" w:hAnsi="Times New Roman" w:cs="Times New Roman" w:eastAsia="Times New Roman" w:hint="default"/>
          <w:spacing w:val="-2"/>
        </w:rPr>
        <w:t>2026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日止的期间内与子公司珠海宇诚信科技有限公司办理各类融资业务所发生债权，包括：主债权本金</w:t>
      </w:r>
    </w:p>
    <w:p>
      <w:pPr>
        <w:pStyle w:val="BodyText"/>
        <w:spacing w:line="300" w:lineRule="auto" w:before="13"/>
        <w:ind w:right="1128"/>
        <w:jc w:val="both"/>
      </w:pPr>
      <w:r>
        <w:rPr>
          <w:spacing w:val="-1"/>
        </w:rPr>
        <w:t>（最高限额为人民币伍亿元肆仟万元整）及由此产生的利息</w:t>
      </w:r>
      <w:r>
        <w:rPr>
          <w:rFonts w:ascii="Times New Roman" w:hAnsi="Times New Roman" w:cs="Times New Roman" w:eastAsia="Times New Roman" w:hint="default"/>
          <w:spacing w:val="-1"/>
        </w:rPr>
        <w:t>(</w:t>
      </w:r>
      <w:r>
        <w:rPr>
          <w:spacing w:val="-1"/>
        </w:rPr>
        <w:t>包括利息、罚息和得利</w:t>
      </w:r>
      <w:r>
        <w:rPr>
          <w:rFonts w:ascii="Times New Roman" w:hAnsi="Times New Roman" w:cs="Times New Roman" w:eastAsia="Times New Roman" w:hint="default"/>
          <w:spacing w:val="-1"/>
        </w:rPr>
        <w:t>)</w:t>
      </w:r>
      <w:r>
        <w:rPr>
          <w:spacing w:val="-1"/>
        </w:rPr>
        <w:t>、违约金、损害赔偿金、手续费及其他</w:t>
      </w:r>
      <w:r>
        <w:rPr>
          <w:spacing w:val="-59"/>
        </w:rPr>
        <w:t> </w:t>
      </w:r>
      <w:r>
        <w:rPr>
          <w:spacing w:val="-59"/>
        </w:rPr>
      </w:r>
      <w:r>
        <w:rPr>
          <w:spacing w:val="-2"/>
        </w:rPr>
        <w:t>为签订或履行本合同而发生的费用、以及抵押权人实现担保权利和债权所产生的费用。截止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日，无形资产账面</w:t>
      </w:r>
      <w:r>
        <w:rPr>
          <w:spacing w:val="-58"/>
        </w:rPr>
        <w:t> </w:t>
      </w:r>
      <w:r>
        <w:rPr>
          <w:spacing w:val="-58"/>
        </w:rPr>
      </w:r>
      <w:r>
        <w:rPr/>
        <w:t>价值为</w:t>
      </w:r>
      <w:r>
        <w:rPr>
          <w:rFonts w:ascii="Times New Roman" w:hAnsi="Times New Roman" w:cs="Times New Roman" w:eastAsia="Times New Roman" w:hint="default"/>
        </w:rPr>
        <w:t>21,190.45</w:t>
      </w:r>
      <w:r>
        <w:rPr/>
        <w:t>万元，在建工程账面价值为</w:t>
      </w:r>
      <w:r>
        <w:rPr>
          <w:rFonts w:ascii="Times New Roman" w:hAnsi="Times New Roman" w:cs="Times New Roman" w:eastAsia="Times New Roman" w:hint="default"/>
        </w:rPr>
        <w:t>53,902.29</w:t>
      </w:r>
      <w:r>
        <w:rPr/>
        <w:t>万元。</w:t>
      </w:r>
    </w:p>
    <w:p>
      <w:pPr>
        <w:spacing w:line="240" w:lineRule="auto" w:before="3"/>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436"/>
        <w:gridCol w:w="1906"/>
        <w:gridCol w:w="2264"/>
      </w:tblGrid>
      <w:tr>
        <w:trPr>
          <w:trHeight w:val="346" w:hRule="exact"/>
        </w:trPr>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25"/>
              <w:jc w:val="right"/>
              <w:rPr>
                <w:rFonts w:ascii="宋体" w:hAnsi="宋体" w:cs="宋体" w:eastAsia="宋体" w:hint="default"/>
                <w:sz w:val="18"/>
                <w:szCs w:val="18"/>
              </w:rPr>
            </w:pPr>
            <w:r>
              <w:rPr>
                <w:rFonts w:ascii="宋体" w:hAnsi="宋体" w:cs="宋体" w:eastAsia="宋体" w:hint="default"/>
                <w:sz w:val="18"/>
                <w:szCs w:val="18"/>
              </w:rPr>
              <w:t>项目</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0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8" w:hRule="exact"/>
        </w:trPr>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11,250,085.57</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用于保证金或质押</w:t>
            </w:r>
          </w:p>
        </w:tc>
      </w:tr>
      <w:tr>
        <w:trPr>
          <w:trHeight w:val="346" w:hRule="exact"/>
        </w:trPr>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54,559,172.29</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348" w:hRule="exact"/>
        </w:trPr>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211,904,458.42</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346" w:hRule="exact"/>
        </w:trPr>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539,022,850.10</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348" w:hRule="exact"/>
        </w:trPr>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25"/>
              <w:jc w:val="right"/>
              <w:rPr>
                <w:rFonts w:ascii="宋体" w:hAnsi="宋体" w:cs="宋体" w:eastAsia="宋体" w:hint="default"/>
                <w:sz w:val="18"/>
                <w:szCs w:val="18"/>
              </w:rPr>
            </w:pPr>
            <w:r>
              <w:rPr>
                <w:rFonts w:ascii="宋体" w:hAnsi="宋体" w:cs="宋体" w:eastAsia="宋体" w:hint="default"/>
                <w:sz w:val="18"/>
                <w:szCs w:val="18"/>
              </w:rPr>
              <w:t>合计</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816,736,566.38</w:t>
            </w:r>
          </w:p>
        </w:tc>
        <w:tc>
          <w:tcPr>
            <w:tcW w:w="22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133"/>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763,617,835.59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218,440,021.23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after="0" w:line="240" w:lineRule="auto"/>
        <w:jc w:val="right"/>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r>
        <w:rPr/>
        <w:pict>
          <v:group style="position:absolute;margin-left:92.783997pt;margin-top:301.969971pt;width:31.95pt;height:15.6pt;mso-position-horizontal-relative:page;mso-position-vertical-relative:page;z-index:-1228336" coordorigin="1856,6039" coordsize="639,312">
            <v:shape style="position:absolute;left:1856;top:6039;width:639;height:312" coordorigin="1856,6039" coordsize="639,312" path="m1856,6351l2494,6351,2494,6039,1856,6039,1856,6351xe" filled="true" fillcolor="#ffffff" stroked="false">
              <v:path arrowok="t"/>
              <v:fill type="solid"/>
            </v:shape>
            <w10:wrap type="none"/>
          </v:group>
        </w:pict>
      </w:r>
      <w:r>
        <w:rPr/>
        <w:pict>
          <v:group style="position:absolute;margin-left:92.783997pt;margin-top:544.98999pt;width:31.95pt;height:15.6pt;mso-position-horizontal-relative:page;mso-position-vertical-relative:page;z-index:-1228312" coordorigin="1856,10900" coordsize="639,312">
            <v:shape style="position:absolute;left:1856;top:10900;width:639;height:312" coordorigin="1856,10900" coordsize="639,312" path="m1856,11212l2494,11212,2494,10900,1856,10900,1856,1121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西安宇 信融汇 网络科 技有限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为支付 平台提 供运营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1" w:right="0"/>
              <w:jc w:val="left"/>
              <w:rPr>
                <w:rFonts w:ascii="Times New Roman" w:hAnsi="Times New Roman" w:cs="Times New Roman" w:eastAsia="Times New Roman" w:hint="default"/>
                <w:sz w:val="18"/>
                <w:szCs w:val="18"/>
              </w:rPr>
            </w:pPr>
            <w:r>
              <w:rPr>
                <w:rFonts w:ascii="Times New Roman"/>
                <w:sz w:val="18"/>
              </w:rPr>
              <w:t>12,200,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84"/>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86" w:right="0"/>
              <w:jc w:val="center"/>
              <w:rPr>
                <w:rFonts w:ascii="Times New Roman" w:hAnsi="Times New Roman" w:cs="Times New Roman" w:eastAsia="Times New Roman" w:hint="default"/>
                <w:sz w:val="18"/>
                <w:szCs w:val="18"/>
              </w:rPr>
            </w:pPr>
            <w:r>
              <w:rPr>
                <w:rFonts w:ascii="Times New Roman"/>
                <w:sz w:val="18"/>
              </w:rPr>
              <w:t>-7,342,4</w:t>
            </w:r>
          </w:p>
          <w:p>
            <w:pPr>
              <w:pStyle w:val="TableParagraph"/>
              <w:spacing w:line="240" w:lineRule="auto" w:before="102"/>
              <w:ind w:left="281" w:right="0"/>
              <w:jc w:val="center"/>
              <w:rPr>
                <w:rFonts w:ascii="Times New Roman" w:hAnsi="Times New Roman" w:cs="Times New Roman" w:eastAsia="Times New Roman" w:hint="default"/>
                <w:sz w:val="18"/>
                <w:szCs w:val="18"/>
              </w:rPr>
            </w:pPr>
            <w:r>
              <w:rPr>
                <w:rFonts w:ascii="Times New Roman"/>
                <w:sz w:val="18"/>
              </w:rPr>
              <w:t>20.08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69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4" w:right="106"/>
              <w:jc w:val="left"/>
              <w:rPr>
                <w:rFonts w:ascii="宋体" w:hAnsi="宋体" w:cs="宋体" w:eastAsia="宋体" w:hint="default"/>
                <w:sz w:val="18"/>
                <w:szCs w:val="18"/>
              </w:rPr>
            </w:pPr>
            <w:r>
              <w:rPr>
                <w:rFonts w:ascii="宋体" w:hAnsi="宋体" w:cs="宋体" w:eastAsia="宋体" w:hint="default"/>
                <w:sz w:val="18"/>
                <w:szCs w:val="18"/>
              </w:rPr>
              <w:t>派衍信 息科技</w:t>
            </w:r>
          </w:p>
          <w:p>
            <w:pPr>
              <w:pStyle w:val="TableParagraph"/>
              <w:spacing w:line="316" w:lineRule="auto" w:before="19"/>
              <w:ind w:left="24" w:right="-46"/>
              <w:jc w:val="left"/>
              <w:rPr>
                <w:rFonts w:ascii="宋体" w:hAnsi="宋体" w:cs="宋体" w:eastAsia="宋体" w:hint="default"/>
                <w:sz w:val="18"/>
                <w:szCs w:val="18"/>
              </w:rPr>
            </w:pPr>
            <w:r>
              <w:rPr>
                <w:rFonts w:ascii="宋体" w:hAnsi="宋体" w:cs="宋体" w:eastAsia="宋体" w:hint="default"/>
                <w:spacing w:val="-7"/>
                <w:sz w:val="18"/>
                <w:szCs w:val="18"/>
              </w:rPr>
              <w:t>（苏州）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z w:val="18"/>
                <w:szCs w:val="18"/>
              </w:rPr>
              <w:t> 司</w:t>
            </w:r>
          </w:p>
        </w:tc>
        <w:tc>
          <w:tcPr>
            <w:tcW w:w="694"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2" w:right="117"/>
              <w:jc w:val="both"/>
              <w:rPr>
                <w:rFonts w:ascii="宋体" w:hAnsi="宋体" w:cs="宋体" w:eastAsia="宋体" w:hint="default"/>
                <w:sz w:val="18"/>
                <w:szCs w:val="18"/>
              </w:rPr>
            </w:pPr>
            <w:r>
              <w:rPr>
                <w:rFonts w:ascii="宋体" w:hAnsi="宋体" w:cs="宋体" w:eastAsia="宋体" w:hint="default"/>
                <w:sz w:val="18"/>
                <w:szCs w:val="18"/>
              </w:rPr>
              <w:t>为国内 外各类 金融机 构及其 客户的 资产管 理和托 管业务 提供整 体信息 化建设 解决方 案</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91"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84"/>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86" w:right="0"/>
              <w:jc w:val="center"/>
              <w:rPr>
                <w:rFonts w:ascii="Times New Roman" w:hAnsi="Times New Roman" w:cs="Times New Roman" w:eastAsia="Times New Roman" w:hint="default"/>
                <w:sz w:val="18"/>
                <w:szCs w:val="18"/>
              </w:rPr>
            </w:pPr>
            <w:r>
              <w:rPr>
                <w:rFonts w:ascii="Times New Roman"/>
                <w:sz w:val="18"/>
              </w:rPr>
              <w:t>-2,465,7</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93.36</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厦门市 宇信鸿 泰科技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软件开 发及服 </w:t>
            </w:r>
            <w:r>
              <w:rPr>
                <w:rFonts w:ascii="宋体" w:hAnsi="宋体" w:cs="宋体" w:eastAsia="宋体" w:hint="default"/>
                <w:spacing w:val="-22"/>
                <w:sz w:val="18"/>
                <w:szCs w:val="18"/>
              </w:rPr>
              <w:t>务、系统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集成等 信息化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3" w:right="84"/>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21,911,5</w:t>
            </w:r>
          </w:p>
          <w:p>
            <w:pPr>
              <w:pStyle w:val="TableParagraph"/>
              <w:spacing w:line="240" w:lineRule="auto" w:before="102"/>
              <w:ind w:left="302" w:right="0"/>
              <w:jc w:val="left"/>
              <w:rPr>
                <w:rFonts w:ascii="Times New Roman" w:hAnsi="Times New Roman" w:cs="Times New Roman" w:eastAsia="Times New Roman" w:hint="default"/>
                <w:sz w:val="18"/>
                <w:szCs w:val="18"/>
              </w:rPr>
            </w:pPr>
            <w:r>
              <w:rPr>
                <w:rFonts w:ascii="Times New Roman"/>
                <w:sz w:val="18"/>
              </w:rPr>
              <w:t>38.85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9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宇信鸿 泰科技</w:t>
            </w:r>
          </w:p>
          <w:p>
            <w:pPr>
              <w:pStyle w:val="TableParagraph"/>
              <w:spacing w:line="316" w:lineRule="auto" w:before="19"/>
              <w:ind w:left="24" w:right="-46"/>
              <w:jc w:val="left"/>
              <w:rPr>
                <w:rFonts w:ascii="宋体" w:hAnsi="宋体" w:cs="宋体" w:eastAsia="宋体" w:hint="default"/>
                <w:sz w:val="18"/>
                <w:szCs w:val="18"/>
              </w:rPr>
            </w:pPr>
            <w:r>
              <w:rPr>
                <w:rFonts w:ascii="宋体" w:hAnsi="宋体" w:cs="宋体" w:eastAsia="宋体" w:hint="default"/>
                <w:spacing w:val="-7"/>
                <w:sz w:val="18"/>
                <w:szCs w:val="18"/>
              </w:rPr>
              <w:t>（香港）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z w:val="18"/>
                <w:szCs w:val="18"/>
              </w:rPr>
              <w:t> 司</w:t>
            </w:r>
          </w:p>
        </w:tc>
        <w:tc>
          <w:tcPr>
            <w:tcW w:w="6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2" w:right="117"/>
              <w:jc w:val="both"/>
              <w:rPr>
                <w:rFonts w:ascii="宋体" w:hAnsi="宋体" w:cs="宋体" w:eastAsia="宋体" w:hint="default"/>
                <w:sz w:val="18"/>
                <w:szCs w:val="18"/>
              </w:rPr>
            </w:pPr>
            <w:r>
              <w:rPr>
                <w:rFonts w:ascii="宋体" w:hAnsi="宋体" w:cs="宋体" w:eastAsia="宋体" w:hint="default"/>
                <w:sz w:val="18"/>
                <w:szCs w:val="18"/>
              </w:rPr>
              <w:t>目前尚 未实际 运营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132,474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-17,639.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湖北消 费金融 股份有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17"/>
              <w:jc w:val="left"/>
              <w:rPr>
                <w:rFonts w:ascii="宋体" w:hAnsi="宋体" w:cs="宋体" w:eastAsia="宋体" w:hint="default"/>
                <w:sz w:val="18"/>
                <w:szCs w:val="18"/>
              </w:rPr>
            </w:pPr>
            <w:r>
              <w:rPr>
                <w:rFonts w:ascii="宋体" w:hAnsi="宋体" w:cs="宋体" w:eastAsia="宋体" w:hint="default"/>
                <w:sz w:val="18"/>
                <w:szCs w:val="18"/>
              </w:rPr>
              <w:t>消费金 融业务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94,200,</w:t>
            </w:r>
          </w:p>
          <w:p>
            <w:pPr>
              <w:pStyle w:val="TableParagraph"/>
              <w:spacing w:line="240" w:lineRule="auto" w:before="103"/>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12.00%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84"/>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13,305,7</w:t>
            </w:r>
          </w:p>
          <w:p>
            <w:pPr>
              <w:pStyle w:val="TableParagraph"/>
              <w:spacing w:line="240" w:lineRule="auto" w:before="103"/>
              <w:ind w:left="302" w:right="0"/>
              <w:jc w:val="left"/>
              <w:rPr>
                <w:rFonts w:ascii="Times New Roman" w:hAnsi="Times New Roman" w:cs="Times New Roman" w:eastAsia="Times New Roman" w:hint="default"/>
                <w:sz w:val="18"/>
                <w:szCs w:val="18"/>
              </w:rPr>
            </w:pPr>
            <w:r>
              <w:rPr>
                <w:rFonts w:ascii="Times New Roman"/>
                <w:sz w:val="18"/>
              </w:rPr>
              <w:t>36.98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2019-06</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r>
        <w:rPr/>
        <w:pict>
          <v:group style="position:absolute;margin-left:92.783997pt;margin-top:168.139984pt;width:31.95pt;height:17.55pt;mso-position-horizontal-relative:page;mso-position-vertical-relative:page;z-index:-1228288" coordorigin="1856,3363" coordsize="639,351">
            <v:shape style="position:absolute;left:1856;top:3363;width:639;height:351" coordorigin="1856,3363" coordsize="639,351" path="m1856,3713l2494,3713,2494,3363,1856,3363,1856,3713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2273" w:hRule="exact"/>
        </w:trPr>
        <w:tc>
          <w:tcPr>
            <w:tcW w:w="69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pacing w:val="-21"/>
                <w:sz w:val="18"/>
                <w:szCs w:val="18"/>
              </w:rPr>
              <w:t>宇新（厦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1"/>
                <w:sz w:val="18"/>
                <w:szCs w:val="18"/>
              </w:rPr>
              <w:t>门）大数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据股权 投资基 金合伙 </w:t>
            </w:r>
            <w:r>
              <w:rPr>
                <w:rFonts w:ascii="宋体" w:hAnsi="宋体" w:cs="宋体" w:eastAsia="宋体" w:hint="default"/>
                <w:spacing w:val="-21"/>
                <w:sz w:val="18"/>
                <w:szCs w:val="18"/>
              </w:rPr>
              <w:t>企业（有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限合伙）</w:t>
            </w:r>
            <w:r>
              <w:rPr>
                <w:rFonts w:ascii="宋体" w:hAnsi="宋体" w:cs="宋体" w:eastAsia="宋体" w:hint="default"/>
                <w:sz w:val="18"/>
                <w:szCs w:val="18"/>
              </w:rPr>
            </w:r>
          </w:p>
        </w:tc>
        <w:tc>
          <w:tcPr>
            <w:tcW w:w="694"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z w:val="18"/>
                <w:szCs w:val="18"/>
              </w:rPr>
              <w:t>信用大 数据及 相关应 用领域 的创业 </w:t>
            </w:r>
            <w:r>
              <w:rPr>
                <w:rFonts w:ascii="宋体" w:hAnsi="宋体" w:cs="宋体" w:eastAsia="宋体" w:hint="default"/>
                <w:spacing w:val="-22"/>
                <w:sz w:val="18"/>
                <w:szCs w:val="18"/>
              </w:rPr>
              <w:t>投资、股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权投资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66"/>
              <w:jc w:val="right"/>
              <w:rPr>
                <w:rFonts w:ascii="宋体" w:hAnsi="宋体" w:cs="宋体" w:eastAsia="宋体" w:hint="default"/>
                <w:sz w:val="18"/>
                <w:szCs w:val="18"/>
              </w:rPr>
            </w:pPr>
            <w:r>
              <w:rPr>
                <w:rFonts w:ascii="宋体" w:hAnsi="宋体" w:cs="宋体" w:eastAsia="宋体" w:hint="default"/>
                <w:sz w:val="18"/>
                <w:szCs w:val="18"/>
              </w:rPr>
              <w:t>其他</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64"/>
              <w:jc w:val="righ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-797,041</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.90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w:t>
            </w:r>
          </w:p>
        </w:tc>
      </w:tr>
      <w:tr>
        <w:trPr>
          <w:trHeight w:val="133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卡纳利 斯特金 融建模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金融大 数据服 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66"/>
              <w:jc w:val="right"/>
              <w:rPr>
                <w:rFonts w:ascii="宋体" w:hAnsi="宋体" w:cs="宋体" w:eastAsia="宋体" w:hint="default"/>
                <w:sz w:val="18"/>
                <w:szCs w:val="18"/>
              </w:rPr>
            </w:pPr>
            <w:r>
              <w:rPr>
                <w:rFonts w:ascii="宋体" w:hAnsi="宋体" w:cs="宋体" w:eastAsia="宋体" w:hint="default"/>
                <w:sz w:val="18"/>
                <w:szCs w:val="18"/>
              </w:rPr>
              <w:t>其他</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21,115,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562.16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7.21%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64"/>
              <w:jc w:val="righ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其他权 益工具 投资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丝路控 股集团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跨境投 </w:t>
            </w:r>
            <w:r>
              <w:rPr>
                <w:rFonts w:ascii="宋体" w:hAnsi="宋体" w:cs="宋体" w:eastAsia="宋体" w:hint="default"/>
                <w:spacing w:val="-22"/>
                <w:sz w:val="18"/>
                <w:szCs w:val="18"/>
              </w:rPr>
              <w:t>资、资产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管理、资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产并购 重组等 相关信 息咨询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66"/>
              <w:jc w:val="right"/>
              <w:rPr>
                <w:rFonts w:ascii="宋体" w:hAnsi="宋体" w:cs="宋体" w:eastAsia="宋体" w:hint="default"/>
                <w:sz w:val="18"/>
                <w:szCs w:val="18"/>
              </w:rPr>
            </w:pPr>
            <w:r>
              <w:rPr>
                <w:rFonts w:ascii="宋体" w:hAnsi="宋体" w:cs="宋体" w:eastAsia="宋体" w:hint="default"/>
                <w:sz w:val="18"/>
                <w:szCs w:val="18"/>
              </w:rPr>
              <w:t>其他</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108,131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6"/>
              <w:jc w:val="right"/>
              <w:rPr>
                <w:rFonts w:ascii="Times New Roman" w:hAnsi="Times New Roman" w:cs="Times New Roman" w:eastAsia="Times New Roman" w:hint="default"/>
                <w:sz w:val="18"/>
                <w:szCs w:val="18"/>
              </w:rPr>
            </w:pPr>
            <w:r>
              <w:rPr>
                <w:rFonts w:ascii="Times New Roman"/>
                <w:sz w:val="18"/>
              </w:rPr>
              <w:t>5.20%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64"/>
              <w:jc w:val="righ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其他权 益工具 投资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528,120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,712.16</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24,594,3</w:t>
            </w:r>
          </w:p>
          <w:p>
            <w:pPr>
              <w:pStyle w:val="TableParagraph"/>
              <w:spacing w:line="240" w:lineRule="auto" w:before="102"/>
              <w:ind w:left="302" w:right="0"/>
              <w:jc w:val="left"/>
              <w:rPr>
                <w:rFonts w:ascii="Times New Roman" w:hAnsi="Times New Roman" w:cs="Times New Roman" w:eastAsia="Times New Roman" w:hint="default"/>
                <w:sz w:val="18"/>
                <w:szCs w:val="18"/>
              </w:rPr>
            </w:pPr>
            <w:r>
              <w:rPr>
                <w:rFonts w:ascii="Times New Roman"/>
                <w:sz w:val="18"/>
              </w:rPr>
              <w:t>80.93</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64"/>
        <w:gridCol w:w="782"/>
        <w:gridCol w:w="783"/>
        <w:gridCol w:w="780"/>
        <w:gridCol w:w="715"/>
        <w:gridCol w:w="718"/>
        <w:gridCol w:w="716"/>
        <w:gridCol w:w="653"/>
        <w:gridCol w:w="650"/>
        <w:gridCol w:w="653"/>
        <w:gridCol w:w="653"/>
        <w:gridCol w:w="650"/>
        <w:gridCol w:w="653"/>
      </w:tblGrid>
      <w:tr>
        <w:trPr>
          <w:trHeight w:val="1651"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6"/>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7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4" w:right="81"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5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宇信大厦</w:t>
            </w:r>
            <w:r>
              <w:rPr>
                <w:rFonts w:ascii="Times New Roman" w:hAnsi="Times New Roman" w:cs="Times New Roman" w:eastAsia="Times New Roman" w:hint="default"/>
                <w:sz w:val="18"/>
                <w:szCs w:val="18"/>
              </w:rPr>
              <w:t>”</w:t>
            </w:r>
            <w:r>
              <w:rPr>
                <w:rFonts w:ascii="宋体" w:hAnsi="宋体" w:cs="宋体" w:eastAsia="宋体" w:hint="default"/>
                <w:sz w:val="18"/>
                <w:szCs w:val="18"/>
              </w:rPr>
              <w:t>在 建工程</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建筑物不 动产－办 公楼</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235,497,</w:t>
            </w:r>
          </w:p>
          <w:p>
            <w:pPr>
              <w:pStyle w:val="TableParagraph"/>
              <w:spacing w:line="240" w:lineRule="auto" w:before="102"/>
              <w:ind w:left="168" w:right="0"/>
              <w:jc w:val="center"/>
              <w:rPr>
                <w:rFonts w:ascii="Times New Roman" w:hAnsi="Times New Roman" w:cs="Times New Roman" w:eastAsia="Times New Roman" w:hint="default"/>
                <w:sz w:val="18"/>
                <w:szCs w:val="18"/>
              </w:rPr>
            </w:pPr>
            <w:r>
              <w:rPr>
                <w:rFonts w:ascii="Times New Roman"/>
                <w:sz w:val="18"/>
              </w:rPr>
              <w:t>123.43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539,022,</w:t>
            </w:r>
          </w:p>
          <w:p>
            <w:pPr>
              <w:pStyle w:val="TableParagraph"/>
              <w:spacing w:line="240" w:lineRule="auto" w:before="102"/>
              <w:ind w:left="171" w:right="0"/>
              <w:jc w:val="center"/>
              <w:rPr>
                <w:rFonts w:ascii="Times New Roman" w:hAnsi="Times New Roman" w:cs="Times New Roman" w:eastAsia="Times New Roman" w:hint="default"/>
                <w:sz w:val="18"/>
                <w:szCs w:val="18"/>
              </w:rPr>
            </w:pPr>
            <w:r>
              <w:rPr>
                <w:rFonts w:ascii="Times New Roman"/>
                <w:sz w:val="18"/>
              </w:rPr>
              <w:t>850.10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79"/>
              <w:jc w:val="left"/>
              <w:rPr>
                <w:rFonts w:ascii="宋体" w:hAnsi="宋体" w:cs="宋体" w:eastAsia="宋体" w:hint="default"/>
                <w:sz w:val="18"/>
                <w:szCs w:val="18"/>
              </w:rPr>
            </w:pPr>
            <w:r>
              <w:rPr>
                <w:rFonts w:ascii="宋体" w:hAnsi="宋体" w:cs="宋体" w:eastAsia="宋体" w:hint="default"/>
                <w:spacing w:val="-30"/>
                <w:sz w:val="18"/>
                <w:szCs w:val="18"/>
              </w:rPr>
              <w:t>自筹、银</w:t>
            </w:r>
            <w:r>
              <w:rPr>
                <w:rFonts w:ascii="宋体" w:hAnsi="宋体" w:cs="宋体" w:eastAsia="宋体" w:hint="default"/>
                <w:spacing w:val="-60"/>
                <w:sz w:val="18"/>
                <w:szCs w:val="18"/>
              </w:rPr>
              <w:t> </w:t>
            </w:r>
            <w:r>
              <w:rPr>
                <w:rFonts w:ascii="宋体" w:hAnsi="宋体" w:cs="宋体" w:eastAsia="宋体" w:hint="default"/>
                <w:sz w:val="18"/>
                <w:szCs w:val="18"/>
              </w:rPr>
              <w:t>行借款</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91.02%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235,497,</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123.43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539,022,</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sz w:val="18"/>
              </w:rPr>
              <w:t>850.10</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after="0" w:line="240" w:lineRule="auto"/>
        <w:jc w:val="right"/>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1027"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283,068.49</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574,850,000.00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582,900,000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5,941,338.2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7,283,068.4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自有资金、 闲置募集资 金</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-4,525,738.40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-9,966,052.94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129,246,662.16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129,280,609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4,888,888.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-964,129.80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1,217,685.40</w:t>
            </w: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5,142,444.4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29,938,888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-5,206,799.71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-8,748,367.54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704,096,662.16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5,941,338.2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141,706,122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left="0" w:right="1140"/>
        <w:jc w:val="right"/>
      </w:pPr>
      <w:r>
        <w:rPr/>
        <w:pict>
          <v:shape style="position:absolute;margin-left:56.400002pt;margin-top:-174.74826pt;width:479.05pt;height:272.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33,448.36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20,467.67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32,987.8</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460.56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存放于银 行存款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33,448.36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20,467.67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32,987.8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460.56</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88"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经中国证券监督委员会证监许可</w:t>
                        </w:r>
                        <w:r>
                          <w:rPr>
                            <w:rFonts w:ascii="Times New Roman" w:hAnsi="Times New Roman" w:cs="Times New Roman" w:eastAsia="Times New Roman" w:hint="default"/>
                            <w:sz w:val="18"/>
                            <w:szCs w:val="18"/>
                          </w:rPr>
                          <w:t>[2018]1615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号文《关于核准北京宇信科技集团股份有限公司首次公开发行股票的批复》核 准，北京宇信科技集团股份有限公司于中国境内首次公开发行人民币普通股股票。公司于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日通过深圳证 券交易所发行人民币普通股（</w:t>
                        </w:r>
                        <w:r>
                          <w:rPr>
                            <w:rFonts w:ascii="Times New Roman" w:hAnsi="Times New Roman" w:cs="Times New Roman" w:eastAsia="Times New Roman" w:hint="default"/>
                            <w:sz w:val="18"/>
                            <w:szCs w:val="18"/>
                          </w:rPr>
                          <w:t>A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4,001.00 </w:t>
                        </w:r>
                        <w:r>
                          <w:rPr>
                            <w:rFonts w:ascii="宋体" w:hAnsi="宋体" w:cs="宋体" w:eastAsia="宋体" w:hint="default"/>
                            <w:sz w:val="18"/>
                            <w:szCs w:val="18"/>
                          </w:rPr>
                          <w:t>万股，发行价格为每股人民币 </w:t>
                        </w:r>
                        <w:r>
                          <w:rPr>
                            <w:rFonts w:ascii="Times New Roman" w:hAnsi="Times New Roman" w:cs="Times New Roman" w:eastAsia="Times New Roman" w:hint="default"/>
                            <w:sz w:val="18"/>
                            <w:szCs w:val="18"/>
                          </w:rPr>
                          <w:t>8.36 </w:t>
                        </w:r>
                        <w:r>
                          <w:rPr>
                            <w:rFonts w:ascii="宋体" w:hAnsi="宋体" w:cs="宋体" w:eastAsia="宋体" w:hint="default"/>
                            <w:spacing w:val="-3"/>
                            <w:sz w:val="18"/>
                            <w:szCs w:val="18"/>
                          </w:rPr>
                          <w:t>元，募集资金总额为 </w:t>
                        </w:r>
                        <w:r>
                          <w:rPr>
                            <w:rFonts w:ascii="Times New Roman" w:hAnsi="Times New Roman" w:cs="Times New Roman" w:eastAsia="Times New Roman" w:hint="default"/>
                            <w:sz w:val="18"/>
                            <w:szCs w:val="18"/>
                          </w:rPr>
                          <w:t>334,483,600.00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 扣除券商发行服务费 </w:t>
                        </w:r>
                        <w:r>
                          <w:rPr>
                            <w:rFonts w:ascii="Times New Roman" w:hAnsi="Times New Roman" w:cs="Times New Roman" w:eastAsia="Times New Roman" w:hint="default"/>
                            <w:spacing w:val="-1"/>
                            <w:sz w:val="18"/>
                            <w:szCs w:val="18"/>
                          </w:rPr>
                          <w:t>31,000,000.00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元后募集资金净额为人民币</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288,376,600.00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元，上述募集资金到位情况已经立信会计师</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事务所（特殊普通合伙）审验，并于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日出具信会师报字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ZB12016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募集资金累计使用</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募集资金可使用</w:t>
                        </w:r>
                        <w:r>
                          <w:rPr>
                            <w:rFonts w:ascii="宋体" w:hAnsi="宋体" w:cs="宋体" w:eastAsia="宋体" w:hint="default"/>
                            <w:spacing w:val="-3"/>
                            <w:sz w:val="18"/>
                            <w:szCs w:val="18"/>
                          </w:rPr>
                          <w:t>余</w:t>
                        </w:r>
                        <w:r>
                          <w:rPr>
                            <w:rFonts w:ascii="宋体" w:hAnsi="宋体" w:cs="宋体" w:eastAsia="宋体" w:hint="default"/>
                            <w:sz w:val="18"/>
                            <w:szCs w:val="18"/>
                          </w:rPr>
                          <w:t>额</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723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w:t>
                        </w:r>
                        <w:r>
                          <w:rPr>
                            <w:rFonts w:ascii="宋体" w:hAnsi="宋体" w:cs="宋体" w:eastAsia="宋体" w:hint="default"/>
                            <w:spacing w:val="-92"/>
                            <w:sz w:val="18"/>
                            <w:szCs w:val="18"/>
                          </w:rPr>
                          <w:t>元</w:t>
                        </w:r>
                        <w:r>
                          <w:rPr>
                            <w:rFonts w:ascii="宋体" w:hAnsi="宋体" w:cs="宋体" w:eastAsia="宋体" w:hint="default"/>
                            <w:sz w:val="18"/>
                            <w:szCs w:val="18"/>
                          </w:rPr>
                          <w:t>（含利息收入</w:t>
                        </w:r>
                        <w:r>
                          <w:rPr>
                            <w:rFonts w:ascii="宋体" w:hAnsi="宋体" w:cs="宋体" w:eastAsia="宋体" w:hint="default"/>
                            <w:spacing w:val="-92"/>
                            <w:sz w:val="18"/>
                            <w:szCs w:val="18"/>
                          </w:rPr>
                          <w:t>）。</w:t>
                        </w:r>
                        <w:r>
                          <w:rPr>
                            <w:rFonts w:ascii="宋体" w:hAnsi="宋体" w:cs="宋体" w:eastAsia="宋体" w:hint="default"/>
                            <w:sz w:val="18"/>
                            <w:szCs w:val="18"/>
                          </w:rPr>
                          <w:t>本年度使用募集资金</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万元，累计使用募集资金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32,987.80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万元，其中募投项目支付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28,377.10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万元，发行费用支付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4,610.7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万元（含券商发行服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务费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before="36"/>
        <w:ind w:right="1133"/>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52" w:footer="980" w:top="1300" w:bottom="1160" w:left="980" w:right="0"/>
        </w:sectPr>
      </w:pPr>
    </w:p>
    <w:p>
      <w:pPr>
        <w:pStyle w:val="BodyText"/>
        <w:spacing w:line="240" w:lineRule="auto" w:before="142"/>
        <w:ind w:left="0" w:right="1131"/>
        <w:jc w:val="right"/>
      </w:pPr>
      <w:r>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9"/>
        <w:gridCol w:w="727"/>
        <w:gridCol w:w="727"/>
      </w:tblGrid>
      <w:tr>
        <w:trPr>
          <w:trHeight w:val="1649"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4"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4"/>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258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、基于 大数据 技术和 互联网 思维的 智慧银 行建设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13,550.97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13,550.97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7,841.97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13,611.39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金融 云服务 一体化 运营及 管理平 台建设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7,263.62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7,263.62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5,222.13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6,641.96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91.44%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3"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面向 消费金 融公司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整 体解决 方案建 设项目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8,023.07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8,023.07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6,783.06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8,123.75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28,837.66</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28,837.66</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28,377.1</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9"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723" w:type="dxa"/>
            <w:vMerge/>
            <w:tcBorders>
              <w:left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10" w:space="0" w:color="D2D2D2"/>
              <w:right w:val="single" w:sz="4" w:space="0" w:color="000000"/>
            </w:tcBorders>
          </w:tcPr>
          <w:p>
            <w:pPr/>
          </w:p>
        </w:tc>
        <w:tc>
          <w:tcPr>
            <w:tcW w:w="899" w:type="dxa"/>
            <w:vMerge/>
            <w:tcBorders>
              <w:left w:val="single" w:sz="4" w:space="0" w:color="000000"/>
              <w:right w:val="single" w:sz="9" w:space="0" w:color="D2D2D2"/>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10" w:space="0" w:color="D2D2D2"/>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9" w:space="0" w:color="D2D2D2"/>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28,837.66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28,837.66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19,847.1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28,377.1</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r>
        <w:rPr/>
        <w:pict>
          <v:group style="position:absolute;margin-left:93.024002pt;margin-top:146.659988pt;width:442.05pt;height:54.6pt;mso-position-horizontal-relative:page;mso-position-vertical-relative:page;z-index:-1228240" coordorigin="1860,2933" coordsize="8841,1092">
            <v:shape style="position:absolute;left:1860;top:2933;width:8841;height:1092" coordorigin="1860,2933" coordsize="8841,1092" path="m1860,4025l10701,4025,10701,2933,1860,2933,1860,402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2585"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16" w:lineRule="auto" w:before="19"/>
              <w:ind w:left="22" w:right="-31"/>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4"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1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157"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16"/>
              <w:ind w:left="24" w:right="21" w:firstLine="273"/>
              <w:jc w:val="both"/>
              <w:rPr>
                <w:rFonts w:ascii="宋体" w:hAnsi="宋体" w:cs="宋体" w:eastAsia="宋体" w:hint="default"/>
                <w:sz w:val="18"/>
                <w:szCs w:val="18"/>
              </w:rPr>
            </w:pPr>
            <w:r>
              <w:rPr>
                <w:rFonts w:ascii="宋体" w:hAnsi="宋体" w:cs="宋体" w:eastAsia="宋体" w:hint="default"/>
                <w:sz w:val="18"/>
                <w:szCs w:val="18"/>
              </w:rPr>
              <w:t>第二届董事会第九次会议决议通过，加快金融云服务一体化运营及管理平台建设项目和面向消费金融公司的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2"/>
                <w:sz w:val="18"/>
                <w:szCs w:val="18"/>
              </w:rPr>
              <w:t> </w:t>
            </w:r>
            <w:r>
              <w:rPr>
                <w:rFonts w:ascii="宋体" w:hAnsi="宋体" w:cs="宋体" w:eastAsia="宋体" w:hint="default"/>
                <w:spacing w:val="-2"/>
                <w:sz w:val="18"/>
                <w:szCs w:val="18"/>
              </w:rPr>
              <w:t>整体解决方案建设项目实施进度，募集资金投资项目实施主体、募集资金投资用途及投资规模不变，加大研发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投入，减少外购软硬件的投入，拟于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年实施完毕。</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61"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月，公司已使用募集资金置换预先投入募集资金投资项目的自筹资金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85,299,406.66 </w:t>
            </w:r>
            <w:r>
              <w:rPr>
                <w:rFonts w:ascii="宋体" w:hAnsi="宋体" w:cs="宋体" w:eastAsia="宋体" w:hint="default"/>
                <w:sz w:val="18"/>
                <w:szCs w:val="18"/>
              </w:rPr>
              <w:t>元。</w:t>
            </w:r>
          </w:p>
        </w:tc>
      </w:tr>
      <w:tr>
        <w:trPr>
          <w:trHeight w:val="40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用闲置</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1611"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47"/>
              <w:jc w:val="both"/>
              <w:rPr>
                <w:rFonts w:ascii="宋体" w:hAnsi="宋体" w:cs="宋体" w:eastAsia="宋体" w:hint="default"/>
                <w:sz w:val="18"/>
                <w:szCs w:val="18"/>
              </w:rPr>
            </w:pPr>
            <w:r>
              <w:rPr>
                <w:rFonts w:ascii="宋体" w:hAnsi="宋体" w:cs="宋体" w:eastAsia="宋体" w:hint="default"/>
                <w:sz w:val="18"/>
                <w:szCs w:val="18"/>
              </w:rPr>
              <w:t>募集资 金暂时 补充流 动资金 情况</w:t>
            </w: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97"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日，本公司尚未使用的募集资金除购买保本结构性存款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万元外，其余均存放于现有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募集资金专户中。保本结构性存款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 </w:t>
            </w:r>
            <w:r>
              <w:rPr>
                <w:rFonts w:ascii="宋体" w:hAnsi="宋体" w:cs="宋体" w:eastAsia="宋体" w:hint="default"/>
                <w:sz w:val="18"/>
                <w:szCs w:val="18"/>
              </w:rPr>
              <w:t>万元已于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日到期转回募集资金专户。</w:t>
            </w:r>
          </w:p>
        </w:tc>
      </w:tr>
      <w:tr>
        <w:trPr>
          <w:trHeight w:val="227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00" w:bottom="1160" w:left="980" w:right="0"/>
        </w:sectPr>
      </w:pPr>
    </w:p>
    <w:p>
      <w:pPr>
        <w:pStyle w:val="BodyText"/>
        <w:spacing w:line="240" w:lineRule="auto" w:before="142"/>
        <w:ind w:right="1133"/>
        <w:jc w:val="left"/>
      </w:pPr>
      <w:r>
        <w:rPr/>
        <w:t>公司报告期内无应当披露的重要控股参股公司信息。</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33"/>
        <w:jc w:val="left"/>
      </w:pPr>
      <w:r>
        <w:rPr/>
        <w:t>公司未来发展策略参见“第四节、一、概述”相关内容、公司可能面对的风险参见第一节相关内容。</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1083"/>
        <w:gridCol w:w="1274"/>
        <w:gridCol w:w="5034"/>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2019-001</w:t>
            </w:r>
            <w:r>
              <w:rPr>
                <w:rFonts w:ascii="宋体" w:hAnsi="宋体" w:cs="宋体" w:eastAsia="宋体" w:hint="default"/>
                <w:sz w:val="18"/>
                <w:szCs w:val="18"/>
              </w:rPr>
              <w:t>）</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2019-002</w:t>
            </w:r>
            <w:r>
              <w:rPr>
                <w:rFonts w:ascii="宋体" w:hAnsi="宋体" w:cs="宋体" w:eastAsia="宋体" w:hint="default"/>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2019-003</w:t>
            </w:r>
            <w:r>
              <w:rPr>
                <w:rFonts w:ascii="宋体" w:hAnsi="宋体" w:cs="宋体" w:eastAsia="宋体" w:hint="default"/>
                <w:sz w:val="18"/>
                <w:szCs w:val="18"/>
              </w:rPr>
              <w:t>）</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2019-004</w:t>
            </w:r>
            <w:r>
              <w:rPr>
                <w:rFonts w:ascii="宋体" w:hAnsi="宋体" w:cs="宋体" w:eastAsia="宋体" w:hint="default"/>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2019-005</w:t>
            </w:r>
            <w:r>
              <w:rPr>
                <w:rFonts w:ascii="宋体" w:hAnsi="宋体" w:cs="宋体" w:eastAsia="宋体" w:hint="default"/>
                <w:sz w:val="18"/>
                <w:szCs w:val="18"/>
              </w:rPr>
              <w:t>）</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2019-006</w:t>
            </w:r>
            <w:r>
              <w:rPr>
                <w:rFonts w:ascii="宋体" w:hAnsi="宋体" w:cs="宋体" w:eastAsia="宋体" w:hint="default"/>
                <w:sz w:val="18"/>
                <w:szCs w:val="18"/>
              </w:rPr>
              <w:t>）</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2019-007</w:t>
            </w:r>
            <w:r>
              <w:rPr>
                <w:rFonts w:ascii="宋体" w:hAnsi="宋体" w:cs="宋体" w:eastAsia="宋体" w:hint="default"/>
                <w:sz w:val="18"/>
                <w:szCs w:val="18"/>
              </w:rPr>
              <w:t>）</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2019-008</w:t>
            </w:r>
            <w:r>
              <w:rPr>
                <w:rFonts w:ascii="宋体" w:hAnsi="宋体" w:cs="宋体" w:eastAsia="宋体" w:hint="default"/>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2019-009</w:t>
            </w:r>
            <w:r>
              <w:rPr>
                <w:rFonts w:ascii="宋体" w:hAnsi="宋体" w:cs="宋体" w:eastAsia="宋体" w:hint="default"/>
                <w:sz w:val="18"/>
                <w:szCs w:val="18"/>
              </w:rPr>
              <w:t>）</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2019-010</w:t>
            </w:r>
            <w:r>
              <w:rPr>
                <w:rFonts w:ascii="宋体" w:hAnsi="宋体" w:cs="宋体" w:eastAsia="宋体" w:hint="default"/>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2019-011</w:t>
            </w:r>
            <w:r>
              <w:rPr>
                <w:rFonts w:ascii="宋体" w:hAnsi="宋体" w:cs="宋体" w:eastAsia="宋体" w:hint="default"/>
                <w:sz w:val="18"/>
                <w:szCs w:val="18"/>
              </w:rPr>
              <w:t>）</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2019-012</w:t>
            </w:r>
            <w:r>
              <w:rPr>
                <w:rFonts w:ascii="宋体" w:hAnsi="宋体" w:cs="宋体" w:eastAsia="宋体" w:hint="default"/>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巨潮资讯网披露的投资者关系活动记录表（</w:t>
            </w:r>
            <w:r>
              <w:rPr>
                <w:rFonts w:ascii="Times New Roman" w:hAnsi="Times New Roman" w:cs="Times New Roman" w:eastAsia="Times New Roman" w:hint="default"/>
                <w:sz w:val="18"/>
                <w:szCs w:val="18"/>
              </w:rPr>
              <w:t>2019-013</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679.059998pt;width:290.95pt;height:20.8pt;mso-position-horizontal-relative:page;mso-position-vertical-relative:page;z-index:-1228216" coordorigin="4856,13581" coordsize="5819,416">
            <v:group style="position:absolute;left:4868;top:13593;width:2;height:392" coordorigin="4868,13593" coordsize="2,392">
              <v:shape style="position:absolute;left:4868;top:13593;width:2;height:392" coordorigin="4868,13593" coordsize="0,392" path="m4868,13593l4868,13984e" filled="false" stroked="true" strokeweight="1.2pt" strokecolor="#ffffff">
                <v:path arrowok="t"/>
              </v:shape>
            </v:group>
            <v:group style="position:absolute;left:4880;top:13593;width:5795;height:392" coordorigin="4880,13593" coordsize="5795,392">
              <v:shape style="position:absolute;left:4880;top:13593;width:5795;height:392" coordorigin="4880,13593" coordsize="5795,392" path="m4880,13984l10675,13984,10675,13593,4880,13593,4880,13984xe" filled="true" fillcolor="#ffffff" stroked="false">
                <v:path arrowok="t"/>
                <v:fill type="solid"/>
              </v:shape>
            </v:group>
            <w10:wrap type="none"/>
          </v:group>
        </w:pict>
      </w:r>
    </w:p>
    <w:p>
      <w:pPr>
        <w:spacing w:line="240" w:lineRule="auto" w:before="11"/>
        <w:rPr>
          <w:rFonts w:ascii="宋体" w:hAnsi="宋体" w:cs="宋体" w:eastAsia="宋体" w:hint="default"/>
          <w:sz w:val="21"/>
          <w:szCs w:val="21"/>
        </w:rPr>
      </w:pPr>
    </w:p>
    <w:p>
      <w:pPr>
        <w:pStyle w:val="Heading1"/>
        <w:spacing w:line="240" w:lineRule="auto"/>
        <w:ind w:right="3132"/>
        <w:jc w:val="center"/>
        <w:rPr>
          <w:b w:val="0"/>
          <w:bCs w:val="0"/>
        </w:rPr>
      </w:pPr>
      <w:bookmarkStart w:name="第五节重要事项" w:id="61"/>
      <w:bookmarkEnd w:id="61"/>
      <w:r>
        <w:rPr>
          <w:b w:val="0"/>
          <w:bCs w:val="0"/>
        </w:rPr>
      </w:r>
      <w:bookmarkStart w:name="_bookmark4" w:id="62"/>
      <w:bookmarkEnd w:id="62"/>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986"/>
        <w:jc w:val="left"/>
      </w:pPr>
      <w:r>
        <w:rPr/>
        <w:t>公司</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年度权益分派方案已获</w:t>
      </w:r>
      <w:r>
        <w:rPr>
          <w:spacing w:val="-43"/>
        </w:rPr>
        <w:t> </w:t>
      </w:r>
      <w:r>
        <w:rPr>
          <w:rFonts w:ascii="Times New Roman" w:hAnsi="Times New Roman" w:cs="Times New Roman" w:eastAsia="Times New Roman" w:hint="default"/>
        </w:rPr>
        <w:t>2019 </w:t>
      </w:r>
      <w:r>
        <w:rPr/>
        <w:t>年</w:t>
      </w:r>
      <w:r>
        <w:rPr>
          <w:spacing w:val="-44"/>
        </w:rPr>
        <w:t> </w:t>
      </w:r>
      <w:r>
        <w:rPr>
          <w:rFonts w:ascii="Times New Roman" w:hAnsi="Times New Roman" w:cs="Times New Roman" w:eastAsia="Times New Roman" w:hint="default"/>
        </w:rPr>
        <w:t>6 </w:t>
      </w:r>
      <w:r>
        <w:rPr/>
        <w:t>月</w:t>
      </w:r>
      <w:r>
        <w:rPr>
          <w:spacing w:val="-4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日召开的</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4"/>
        </w:rPr>
        <w:t>年度股东大会审议通过，权益分配方案为：以公司现有总股</w:t>
      </w:r>
    </w:p>
    <w:p>
      <w:pPr>
        <w:pStyle w:val="BodyText"/>
        <w:spacing w:line="240" w:lineRule="auto" w:before="63"/>
        <w:ind w:right="1133"/>
        <w:jc w:val="left"/>
      </w:pPr>
      <w:r>
        <w:rPr/>
        <w:t>本</w:t>
      </w:r>
      <w:r>
        <w:rPr>
          <w:spacing w:val="-47"/>
        </w:rPr>
        <w:t> </w:t>
      </w:r>
      <w:r>
        <w:rPr>
          <w:rFonts w:ascii="Times New Roman" w:hAnsi="Times New Roman" w:cs="Times New Roman" w:eastAsia="Times New Roman" w:hint="default"/>
        </w:rPr>
        <w:t>400,010,000</w:t>
      </w:r>
      <w:r>
        <w:rPr>
          <w:rFonts w:ascii="Times New Roman" w:hAnsi="Times New Roman" w:cs="Times New Roman" w:eastAsia="Times New Roman" w:hint="default"/>
          <w:spacing w:val="-1"/>
        </w:rPr>
        <w:t> </w:t>
      </w:r>
      <w:r>
        <w:rPr/>
        <w:t>股为基数，向全体股东每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w:t>
      </w:r>
      <w:r>
        <w:rPr>
          <w:spacing w:val="-48"/>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元人民币现金（含税；扣税后，通过深股通持有股份的香港市场投资</w:t>
      </w:r>
    </w:p>
    <w:p>
      <w:pPr>
        <w:pStyle w:val="BodyText"/>
        <w:spacing w:line="309" w:lineRule="auto" w:before="63"/>
        <w:ind w:right="1092"/>
        <w:jc w:val="left"/>
      </w:pPr>
      <w:r>
        <w:rPr/>
        <w:t>者、</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rFonts w:ascii="Times New Roman" w:hAnsi="Times New Roman" w:cs="Times New Roman" w:eastAsia="Times New Roman" w:hint="default"/>
          <w:spacing w:val="-1"/>
        </w:rPr>
        <w:t> </w:t>
      </w:r>
      <w:r>
        <w:rPr/>
        <w:t>以及持有首发前限售股的个人和证券投资基金每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w:t>
      </w:r>
      <w:r>
        <w:rPr>
          <w:spacing w:val="-47"/>
        </w:rPr>
        <w:t> </w:t>
      </w:r>
      <w:r>
        <w:rPr>
          <w:rFonts w:ascii="Times New Roman" w:hAnsi="Times New Roman" w:cs="Times New Roman" w:eastAsia="Times New Roman" w:hint="default"/>
        </w:rPr>
        <w:t>1.80</w:t>
      </w:r>
      <w:r>
        <w:rPr>
          <w:rFonts w:ascii="Times New Roman" w:hAnsi="Times New Roman" w:cs="Times New Roman" w:eastAsia="Times New Roman" w:hint="default"/>
          <w:spacing w:val="-1"/>
        </w:rPr>
        <w:t> </w:t>
      </w:r>
      <w:r>
        <w:rPr/>
        <w:t>元；持有首发后限售股、股权激励限售股及 </w:t>
      </w:r>
      <w:r>
        <w:rPr>
          <w:spacing w:val="-2"/>
        </w:rPr>
        <w:t>无限售流通股的个人股息红利税实行差别化税率征收，本公司暂不扣缴个人所得税，待个人转让股票时，根据其持股期限计</w:t>
      </w:r>
      <w:r>
        <w:rPr>
          <w:spacing w:val="-63"/>
        </w:rPr>
        <w:t> </w:t>
      </w:r>
      <w:r>
        <w:rPr>
          <w:spacing w:val="-63"/>
        </w:rPr>
      </w:r>
      <w:r>
        <w:rPr>
          <w:spacing w:val="-2"/>
        </w:rPr>
        <w:t>算应纳税额【注】；持有首发后限售股、股权激励限售股及无限售流通股的证券投资基金所涉红利税，对香港投资者持有基</w:t>
      </w:r>
      <w:r>
        <w:rPr>
          <w:spacing w:val="-72"/>
        </w:rPr>
        <w:t> </w:t>
      </w:r>
      <w:r>
        <w:rPr>
          <w:spacing w:val="-72"/>
        </w:rPr>
      </w:r>
      <w:r>
        <w:rPr/>
        <w:t>金份额部分按</w:t>
      </w:r>
      <w:r>
        <w:rPr>
          <w:spacing w:val="-42"/>
        </w:rPr>
        <w:t> </w:t>
      </w:r>
      <w:r>
        <w:rPr>
          <w:rFonts w:ascii="Times New Roman" w:hAnsi="Times New Roman" w:cs="Times New Roman" w:eastAsia="Times New Roman" w:hint="default"/>
          <w:spacing w:val="-4"/>
        </w:rPr>
        <w:t>10%</w:t>
      </w:r>
      <w:r>
        <w:rPr>
          <w:spacing w:val="-4"/>
        </w:rPr>
        <w:t>征收，对内地投资者持有基金份额部分实行差别化税率征收）。【注：根据先进先出的原则，以投资者证</w:t>
      </w:r>
      <w:r>
        <w:rPr>
          <w:spacing w:val="-82"/>
        </w:rPr>
        <w:t> </w:t>
      </w:r>
      <w:r>
        <w:rPr>
          <w:spacing w:val="-82"/>
        </w:rPr>
      </w:r>
      <w:r>
        <w:rPr/>
        <w:t>券账户为单位计算持股期限，持股</w:t>
      </w:r>
      <w:r>
        <w:rPr>
          <w:spacing w:val="-45"/>
        </w:rPr>
        <w:t> </w:t>
      </w:r>
      <w:r>
        <w:rPr>
          <w:rFonts w:ascii="Times New Roman" w:hAnsi="Times New Roman" w:cs="Times New Roman" w:eastAsia="Times New Roman" w:hint="default"/>
        </w:rPr>
        <w:t>1 </w:t>
      </w:r>
      <w:r>
        <w:rPr/>
        <w:t>个月（含</w:t>
      </w:r>
      <w:r>
        <w:rPr>
          <w:spacing w:val="-48"/>
        </w:rPr>
        <w:t> </w:t>
      </w:r>
      <w:r>
        <w:rPr>
          <w:rFonts w:ascii="Times New Roman" w:hAnsi="Times New Roman" w:cs="Times New Roman" w:eastAsia="Times New Roman" w:hint="default"/>
        </w:rPr>
        <w:t>1 </w:t>
      </w:r>
      <w:r>
        <w:rPr/>
        <w:t>个月）以内，每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股补缴税款</w:t>
      </w:r>
      <w:r>
        <w:rPr>
          <w:spacing w:val="-46"/>
        </w:rPr>
        <w:t> </w:t>
      </w:r>
      <w:r>
        <w:rPr>
          <w:rFonts w:ascii="Times New Roman" w:hAnsi="Times New Roman" w:cs="Times New Roman" w:eastAsia="Times New Roman" w:hint="default"/>
        </w:rPr>
        <w:t>0.40 </w:t>
      </w:r>
      <w:r>
        <w:rPr/>
        <w:t>元；持股</w:t>
      </w:r>
      <w:r>
        <w:rPr>
          <w:spacing w:val="-46"/>
        </w:rPr>
        <w:t> </w:t>
      </w:r>
      <w:r>
        <w:rPr>
          <w:rFonts w:ascii="Times New Roman" w:hAnsi="Times New Roman" w:cs="Times New Roman" w:eastAsia="Times New Roman" w:hint="default"/>
        </w:rPr>
        <w:t>1 </w:t>
      </w:r>
      <w:r>
        <w:rPr/>
        <w:t>个月以上至</w:t>
      </w:r>
      <w:r>
        <w:rPr>
          <w:spacing w:val="-48"/>
        </w:rPr>
        <w:t> </w:t>
      </w:r>
      <w:r>
        <w:rPr>
          <w:rFonts w:ascii="Times New Roman" w:hAnsi="Times New Roman" w:cs="Times New Roman" w:eastAsia="Times New Roman" w:hint="default"/>
        </w:rPr>
        <w:t>1 </w:t>
      </w:r>
      <w:r>
        <w:rPr/>
        <w:t>年（含</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p>
    <w:p>
      <w:pPr>
        <w:pStyle w:val="BodyText"/>
        <w:spacing w:line="240" w:lineRule="auto" w:before="5"/>
        <w:ind w:right="1133"/>
        <w:jc w:val="left"/>
      </w:pPr>
      <w:r>
        <w:rPr/>
        <w:t>的，每</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股补缴</w:t>
      </w:r>
      <w:r>
        <w:rPr>
          <w:spacing w:val="-3"/>
        </w:rPr>
        <w:t>税</w:t>
      </w:r>
      <w:r>
        <w:rPr/>
        <w:t>款</w:t>
      </w:r>
      <w:r>
        <w:rPr>
          <w:spacing w:val="-45"/>
        </w:rPr>
        <w:t> </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t>；持股超过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年的，不需补</w:t>
      </w:r>
      <w:r>
        <w:rPr>
          <w:spacing w:val="-3"/>
        </w:rPr>
        <w:t>缴</w:t>
      </w:r>
      <w:r>
        <w:rPr/>
        <w:t>税款</w:t>
      </w:r>
      <w:r>
        <w:rPr>
          <w:spacing w:val="-92"/>
        </w:rPr>
        <w:t>。</w:t>
      </w:r>
      <w:r>
        <w:rPr/>
        <w:t>】</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33"/>
        <w:jc w:val="left"/>
      </w:pPr>
      <w:r>
        <w:rPr/>
        <w:t>公司报告期利润分配预案及资本公积金转增股本预案与公司章程和分红管理办法等的相关规定一致</w:t>
      </w:r>
    </w:p>
    <w:p>
      <w:pPr>
        <w:pStyle w:val="BodyText"/>
        <w:spacing w:line="348"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w:t>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400,010,000.00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60,001,500.00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tabs>
                <w:tab w:pos="5506" w:val="left" w:leader="none"/>
              </w:tabs>
              <w:spacing w:line="240" w:lineRule="auto" w:before="49"/>
              <w:ind w:left="-124"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60,001,500.00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745,662,219.07</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pStyle w:val="BodyText"/>
        <w:spacing w:line="319" w:lineRule="auto" w:before="49"/>
        <w:ind w:right="1124"/>
        <w:jc w:val="left"/>
        <w:rPr>
          <w:rFonts w:ascii="Times New Roman" w:hAnsi="Times New Roman" w:cs="Times New Roman" w:eastAsia="Times New Roman" w:hint="default"/>
        </w:rPr>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rPr>
        <w:t>2018</w:t>
      </w:r>
      <w:r>
        <w:rPr/>
        <w:t>年度利润分配方案：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日，公司第二届董事会第九次会议审议通过了《关于公司</w:t>
      </w:r>
      <w:r>
        <w:rPr>
          <w:rFonts w:ascii="Times New Roman" w:hAnsi="Times New Roman" w:cs="Times New Roman" w:eastAsia="Times New Roman" w:hint="default"/>
        </w:rPr>
        <w:t>2018</w:t>
      </w:r>
      <w:r>
        <w:rPr/>
        <w:t>年度利润分配预案的议 案》，公司以总股本</w:t>
      </w:r>
      <w:r>
        <w:rPr>
          <w:rFonts w:ascii="Times New Roman" w:hAnsi="Times New Roman" w:cs="Times New Roman" w:eastAsia="Times New Roman" w:hint="default"/>
        </w:rPr>
        <w:t>400,010,000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2.00</w:t>
      </w:r>
      <w:r>
        <w:rPr/>
        <w:t>元（含税），共分配现金红利</w:t>
      </w:r>
      <w:r>
        <w:rPr>
          <w:rFonts w:ascii="Times New Roman" w:hAnsi="Times New Roman" w:cs="Times New Roman" w:eastAsia="Times New Roman" w:hint="default"/>
        </w:rPr>
        <w:t>80,002,000.00</w:t>
      </w:r>
    </w:p>
    <w:p>
      <w:pPr>
        <w:pStyle w:val="BodyText"/>
        <w:spacing w:line="307" w:lineRule="auto"/>
        <w:ind w:right="1124"/>
        <w:jc w:val="left"/>
      </w:pPr>
      <w:r>
        <w:rPr/>
        <w:t>元（含税）；剩余未分配利润结转以后年度分配。 </w:t>
      </w:r>
      <w:r>
        <w:rPr>
          <w:rFonts w:ascii="Times New Roman" w:hAnsi="Times New Roman" w:cs="Times New Roman" w:eastAsia="Times New Roman" w:hint="default"/>
        </w:rPr>
        <w:t>2019</w:t>
      </w:r>
      <w:r>
        <w:rPr/>
        <w:t>年度利润分配方案：</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日，公司第二届董事会第十三次会议审议通过了《关于公司</w:t>
      </w:r>
      <w:r>
        <w:rPr>
          <w:rFonts w:ascii="Times New Roman" w:hAnsi="Times New Roman" w:cs="Times New Roman" w:eastAsia="Times New Roman" w:hint="default"/>
        </w:rPr>
        <w:t>2019</w:t>
      </w:r>
      <w:r>
        <w:rPr/>
        <w:t>年度利润分配预案的 </w:t>
      </w:r>
      <w:r>
        <w:rPr>
          <w:spacing w:val="-3"/>
        </w:rPr>
        <w:t>议案》，公司以总股本</w:t>
      </w:r>
      <w:r>
        <w:rPr>
          <w:rFonts w:ascii="Times New Roman" w:hAnsi="Times New Roman" w:cs="Times New Roman" w:eastAsia="Times New Roman" w:hint="default"/>
          <w:spacing w:val="-3"/>
        </w:rPr>
        <w:t>400,010,000</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1.50</w:t>
      </w:r>
      <w:r>
        <w:rPr>
          <w:spacing w:val="-3"/>
        </w:rPr>
        <w:t>元（含税），共分配现金红利</w:t>
      </w:r>
      <w:r>
        <w:rPr>
          <w:rFonts w:ascii="Times New Roman" w:hAnsi="Times New Roman" w:cs="Times New Roman" w:eastAsia="Times New Roman" w:hint="default"/>
          <w:spacing w:val="-3"/>
        </w:rPr>
        <w:t>60,001,500.00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元（含税）；剩余未分配利润结转以后年度分配。该预案尚需提交</w:t>
      </w:r>
      <w:r>
        <w:rPr>
          <w:rFonts w:ascii="Times New Roman" w:hAnsi="Times New Roman" w:cs="Times New Roman" w:eastAsia="Times New Roman" w:hint="default"/>
        </w:rPr>
        <w:t>2019</w:t>
      </w:r>
      <w:r>
        <w:rPr/>
        <w:t>年度股东大会审议。</w:t>
      </w:r>
    </w:p>
    <w:p>
      <w:pPr>
        <w:pStyle w:val="BodyText"/>
        <w:spacing w:line="240" w:lineRule="auto" w:before="48"/>
        <w:ind w:right="1133"/>
        <w:jc w:val="left"/>
      </w:pPr>
      <w:r>
        <w:rPr/>
        <w:t>公司近三年（包括本报告期）普通股现金分红情况表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95"/>
        <w:gridCol w:w="1208"/>
        <w:gridCol w:w="117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0"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52"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60,001,500.00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274,181,197.42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21.88%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60,001,500.00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21.88%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195,617,892.13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40.90%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80,002,000.00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40.90%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187,783,108.64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133"/>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52" w:footer="980" w:top="1300" w:bottom="1160" w:left="980" w:right="0"/>
        </w:sectPr>
      </w:pPr>
    </w:p>
    <w:p>
      <w:pPr>
        <w:spacing w:line="240" w:lineRule="auto" w:before="3"/>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29"/>
          <w:szCs w:val="29"/>
        </w:rPr>
      </w:pPr>
    </w:p>
    <w:tbl>
      <w:tblPr>
        <w:tblW w:w="0" w:type="auto"/>
        <w:jc w:val="left"/>
        <w:tblInd w:w="147" w:type="dxa"/>
        <w:tblLayout w:type="fixed"/>
        <w:tblCellMar>
          <w:top w:w="0" w:type="dxa"/>
          <w:left w:w="0" w:type="dxa"/>
          <w:bottom w:w="0" w:type="dxa"/>
          <w:right w:w="0" w:type="dxa"/>
        </w:tblCellMar>
        <w:tblLook w:val="01E0"/>
      </w:tblPr>
      <w:tblGrid>
        <w:gridCol w:w="1265"/>
        <w:gridCol w:w="1133"/>
        <w:gridCol w:w="852"/>
        <w:gridCol w:w="7513"/>
        <w:gridCol w:w="1133"/>
        <w:gridCol w:w="1135"/>
        <w:gridCol w:w="994"/>
      </w:tblGrid>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133" w:type="dxa"/>
            <w:tcBorders>
              <w:top w:val="single" w:sz="4" w:space="0" w:color="000000"/>
              <w:left w:val="single" w:sz="13"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133" w:type="dxa"/>
            <w:tcBorders>
              <w:top w:val="single" w:sz="4" w:space="0" w:color="000000"/>
              <w:left w:val="single" w:sz="13"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65"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1"/>
              <w:jc w:val="left"/>
              <w:rPr>
                <w:rFonts w:ascii="宋体" w:hAnsi="宋体" w:cs="宋体" w:eastAsia="宋体" w:hint="default"/>
                <w:sz w:val="18"/>
                <w:szCs w:val="18"/>
              </w:rPr>
            </w:pPr>
            <w:r>
              <w:rPr>
                <w:rFonts w:ascii="宋体" w:hAnsi="宋体" w:cs="宋体" w:eastAsia="宋体" w:hint="default"/>
                <w:sz w:val="18"/>
                <w:szCs w:val="18"/>
              </w:rPr>
              <w:t>公司实际控 制人、董事长 兼总经理洪 卫东</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7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9"/>
              <w:jc w:val="both"/>
              <w:rPr>
                <w:rFonts w:ascii="宋体" w:hAnsi="宋体" w:cs="宋体" w:eastAsia="宋体" w:hint="default"/>
                <w:sz w:val="18"/>
                <w:szCs w:val="18"/>
              </w:rPr>
            </w:pPr>
            <w:r>
              <w:rPr>
                <w:rFonts w:ascii="宋体" w:hAnsi="宋体" w:cs="宋体" w:eastAsia="宋体" w:hint="default"/>
                <w:sz w:val="18"/>
                <w:szCs w:val="18"/>
              </w:rPr>
              <w:t>自发行人股票上市之日起三十六个月内，本人不转让或者委托他人管理本人直接或者间接持有 的发行人公开发行股票前已发行的股份，也不由发行人回购本人直接或者间接持有的发行人公 开发行股票前已发行的股份。因发行人进行权益分派等导致本人直接持有发行人股份发生变化 的，仍遵守上述规定。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4" w:right="199"/>
              <w:jc w:val="left"/>
              <w:rPr>
                <w:rFonts w:ascii="宋体" w:hAnsi="宋体" w:cs="宋体" w:eastAsia="宋体" w:hint="default"/>
                <w:sz w:val="18"/>
                <w:szCs w:val="18"/>
              </w:rPr>
            </w:pPr>
            <w:r>
              <w:rPr>
                <w:rFonts w:ascii="宋体" w:hAnsi="宋体" w:cs="宋体" w:eastAsia="宋体" w:hint="default"/>
                <w:sz w:val="18"/>
                <w:szCs w:val="18"/>
              </w:rPr>
              <w:t>公司控股股 东宇琴鸿泰</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7513" w:type="dxa"/>
            <w:vMerge w:val="restart"/>
            <w:tcBorders>
              <w:top w:val="single" w:sz="4" w:space="0" w:color="000000"/>
              <w:left w:val="single" w:sz="4" w:space="0" w:color="000000"/>
              <w:right w:val="single" w:sz="4" w:space="0" w:color="000000"/>
            </w:tcBorders>
          </w:tcPr>
          <w:p>
            <w:pPr>
              <w:pStyle w:val="TableParagraph"/>
              <w:spacing w:line="316" w:lineRule="auto" w:before="51"/>
              <w:ind w:left="21" w:right="99"/>
              <w:jc w:val="both"/>
              <w:rPr>
                <w:rFonts w:ascii="宋体" w:hAnsi="宋体" w:cs="宋体" w:eastAsia="宋体" w:hint="default"/>
                <w:sz w:val="18"/>
                <w:szCs w:val="18"/>
              </w:rPr>
            </w:pPr>
            <w:r>
              <w:rPr>
                <w:rFonts w:ascii="宋体" w:hAnsi="宋体" w:cs="宋体" w:eastAsia="宋体" w:hint="default"/>
                <w:sz w:val="18"/>
                <w:szCs w:val="18"/>
              </w:rPr>
              <w:t>自发行人股票上市之日起三十六个月内，本公司不转让或者委托他人管理本公司直接或者间接 持有的发行人公开发行股票前已发行的股份，也不由发行人回购本公司直接或者间接持有的发 行人公开发行股票前已发行的股份。因发行人进行权益分派等导致本公司直接持有发行人股份 发生变化的，仍遵守上述规定。</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3"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1"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133"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513"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649"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1"/>
              <w:jc w:val="left"/>
              <w:rPr>
                <w:rFonts w:ascii="宋体" w:hAnsi="宋体" w:cs="宋体" w:eastAsia="宋体" w:hint="default"/>
                <w:sz w:val="18"/>
                <w:szCs w:val="18"/>
              </w:rPr>
            </w:pPr>
            <w:r>
              <w:rPr>
                <w:rFonts w:ascii="宋体" w:hAnsi="宋体" w:cs="宋体" w:eastAsia="宋体" w:hint="default"/>
                <w:sz w:val="18"/>
                <w:szCs w:val="18"/>
              </w:rPr>
              <w:t>茗峰开发、海 富恒歆、华侨 星城、尚远有 限、远创基 因、爱康佳华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7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98"/>
              <w:jc w:val="both"/>
              <w:rPr>
                <w:rFonts w:ascii="宋体" w:hAnsi="宋体" w:cs="宋体" w:eastAsia="宋体" w:hint="default"/>
                <w:sz w:val="18"/>
                <w:szCs w:val="18"/>
              </w:rPr>
            </w:pPr>
            <w:r>
              <w:rPr>
                <w:rFonts w:ascii="宋体" w:hAnsi="宋体" w:cs="宋体" w:eastAsia="宋体" w:hint="default"/>
                <w:sz w:val="18"/>
                <w:szCs w:val="18"/>
              </w:rPr>
              <w:t>自发行人股票上市之日起一年内，本企业不转让或者委托他人管理本企业直接或者间接持有的 发行人公开发行股票前已发行的股份，也不由发行人回购本企业直接或者间接持有的发行人公 开发行股票前已发行的股份。因发行人进行权益分派等导致本企业直接持有发行人股份发生变 化的，仍遵守上述规定。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headerReference w:type="default" r:id="rId16"/>
          <w:footerReference w:type="default" r:id="rId17"/>
          <w:pgSz w:w="16840" w:h="11910" w:orient="landscape"/>
          <w:pgMar w:header="852" w:footer="980" w:top="1240" w:bottom="1160" w:left="1300" w:right="1240"/>
          <w:pgNumType w:start="40"/>
        </w:sectPr>
      </w:pPr>
    </w:p>
    <w:tbl>
      <w:tblPr>
        <w:tblW w:w="0" w:type="auto"/>
        <w:jc w:val="left"/>
        <w:tblInd w:w="115" w:type="dxa"/>
        <w:tblLayout w:type="fixed"/>
        <w:tblCellMar>
          <w:top w:w="0" w:type="dxa"/>
          <w:left w:w="0" w:type="dxa"/>
          <w:bottom w:w="0" w:type="dxa"/>
          <w:right w:w="0" w:type="dxa"/>
        </w:tblCellMar>
        <w:tblLook w:val="01E0"/>
      </w:tblPr>
      <w:tblGrid>
        <w:gridCol w:w="1277"/>
        <w:gridCol w:w="1133"/>
        <w:gridCol w:w="852"/>
        <w:gridCol w:w="7513"/>
        <w:gridCol w:w="1133"/>
        <w:gridCol w:w="1135"/>
        <w:gridCol w:w="996"/>
      </w:tblGrid>
      <w:tr>
        <w:trPr>
          <w:trHeight w:val="3845" w:hRule="exact"/>
        </w:trPr>
        <w:tc>
          <w:tcPr>
            <w:tcW w:w="1277" w:type="dxa"/>
            <w:vMerge w:val="restart"/>
            <w:tcBorders>
              <w:top w:val="single" w:sz="10" w:space="0" w:color="000000"/>
              <w:left w:val="single" w:sz="4" w:space="0" w:color="000000"/>
              <w:right w:val="single" w:sz="4" w:space="0" w:color="000000"/>
            </w:tcBorders>
            <w:shd w:val="clear" w:color="auto" w:fill="D2D2D2"/>
          </w:tcPr>
          <w:p>
            <w:pP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49"/>
              <w:ind w:left="2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FIS</w:t>
            </w:r>
            <w:r>
              <w:rPr>
                <w:rFonts w:ascii="宋体" w:hAnsi="宋体" w:cs="宋体" w:eastAsia="宋体" w:hint="default"/>
                <w:sz w:val="18"/>
                <w:szCs w:val="18"/>
              </w:rPr>
              <w:t>、光控基 因、杭州班 克、巨富投 资、宇琴高 科、宇琴广 利、宇琴广 源、宇琴鸿 程、宇琴鸿 信、宇琴华 创、宇琴金 智、宇琴通 诚、宇琴优迪</w:t>
            </w:r>
          </w:p>
        </w:tc>
        <w:tc>
          <w:tcPr>
            <w:tcW w:w="8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75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1" w:right="99"/>
              <w:jc w:val="both"/>
              <w:rPr>
                <w:rFonts w:ascii="宋体" w:hAnsi="宋体" w:cs="宋体" w:eastAsia="宋体" w:hint="default"/>
                <w:sz w:val="18"/>
                <w:szCs w:val="18"/>
              </w:rPr>
            </w:pPr>
            <w:r>
              <w:rPr>
                <w:rFonts w:ascii="宋体" w:hAnsi="宋体" w:cs="宋体" w:eastAsia="宋体" w:hint="default"/>
                <w:sz w:val="18"/>
                <w:szCs w:val="18"/>
              </w:rPr>
              <w:t>自发行人股票上市之日起一年内，本企业不转让或者委托他人管理本企业直接或者间接持有的 发行人公开发行股票前已发行的股份，也不由发行人回购本企业直接或者间接持有的发行人公 开发行股票前已发行的股份。因发行人进行权益分派等导致本企业直接持有发行人股份发生变 化的，仍遵守上述规定。</w:t>
            </w: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5084"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1" w:right="19"/>
              <w:jc w:val="left"/>
              <w:rPr>
                <w:rFonts w:ascii="宋体" w:hAnsi="宋体" w:cs="宋体" w:eastAsia="宋体" w:hint="default"/>
                <w:sz w:val="18"/>
                <w:szCs w:val="18"/>
              </w:rPr>
            </w:pPr>
            <w:r>
              <w:rPr>
                <w:rFonts w:ascii="宋体" w:hAnsi="宋体" w:cs="宋体" w:eastAsia="宋体" w:hint="default"/>
                <w:sz w:val="18"/>
                <w:szCs w:val="18"/>
              </w:rPr>
              <w:t>陈峰、戴士 平、范庆骅、 洪卫东、梁 强、鲁军、欧 阳忠诚、王建 强、王燕梅、 张达、郑春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股份限 售、股份 减持承诺</w:t>
            </w:r>
          </w:p>
        </w:tc>
        <w:tc>
          <w:tcPr>
            <w:tcW w:w="7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1" w:right="21"/>
              <w:jc w:val="left"/>
              <w:rPr>
                <w:rFonts w:ascii="宋体" w:hAnsi="宋体" w:cs="宋体" w:eastAsia="宋体" w:hint="default"/>
                <w:sz w:val="18"/>
                <w:szCs w:val="18"/>
              </w:rPr>
            </w:pPr>
            <w:r>
              <w:rPr>
                <w:rFonts w:ascii="宋体" w:hAnsi="宋体" w:cs="宋体" w:eastAsia="宋体" w:hint="default"/>
                <w:sz w:val="18"/>
                <w:szCs w:val="18"/>
              </w:rPr>
              <w:t>（一）自发行人股票上市之日起十二个月内，本人不转让或者委托他人管理本人直接或者间接 持有的发行人公开发行股票前已发行的股份，也不由发行人购回本人直接或者间接持有的发行 人公开发行股票前已发行的股份。本人在上述股份锁定期间届满后，在发行人任职期间每年转 让的股份不超过本人所直接或间接持有的发行人股份总数的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；离职后六个月内，不转让本 人所持有的发行人股份；在发行人股票上市之日起六个月内申报离职的，自申报离职之日起十 八个月内不转让本人持有的发行人股份；在发行人股票上市之日起第七个月至第十二个月之间 申报离职的，自申报离职之日起十二个月内不转让本人持有的发行人股份。因发行人进行权益 </w:t>
            </w:r>
            <w:r>
              <w:rPr>
                <w:rFonts w:ascii="宋体" w:hAnsi="宋体" w:cs="宋体" w:eastAsia="宋体" w:hint="default"/>
                <w:spacing w:val="-3"/>
                <w:sz w:val="18"/>
                <w:szCs w:val="18"/>
              </w:rPr>
              <w:t>分派等导致本人直接持有发行人股份发生变化的，仍遵守上述规定。（二）本人直接或间接持有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的发行人股票在本人承诺的锁定期满后两年内减持的，减持价格不低于发行价（如期间发行人 发生送红股、公积金转增股本、派息、配股等除权除息事项，则减持价格相应进行除权、除息 </w:t>
            </w:r>
            <w:r>
              <w:rPr>
                <w:rFonts w:ascii="宋体" w:hAnsi="宋体" w:cs="宋体" w:eastAsia="宋体" w:hint="default"/>
                <w:spacing w:val="-6"/>
                <w:sz w:val="18"/>
                <w:szCs w:val="18"/>
              </w:rPr>
              <w:t>调整）；发行人首次公开发行股票并上市后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个月内如发行人股票连续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 </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个交易日的收盘价均</w:t>
            </w:r>
          </w:p>
          <w:p>
            <w:pPr>
              <w:pStyle w:val="TableParagraph"/>
              <w:spacing w:line="249" w:lineRule="exact"/>
              <w:ind w:left="21" w:right="0"/>
              <w:jc w:val="left"/>
              <w:rPr>
                <w:rFonts w:ascii="宋体" w:hAnsi="宋体" w:cs="宋体" w:eastAsia="宋体" w:hint="default"/>
                <w:sz w:val="18"/>
                <w:szCs w:val="18"/>
              </w:rPr>
            </w:pPr>
            <w:r>
              <w:rPr>
                <w:rFonts w:ascii="宋体" w:hAnsi="宋体" w:cs="宋体" w:eastAsia="宋体" w:hint="default"/>
                <w:sz w:val="18"/>
                <w:szCs w:val="18"/>
              </w:rPr>
              <w:t>低于发行价，或者上市后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个月期末（如该日不是交易日，则为该日后第一个交易日）收盘价</w:t>
            </w:r>
          </w:p>
          <w:p>
            <w:pPr>
              <w:pStyle w:val="TableParagraph"/>
              <w:spacing w:line="312" w:lineRule="auto" w:before="63"/>
              <w:ind w:left="21" w:right="-34"/>
              <w:jc w:val="left"/>
              <w:rPr>
                <w:rFonts w:ascii="宋体" w:hAnsi="宋体" w:cs="宋体" w:eastAsia="宋体" w:hint="default"/>
                <w:sz w:val="18"/>
                <w:szCs w:val="18"/>
              </w:rPr>
            </w:pPr>
            <w:r>
              <w:rPr>
                <w:rFonts w:ascii="宋体" w:hAnsi="宋体" w:cs="宋体" w:eastAsia="宋体" w:hint="default"/>
                <w:sz w:val="18"/>
                <w:szCs w:val="18"/>
              </w:rPr>
              <w:t>低于发行价，本人持有发行人股票的锁定期限将在原有锁定期限基础上自动延长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16"/>
                <w:sz w:val="18"/>
                <w:szCs w:val="18"/>
              </w:rPr>
              <w:t>个月。（三）</w:t>
            </w:r>
            <w:r>
              <w:rPr>
                <w:rFonts w:ascii="宋体" w:hAnsi="宋体" w:cs="宋体" w:eastAsia="宋体" w:hint="default"/>
                <w:sz w:val="18"/>
                <w:szCs w:val="18"/>
              </w:rPr>
              <w:t> </w:t>
            </w:r>
            <w:r>
              <w:rPr>
                <w:rFonts w:ascii="宋体" w:hAnsi="宋体" w:cs="宋体" w:eastAsia="宋体" w:hint="default"/>
                <w:spacing w:val="-3"/>
                <w:sz w:val="18"/>
                <w:szCs w:val="18"/>
              </w:rPr>
              <w:t>本人将遵守中国证监会《上市公司股东、董监高减持股份的若干规定》，深圳证券交易所《股票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上市规则》、《深圳证券交易所上市公司股东及董事、监事、高级管理人员减持股份实施细则》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的相关规定。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1"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rPr>
          <w:sz w:val="2"/>
          <w:szCs w:val="2"/>
        </w:rPr>
      </w:pPr>
      <w:r>
        <w:rPr/>
        <w:pict>
          <v:group style="position:absolute;margin-left:610.98999pt;margin-top:401.955994pt;width:56.2pt;height:109.25pt;mso-position-horizontal-relative:page;mso-position-vertical-relative:page;z-index:-1228168" coordorigin="12220,8039" coordsize="1124,2185">
            <v:shape style="position:absolute;left:12220;top:8039;width:1124;height:2185" coordorigin="12220,8039" coordsize="1124,2185" path="m12220,10224l13343,10224,13343,8039,12220,8039,12220,10224xe" filled="true" fillcolor="#ffffff" stroked="false">
              <v:path arrowok="t"/>
              <v:fill type="solid"/>
            </v:shape>
            <w10:wrap type="none"/>
          </v:group>
        </w:pict>
      </w:r>
    </w:p>
    <w:p>
      <w:pPr>
        <w:spacing w:after="0"/>
        <w:rPr>
          <w:sz w:val="2"/>
          <w:szCs w:val="2"/>
        </w:rPr>
        <w:sectPr>
          <w:pgSz w:w="16840" w:h="11910" w:orient="landscape"/>
          <w:pgMar w:header="852" w:footer="980" w:top="1280" w:bottom="1160" w:left="1320" w:right="1240"/>
        </w:sectPr>
      </w:pPr>
    </w:p>
    <w:tbl>
      <w:tblPr>
        <w:tblW w:w="0" w:type="auto"/>
        <w:jc w:val="left"/>
        <w:tblInd w:w="115" w:type="dxa"/>
        <w:tblLayout w:type="fixed"/>
        <w:tblCellMar>
          <w:top w:w="0" w:type="dxa"/>
          <w:left w:w="0" w:type="dxa"/>
          <w:bottom w:w="0" w:type="dxa"/>
          <w:right w:w="0" w:type="dxa"/>
        </w:tblCellMar>
        <w:tblLook w:val="01E0"/>
      </w:tblPr>
      <w:tblGrid>
        <w:gridCol w:w="1277"/>
        <w:gridCol w:w="1133"/>
        <w:gridCol w:w="852"/>
        <w:gridCol w:w="7513"/>
        <w:gridCol w:w="1133"/>
        <w:gridCol w:w="1135"/>
        <w:gridCol w:w="996"/>
      </w:tblGrid>
      <w:tr>
        <w:trPr>
          <w:trHeight w:val="3221" w:hRule="exact"/>
        </w:trPr>
        <w:tc>
          <w:tcPr>
            <w:tcW w:w="1277" w:type="dxa"/>
            <w:vMerge w:val="restart"/>
            <w:tcBorders>
              <w:top w:val="single" w:sz="10" w:space="0" w:color="000000"/>
              <w:left w:val="single" w:sz="4" w:space="0" w:color="000000"/>
              <w:right w:val="single" w:sz="4" w:space="0" w:color="000000"/>
            </w:tcBorders>
            <w:shd w:val="clear" w:color="auto" w:fill="D2D2D2"/>
          </w:tcPr>
          <w:p>
            <w:pP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1" w:right="21"/>
              <w:jc w:val="left"/>
              <w:rPr>
                <w:rFonts w:ascii="宋体" w:hAnsi="宋体" w:cs="宋体" w:eastAsia="宋体" w:hint="default"/>
                <w:sz w:val="18"/>
                <w:szCs w:val="18"/>
              </w:rPr>
            </w:pPr>
            <w:r>
              <w:rPr>
                <w:rFonts w:ascii="宋体" w:hAnsi="宋体" w:cs="宋体" w:eastAsia="宋体" w:hint="default"/>
                <w:sz w:val="18"/>
                <w:szCs w:val="18"/>
              </w:rPr>
              <w:t>陈京蓉、任利 京、于新民</w:t>
            </w:r>
          </w:p>
        </w:tc>
        <w:tc>
          <w:tcPr>
            <w:tcW w:w="8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7513"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49"/>
              <w:ind w:left="21" w:right="23"/>
              <w:jc w:val="both"/>
              <w:rPr>
                <w:rFonts w:ascii="宋体" w:hAnsi="宋体" w:cs="宋体" w:eastAsia="宋体" w:hint="default"/>
                <w:sz w:val="18"/>
                <w:szCs w:val="18"/>
              </w:rPr>
            </w:pPr>
            <w:r>
              <w:rPr>
                <w:rFonts w:ascii="宋体" w:hAnsi="宋体" w:cs="宋体" w:eastAsia="宋体" w:hint="default"/>
                <w:sz w:val="18"/>
                <w:szCs w:val="18"/>
              </w:rPr>
              <w:t>（一）自发行人股票上市之日起十二个月内，本人不转让或者委托他人管理本人直接或者间接 持有的发行人公开发行股票前已发行的股份，也不由发行人购回本人直接或者间接持有的发行 人公开发行股票前已发行的股份。本人在上述股份锁定期间届满后，在发行人任职期间每年转 让的股份不超过本人所直接或间接持有的发行人股份总数的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；离职后六个月内，不转让本 人所持有的发行人股份；在发行人股票上市之日起六个月内申报离职的，自申报离职之日起十 八个月内不转让本人持有的发行人股份；在发行人股票上市之日起第七个月至第十二个月之间 申报离职的，自申报离职之日起十二个月内不转让本人持有的发行人股份。因发行人进行权益 </w:t>
            </w:r>
            <w:r>
              <w:rPr>
                <w:rFonts w:ascii="宋体" w:hAnsi="宋体" w:cs="宋体" w:eastAsia="宋体" w:hint="default"/>
                <w:spacing w:val="-3"/>
                <w:sz w:val="18"/>
                <w:szCs w:val="18"/>
              </w:rPr>
              <w:t>分派等导致本人直接持有发行人股份发生变化的，仍遵守上述规定。（二）本人将遵守中国证监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7"/>
                <w:sz w:val="18"/>
                <w:szCs w:val="18"/>
              </w:rPr>
              <w:t>会《上市公司股东、董监高减持股份的若干规定》，深圳证券交易所《股票上市规则》、《深圳证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券交易所上市公司股东及董事、监事、高级管理人员减持股份实施细则》的相关规定。</w:t>
            </w: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836"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1" w:right="199"/>
              <w:jc w:val="left"/>
              <w:rPr>
                <w:rFonts w:ascii="宋体" w:hAnsi="宋体" w:cs="宋体" w:eastAsia="宋体" w:hint="default"/>
                <w:sz w:val="18"/>
                <w:szCs w:val="18"/>
              </w:rPr>
            </w:pPr>
            <w:r>
              <w:rPr>
                <w:rFonts w:ascii="宋体" w:hAnsi="宋体" w:cs="宋体" w:eastAsia="宋体" w:hint="default"/>
                <w:sz w:val="18"/>
                <w:szCs w:val="18"/>
              </w:rPr>
              <w:t>公司控股股 东宇琴鸿泰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3"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75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4"/>
              <w:ind w:left="21" w:right="1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）本公司拟长期持有发行人股票；（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）所持发行人股票在承诺锁定期满后两年内减持的，减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持价格将不低于发行人股票发行价（如期间发行人发生送红股、公积金转增股本、派息、配股 </w:t>
            </w:r>
            <w:r>
              <w:rPr>
                <w:rFonts w:ascii="宋体" w:hAnsi="宋体" w:cs="宋体" w:eastAsia="宋体" w:hint="default"/>
                <w:spacing w:val="-3"/>
                <w:sz w:val="18"/>
                <w:szCs w:val="18"/>
              </w:rPr>
              <w:t>等除权除息事项，则减持价格相应进行除权、除息调整），减持发行人股份数量将不超过发行人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发行后总股本的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；在锁定期满两年后减持的，减持价格将不低于发行人最近一期经审计的 每股净资产（最近一期审计基准日后，因利润分配、资本公积金转增股本、增发、配股等情况 </w:t>
            </w:r>
            <w:r>
              <w:rPr>
                <w:rFonts w:ascii="宋体" w:hAnsi="宋体" w:cs="宋体" w:eastAsia="宋体" w:hint="default"/>
                <w:spacing w:val="-5"/>
                <w:sz w:val="18"/>
                <w:szCs w:val="18"/>
              </w:rPr>
              <w:t>导致发行人净资产或股份总数出现变化的，每股净资产相应进行调整）；（</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）发行人上市后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p>
            <w:pPr>
              <w:pStyle w:val="TableParagraph"/>
              <w:spacing w:line="307" w:lineRule="auto" w:before="3"/>
              <w:ind w:left="21" w:right="21"/>
              <w:jc w:val="left"/>
              <w:rPr>
                <w:rFonts w:ascii="宋体" w:hAnsi="宋体" w:cs="宋体" w:eastAsia="宋体" w:hint="default"/>
                <w:sz w:val="18"/>
                <w:szCs w:val="18"/>
              </w:rPr>
            </w:pPr>
            <w:r>
              <w:rPr>
                <w:rFonts w:ascii="宋体" w:hAnsi="宋体" w:cs="宋体" w:eastAsia="宋体" w:hint="default"/>
                <w:sz w:val="18"/>
                <w:szCs w:val="18"/>
              </w:rPr>
              <w:t>月内如发行人股票连续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个交易日的收盘价均低于发行价，或者上市后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个月期末（如该日不 是交易日，则为该日后第一个交易日）收盘价低于发行价，本公司持有发行人股票的锁定期限 将在原有锁定期限基础上自动延长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）本公司减持发行人股票应符合相关法律、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规章和规范性文件的规定；（</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）本公司减持发行人股票时将提前三个交易日予以公告，并将按</w:t>
            </w:r>
            <w:r>
              <w:rPr>
                <w:rFonts w:ascii="宋体" w:hAnsi="宋体" w:cs="宋体" w:eastAsia="宋体" w:hint="default"/>
                <w:spacing w:val="-55"/>
                <w:sz w:val="18"/>
                <w:szCs w:val="18"/>
              </w:rPr>
              <w:t> </w:t>
            </w:r>
            <w:r>
              <w:rPr>
                <w:rFonts w:ascii="宋体" w:hAnsi="宋体" w:cs="宋体" w:eastAsia="宋体" w:hint="default"/>
                <w:spacing w:val="-7"/>
                <w:sz w:val="18"/>
                <w:szCs w:val="18"/>
              </w:rPr>
              <w:t>照《公司法》、《证券法》、中国证券监督管理委员会及深圳证券交易所相关规定履行信息披露义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1"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rPr>
          <w:sz w:val="2"/>
          <w:szCs w:val="2"/>
        </w:rPr>
      </w:pPr>
      <w:r>
        <w:rPr/>
        <w:pict>
          <v:shape style="position:absolute;margin-left:586.72699pt;margin-top:339.550018pt;width:80.45pt;height:78pt;mso-position-horizontal-relative:page;mso-position-vertical-relative:page;z-index:-1228144" type="#_x0000_t202" filled="false" stroked="false">
            <v:textbox inset="0,0,0,0">
              <w:txbxContent>
                <w:p>
                  <w:pPr>
                    <w:spacing w:line="240" w:lineRule="auto" w:before="3"/>
                    <w:rPr>
                      <w:rFonts w:ascii="Times New Roman" w:hAnsi="Times New Roman" w:cs="Times New Roman" w:eastAsia="Times New Roman" w:hint="default"/>
                      <w:sz w:val="24"/>
                      <w:szCs w:val="24"/>
                    </w:rPr>
                  </w:pPr>
                </w:p>
                <w:p>
                  <w:pPr>
                    <w:pStyle w:val="BodyText"/>
                    <w:spacing w:line="240" w:lineRule="auto"/>
                    <w:ind w:left="0" w:right="0"/>
                    <w:jc w:val="left"/>
                  </w:pPr>
                  <w:r>
                    <w:rPr/>
                    <w:t>法规、</w:t>
                  </w:r>
                </w:p>
              </w:txbxContent>
            </v:textbox>
            <w10:wrap type="none"/>
          </v:shape>
        </w:pict>
      </w:r>
      <w:r>
        <w:rPr/>
        <w:pict>
          <v:group style="position:absolute;margin-left:610.98999pt;margin-top:339.550018pt;width:56.2pt;height:78pt;mso-position-horizontal-relative:page;mso-position-vertical-relative:page;z-index:-1228120" coordorigin="12220,6791" coordsize="1124,1560">
            <v:shape style="position:absolute;left:12220;top:6791;width:1124;height:1560" coordorigin="12220,6791" coordsize="1124,1560" path="m12220,8351l13343,8351,13343,6791,12220,6791,12220,8351xe" filled="true" fillcolor="#ffffff" stroked="false">
              <v:path arrowok="t"/>
              <v:fill type="solid"/>
            </v:shape>
            <w10:wrap type="none"/>
          </v:group>
        </w:pict>
      </w:r>
    </w:p>
    <w:p>
      <w:pPr>
        <w:spacing w:after="0"/>
        <w:rPr>
          <w:sz w:val="2"/>
          <w:szCs w:val="2"/>
        </w:rPr>
        <w:sectPr>
          <w:pgSz w:w="16840" w:h="11910" w:orient="landscape"/>
          <w:pgMar w:header="852" w:footer="980" w:top="1280" w:bottom="1160" w:left="1320" w:right="1240"/>
        </w:sectPr>
      </w:pPr>
    </w:p>
    <w:tbl>
      <w:tblPr>
        <w:tblW w:w="0" w:type="auto"/>
        <w:jc w:val="left"/>
        <w:tblInd w:w="115" w:type="dxa"/>
        <w:tblLayout w:type="fixed"/>
        <w:tblCellMar>
          <w:top w:w="0" w:type="dxa"/>
          <w:left w:w="0" w:type="dxa"/>
          <w:bottom w:w="0" w:type="dxa"/>
          <w:right w:w="0" w:type="dxa"/>
        </w:tblCellMar>
        <w:tblLook w:val="01E0"/>
      </w:tblPr>
      <w:tblGrid>
        <w:gridCol w:w="1277"/>
        <w:gridCol w:w="1133"/>
        <w:gridCol w:w="852"/>
        <w:gridCol w:w="7513"/>
        <w:gridCol w:w="1133"/>
        <w:gridCol w:w="1135"/>
        <w:gridCol w:w="996"/>
      </w:tblGrid>
      <w:tr>
        <w:trPr>
          <w:trHeight w:val="2909" w:hRule="exact"/>
        </w:trPr>
        <w:tc>
          <w:tcPr>
            <w:tcW w:w="1277" w:type="dxa"/>
            <w:vMerge w:val="restart"/>
            <w:tcBorders>
              <w:top w:val="single" w:sz="10" w:space="0" w:color="000000"/>
              <w:left w:val="single" w:sz="4" w:space="0" w:color="000000"/>
              <w:right w:val="single" w:sz="4" w:space="0" w:color="000000"/>
            </w:tcBorders>
            <w:shd w:val="clear" w:color="auto" w:fill="D2D2D2"/>
          </w:tcPr>
          <w:p>
            <w:pP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21"/>
              <w:jc w:val="both"/>
              <w:rPr>
                <w:rFonts w:ascii="宋体" w:hAnsi="宋体" w:cs="宋体" w:eastAsia="宋体" w:hint="default"/>
                <w:sz w:val="18"/>
                <w:szCs w:val="18"/>
              </w:rPr>
            </w:pPr>
            <w:r>
              <w:rPr>
                <w:rFonts w:ascii="宋体" w:hAnsi="宋体" w:cs="宋体" w:eastAsia="宋体" w:hint="default"/>
                <w:sz w:val="18"/>
                <w:szCs w:val="18"/>
              </w:rPr>
              <w:t>茗峰开发、海 富恒歆、尚远 有限、远创基 因、爱康佳华</w:t>
            </w:r>
          </w:p>
        </w:tc>
        <w:tc>
          <w:tcPr>
            <w:tcW w:w="8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7513" w:type="dxa"/>
            <w:tcBorders>
              <w:top w:val="single" w:sz="10" w:space="0" w:color="000000"/>
              <w:left w:val="single" w:sz="4" w:space="0" w:color="000000"/>
              <w:bottom w:val="single" w:sz="4" w:space="0" w:color="000000"/>
              <w:right w:val="single" w:sz="4" w:space="0" w:color="000000"/>
            </w:tcBorders>
          </w:tcPr>
          <w:p>
            <w:pPr>
              <w:pStyle w:val="TableParagraph"/>
              <w:spacing w:line="309" w:lineRule="auto" w:before="49"/>
              <w:ind w:left="21" w:right="2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）本企业拟长期持有发行人股票；（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）所持发行人股票在承诺锁定期满后两年内减持的，减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持价格将不低于发行人股票发行价（如期间发行人发生送红股、公积金转增股本、派息、配股 </w:t>
            </w:r>
            <w:r>
              <w:rPr>
                <w:rFonts w:ascii="宋体" w:hAnsi="宋体" w:cs="宋体" w:eastAsia="宋体" w:hint="default"/>
                <w:spacing w:val="-3"/>
                <w:sz w:val="18"/>
                <w:szCs w:val="18"/>
              </w:rPr>
              <w:t>等除权除息事项，则减持价格相应进行除权、除息调整），减持发行人股份数量将不超过所持发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行人总股份数量的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；在锁定期满两年后减持的，减持价格将不低于发行人最近一期经审计 的每股净资产（最近一期审计基准日后，因利润分配、资本公积金转增股本、增发、配股等情 </w:t>
            </w:r>
            <w:r>
              <w:rPr>
                <w:rFonts w:ascii="宋体" w:hAnsi="宋体" w:cs="宋体" w:eastAsia="宋体" w:hint="default"/>
                <w:spacing w:val="-5"/>
                <w:sz w:val="18"/>
                <w:szCs w:val="18"/>
              </w:rPr>
              <w:t>况导致发行人净资产或股份总数出现变化的，每股净资产相应进行调整）；（</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）本企业减持发行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人股票应符合相关法律、法规、规章和规范性文件的规定；（</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）本企业减持发行人股票时将提</w:t>
            </w:r>
            <w:r>
              <w:rPr>
                <w:rFonts w:ascii="宋体" w:hAnsi="宋体" w:cs="宋体" w:eastAsia="宋体" w:hint="default"/>
                <w:spacing w:val="-52"/>
                <w:sz w:val="18"/>
                <w:szCs w:val="18"/>
              </w:rPr>
              <w:t> </w:t>
            </w:r>
            <w:r>
              <w:rPr>
                <w:rFonts w:ascii="宋体" w:hAnsi="宋体" w:cs="宋体" w:eastAsia="宋体" w:hint="default"/>
                <w:spacing w:val="-7"/>
                <w:sz w:val="18"/>
                <w:szCs w:val="18"/>
              </w:rPr>
              <w:t>前三个交易日予以公告，并将按照《公司法》、《证券法》、中国证券监督管理委员会及深圳证券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交易所相关规定履行信息披露义务。</w:t>
            </w: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12" w:hRule="exact"/>
        </w:trPr>
        <w:tc>
          <w:tcPr>
            <w:tcW w:w="1277"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华侨星城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75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4"/>
              <w:ind w:left="21" w:right="-8"/>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）本企业拟长期持有发行人股票；（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）本企业在承诺锁定期满后一年内减持发行人股票的，</w:t>
            </w:r>
            <w:r>
              <w:rPr>
                <w:rFonts w:ascii="宋体" w:hAnsi="宋体" w:cs="宋体" w:eastAsia="宋体" w:hint="default"/>
                <w:spacing w:val="-51"/>
                <w:sz w:val="18"/>
                <w:szCs w:val="18"/>
              </w:rPr>
              <w:t> </w:t>
            </w:r>
            <w:r>
              <w:rPr>
                <w:rFonts w:ascii="宋体" w:hAnsi="宋体" w:cs="宋体" w:eastAsia="宋体" w:hint="default"/>
                <w:sz w:val="18"/>
                <w:szCs w:val="18"/>
              </w:rPr>
              <w:t>减持价格将不低于发行人股票发行价（如期间发行人发生股份分拆、送红股、</w:t>
            </w:r>
            <w:r>
              <w:rPr>
                <w:rFonts w:ascii="宋体" w:hAnsi="宋体" w:cs="宋体" w:eastAsia="宋体" w:hint="default"/>
                <w:sz w:val="18"/>
                <w:szCs w:val="18"/>
              </w:rPr>
              <w:t> </w:t>
            </w:r>
            <w:r>
              <w:rPr>
                <w:rFonts w:ascii="宋体" w:hAnsi="宋体" w:cs="宋体" w:eastAsia="宋体" w:hint="default"/>
                <w:spacing w:val="-3"/>
                <w:sz w:val="18"/>
                <w:szCs w:val="18"/>
              </w:rPr>
              <w:t>派息、配股等除权除息事项，则减持价格相应进行除权、除息调整），减持发行人股份数量将不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超过所持发行人总股份数量的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；在承诺锁定期满之日起的一年后至承诺锁定期满之日起两 年的期间内减持的，减持价格将不低于发行人最近一期经审计的每股净资产（最近一期审计基 准日后，因利润分配、资本公积金转增股本、增发、配股等情况导致发行人净资产或股份总数 </w:t>
            </w:r>
            <w:r>
              <w:rPr>
                <w:rFonts w:ascii="宋体" w:hAnsi="宋体" w:cs="宋体" w:eastAsia="宋体" w:hint="default"/>
                <w:spacing w:val="-3"/>
                <w:sz w:val="18"/>
                <w:szCs w:val="18"/>
              </w:rPr>
              <w:t>出现变化的，每股净资产相应进行调整），减持发行人股份数量将不超过所持发行人总股份数量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w:t>
            </w:r>
            <w:r>
              <w:rPr>
                <w:rFonts w:ascii="宋体" w:hAnsi="宋体" w:cs="宋体" w:eastAsia="宋体" w:hint="default"/>
                <w:spacing w:val="-17"/>
                <w:sz w:val="18"/>
                <w:szCs w:val="18"/>
              </w:rPr>
              <w:t> </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）本企业减持发行人股票应符合相关法律、法规、规章和规范性文件的规定；（</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w:t>
            </w:r>
            <w:r>
              <w:rPr>
                <w:rFonts w:ascii="宋体" w:hAnsi="宋体" w:cs="宋体" w:eastAsia="宋体" w:hint="default"/>
                <w:spacing w:val="-80"/>
                <w:sz w:val="18"/>
                <w:szCs w:val="18"/>
              </w:rPr>
              <w:t> </w:t>
            </w:r>
            <w:r>
              <w:rPr>
                <w:rFonts w:ascii="宋体" w:hAnsi="宋体" w:cs="宋体" w:eastAsia="宋体" w:hint="default"/>
                <w:spacing w:val="-7"/>
                <w:sz w:val="18"/>
                <w:szCs w:val="18"/>
              </w:rPr>
              <w:t>本企业减持发行人股票时将提前三个交易日予以公告，并将按照《公司法》、《证券法》、中国证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券监督管理委员会及深圳证券交易所相关规定履行信息披露义务。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56.2pt;height:62.4pt;mso-position-horizontal-relative:char;mso-position-vertical-relative:line" coordorigin="0,0" coordsize="1124,1248">
                  <v:group style="position:absolute;left:0;top:0;width:1124;height:1248" coordorigin="0,0" coordsize="1124,1248">
                    <v:shape style="position:absolute;left:0;top:0;width:1124;height:1248" coordorigin="0,0" coordsize="1124,1248" path="m0,1248l1124,1248,1124,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73"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75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4"/>
              <w:ind w:left="21" w:right="23"/>
              <w:jc w:val="both"/>
              <w:rPr>
                <w:rFonts w:ascii="宋体" w:hAnsi="宋体" w:cs="宋体" w:eastAsia="宋体" w:hint="default"/>
                <w:sz w:val="18"/>
                <w:szCs w:val="18"/>
              </w:rPr>
            </w:pPr>
            <w:r>
              <w:rPr>
                <w:rFonts w:ascii="宋体" w:hAnsi="宋体" w:cs="宋体" w:eastAsia="宋体" w:hint="default"/>
                <w:spacing w:val="-3"/>
                <w:sz w:val="18"/>
                <w:szCs w:val="18"/>
              </w:rPr>
              <w:t>公司根据《国务院办公厅关于进一步加强资本市场中小投资者合法权益保护工作的意见》（国办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发</w:t>
            </w:r>
            <w:r>
              <w:rPr>
                <w:rFonts w:ascii="Times New Roman" w:hAnsi="Times New Roman" w:cs="Times New Roman" w:eastAsia="Times New Roman" w:hint="default"/>
                <w:spacing w:val="-2"/>
                <w:sz w:val="18"/>
                <w:szCs w:val="18"/>
              </w:rPr>
              <w:t>[2013]110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号）及《上市公司监管指引第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上市公司现金分红》（中国证监会公告</w:t>
            </w:r>
            <w:r>
              <w:rPr>
                <w:rFonts w:ascii="Times New Roman" w:hAnsi="Times New Roman" w:cs="Times New Roman" w:eastAsia="Times New Roman" w:hint="default"/>
                <w:spacing w:val="-4"/>
                <w:sz w:val="18"/>
                <w:szCs w:val="18"/>
              </w:rPr>
              <w:t>[2013]43</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z w:val="18"/>
                <w:szCs w:val="18"/>
              </w:rPr>
              <w:t>号）等规范性文件的相关相求，重视对投资者的合理投资回报，制定了本次发行上市后适用的</w:t>
            </w:r>
          </w:p>
          <w:p>
            <w:pPr>
              <w:pStyle w:val="TableParagraph"/>
              <w:spacing w:line="319" w:lineRule="auto" w:before="26"/>
              <w:ind w:left="21" w:right="23"/>
              <w:jc w:val="left"/>
              <w:rPr>
                <w:rFonts w:ascii="宋体" w:hAnsi="宋体" w:cs="宋体" w:eastAsia="宋体" w:hint="default"/>
                <w:sz w:val="18"/>
                <w:szCs w:val="18"/>
              </w:rPr>
            </w:pPr>
            <w:r>
              <w:rPr>
                <w:rFonts w:ascii="宋体" w:hAnsi="宋体" w:cs="宋体" w:eastAsia="宋体" w:hint="default"/>
                <w:spacing w:val="-3"/>
                <w:sz w:val="18"/>
                <w:szCs w:val="18"/>
              </w:rPr>
              <w:t>《北京宇信科技集团股份有限公司章程（草案）》及《北京宇信科技集团股份有限公司首次公开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发行股票并上市后三年股东分红回报规划》，完善了公司利润分配制度，对利润分配政策尤其是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现金分红政策进行了具体安排。公司承诺将严格按照上述制度进行利润分配，切实保障投资者 收益权。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41"/>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rPr>
          <w:sz w:val="2"/>
          <w:szCs w:val="2"/>
        </w:rPr>
      </w:pPr>
      <w:r>
        <w:rPr/>
        <w:pict>
          <v:shape style="position:absolute;margin-left:541.691040pt;margin-top:210.650009pt;width:125.5pt;height:62.4pt;mso-position-horizontal-relative:page;mso-position-vertical-relative:page;z-index:-1228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公积金转增股本、</w:t>
                  </w:r>
                </w:p>
              </w:txbxContent>
            </v:textbox>
            <w10:wrap type="none"/>
          </v:shape>
        </w:pict>
      </w:r>
    </w:p>
    <w:p>
      <w:pPr>
        <w:spacing w:after="0"/>
        <w:rPr>
          <w:sz w:val="2"/>
          <w:szCs w:val="2"/>
        </w:rPr>
        <w:sectPr>
          <w:pgSz w:w="16840" w:h="11910" w:orient="landscape"/>
          <w:pgMar w:header="852" w:footer="980" w:top="1280" w:bottom="1160" w:left="1320" w:right="1240"/>
        </w:sectPr>
      </w:pPr>
    </w:p>
    <w:tbl>
      <w:tblPr>
        <w:tblW w:w="0" w:type="auto"/>
        <w:jc w:val="left"/>
        <w:tblInd w:w="115" w:type="dxa"/>
        <w:tblLayout w:type="fixed"/>
        <w:tblCellMar>
          <w:top w:w="0" w:type="dxa"/>
          <w:left w:w="0" w:type="dxa"/>
          <w:bottom w:w="0" w:type="dxa"/>
          <w:right w:w="0" w:type="dxa"/>
        </w:tblCellMar>
        <w:tblLook w:val="01E0"/>
      </w:tblPr>
      <w:tblGrid>
        <w:gridCol w:w="1277"/>
        <w:gridCol w:w="1133"/>
        <w:gridCol w:w="852"/>
        <w:gridCol w:w="7513"/>
        <w:gridCol w:w="1133"/>
        <w:gridCol w:w="1135"/>
        <w:gridCol w:w="996"/>
      </w:tblGrid>
      <w:tr>
        <w:trPr>
          <w:trHeight w:val="4157" w:hRule="exact"/>
        </w:trPr>
        <w:tc>
          <w:tcPr>
            <w:tcW w:w="1277" w:type="dxa"/>
            <w:vMerge w:val="restart"/>
            <w:tcBorders>
              <w:top w:val="single" w:sz="10" w:space="0" w:color="000000"/>
              <w:left w:val="single" w:sz="4" w:space="0" w:color="000000"/>
              <w:right w:val="single" w:sz="4" w:space="0" w:color="000000"/>
            </w:tcBorders>
            <w:shd w:val="clear" w:color="auto" w:fill="D2D2D2"/>
          </w:tcPr>
          <w:p>
            <w:pP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1" w:right="21"/>
              <w:jc w:val="left"/>
              <w:rPr>
                <w:rFonts w:ascii="宋体" w:hAnsi="宋体" w:cs="宋体" w:eastAsia="宋体" w:hint="default"/>
                <w:sz w:val="18"/>
                <w:szCs w:val="18"/>
              </w:rPr>
            </w:pPr>
            <w:r>
              <w:rPr>
                <w:rFonts w:ascii="宋体" w:hAnsi="宋体" w:cs="宋体" w:eastAsia="宋体" w:hint="default"/>
                <w:sz w:val="18"/>
                <w:szCs w:val="18"/>
              </w:rPr>
              <w:t>公司实际控 制人、董事长 兼总经理洪 卫东</w:t>
            </w:r>
          </w:p>
        </w:tc>
        <w:tc>
          <w:tcPr>
            <w:tcW w:w="8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7513" w:type="dxa"/>
            <w:tcBorders>
              <w:top w:val="single" w:sz="10" w:space="0" w:color="000000"/>
              <w:left w:val="single" w:sz="4" w:space="0" w:color="000000"/>
              <w:bottom w:val="single" w:sz="4" w:space="0" w:color="000000"/>
              <w:right w:val="single" w:sz="4" w:space="0" w:color="000000"/>
            </w:tcBorders>
          </w:tcPr>
          <w:p>
            <w:pPr>
              <w:pStyle w:val="TableParagraph"/>
              <w:spacing w:line="307" w:lineRule="auto" w:before="49"/>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本人承诺不利用作为发行人实际控制人的地位损害发行人及发行人其他股东、债权人的正当 权益；</w:t>
            </w:r>
            <w:r>
              <w:rPr>
                <w:rFonts w:ascii="Times New Roman" w:hAnsi="Times New Roman" w:cs="Times New Roman" w:eastAsia="Times New Roman" w:hint="default"/>
                <w:sz w:val="18"/>
                <w:szCs w:val="18"/>
              </w:rPr>
              <w:t>2. </w:t>
            </w:r>
            <w:r>
              <w:rPr>
                <w:rFonts w:ascii="宋体" w:hAnsi="宋体" w:cs="宋体" w:eastAsia="宋体" w:hint="default"/>
                <w:sz w:val="18"/>
                <w:szCs w:val="18"/>
              </w:rPr>
              <w:t>本人目前除直接控制珠海宇琴鸿泰信息咨询有限公司、北京信源天宇科技有限公司、 琴恒智能有限公司股权，并间接控制发行人及其控股子公司外，未直接或间接控制其他公司或 </w:t>
            </w:r>
            <w:r>
              <w:rPr>
                <w:rFonts w:ascii="宋体" w:hAnsi="宋体" w:cs="宋体" w:eastAsia="宋体" w:hint="default"/>
                <w:spacing w:val="-4"/>
                <w:sz w:val="18"/>
                <w:szCs w:val="18"/>
              </w:rPr>
              <w:t>企业；</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本人目前没有、将来也不以任何方式在中国境内、 相似或相近的，对发行人业务在任何方面构成或可能构成直接或间接竞争的任何业务及活动；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本人不以任何方式直接或间接投资于业务与发行人相同、相似或相近的或对发行人业务在任 何方面构成竞争的公司、企业或其他机构、组织；</w:t>
            </w:r>
            <w:r>
              <w:rPr>
                <w:rFonts w:ascii="Times New Roman" w:hAnsi="Times New Roman" w:cs="Times New Roman" w:eastAsia="Times New Roman" w:hint="default"/>
                <w:sz w:val="18"/>
                <w:szCs w:val="18"/>
              </w:rPr>
              <w:t>5. </w:t>
            </w:r>
            <w:r>
              <w:rPr>
                <w:rFonts w:ascii="宋体" w:hAnsi="宋体" w:cs="宋体" w:eastAsia="宋体" w:hint="default"/>
                <w:sz w:val="18"/>
                <w:szCs w:val="18"/>
              </w:rPr>
              <w:t>本人不会向其他业务与发行人相同、相似 或相近的或对发行人业务在任何方面构成竞争的公司、企业或其他机构、组织、个人提供专有 技术或提供销售渠道、客户信息等商业秘密；</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与本人有直接及间接控制关系的任何除发行人 以外的其他公司亦不在中国境内、境外直接或间接地从事或参与任何在商业上对发行人业务有 竞争或可能构成竞争的任何业务及活动；</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本承诺函自出具之日起生效，本承诺函在本人作为 发行人实际控制人期间内持续有效，且不可撤销；</w:t>
            </w:r>
            <w:r>
              <w:rPr>
                <w:rFonts w:ascii="Times New Roman" w:hAnsi="Times New Roman" w:cs="Times New Roman" w:eastAsia="Times New Roman" w:hint="default"/>
                <w:sz w:val="18"/>
                <w:szCs w:val="18"/>
              </w:rPr>
              <w:t>8. </w:t>
            </w:r>
            <w:r>
              <w:rPr>
                <w:rFonts w:ascii="宋体" w:hAnsi="宋体" w:cs="宋体" w:eastAsia="宋体" w:hint="default"/>
                <w:sz w:val="18"/>
                <w:szCs w:val="18"/>
              </w:rPr>
              <w:t>如因未履行上述承诺给发行人造成直接、 间接的经济损失的，本人将赔偿发行人因此而遭受的一切损失。</w:t>
            </w: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171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56.2pt;height:85.8pt;mso-position-horizontal-relative:char;mso-position-vertical-relative:line" coordorigin="0,0" coordsize="1124,1716">
                  <v:group style="position:absolute;left:0;top:0;width:1124;height:1716" coordorigin="0,0" coordsize="1124,1716">
                    <v:shape style="position:absolute;left:0;top:0;width:1124;height:1716" coordorigin="0,0" coordsize="1124,1716" path="m0,1716l1124,1716,1124,0,0,0,0,1716xe" filled="true" fillcolor="#ffffff" stroked="false">
                      <v:path arrowok="t"/>
                      <v:fill type="solid"/>
                    </v:shape>
                  </v:group>
                </v:group>
              </w:pict>
            </w:r>
            <w:r>
              <w:rPr>
                <w:rFonts w:ascii="Times New Roman" w:hAnsi="Times New Roman" w:cs="Times New Roman" w:eastAsia="Times New Roman" w:hint="default"/>
                <w:position w:val="-33"/>
                <w:sz w:val="20"/>
                <w:szCs w:val="20"/>
              </w:rPr>
            </w:r>
          </w:p>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460"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1" w:right="199"/>
              <w:jc w:val="left"/>
              <w:rPr>
                <w:rFonts w:ascii="宋体" w:hAnsi="宋体" w:cs="宋体" w:eastAsia="宋体" w:hint="default"/>
                <w:sz w:val="18"/>
                <w:szCs w:val="18"/>
              </w:rPr>
            </w:pPr>
            <w:r>
              <w:rPr>
                <w:rFonts w:ascii="宋体" w:hAnsi="宋体" w:cs="宋体" w:eastAsia="宋体" w:hint="default"/>
                <w:sz w:val="18"/>
                <w:szCs w:val="18"/>
              </w:rPr>
              <w:t>公司控股股 东宇琴鸿泰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7513" w:type="dxa"/>
            <w:tcBorders>
              <w:top w:val="single" w:sz="4" w:space="0" w:color="000000"/>
              <w:left w:val="single" w:sz="4" w:space="0" w:color="000000"/>
              <w:bottom w:val="single" w:sz="4" w:space="0" w:color="000000"/>
              <w:right w:val="single" w:sz="9" w:space="0" w:color="FFFFFF"/>
            </w:tcBorders>
          </w:tcPr>
          <w:p>
            <w:pPr>
              <w:pStyle w:val="TableParagraph"/>
              <w:spacing w:line="307" w:lineRule="auto" w:before="44"/>
              <w:ind w:left="21"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本公司将尽职、勤勉地履行《中华人民共和国公司法》、《公司章程》所规定的股东的职权，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不利用作为发行人控股股东的地位损害发行人及发行人其他股东、债权人的正当权益；</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本公 司目前除直接控制发行人并间接控制发行人控股子公司外，不存在直接或间接控制其他公司或 企业的情形；</w:t>
            </w:r>
            <w:r>
              <w:rPr>
                <w:rFonts w:ascii="Times New Roman" w:hAnsi="Times New Roman" w:cs="Times New Roman" w:eastAsia="Times New Roman" w:hint="default"/>
                <w:sz w:val="18"/>
                <w:szCs w:val="18"/>
              </w:rPr>
              <w:t>3. </w:t>
            </w:r>
            <w:r>
              <w:rPr>
                <w:rFonts w:ascii="宋体" w:hAnsi="宋体" w:cs="宋体" w:eastAsia="宋体" w:hint="default"/>
                <w:sz w:val="18"/>
                <w:szCs w:val="18"/>
              </w:rPr>
              <w:t>本公司目前没有、将来也不以任何方式在中国境内、境外直接或间接从事与发 行人相同、相似或相近的、对发行人业务在任何方面构成或可能构成直接或间接竞争的任何业 务及活动；</w:t>
            </w:r>
            <w:r>
              <w:rPr>
                <w:rFonts w:ascii="Times New Roman" w:hAnsi="Times New Roman" w:cs="Times New Roman" w:eastAsia="Times New Roman" w:hint="default"/>
                <w:sz w:val="18"/>
                <w:szCs w:val="18"/>
              </w:rPr>
              <w:t>4. </w:t>
            </w:r>
            <w:r>
              <w:rPr>
                <w:rFonts w:ascii="宋体" w:hAnsi="宋体" w:cs="宋体" w:eastAsia="宋体" w:hint="default"/>
                <w:sz w:val="18"/>
                <w:szCs w:val="18"/>
              </w:rPr>
              <w:t>本公司不以任何方式直接或间接投资于业务与发行人相同、相似或相近的或对发 行人业务在任何方面构成竞争的公司、企业或其他机构、组织；</w:t>
            </w:r>
            <w:r>
              <w:rPr>
                <w:rFonts w:ascii="Times New Roman" w:hAnsi="Times New Roman" w:cs="Times New Roman" w:eastAsia="Times New Roman" w:hint="default"/>
                <w:sz w:val="18"/>
                <w:szCs w:val="18"/>
              </w:rPr>
              <w:t>5. </w:t>
            </w:r>
            <w:r>
              <w:rPr>
                <w:rFonts w:ascii="宋体" w:hAnsi="宋体" w:cs="宋体" w:eastAsia="宋体" w:hint="default"/>
                <w:sz w:val="18"/>
                <w:szCs w:val="18"/>
              </w:rPr>
              <w:t>本公司不会向其他业务与发 </w:t>
            </w:r>
            <w:r>
              <w:rPr>
                <w:rFonts w:ascii="宋体" w:hAnsi="宋体" w:cs="宋体" w:eastAsia="宋体" w:hint="default"/>
                <w:spacing w:val="-2"/>
                <w:sz w:val="18"/>
                <w:szCs w:val="18"/>
              </w:rPr>
              <w:t>行人相同、相似或相近的或对发行人业务在任何方面构成竞争的公司、企业或其他机构、组织、</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个人提供专有技术或提供销售渠道、客户信息等商业秘密；</w:t>
            </w:r>
            <w:r>
              <w:rPr>
                <w:rFonts w:ascii="Times New Roman" w:hAnsi="Times New Roman" w:cs="Times New Roman" w:eastAsia="Times New Roman" w:hint="default"/>
                <w:sz w:val="18"/>
                <w:szCs w:val="18"/>
              </w:rPr>
              <w:t>6. </w:t>
            </w:r>
            <w:r>
              <w:rPr>
                <w:rFonts w:ascii="宋体" w:hAnsi="宋体" w:cs="宋体" w:eastAsia="宋体" w:hint="default"/>
                <w:sz w:val="18"/>
                <w:szCs w:val="18"/>
              </w:rPr>
              <w:t>如未来存在与本公司有直接及间 接控制关系的任何除发行人以外的其他公司，本公司亦承诺该等公司不在中国境内、境外直接 或间接地从事或参与任何在商业上对发行人业务有竞争或可能构成竞争的任何业务及活动；</w:t>
            </w:r>
            <w:r>
              <w:rPr>
                <w:rFonts w:ascii="Times New Roman" w:hAnsi="Times New Roman" w:cs="Times New Roman" w:eastAsia="Times New Roman" w:hint="default"/>
                <w:sz w:val="18"/>
                <w:szCs w:val="18"/>
              </w:rPr>
              <w:t>7. </w:t>
            </w:r>
            <w:r>
              <w:rPr>
                <w:rFonts w:ascii="宋体" w:hAnsi="宋体" w:cs="宋体" w:eastAsia="宋体" w:hint="default"/>
                <w:sz w:val="18"/>
                <w:szCs w:val="18"/>
              </w:rPr>
              <w:t>本承诺函自出具之日起生效，本承诺函在本公司作为发行人控股股东期间内持续有效，且不可 撤销；</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如因未履行上述承诺给发行人造成直接、间接的经济损失的，本公司将赔偿发行人因 此而遭受的一切损失。</w:t>
            </w:r>
          </w:p>
        </w:tc>
        <w:tc>
          <w:tcPr>
            <w:tcW w:w="113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rPr>
          <w:sz w:val="2"/>
          <w:szCs w:val="2"/>
        </w:rPr>
      </w:pPr>
      <w:r>
        <w:rPr/>
        <w:pict>
          <v:shape style="position:absolute;margin-left:469.730011pt;margin-top:65.780006pt;width:197.45pt;height:85.8pt;mso-position-horizontal-relative:page;mso-position-vertical-relative:page;z-index:-1228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境外直接或间接从事与发行人相同、</w:t>
                  </w:r>
                </w:p>
              </w:txbxContent>
            </v:textbox>
            <w10:wrap type="none"/>
          </v:shape>
        </w:pict>
      </w:r>
      <w:r>
        <w:rPr/>
        <w:pict>
          <v:group style="position:absolute;margin-left:612.070007pt;margin-top:384.309998pt;width:54.05pt;height:17.650pt;mso-position-horizontal-relative:page;mso-position-vertical-relative:page;z-index:-1228000" coordorigin="12241,7686" coordsize="1081,353">
            <v:shape style="position:absolute;left:12241;top:7686;width:1081;height:353" coordorigin="12241,7686" coordsize="1081,353" path="m12241,8039l13322,8039,13322,7686,12241,7686,12241,8039xe" filled="true" fillcolor="#ffffff" stroked="false">
              <v:path arrowok="t"/>
              <v:fill type="solid"/>
            </v:shape>
            <w10:wrap type="none"/>
          </v:group>
        </w:pict>
      </w:r>
    </w:p>
    <w:p>
      <w:pPr>
        <w:spacing w:after="0"/>
        <w:rPr>
          <w:sz w:val="2"/>
          <w:szCs w:val="2"/>
        </w:rPr>
        <w:sectPr>
          <w:pgSz w:w="16840" w:h="11910" w:orient="landscape"/>
          <w:pgMar w:header="852" w:footer="980" w:top="1280" w:bottom="1160" w:left="1320" w:right="1240"/>
        </w:sectPr>
      </w:pPr>
    </w:p>
    <w:p>
      <w:pPr>
        <w:spacing w:line="240" w:lineRule="auto" w:before="0"/>
        <w:rPr>
          <w:rFonts w:ascii="Times New Roman" w:hAnsi="Times New Roman" w:cs="Times New Roman" w:eastAsia="Times New Roman" w:hint="default"/>
          <w:sz w:val="20"/>
          <w:szCs w:val="20"/>
        </w:rPr>
      </w:pPr>
      <w:r>
        <w:rPr/>
        <w:pict>
          <v:shape style="position:absolute;margin-left:586.75pt;margin-top:225.770004pt;width:80.45pt;height:124.85pt;mso-position-horizontal-relative:page;mso-position-vertical-relative:page;z-index:-1227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pStyle w:val="BodyText"/>
                    <w:spacing w:line="240" w:lineRule="auto"/>
                    <w:ind w:left="0" w:right="0"/>
                    <w:jc w:val="left"/>
                  </w:pPr>
                  <w:r>
                    <w:rPr/>
                    <w:t>董事、</w:t>
                  </w:r>
                </w:p>
              </w:txbxContent>
            </v:textbox>
            <w10:wrap type="none"/>
          </v:shape>
        </w:pict>
      </w:r>
      <w:r>
        <w:rPr/>
        <w:pict>
          <v:shape style="position:absolute;margin-left:586.835022pt;margin-top:351.070007pt;width:80.350pt;height:70.2pt;mso-position-horizontal-relative:page;mso-position-vertical-relative:page;z-index:-1227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整性、</w:t>
                  </w:r>
                </w:p>
              </w:txbxContent>
            </v:textbox>
            <w10:wrap type="none"/>
          </v:shape>
        </w:pict>
      </w:r>
      <w:r>
        <w:rPr/>
        <w:pict>
          <v:shape style="position:absolute;margin-left:71.760002pt;margin-top:64.340004pt;width:702.6pt;height:462.95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133"/>
                    <w:gridCol w:w="852"/>
                    <w:gridCol w:w="7513"/>
                    <w:gridCol w:w="1133"/>
                    <w:gridCol w:w="1135"/>
                    <w:gridCol w:w="994"/>
                  </w:tblGrid>
                  <w:tr>
                    <w:trPr>
                      <w:trHeight w:val="372" w:hRule="exact"/>
                    </w:trPr>
                    <w:tc>
                      <w:tcPr>
                        <w:tcW w:w="1277" w:type="dxa"/>
                        <w:vMerge w:val="restart"/>
                        <w:tcBorders>
                          <w:top w:val="single" w:sz="10" w:space="0" w:color="000000"/>
                          <w:left w:val="single" w:sz="4" w:space="0" w:color="000000"/>
                          <w:right w:val="single" w:sz="4" w:space="0" w:color="000000"/>
                        </w:tcBorders>
                        <w:shd w:val="clear" w:color="auto" w:fill="D2D2D2"/>
                      </w:tcPr>
                      <w:p>
                        <w:pPr/>
                      </w:p>
                    </w:tc>
                    <w:tc>
                      <w:tcPr>
                        <w:tcW w:w="1133" w:type="dxa"/>
                        <w:tcBorders>
                          <w:top w:val="single" w:sz="10" w:space="0" w:color="000000"/>
                          <w:left w:val="single" w:sz="4" w:space="0" w:color="000000"/>
                          <w:bottom w:val="nil" w:sz="6" w:space="0" w:color="auto"/>
                          <w:right w:val="single" w:sz="4" w:space="0" w:color="000000"/>
                        </w:tcBorders>
                      </w:tcPr>
                      <w:p>
                        <w:pPr/>
                      </w:p>
                    </w:tc>
                    <w:tc>
                      <w:tcPr>
                        <w:tcW w:w="852" w:type="dxa"/>
                        <w:tcBorders>
                          <w:top w:val="single" w:sz="10" w:space="0" w:color="000000"/>
                          <w:left w:val="single" w:sz="4" w:space="0" w:color="000000"/>
                          <w:bottom w:val="nil" w:sz="6" w:space="0" w:color="auto"/>
                          <w:right w:val="single" w:sz="4" w:space="0" w:color="000000"/>
                        </w:tcBorders>
                      </w:tcPr>
                      <w:p>
                        <w:pPr/>
                      </w:p>
                    </w:tc>
                    <w:tc>
                      <w:tcPr>
                        <w:tcW w:w="751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公司的董事会、股东大会已审议通过《北京宇信科技集团股份有限公司关于股份发行上市后</w:t>
                        </w:r>
                      </w:p>
                    </w:tc>
                    <w:tc>
                      <w:tcPr>
                        <w:tcW w:w="1133" w:type="dxa"/>
                        <w:tcBorders>
                          <w:top w:val="single" w:sz="10" w:space="0" w:color="000000"/>
                          <w:left w:val="single" w:sz="4" w:space="0" w:color="000000"/>
                          <w:bottom w:val="nil" w:sz="6" w:space="0" w:color="auto"/>
                          <w:right w:val="single" w:sz="4" w:space="0" w:color="000000"/>
                        </w:tcBorders>
                      </w:tcPr>
                      <w:p>
                        <w:pPr/>
                      </w:p>
                    </w:tc>
                    <w:tc>
                      <w:tcPr>
                        <w:tcW w:w="1135" w:type="dxa"/>
                        <w:tcBorders>
                          <w:top w:val="single" w:sz="10" w:space="0" w:color="000000"/>
                          <w:left w:val="single" w:sz="4" w:space="0" w:color="000000"/>
                          <w:bottom w:val="nil" w:sz="6" w:space="0" w:color="auto"/>
                          <w:right w:val="single" w:sz="4" w:space="0" w:color="000000"/>
                        </w:tcBorders>
                      </w:tcPr>
                      <w:p>
                        <w:pPr/>
                      </w:p>
                    </w:tc>
                    <w:tc>
                      <w:tcPr>
                        <w:tcW w:w="994" w:type="dxa"/>
                        <w:tcBorders>
                          <w:top w:val="single" w:sz="10" w:space="0" w:color="000000"/>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稳定公司股价的预案</w:t>
                        </w:r>
                        <w:r>
                          <w:rPr>
                            <w:rFonts w:ascii="宋体" w:hAnsi="宋体" w:cs="宋体" w:eastAsia="宋体" w:hint="default"/>
                            <w:spacing w:val="-92"/>
                            <w:sz w:val="18"/>
                            <w:szCs w:val="18"/>
                          </w:rPr>
                          <w:t>》</w:t>
                        </w:r>
                        <w:r>
                          <w:rPr>
                            <w:rFonts w:ascii="宋体" w:hAnsi="宋体" w:cs="宋体" w:eastAsia="宋体" w:hint="default"/>
                            <w:sz w:val="18"/>
                            <w:szCs w:val="18"/>
                          </w:rPr>
                          <w:t>，根据</w:t>
                        </w:r>
                        <w:r>
                          <w:rPr>
                            <w:rFonts w:ascii="宋体" w:hAnsi="宋体" w:cs="宋体" w:eastAsia="宋体" w:hint="default"/>
                            <w:spacing w:val="2"/>
                            <w:sz w:val="18"/>
                            <w:szCs w:val="18"/>
                          </w:rPr>
                          <w:t>该</w:t>
                        </w:r>
                        <w:r>
                          <w:rPr>
                            <w:rFonts w:ascii="宋体" w:hAnsi="宋体" w:cs="宋体" w:eastAsia="宋体" w:hint="default"/>
                            <w:sz w:val="18"/>
                            <w:szCs w:val="18"/>
                          </w:rPr>
                          <w:t>预案：公司自上市之日起三年内出现公司股票连续</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r>
                          <w:rPr>
                            <w:rFonts w:ascii="宋体" w:hAnsi="宋体" w:cs="宋体" w:eastAsia="宋体" w:hint="default"/>
                            <w:spacing w:val="-3"/>
                            <w:sz w:val="18"/>
                            <w:szCs w:val="18"/>
                          </w:rPr>
                          <w:t>易</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的收盘价低于最近一期经审计的每股净资产（最近一期审计基准日后，因利润分配、资本公积</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金转增股本、增发、配股等情况导致公司净资产或股份总数出现变化的，每股净资产相应进行</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调整）时，公司将采取一项或多项稳定公司股价的措施。</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公司承诺，将在股价稳定措施启动</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后的回购期内</w:t>
                        </w:r>
                        <w:r>
                          <w:rPr>
                            <w:rFonts w:ascii="宋体" w:hAnsi="宋体" w:cs="宋体" w:eastAsia="宋体" w:hint="default"/>
                            <w:spacing w:val="-17"/>
                            <w:sz w:val="18"/>
                            <w:szCs w:val="18"/>
                          </w:rPr>
                          <w:t>，</w:t>
                        </w:r>
                        <w:r>
                          <w:rPr>
                            <w:rFonts w:ascii="宋体" w:hAnsi="宋体" w:cs="宋体" w:eastAsia="宋体" w:hint="default"/>
                            <w:sz w:val="18"/>
                            <w:szCs w:val="18"/>
                          </w:rPr>
                          <w:t>在符</w:t>
                        </w:r>
                        <w:r>
                          <w:rPr>
                            <w:rFonts w:ascii="宋体" w:hAnsi="宋体" w:cs="宋体" w:eastAsia="宋体" w:hint="default"/>
                            <w:spacing w:val="-17"/>
                            <w:sz w:val="18"/>
                            <w:szCs w:val="18"/>
                          </w:rPr>
                          <w:t>合</w:t>
                        </w:r>
                        <w:r>
                          <w:rPr>
                            <w:rFonts w:ascii="宋体" w:hAnsi="宋体" w:cs="宋体" w:eastAsia="宋体" w:hint="default"/>
                            <w:sz w:val="18"/>
                            <w:szCs w:val="18"/>
                          </w:rPr>
                          <w:t>《上</w:t>
                        </w:r>
                        <w:r>
                          <w:rPr>
                            <w:rFonts w:ascii="宋体" w:hAnsi="宋体" w:cs="宋体" w:eastAsia="宋体" w:hint="default"/>
                            <w:spacing w:val="-3"/>
                            <w:sz w:val="18"/>
                            <w:szCs w:val="18"/>
                          </w:rPr>
                          <w:t>市</w:t>
                        </w:r>
                        <w:r>
                          <w:rPr>
                            <w:rFonts w:ascii="宋体" w:hAnsi="宋体" w:cs="宋体" w:eastAsia="宋体" w:hint="default"/>
                            <w:sz w:val="18"/>
                            <w:szCs w:val="18"/>
                          </w:rPr>
                          <w:t>公司回购社会公众股份管理办</w:t>
                        </w:r>
                        <w:r>
                          <w:rPr>
                            <w:rFonts w:ascii="宋体" w:hAnsi="宋体" w:cs="宋体" w:eastAsia="宋体" w:hint="default"/>
                            <w:spacing w:val="-17"/>
                            <w:sz w:val="18"/>
                            <w:szCs w:val="18"/>
                          </w:rPr>
                          <w:t>法</w:t>
                        </w:r>
                        <w:r>
                          <w:rPr>
                            <w:rFonts w:ascii="宋体" w:hAnsi="宋体" w:cs="宋体" w:eastAsia="宋体" w:hint="default"/>
                            <w:sz w:val="18"/>
                            <w:szCs w:val="18"/>
                          </w:rPr>
                          <w:t>（试行</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（证监发</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宋体" w:hAnsi="宋体" w:cs="宋体" w:eastAsia="宋体" w:hint="default"/>
                            <w:spacing w:val="-17"/>
                            <w:sz w:val="18"/>
                            <w:szCs w:val="18"/>
                          </w:rPr>
                          <w:t>）</w:t>
                        </w:r>
                        <w:r>
                          <w:rPr>
                            <w:rFonts w:ascii="宋体" w:hAnsi="宋体" w:cs="宋体" w:eastAsia="宋体" w:hint="default"/>
                            <w:sz w:val="18"/>
                            <w:szCs w:val="18"/>
                          </w:rPr>
                          <w:t>及</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《关于上市公司以集中竞价交易方式回购股份的补充规定</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中国证券监督管理委员会公告</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1" w:right="199"/>
                          <w:jc w:val="both"/>
                          <w:rPr>
                            <w:rFonts w:ascii="宋体" w:hAnsi="宋体" w:cs="宋体" w:eastAsia="宋体" w:hint="default"/>
                            <w:sz w:val="18"/>
                            <w:szCs w:val="18"/>
                          </w:rPr>
                        </w:pPr>
                        <w:r>
                          <w:rPr>
                            <w:rFonts w:ascii="宋体" w:hAnsi="宋体" w:cs="宋体" w:eastAsia="宋体" w:hint="default"/>
                            <w:sz w:val="18"/>
                            <w:szCs w:val="18"/>
                          </w:rPr>
                          <w:t>公司及公司 控股股东宇 琴鸿泰</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6"/>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7513" w:type="dxa"/>
                        <w:tcBorders>
                          <w:top w:val="nil" w:sz="6" w:space="0" w:color="auto"/>
                          <w:left w:val="single" w:sz="4" w:space="0" w:color="000000"/>
                          <w:bottom w:val="nil" w:sz="6" w:space="0" w:color="auto"/>
                          <w:right w:val="single" w:sz="12" w:space="0" w:color="FFFFFF"/>
                        </w:tcBorders>
                      </w:tcPr>
                      <w:p>
                        <w:pPr>
                          <w:pStyle w:val="TableParagraph"/>
                          <w:spacing w:line="312" w:lineRule="auto" w:before="10"/>
                          <w:ind w:left="21"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[2008]39 </w:t>
                        </w:r>
                        <w:r>
                          <w:rPr>
                            <w:rFonts w:ascii="宋体" w:hAnsi="宋体" w:cs="宋体" w:eastAsia="宋体" w:hint="default"/>
                            <w:spacing w:val="-3"/>
                            <w:sz w:val="18"/>
                            <w:szCs w:val="18"/>
                          </w:rPr>
                          <w:t>号）等相关法律法规及规范性文件规定的前提下，以公司自有资金通过证券交易所回购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公司社会公众股份。公司用于回购股份的资金总额累计不超过公司首次公开发行新股所募集资</w:t>
                        </w:r>
                        <w:r>
                          <w:rPr>
                            <w:rFonts w:ascii="宋体" w:hAnsi="宋体" w:cs="宋体" w:eastAsia="宋体" w:hint="default"/>
                            <w:w w:val="99"/>
                            <w:sz w:val="18"/>
                            <w:szCs w:val="18"/>
                          </w:rPr>
                          <w:t> </w:t>
                        </w:r>
                        <w:r>
                          <w:rPr>
                            <w:rFonts w:ascii="宋体" w:hAnsi="宋体" w:cs="宋体" w:eastAsia="宋体" w:hint="default"/>
                            <w:spacing w:val="-2"/>
                            <w:sz w:val="18"/>
                            <w:szCs w:val="18"/>
                          </w:rPr>
                          <w:t>金净额，具体金额将根据公司当时股价情况及公司资金状况等，经公司股东大会最终审议确定；</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回购股份的数量以回购期满时实际回购的股份数量为准，公司每次用于回购股份的资金不得低</w:t>
                        </w:r>
                      </w:p>
                    </w:tc>
                    <w:tc>
                      <w:tcPr>
                        <w:tcW w:w="1133" w:type="dxa"/>
                        <w:tcBorders>
                          <w:top w:val="nil" w:sz="6" w:space="0" w:color="auto"/>
                          <w:left w:val="single" w:sz="12"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6"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万元且单次及</w:t>
                        </w:r>
                        <w:r>
                          <w:rPr>
                            <w:rFonts w:ascii="Times New Roman" w:hAnsi="Times New Roman" w:cs="Times New Roman" w:eastAsia="Times New Roman" w:hint="default"/>
                            <w:sz w:val="18"/>
                            <w:szCs w:val="18"/>
                          </w:rPr>
                          <w:t>/</w:t>
                        </w:r>
                        <w:r>
                          <w:rPr>
                            <w:rFonts w:ascii="宋体" w:hAnsi="宋体" w:cs="宋体" w:eastAsia="宋体" w:hint="default"/>
                            <w:sz w:val="18"/>
                            <w:szCs w:val="18"/>
                          </w:rPr>
                          <w:t>或连续十二个月回购公司股份数量不超过公司股本总额的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。回</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pacing w:val="-3"/>
                            <w:sz w:val="18"/>
                            <w:szCs w:val="18"/>
                          </w:rPr>
                          <w:t>购后公司的股权分布应当符合上市条件，回购行为及信息披露、回购后的股份处置应当符合《公</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92"/>
                            <w:sz w:val="18"/>
                            <w:szCs w:val="18"/>
                          </w:rPr>
                          <w:t>》、</w:t>
                        </w:r>
                        <w:r>
                          <w:rPr>
                            <w:rFonts w:ascii="宋体" w:hAnsi="宋体" w:cs="宋体" w:eastAsia="宋体" w:hint="default"/>
                            <w:sz w:val="18"/>
                            <w:szCs w:val="18"/>
                          </w:rPr>
                          <w:t>《证券法》及其他相</w:t>
                        </w:r>
                        <w:r>
                          <w:rPr>
                            <w:rFonts w:ascii="宋体" w:hAnsi="宋体" w:cs="宋体" w:eastAsia="宋体" w:hint="default"/>
                            <w:spacing w:val="2"/>
                            <w:sz w:val="18"/>
                            <w:szCs w:val="18"/>
                          </w:rPr>
                          <w:t>关</w:t>
                        </w:r>
                        <w:r>
                          <w:rPr>
                            <w:rFonts w:ascii="宋体" w:hAnsi="宋体" w:cs="宋体" w:eastAsia="宋体" w:hint="default"/>
                            <w:sz w:val="18"/>
                            <w:szCs w:val="18"/>
                          </w:rPr>
                          <w:t>法律、行政法规的规定</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公</w:t>
                        </w:r>
                        <w:r>
                          <w:rPr>
                            <w:rFonts w:ascii="宋体" w:hAnsi="宋体" w:cs="宋体" w:eastAsia="宋体" w:hint="default"/>
                            <w:sz w:val="18"/>
                            <w:szCs w:val="18"/>
                          </w:rPr>
                          <w:t>司在未来三年选举或聘任新的董事</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（不包括独立董事</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高级管</w:t>
                        </w:r>
                        <w:r>
                          <w:rPr>
                            <w:rFonts w:ascii="宋体" w:hAnsi="宋体" w:cs="宋体" w:eastAsia="宋体" w:hint="default"/>
                            <w:spacing w:val="2"/>
                            <w:sz w:val="18"/>
                            <w:szCs w:val="18"/>
                          </w:rPr>
                          <w:t>理</w:t>
                        </w:r>
                        <w:r>
                          <w:rPr>
                            <w:rFonts w:ascii="宋体" w:hAnsi="宋体" w:cs="宋体" w:eastAsia="宋体" w:hint="default"/>
                            <w:sz w:val="18"/>
                            <w:szCs w:val="18"/>
                          </w:rPr>
                          <w:t>人员前</w:t>
                        </w:r>
                        <w:r>
                          <w:rPr>
                            <w:rFonts w:ascii="宋体" w:hAnsi="宋体" w:cs="宋体" w:eastAsia="宋体" w:hint="default"/>
                            <w:spacing w:val="-5"/>
                            <w:sz w:val="18"/>
                            <w:szCs w:val="18"/>
                          </w:rPr>
                          <w:t>，</w:t>
                        </w:r>
                        <w:r>
                          <w:rPr>
                            <w:rFonts w:ascii="宋体" w:hAnsi="宋体" w:cs="宋体" w:eastAsia="宋体" w:hint="default"/>
                            <w:sz w:val="18"/>
                            <w:szCs w:val="18"/>
                          </w:rPr>
                          <w:t>将要求其签署承诺书</w:t>
                        </w:r>
                        <w:r>
                          <w:rPr>
                            <w:rFonts w:ascii="宋体" w:hAnsi="宋体" w:cs="宋体" w:eastAsia="宋体" w:hint="default"/>
                            <w:spacing w:val="-5"/>
                            <w:sz w:val="18"/>
                            <w:szCs w:val="18"/>
                          </w:rPr>
                          <w:t>，</w:t>
                        </w:r>
                        <w:r>
                          <w:rPr>
                            <w:rFonts w:ascii="宋体" w:hAnsi="宋体" w:cs="宋体" w:eastAsia="宋体" w:hint="default"/>
                            <w:sz w:val="18"/>
                            <w:szCs w:val="18"/>
                          </w:rPr>
                          <w:t>保证其履行公司首次公开发行上</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市时董事、高级管理人员已作出的稳定股价承诺，并要求其按照公司首次公开发行上市时</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高级管理人员的承诺提出未履行承诺的约束措施。</w:t>
                        </w:r>
                        <w:r>
                          <w:rPr>
                            <w:rFonts w:ascii="Times New Roman" w:hAnsi="Times New Roman" w:cs="Times New Roman" w:eastAsia="Times New Roman" w:hint="default"/>
                            <w:sz w:val="18"/>
                            <w:szCs w:val="18"/>
                          </w:rPr>
                          <w:t>4.  </w:t>
                        </w:r>
                        <w:r>
                          <w:rPr>
                            <w:rFonts w:ascii="宋体" w:hAnsi="宋体" w:cs="宋体" w:eastAsia="宋体" w:hint="default"/>
                            <w:sz w:val="18"/>
                            <w:szCs w:val="18"/>
                          </w:rPr>
                          <w:t>控股股东承诺，将督促公司严格履行本承</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5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诺函的承诺事项。</w:t>
                        </w: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277"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本公司确认为本次申请公开发行股票所提供的全部文件和信息真实、准确、完整、及时，承</w:t>
                        </w:r>
                      </w:p>
                    </w:tc>
                    <w:tc>
                      <w:tcPr>
                        <w:tcW w:w="1133"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诺招股说明书不存在任何虚假记载、误导性陈述或重大遗漏，并对其真实性、准确性、完</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及时性承担个别和连带的法律责任。</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本公司承诺，如发行人招股说明书被相关监管机构认定</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存在虚假记载、误导性陈述或者重大遗漏，对判断发行人是否符合法律规定的发行条件构成重</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942"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1" w:right="199"/>
                          <w:jc w:val="left"/>
                          <w:rPr>
                            <w:rFonts w:ascii="宋体" w:hAnsi="宋体" w:cs="宋体" w:eastAsia="宋体" w:hint="default"/>
                            <w:sz w:val="18"/>
                            <w:szCs w:val="18"/>
                          </w:rPr>
                        </w:pPr>
                        <w:r>
                          <w:rPr>
                            <w:rFonts w:ascii="宋体" w:hAnsi="宋体" w:cs="宋体" w:eastAsia="宋体" w:hint="default"/>
                            <w:sz w:val="18"/>
                            <w:szCs w:val="18"/>
                          </w:rPr>
                          <w:t>公司控股股 东宇琴鸿泰</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1" w:right="23"/>
                          <w:jc w:val="both"/>
                          <w:rPr>
                            <w:rFonts w:ascii="宋体" w:hAnsi="宋体" w:cs="宋体" w:eastAsia="宋体" w:hint="default"/>
                            <w:sz w:val="18"/>
                            <w:szCs w:val="18"/>
                          </w:rPr>
                        </w:pPr>
                        <w:r>
                          <w:rPr>
                            <w:rFonts w:ascii="宋体" w:hAnsi="宋体" w:cs="宋体" w:eastAsia="宋体" w:hint="default"/>
                            <w:sz w:val="18"/>
                            <w:szCs w:val="18"/>
                          </w:rPr>
                          <w:t>大、实质影响的，本公司将在证券监督管理部门作出上述认定时，依法购回已转让的原限售股 份，并于五个交易日内启动购回程序，购回价格为购回时的发行人股票市场价格</w:t>
                        </w:r>
                        <w:r>
                          <w:rPr>
                            <w:rFonts w:ascii="Times New Roman" w:hAnsi="Times New Roman" w:cs="Times New Roman" w:eastAsia="Times New Roman" w:hint="default"/>
                            <w:sz w:val="18"/>
                            <w:szCs w:val="18"/>
                          </w:rPr>
                          <w:t>/</w:t>
                        </w:r>
                        <w:r>
                          <w:rPr>
                            <w:rFonts w:ascii="宋体" w:hAnsi="宋体" w:cs="宋体" w:eastAsia="宋体" w:hint="default"/>
                            <w:sz w:val="18"/>
                            <w:szCs w:val="18"/>
                          </w:rPr>
                          <w:t>证券监督管理 部门作出上述认定时前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个交易日的股票交易平均价格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首次公开发行股票的价格（如发行人首</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38"/>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次公开发行股票并上市后至购回前有利润分配、资本公积金转增股本、增发、配股等除权、除</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息行为</w:t>
                        </w:r>
                        <w:r>
                          <w:rPr>
                            <w:rFonts w:ascii="宋体" w:hAnsi="宋体" w:cs="宋体" w:eastAsia="宋体" w:hint="default"/>
                            <w:spacing w:val="-8"/>
                            <w:sz w:val="18"/>
                            <w:szCs w:val="18"/>
                          </w:rPr>
                          <w:t>，</w:t>
                        </w:r>
                        <w:r>
                          <w:rPr>
                            <w:rFonts w:ascii="宋体" w:hAnsi="宋体" w:cs="宋体" w:eastAsia="宋体" w:hint="default"/>
                            <w:sz w:val="18"/>
                            <w:szCs w:val="18"/>
                          </w:rPr>
                          <w:t>则首次公开发行股票的价格为除权除息后的价格</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如发行人招股说明书及其他信息披</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露资料有虚假记载、误导性陈述或者重大遗漏，致使投资者在证券发行和交易中遭受损失，将</w:t>
                        </w: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5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依法赔偿投资者损失。</w:t>
                        </w: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spacing w:line="4260" w:lineRule="exact"/>
        <w:ind w:left="1089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4"/>
          <w:sz w:val="20"/>
          <w:szCs w:val="20"/>
        </w:rPr>
        <w:pict>
          <v:group style="width:56.2pt;height:213.05pt;mso-position-horizontal-relative:char;mso-position-vertical-relative:line" coordorigin="0,0" coordsize="1124,4261">
            <v:group style="position:absolute;left:0;top:350;width:1124;height:2497" coordorigin="0,350" coordsize="1124,2497">
              <v:shape style="position:absolute;left:0;top:350;width:1124;height:2497" coordorigin="0,350" coordsize="1124,2497" path="m0,2847l1124,2847,1124,350,0,350,0,2847xe" filled="true" fillcolor="#ffffff" stroked="false">
                <v:path arrowok="t"/>
                <v:fill type="solid"/>
              </v:shape>
            </v:group>
            <v:group style="position:absolute;left:22;top:0;width:1081;height:351" coordorigin="22,0" coordsize="1081,351">
              <v:shape style="position:absolute;left:22;top:0;width:1081;height:351" coordorigin="22,0" coordsize="1081,351" path="m22,350l1102,350,1102,0,22,0,22,350xe" filled="true" fillcolor="#ffffff" stroked="false">
                <v:path arrowok="t"/>
                <v:fill type="solid"/>
              </v:shape>
            </v:group>
            <v:group style="position:absolute;left:0;top:2856;width:1124;height:1404" coordorigin="0,2856" coordsize="1124,1404">
              <v:shape style="position:absolute;left:0;top:2856;width:1124;height:1404" coordorigin="0,2856" coordsize="1124,1404" path="m0,4260l1124,4260,1124,2856,0,2856,0,4260xe" filled="true" fillcolor="#ffffff" stroked="false">
                <v:path arrowok="t"/>
                <v:fill type="solid"/>
              </v:shape>
            </v:group>
          </v:group>
        </w:pict>
      </w:r>
      <w:r>
        <w:rPr>
          <w:rFonts w:ascii="Times New Roman" w:hAnsi="Times New Roman" w:cs="Times New Roman" w:eastAsia="Times New Roman" w:hint="default"/>
          <w:position w:val="-84"/>
          <w:sz w:val="20"/>
          <w:szCs w:val="20"/>
        </w:rPr>
      </w:r>
    </w:p>
    <w:p>
      <w:pPr>
        <w:spacing w:after="0" w:line="4260" w:lineRule="exact"/>
        <w:rPr>
          <w:rFonts w:ascii="Times New Roman" w:hAnsi="Times New Roman" w:cs="Times New Roman" w:eastAsia="Times New Roman" w:hint="default"/>
          <w:sz w:val="20"/>
          <w:szCs w:val="20"/>
        </w:rPr>
        <w:sectPr>
          <w:pgSz w:w="16840" w:h="11910" w:orient="landscape"/>
          <w:pgMar w:header="852" w:footer="980" w:top="1300" w:bottom="1160" w:left="1320" w:right="1240"/>
        </w:sectPr>
      </w:pPr>
    </w:p>
    <w:p>
      <w:pPr>
        <w:spacing w:line="240" w:lineRule="auto" w:before="5"/>
        <w:rPr>
          <w:rFonts w:ascii="Times New Roman" w:hAnsi="Times New Roman" w:cs="Times New Roman" w:eastAsia="Times New Roman" w:hint="default"/>
          <w:sz w:val="17"/>
          <w:szCs w:val="17"/>
        </w:rPr>
      </w:pPr>
      <w:r>
        <w:rPr/>
        <w:pict>
          <v:shape style="position:absolute;margin-left:71.760002pt;margin-top:64.340004pt;width:702.7pt;height:353.7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133"/>
                    <w:gridCol w:w="852"/>
                    <w:gridCol w:w="7513"/>
                    <w:gridCol w:w="1133"/>
                    <w:gridCol w:w="1135"/>
                    <w:gridCol w:w="996"/>
                  </w:tblGrid>
                  <w:tr>
                    <w:trPr>
                      <w:trHeight w:val="4781" w:hRule="exact"/>
                    </w:trPr>
                    <w:tc>
                      <w:tcPr>
                        <w:tcW w:w="1277" w:type="dxa"/>
                        <w:vMerge w:val="restart"/>
                        <w:tcBorders>
                          <w:top w:val="single" w:sz="10" w:space="0" w:color="000000"/>
                          <w:left w:val="single" w:sz="4" w:space="0" w:color="000000"/>
                          <w:right w:val="single" w:sz="4" w:space="0" w:color="000000"/>
                        </w:tcBorders>
                        <w:shd w:val="clear" w:color="auto" w:fill="D2D2D2"/>
                      </w:tcPr>
                      <w:p>
                        <w:pP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3"/>
                          <w:ind w:left="21" w:right="21"/>
                          <w:jc w:val="left"/>
                          <w:rPr>
                            <w:rFonts w:ascii="宋体" w:hAnsi="宋体" w:cs="宋体" w:eastAsia="宋体" w:hint="default"/>
                            <w:sz w:val="18"/>
                            <w:szCs w:val="18"/>
                          </w:rPr>
                        </w:pPr>
                        <w:r>
                          <w:rPr>
                            <w:rFonts w:ascii="宋体" w:hAnsi="宋体" w:cs="宋体" w:eastAsia="宋体" w:hint="default"/>
                            <w:sz w:val="18"/>
                            <w:szCs w:val="18"/>
                          </w:rPr>
                          <w:t>公司控股股 东宇琴鸿泰 及公司首次 公开发行前 全体董事、高 级管理人员</w:t>
                        </w:r>
                      </w:p>
                      <w:p>
                        <w:pPr>
                          <w:pStyle w:val="TableParagraph"/>
                          <w:spacing w:line="300" w:lineRule="auto" w:before="19"/>
                          <w:ind w:left="21" w:right="98"/>
                          <w:jc w:val="both"/>
                          <w:rPr>
                            <w:rFonts w:ascii="宋体" w:hAnsi="宋体" w:cs="宋体" w:eastAsia="宋体" w:hint="default"/>
                            <w:sz w:val="18"/>
                            <w:szCs w:val="18"/>
                          </w:rPr>
                        </w:pPr>
                        <w:r>
                          <w:rPr>
                            <w:rFonts w:ascii="宋体" w:hAnsi="宋体" w:cs="宋体" w:eastAsia="宋体" w:hint="default"/>
                            <w:sz w:val="18"/>
                            <w:szCs w:val="18"/>
                          </w:rPr>
                          <w:t>（陈峰</w:t>
                        </w:r>
                        <w:r>
                          <w:rPr>
                            <w:rFonts w:ascii="Times New Roman" w:hAnsi="Times New Roman" w:cs="Times New Roman" w:eastAsia="Times New Roman" w:hint="default"/>
                            <w:sz w:val="18"/>
                            <w:szCs w:val="18"/>
                          </w:rPr>
                          <w:t>;</w:t>
                        </w:r>
                        <w:r>
                          <w:rPr>
                            <w:rFonts w:ascii="宋体" w:hAnsi="宋体" w:cs="宋体" w:eastAsia="宋体" w:hint="default"/>
                            <w:sz w:val="18"/>
                            <w:szCs w:val="18"/>
                          </w:rPr>
                          <w:t>戴士 平</w:t>
                        </w:r>
                        <w:r>
                          <w:rPr>
                            <w:rFonts w:ascii="Times New Roman" w:hAnsi="Times New Roman" w:cs="Times New Roman" w:eastAsia="Times New Roman" w:hint="default"/>
                            <w:sz w:val="18"/>
                            <w:szCs w:val="18"/>
                          </w:rPr>
                          <w:t>;</w:t>
                        </w:r>
                        <w:r>
                          <w:rPr>
                            <w:rFonts w:ascii="宋体" w:hAnsi="宋体" w:cs="宋体" w:eastAsia="宋体" w:hint="default"/>
                            <w:sz w:val="18"/>
                            <w:szCs w:val="18"/>
                          </w:rPr>
                          <w:t>范庆骅</w:t>
                        </w:r>
                        <w:r>
                          <w:rPr>
                            <w:rFonts w:ascii="Times New Roman" w:hAnsi="Times New Roman" w:cs="Times New Roman" w:eastAsia="Times New Roman" w:hint="default"/>
                            <w:sz w:val="18"/>
                            <w:szCs w:val="18"/>
                          </w:rPr>
                          <w:t>;</w:t>
                        </w:r>
                        <w:r>
                          <w:rPr>
                            <w:rFonts w:ascii="宋体" w:hAnsi="宋体" w:cs="宋体" w:eastAsia="宋体" w:hint="default"/>
                            <w:sz w:val="18"/>
                            <w:szCs w:val="18"/>
                          </w:rPr>
                          <w:t>封 竞</w:t>
                        </w:r>
                        <w:r>
                          <w:rPr>
                            <w:rFonts w:ascii="Times New Roman" w:hAnsi="Times New Roman" w:cs="Times New Roman" w:eastAsia="Times New Roman" w:hint="default"/>
                            <w:sz w:val="18"/>
                            <w:szCs w:val="18"/>
                          </w:rPr>
                          <w:t>;</w:t>
                        </w:r>
                        <w:r>
                          <w:rPr>
                            <w:rFonts w:ascii="宋体" w:hAnsi="宋体" w:cs="宋体" w:eastAsia="宋体" w:hint="default"/>
                            <w:sz w:val="18"/>
                            <w:szCs w:val="18"/>
                          </w:rPr>
                          <w:t>洪卫东</w:t>
                        </w:r>
                        <w:r>
                          <w:rPr>
                            <w:rFonts w:ascii="Times New Roman" w:hAnsi="Times New Roman" w:cs="Times New Roman" w:eastAsia="Times New Roman" w:hint="default"/>
                            <w:sz w:val="18"/>
                            <w:szCs w:val="18"/>
                          </w:rPr>
                          <w:t>;</w:t>
                        </w:r>
                        <w:r>
                          <w:rPr>
                            <w:rFonts w:ascii="宋体" w:hAnsi="宋体" w:cs="宋体" w:eastAsia="宋体" w:hint="default"/>
                            <w:sz w:val="18"/>
                            <w:szCs w:val="18"/>
                          </w:rPr>
                          <w:t>雷 家骕</w:t>
                        </w:r>
                        <w:r>
                          <w:rPr>
                            <w:rFonts w:ascii="Times New Roman" w:hAnsi="Times New Roman" w:cs="Times New Roman" w:eastAsia="Times New Roman" w:hint="default"/>
                            <w:sz w:val="18"/>
                            <w:szCs w:val="18"/>
                          </w:rPr>
                          <w:t>;</w:t>
                        </w:r>
                        <w:r>
                          <w:rPr>
                            <w:rFonts w:ascii="宋体" w:hAnsi="宋体" w:cs="宋体" w:eastAsia="宋体" w:hint="default"/>
                            <w:sz w:val="18"/>
                            <w:szCs w:val="18"/>
                          </w:rPr>
                          <w:t>李建国</w:t>
                        </w:r>
                        <w:r>
                          <w:rPr>
                            <w:rFonts w:ascii="Times New Roman" w:hAnsi="Times New Roman" w:cs="Times New Roman" w:eastAsia="Times New Roman" w:hint="default"/>
                            <w:sz w:val="18"/>
                            <w:szCs w:val="18"/>
                          </w:rPr>
                          <w:t>; </w:t>
                        </w:r>
                        <w:r>
                          <w:rPr>
                            <w:rFonts w:ascii="宋体" w:hAnsi="宋体" w:cs="宋体" w:eastAsia="宋体" w:hint="default"/>
                            <w:sz w:val="18"/>
                            <w:szCs w:val="18"/>
                          </w:rPr>
                          <w:t>梁强</w:t>
                        </w:r>
                        <w:r>
                          <w:rPr>
                            <w:rFonts w:ascii="Times New Roman" w:hAnsi="Times New Roman" w:cs="Times New Roman" w:eastAsia="Times New Roman" w:hint="default"/>
                            <w:sz w:val="18"/>
                            <w:szCs w:val="18"/>
                          </w:rPr>
                          <w:t>;</w:t>
                        </w:r>
                        <w:r>
                          <w:rPr>
                            <w:rFonts w:ascii="宋体" w:hAnsi="宋体" w:cs="宋体" w:eastAsia="宋体" w:hint="default"/>
                            <w:sz w:val="18"/>
                            <w:szCs w:val="18"/>
                          </w:rPr>
                          <w:t>鲁军</w:t>
                        </w:r>
                        <w:r>
                          <w:rPr>
                            <w:rFonts w:ascii="Times New Roman" w:hAnsi="Times New Roman" w:cs="Times New Roman" w:eastAsia="Times New Roman" w:hint="default"/>
                            <w:sz w:val="18"/>
                            <w:szCs w:val="18"/>
                          </w:rPr>
                          <w:t>;</w:t>
                        </w:r>
                        <w:r>
                          <w:rPr>
                            <w:rFonts w:ascii="宋体" w:hAnsi="宋体" w:cs="宋体" w:eastAsia="宋体" w:hint="default"/>
                            <w:sz w:val="18"/>
                            <w:szCs w:val="18"/>
                          </w:rPr>
                          <w:t>毛 志宏</w:t>
                        </w:r>
                        <w:r>
                          <w:rPr>
                            <w:rFonts w:ascii="Times New Roman" w:hAnsi="Times New Roman" w:cs="Times New Roman" w:eastAsia="Times New Roman" w:hint="default"/>
                            <w:sz w:val="18"/>
                            <w:szCs w:val="18"/>
                          </w:rPr>
                          <w:t>;</w:t>
                        </w:r>
                        <w:r>
                          <w:rPr>
                            <w:rFonts w:ascii="宋体" w:hAnsi="宋体" w:cs="宋体" w:eastAsia="宋体" w:hint="default"/>
                            <w:sz w:val="18"/>
                            <w:szCs w:val="18"/>
                          </w:rPr>
                          <w:t>欧阳忠 诚</w:t>
                        </w:r>
                        <w:r>
                          <w:rPr>
                            <w:rFonts w:ascii="Times New Roman" w:hAnsi="Times New Roman" w:cs="Times New Roman" w:eastAsia="Times New Roman" w:hint="default"/>
                            <w:sz w:val="18"/>
                            <w:szCs w:val="18"/>
                          </w:rPr>
                          <w:t>;</w:t>
                        </w:r>
                        <w:r>
                          <w:rPr>
                            <w:rFonts w:ascii="宋体" w:hAnsi="宋体" w:cs="宋体" w:eastAsia="宋体" w:hint="default"/>
                            <w:sz w:val="18"/>
                            <w:szCs w:val="18"/>
                          </w:rPr>
                          <w:t>宋开宇</w:t>
                        </w:r>
                        <w:r>
                          <w:rPr>
                            <w:rFonts w:ascii="Times New Roman" w:hAnsi="Times New Roman" w:cs="Times New Roman" w:eastAsia="Times New Roman" w:hint="default"/>
                            <w:sz w:val="18"/>
                            <w:szCs w:val="18"/>
                          </w:rPr>
                          <w:t>;</w:t>
                        </w:r>
                        <w:r>
                          <w:rPr>
                            <w:rFonts w:ascii="宋体" w:hAnsi="宋体" w:cs="宋体" w:eastAsia="宋体" w:hint="default"/>
                            <w:sz w:val="18"/>
                            <w:szCs w:val="18"/>
                          </w:rPr>
                          <w:t>王 建强</w:t>
                        </w:r>
                        <w:r>
                          <w:rPr>
                            <w:rFonts w:ascii="Times New Roman" w:hAnsi="Times New Roman" w:cs="Times New Roman" w:eastAsia="Times New Roman" w:hint="default"/>
                            <w:sz w:val="18"/>
                            <w:szCs w:val="18"/>
                          </w:rPr>
                          <w:t>;</w:t>
                        </w:r>
                        <w:r>
                          <w:rPr>
                            <w:rFonts w:ascii="宋体" w:hAnsi="宋体" w:cs="宋体" w:eastAsia="宋体" w:hint="default"/>
                            <w:sz w:val="18"/>
                            <w:szCs w:val="18"/>
                          </w:rPr>
                          <w:t>王燕梅</w:t>
                        </w:r>
                        <w:r>
                          <w:rPr>
                            <w:rFonts w:ascii="Times New Roman" w:hAnsi="Times New Roman" w:cs="Times New Roman" w:eastAsia="Times New Roman" w:hint="default"/>
                            <w:sz w:val="18"/>
                            <w:szCs w:val="18"/>
                          </w:rPr>
                          <w:t>; </w:t>
                        </w:r>
                        <w:r>
                          <w:rPr>
                            <w:rFonts w:ascii="宋体" w:hAnsi="宋体" w:cs="宋体" w:eastAsia="宋体" w:hint="default"/>
                            <w:sz w:val="18"/>
                            <w:szCs w:val="18"/>
                          </w:rPr>
                          <w:t>张达</w:t>
                        </w:r>
                        <w:r>
                          <w:rPr>
                            <w:rFonts w:ascii="Times New Roman" w:hAnsi="Times New Roman" w:cs="Times New Roman" w:eastAsia="Times New Roman" w:hint="default"/>
                            <w:sz w:val="18"/>
                            <w:szCs w:val="18"/>
                          </w:rPr>
                          <w:t>;</w:t>
                        </w:r>
                        <w:r>
                          <w:rPr>
                            <w:rFonts w:ascii="宋体" w:hAnsi="宋体" w:cs="宋体" w:eastAsia="宋体" w:hint="default"/>
                            <w:sz w:val="18"/>
                            <w:szCs w:val="18"/>
                          </w:rPr>
                          <w:t>郑春）</w:t>
                        </w:r>
                      </w:p>
                    </w:tc>
                    <w:tc>
                      <w:tcPr>
                        <w:tcW w:w="8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5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4" w:lineRule="auto"/>
                          <w:ind w:left="21" w:right="49"/>
                          <w:jc w:val="both"/>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本人将严格履行招股说明书披露的承诺，如果未履行招股说明书披露的承诺事项，将在 发行人股东大会及中国证券监督管理委员会指定报刊上公开说明未履行的具体原因并向股东和 社会公众投资者道歉；如果因未履行相关承诺事项而获得收益的，收益归发行人所有，在获得 收益的五个工作日内将前述收益支付到发行人账户；如果因未履行相关承诺事项给发行人或者 其他投资者造成损失的，本公司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本人将向发行人或者其他投资者依法承担赔偿责任。</w:t>
                        </w: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76"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19"/>
                          <w:jc w:val="left"/>
                          <w:rPr>
                            <w:rFonts w:ascii="宋体" w:hAnsi="宋体" w:cs="宋体" w:eastAsia="宋体" w:hint="default"/>
                            <w:sz w:val="18"/>
                            <w:szCs w:val="18"/>
                          </w:rPr>
                        </w:pPr>
                        <w:r>
                          <w:rPr>
                            <w:rFonts w:ascii="宋体" w:hAnsi="宋体" w:cs="宋体" w:eastAsia="宋体" w:hint="default"/>
                            <w:sz w:val="18"/>
                            <w:szCs w:val="18"/>
                          </w:rPr>
                          <w:t>公司控股股 东宇琴鸿泰、 实际控制人 洪卫东</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both"/>
                          <w:rPr>
                            <w:rFonts w:ascii="宋体" w:hAnsi="宋体" w:cs="宋体" w:eastAsia="宋体" w:hint="default"/>
                            <w:sz w:val="18"/>
                            <w:szCs w:val="18"/>
                          </w:rPr>
                        </w:pPr>
                        <w:r>
                          <w:rPr>
                            <w:rFonts w:ascii="宋体" w:hAnsi="宋体" w:cs="宋体" w:eastAsia="宋体" w:hint="default"/>
                            <w:sz w:val="18"/>
                            <w:szCs w:val="18"/>
                          </w:rPr>
                          <w:t>关于本次可转债发行填补被摊薄即期回报措施的承诺：不越权干预公司经营管理活动，不侵占 公司利益；自承诺出具日至本次发行实施完毕前，若中国证监会作出关于填补回报措施及其承 诺的其他新的监管规定，且该承诺不能满足中国证监会该等规定时，届时将按照中国证监会的 最新规定出具补充承诺。将切实履行公司制定的有关填补回报措施以及对此作出的任何有关填 补回报措施的承诺，若违反该等承诺并给公司或者投资者造成损失的，愿意依法承担对公司或 者投资者的补偿责任，并同意按照中国证监会和深交所等证券监管机构按照其制定或发布的有 关规定，作出相关处罚或采取相关监管措施。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99"/>
                          <w:jc w:val="left"/>
                          <w:rPr>
                            <w:rFonts w:ascii="宋体" w:hAnsi="宋体" w:cs="宋体" w:eastAsia="宋体" w:hint="default"/>
                            <w:sz w:val="18"/>
                            <w:szCs w:val="18"/>
                          </w:rPr>
                        </w:pPr>
                        <w:r>
                          <w:rPr>
                            <w:rFonts w:ascii="宋体" w:hAnsi="宋体" w:cs="宋体" w:eastAsia="宋体" w:hint="default"/>
                            <w:sz w:val="18"/>
                            <w:szCs w:val="18"/>
                          </w:rPr>
                          <w:t>可转债实施 期间</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41"/>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52" w:footer="980" w:top="1300" w:bottom="1160" w:left="1320" w:right="1240"/>
        </w:sectPr>
      </w:pPr>
    </w:p>
    <w:p>
      <w:pPr>
        <w:spacing w:line="240" w:lineRule="auto" w:before="9"/>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277"/>
        <w:gridCol w:w="1133"/>
        <w:gridCol w:w="852"/>
        <w:gridCol w:w="7513"/>
        <w:gridCol w:w="1133"/>
        <w:gridCol w:w="1135"/>
        <w:gridCol w:w="994"/>
      </w:tblGrid>
      <w:tr>
        <w:trPr>
          <w:trHeight w:val="3533" w:hRule="exact"/>
        </w:trPr>
        <w:tc>
          <w:tcPr>
            <w:tcW w:w="127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3"/>
              <w:ind w:left="21" w:right="21"/>
              <w:jc w:val="both"/>
              <w:rPr>
                <w:rFonts w:ascii="宋体" w:hAnsi="宋体" w:cs="宋体" w:eastAsia="宋体" w:hint="default"/>
                <w:sz w:val="18"/>
                <w:szCs w:val="18"/>
              </w:rPr>
            </w:pPr>
            <w:r>
              <w:rPr>
                <w:rFonts w:ascii="宋体" w:hAnsi="宋体" w:cs="宋体" w:eastAsia="宋体" w:hint="default"/>
                <w:sz w:val="18"/>
                <w:szCs w:val="18"/>
              </w:rPr>
              <w:t>公司董事、高 级管理人员</w:t>
            </w:r>
          </w:p>
          <w:p>
            <w:pPr>
              <w:pStyle w:val="TableParagraph"/>
              <w:spacing w:line="300" w:lineRule="auto" w:before="19"/>
              <w:ind w:left="21" w:right="98"/>
              <w:jc w:val="both"/>
              <w:rPr>
                <w:rFonts w:ascii="宋体" w:hAnsi="宋体" w:cs="宋体" w:eastAsia="宋体" w:hint="default"/>
                <w:sz w:val="18"/>
                <w:szCs w:val="18"/>
              </w:rPr>
            </w:pPr>
            <w:r>
              <w:rPr>
                <w:rFonts w:ascii="宋体" w:hAnsi="宋体" w:cs="宋体" w:eastAsia="宋体" w:hint="default"/>
                <w:sz w:val="18"/>
                <w:szCs w:val="18"/>
              </w:rPr>
              <w:t>（陈峰</w:t>
            </w:r>
            <w:r>
              <w:rPr>
                <w:rFonts w:ascii="Times New Roman" w:hAnsi="Times New Roman" w:cs="Times New Roman" w:eastAsia="Times New Roman" w:hint="default"/>
                <w:sz w:val="18"/>
                <w:szCs w:val="18"/>
              </w:rPr>
              <w:t>;</w:t>
            </w:r>
            <w:r>
              <w:rPr>
                <w:rFonts w:ascii="宋体" w:hAnsi="宋体" w:cs="宋体" w:eastAsia="宋体" w:hint="default"/>
                <w:sz w:val="18"/>
                <w:szCs w:val="18"/>
              </w:rPr>
              <w:t>戴士 平</w:t>
            </w:r>
            <w:r>
              <w:rPr>
                <w:rFonts w:ascii="Times New Roman" w:hAnsi="Times New Roman" w:cs="Times New Roman" w:eastAsia="Times New Roman" w:hint="default"/>
                <w:sz w:val="18"/>
                <w:szCs w:val="18"/>
              </w:rPr>
              <w:t>;</w:t>
            </w:r>
            <w:r>
              <w:rPr>
                <w:rFonts w:ascii="宋体" w:hAnsi="宋体" w:cs="宋体" w:eastAsia="宋体" w:hint="default"/>
                <w:sz w:val="18"/>
                <w:szCs w:val="18"/>
              </w:rPr>
              <w:t>范庆骅</w:t>
            </w:r>
            <w:r>
              <w:rPr>
                <w:rFonts w:ascii="Times New Roman" w:hAnsi="Times New Roman" w:cs="Times New Roman" w:eastAsia="Times New Roman" w:hint="default"/>
                <w:sz w:val="18"/>
                <w:szCs w:val="18"/>
              </w:rPr>
              <w:t>;</w:t>
            </w:r>
            <w:r>
              <w:rPr>
                <w:rFonts w:ascii="宋体" w:hAnsi="宋体" w:cs="宋体" w:eastAsia="宋体" w:hint="default"/>
                <w:sz w:val="18"/>
                <w:szCs w:val="18"/>
              </w:rPr>
              <w:t>封 竞</w:t>
            </w:r>
            <w:r>
              <w:rPr>
                <w:rFonts w:ascii="Times New Roman" w:hAnsi="Times New Roman" w:cs="Times New Roman" w:eastAsia="Times New Roman" w:hint="default"/>
                <w:sz w:val="18"/>
                <w:szCs w:val="18"/>
              </w:rPr>
              <w:t>;</w:t>
            </w:r>
            <w:r>
              <w:rPr>
                <w:rFonts w:ascii="宋体" w:hAnsi="宋体" w:cs="宋体" w:eastAsia="宋体" w:hint="default"/>
                <w:sz w:val="18"/>
                <w:szCs w:val="18"/>
              </w:rPr>
              <w:t>洪卫东</w:t>
            </w:r>
            <w:r>
              <w:rPr>
                <w:rFonts w:ascii="Times New Roman" w:hAnsi="Times New Roman" w:cs="Times New Roman" w:eastAsia="Times New Roman" w:hint="default"/>
                <w:sz w:val="18"/>
                <w:szCs w:val="18"/>
              </w:rPr>
              <w:t>;</w:t>
            </w:r>
            <w:r>
              <w:rPr>
                <w:rFonts w:ascii="宋体" w:hAnsi="宋体" w:cs="宋体" w:eastAsia="宋体" w:hint="default"/>
                <w:sz w:val="18"/>
                <w:szCs w:val="18"/>
              </w:rPr>
              <w:t>雷 家骕</w:t>
            </w:r>
            <w:r>
              <w:rPr>
                <w:rFonts w:ascii="Times New Roman" w:hAnsi="Times New Roman" w:cs="Times New Roman" w:eastAsia="Times New Roman" w:hint="default"/>
                <w:sz w:val="18"/>
                <w:szCs w:val="18"/>
              </w:rPr>
              <w:t>;</w:t>
            </w:r>
            <w:r>
              <w:rPr>
                <w:rFonts w:ascii="宋体" w:hAnsi="宋体" w:cs="宋体" w:eastAsia="宋体" w:hint="default"/>
                <w:sz w:val="18"/>
                <w:szCs w:val="18"/>
              </w:rPr>
              <w:t>李建国</w:t>
            </w:r>
            <w:r>
              <w:rPr>
                <w:rFonts w:ascii="Times New Roman" w:hAnsi="Times New Roman" w:cs="Times New Roman" w:eastAsia="Times New Roman" w:hint="default"/>
                <w:sz w:val="18"/>
                <w:szCs w:val="18"/>
              </w:rPr>
              <w:t>; </w:t>
            </w:r>
            <w:r>
              <w:rPr>
                <w:rFonts w:ascii="宋体" w:hAnsi="宋体" w:cs="宋体" w:eastAsia="宋体" w:hint="default"/>
                <w:sz w:val="18"/>
                <w:szCs w:val="18"/>
              </w:rPr>
              <w:t>梁强</w:t>
            </w:r>
            <w:r>
              <w:rPr>
                <w:rFonts w:ascii="Times New Roman" w:hAnsi="Times New Roman" w:cs="Times New Roman" w:eastAsia="Times New Roman" w:hint="default"/>
                <w:sz w:val="18"/>
                <w:szCs w:val="18"/>
              </w:rPr>
              <w:t>;</w:t>
            </w:r>
            <w:r>
              <w:rPr>
                <w:rFonts w:ascii="宋体" w:hAnsi="宋体" w:cs="宋体" w:eastAsia="宋体" w:hint="default"/>
                <w:sz w:val="18"/>
                <w:szCs w:val="18"/>
              </w:rPr>
              <w:t>鲁军</w:t>
            </w:r>
            <w:r>
              <w:rPr>
                <w:rFonts w:ascii="Times New Roman" w:hAnsi="Times New Roman" w:cs="Times New Roman" w:eastAsia="Times New Roman" w:hint="default"/>
                <w:sz w:val="18"/>
                <w:szCs w:val="18"/>
              </w:rPr>
              <w:t>;</w:t>
            </w:r>
            <w:r>
              <w:rPr>
                <w:rFonts w:ascii="宋体" w:hAnsi="宋体" w:cs="宋体" w:eastAsia="宋体" w:hint="default"/>
                <w:sz w:val="18"/>
                <w:szCs w:val="18"/>
              </w:rPr>
              <w:t>毛 志宏</w:t>
            </w:r>
            <w:r>
              <w:rPr>
                <w:rFonts w:ascii="Times New Roman" w:hAnsi="Times New Roman" w:cs="Times New Roman" w:eastAsia="Times New Roman" w:hint="default"/>
                <w:sz w:val="18"/>
                <w:szCs w:val="18"/>
              </w:rPr>
              <w:t>;</w:t>
            </w:r>
            <w:r>
              <w:rPr>
                <w:rFonts w:ascii="宋体" w:hAnsi="宋体" w:cs="宋体" w:eastAsia="宋体" w:hint="default"/>
                <w:sz w:val="18"/>
                <w:szCs w:val="18"/>
              </w:rPr>
              <w:t>欧阳忠 诚</w:t>
            </w:r>
            <w:r>
              <w:rPr>
                <w:rFonts w:ascii="Times New Roman" w:hAnsi="Times New Roman" w:cs="Times New Roman" w:eastAsia="Times New Roman" w:hint="default"/>
                <w:sz w:val="18"/>
                <w:szCs w:val="18"/>
              </w:rPr>
              <w:t>;</w:t>
            </w:r>
            <w:r>
              <w:rPr>
                <w:rFonts w:ascii="宋体" w:hAnsi="宋体" w:cs="宋体" w:eastAsia="宋体" w:hint="default"/>
                <w:sz w:val="18"/>
                <w:szCs w:val="18"/>
              </w:rPr>
              <w:t>宋开宇</w:t>
            </w:r>
            <w:r>
              <w:rPr>
                <w:rFonts w:ascii="Times New Roman" w:hAnsi="Times New Roman" w:cs="Times New Roman" w:eastAsia="Times New Roman" w:hint="default"/>
                <w:sz w:val="18"/>
                <w:szCs w:val="18"/>
              </w:rPr>
              <w:t>;</w:t>
            </w:r>
            <w:r>
              <w:rPr>
                <w:rFonts w:ascii="宋体" w:hAnsi="宋体" w:cs="宋体" w:eastAsia="宋体" w:hint="default"/>
                <w:sz w:val="18"/>
                <w:szCs w:val="18"/>
              </w:rPr>
              <w:t>王 建强</w:t>
            </w:r>
            <w:r>
              <w:rPr>
                <w:rFonts w:ascii="Times New Roman" w:hAnsi="Times New Roman" w:cs="Times New Roman" w:eastAsia="Times New Roman" w:hint="default"/>
                <w:sz w:val="18"/>
                <w:szCs w:val="18"/>
              </w:rPr>
              <w:t>;</w:t>
            </w:r>
            <w:r>
              <w:rPr>
                <w:rFonts w:ascii="宋体" w:hAnsi="宋体" w:cs="宋体" w:eastAsia="宋体" w:hint="default"/>
                <w:sz w:val="18"/>
                <w:szCs w:val="18"/>
              </w:rPr>
              <w:t>王燕梅</w:t>
            </w:r>
            <w:r>
              <w:rPr>
                <w:rFonts w:ascii="Times New Roman" w:hAnsi="Times New Roman" w:cs="Times New Roman" w:eastAsia="Times New Roman" w:hint="default"/>
                <w:sz w:val="18"/>
                <w:szCs w:val="18"/>
              </w:rPr>
              <w:t>; </w:t>
            </w:r>
            <w:r>
              <w:rPr>
                <w:rFonts w:ascii="宋体" w:hAnsi="宋体" w:cs="宋体" w:eastAsia="宋体" w:hint="default"/>
                <w:sz w:val="18"/>
                <w:szCs w:val="18"/>
              </w:rPr>
              <w:t>郑春</w:t>
            </w:r>
            <w:r>
              <w:rPr>
                <w:rFonts w:ascii="Times New Roman" w:hAnsi="Times New Roman" w:cs="Times New Roman" w:eastAsia="Times New Roman" w:hint="default"/>
                <w:sz w:val="18"/>
                <w:szCs w:val="18"/>
              </w:rPr>
              <w:t>;</w:t>
            </w:r>
            <w:r>
              <w:rPr>
                <w:rFonts w:ascii="宋体" w:hAnsi="宋体" w:cs="宋体" w:eastAsia="宋体" w:hint="default"/>
                <w:sz w:val="18"/>
                <w:szCs w:val="18"/>
              </w:rPr>
              <w:t>陈静）</w:t>
            </w:r>
          </w:p>
        </w:tc>
        <w:tc>
          <w:tcPr>
            <w:tcW w:w="8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513" w:type="dxa"/>
            <w:tcBorders>
              <w:top w:val="single" w:sz="10"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8"/>
              <w:ind w:left="21" w:right="-38"/>
              <w:jc w:val="left"/>
              <w:rPr>
                <w:rFonts w:ascii="宋体" w:hAnsi="宋体" w:cs="宋体" w:eastAsia="宋体" w:hint="default"/>
                <w:sz w:val="18"/>
                <w:szCs w:val="18"/>
              </w:rPr>
            </w:pPr>
            <w:r>
              <w:rPr>
                <w:rFonts w:ascii="宋体" w:hAnsi="宋体" w:cs="宋体" w:eastAsia="宋体" w:hint="default"/>
                <w:spacing w:val="-3"/>
                <w:sz w:val="18"/>
                <w:szCs w:val="18"/>
              </w:rPr>
              <w:t>关于本次可转债发行填补被摊薄即期回报措施的承诺：（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）不无偿或以不公平条件向其他单位</w:t>
            </w:r>
            <w:r>
              <w:rPr>
                <w:rFonts w:ascii="宋体" w:hAnsi="宋体" w:cs="宋体" w:eastAsia="宋体" w:hint="default"/>
                <w:spacing w:val="-54"/>
                <w:sz w:val="18"/>
                <w:szCs w:val="18"/>
              </w:rPr>
              <w:t> </w:t>
            </w:r>
            <w:r>
              <w:rPr>
                <w:rFonts w:ascii="宋体" w:hAnsi="宋体" w:cs="宋体" w:eastAsia="宋体" w:hint="default"/>
                <w:spacing w:val="-3"/>
                <w:sz w:val="18"/>
                <w:szCs w:val="18"/>
              </w:rPr>
              <w:t>或者个人输送利益，也不采用其他方式损害公司利益；（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）对董事和高级管理人员的职务消费</w:t>
            </w:r>
            <w:r>
              <w:rPr>
                <w:rFonts w:ascii="宋体" w:hAnsi="宋体" w:cs="宋体" w:eastAsia="宋体" w:hint="default"/>
                <w:spacing w:val="-54"/>
                <w:sz w:val="18"/>
                <w:szCs w:val="18"/>
              </w:rPr>
              <w:t> </w:t>
            </w:r>
            <w:r>
              <w:rPr>
                <w:rFonts w:ascii="宋体" w:hAnsi="宋体" w:cs="宋体" w:eastAsia="宋体" w:hint="default"/>
                <w:spacing w:val="-3"/>
                <w:sz w:val="18"/>
                <w:szCs w:val="18"/>
              </w:rPr>
              <w:t>行为进行约束；（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）不动用公司资产从事与董事、高级管理人员所履行职责无关的投资、消费</w:t>
            </w:r>
            <w:r>
              <w:rPr>
                <w:rFonts w:ascii="宋体" w:hAnsi="宋体" w:cs="宋体" w:eastAsia="宋体" w:hint="default"/>
                <w:spacing w:val="-55"/>
                <w:sz w:val="18"/>
                <w:szCs w:val="18"/>
              </w:rPr>
              <w:t> </w:t>
            </w:r>
            <w:r>
              <w:rPr>
                <w:rFonts w:ascii="宋体" w:hAnsi="宋体" w:cs="宋体" w:eastAsia="宋体" w:hint="default"/>
                <w:spacing w:val="-6"/>
                <w:sz w:val="18"/>
                <w:szCs w:val="18"/>
              </w:rPr>
              <w:t>活动；（</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）由董事会或薪酬委员会制定的薪酬制度与公司填补回报措施的执行情况相挂钩；（</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宋体" w:hAnsi="宋体" w:cs="宋体" w:eastAsia="宋体" w:hint="default"/>
                <w:spacing w:val="-55"/>
                <w:sz w:val="18"/>
                <w:szCs w:val="18"/>
              </w:rPr>
              <w:t> </w:t>
            </w:r>
            <w:r>
              <w:rPr>
                <w:rFonts w:ascii="宋体" w:hAnsi="宋体" w:cs="宋体" w:eastAsia="宋体" w:hint="default"/>
                <w:sz w:val="18"/>
                <w:szCs w:val="18"/>
              </w:rPr>
              <w:t>未来如公布公司股权激励的行权条件，将与公司填补回报措施的执行情况相挂钩。自承诺出具</w:t>
            </w:r>
            <w:r>
              <w:rPr>
                <w:rFonts w:ascii="宋体" w:hAnsi="宋体" w:cs="宋体" w:eastAsia="宋体" w:hint="default"/>
                <w:sz w:val="18"/>
                <w:szCs w:val="18"/>
              </w:rPr>
              <w:t> 日至本次发行实施完毕前，若中国证监会作出关于填补回报措施及其承诺的其他新的监管规定 的，且上述承诺不能满足中国证监会该等规定时，承诺届时将按照中国证监会的最新规定出具 补充承诺。若违反上述承诺给公司及股东造成损失的，将依法承担相应责任。</w:t>
            </w:r>
          </w:p>
        </w:tc>
        <w:tc>
          <w:tcPr>
            <w:tcW w:w="1133" w:type="dxa"/>
            <w:tcBorders>
              <w:top w:val="single" w:sz="10"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52" w:lineRule="exact"/>
              <w:ind w:left="15"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4.05pt;height:17.650pt;mso-position-horizontal-relative:char;mso-position-vertical-relative:line" coordorigin="0,0" coordsize="1081,353">
                  <v:group style="position:absolute;left:0;top:0;width:1081;height:353" coordorigin="0,0" coordsize="1081,353">
                    <v:shape style="position:absolute;left:0;top:0;width:1081;height:353" coordorigin="0,0" coordsize="1081,353" path="m0,353l1080,353,1080,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4" w:right="199"/>
              <w:jc w:val="left"/>
              <w:rPr>
                <w:rFonts w:ascii="宋体" w:hAnsi="宋体" w:cs="宋体" w:eastAsia="宋体" w:hint="default"/>
                <w:sz w:val="18"/>
                <w:szCs w:val="18"/>
              </w:rPr>
            </w:pPr>
            <w:r>
              <w:rPr>
                <w:rFonts w:ascii="宋体" w:hAnsi="宋体" w:cs="宋体" w:eastAsia="宋体" w:hint="default"/>
                <w:sz w:val="18"/>
                <w:szCs w:val="18"/>
              </w:rPr>
              <w:t>可转债实施 期间</w:t>
            </w:r>
          </w:p>
        </w:tc>
        <w:tc>
          <w:tcPr>
            <w:tcW w:w="9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276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52" w:footer="980" w:top="1240" w:bottom="1160" w:left="1320" w:right="1240"/>
        </w:sectPr>
      </w:pPr>
    </w:p>
    <w:p>
      <w:pPr>
        <w:pStyle w:val="Heading3"/>
        <w:spacing w:line="259" w:lineRule="auto" w:before="122"/>
        <w:ind w:right="1133"/>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6"/>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报告期内，公司共发生三次会计政策变更。相关会计政策变更的具体情况如下：</w:t>
      </w:r>
    </w:p>
    <w:p>
      <w:pPr>
        <w:pStyle w:val="BodyText"/>
        <w:spacing w:line="316" w:lineRule="auto" w:before="1"/>
        <w:ind w:right="1124"/>
        <w:jc w:val="left"/>
      </w:pPr>
      <w:r>
        <w:rPr/>
        <w:t>第一次会计政策变更：公司于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23</w:t>
      </w:r>
      <w:r>
        <w:rPr/>
        <w:t>日召开了第二届董事会第九次会议，审议通过《关于会计政策变更的议案》。 一、变更原因 </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日，财政部发布了《企业会计准则第</w:t>
      </w:r>
      <w:r>
        <w:rPr>
          <w:rFonts w:ascii="宋体" w:hAnsi="宋体" w:cs="宋体" w:eastAsia="宋体" w:hint="default"/>
          <w:spacing w:val="-2"/>
        </w:rPr>
        <w:t>22</w:t>
      </w:r>
      <w:r>
        <w:rPr>
          <w:spacing w:val="-2"/>
        </w:rPr>
        <w:t>号——金融工具确认和计量（</w:t>
      </w:r>
      <w:r>
        <w:rPr>
          <w:rFonts w:ascii="宋体" w:hAnsi="宋体" w:cs="宋体" w:eastAsia="宋体" w:hint="default"/>
          <w:spacing w:val="-2"/>
        </w:rPr>
        <w:t>2017</w:t>
      </w:r>
      <w:r>
        <w:rPr>
          <w:spacing w:val="-2"/>
        </w:rPr>
        <w:t>年修订）》（财会</w:t>
      </w:r>
      <w:r>
        <w:rPr>
          <w:rFonts w:ascii="宋体" w:hAnsi="宋体" w:cs="宋体" w:eastAsia="宋体" w:hint="default"/>
          <w:spacing w:val="-2"/>
        </w:rPr>
        <w:t>[2017]7</w:t>
      </w:r>
      <w:r>
        <w:rPr>
          <w:spacing w:val="-2"/>
        </w:rPr>
        <w:t>号）、《企</w:t>
      </w:r>
      <w:r>
        <w:rPr>
          <w:spacing w:val="-56"/>
        </w:rPr>
        <w:t> </w:t>
      </w:r>
      <w:r>
        <w:rPr>
          <w:spacing w:val="-56"/>
        </w:rPr>
      </w:r>
      <w:r>
        <w:rPr/>
        <w:t>业会计准则第</w:t>
      </w:r>
      <w:r>
        <w:rPr>
          <w:rFonts w:ascii="宋体" w:hAnsi="宋体" w:cs="宋体" w:eastAsia="宋体" w:hint="default"/>
        </w:rPr>
        <w:t>23</w:t>
      </w:r>
      <w:r>
        <w:rPr/>
        <w:t>号——金融资产转移（</w:t>
      </w:r>
      <w:r>
        <w:rPr>
          <w:rFonts w:ascii="宋体" w:hAnsi="宋体" w:cs="宋体" w:eastAsia="宋体" w:hint="default"/>
        </w:rPr>
        <w:t>2017</w:t>
      </w:r>
      <w:r>
        <w:rPr/>
        <w:t>年修订）》（财会</w:t>
      </w:r>
      <w:r>
        <w:rPr>
          <w:rFonts w:ascii="宋体" w:hAnsi="宋体" w:cs="宋体" w:eastAsia="宋体" w:hint="default"/>
        </w:rPr>
        <w:t>[2017]8</w:t>
      </w:r>
      <w:r>
        <w:rPr/>
        <w:t>号）、《企业会计准则第</w:t>
      </w:r>
      <w:r>
        <w:rPr>
          <w:rFonts w:ascii="宋体" w:hAnsi="宋体" w:cs="宋体" w:eastAsia="宋体" w:hint="default"/>
        </w:rPr>
        <w:t>24</w:t>
      </w:r>
      <w:r>
        <w:rPr/>
        <w:t>号——套期会计（</w:t>
      </w:r>
      <w:r>
        <w:rPr>
          <w:rFonts w:ascii="宋体" w:hAnsi="宋体" w:cs="宋体" w:eastAsia="宋体" w:hint="default"/>
        </w:rPr>
        <w:t>2017</w:t>
      </w:r>
      <w:r>
        <w:rPr/>
        <w:t>年 </w:t>
      </w:r>
      <w:r>
        <w:rPr>
          <w:spacing w:val="-3"/>
        </w:rPr>
        <w:t>修订）》（财会</w:t>
      </w:r>
      <w:r>
        <w:rPr>
          <w:rFonts w:ascii="宋体" w:hAnsi="宋体" w:cs="宋体" w:eastAsia="宋体" w:hint="default"/>
          <w:spacing w:val="-3"/>
        </w:rPr>
        <w:t>[2017]9</w:t>
      </w:r>
      <w:r>
        <w:rPr>
          <w:spacing w:val="-3"/>
        </w:rPr>
        <w:t>号）；</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w:t>
      </w:r>
      <w:r>
        <w:rPr>
          <w:spacing w:val="-3"/>
        </w:rPr>
        <w:t>日，财政部发布了《企业会计准则第</w:t>
      </w:r>
      <w:r>
        <w:rPr>
          <w:rFonts w:ascii="宋体" w:hAnsi="宋体" w:cs="宋体" w:eastAsia="宋体" w:hint="default"/>
          <w:spacing w:val="-3"/>
        </w:rPr>
        <w:t>37</w:t>
      </w:r>
      <w:r>
        <w:rPr>
          <w:spacing w:val="-3"/>
        </w:rPr>
        <w:t>号——金融工具列报（</w:t>
      </w:r>
      <w:r>
        <w:rPr>
          <w:rFonts w:ascii="宋体" w:hAnsi="宋体" w:cs="宋体" w:eastAsia="宋体" w:hint="default"/>
          <w:spacing w:val="-3"/>
        </w:rPr>
        <w:t>2017</w:t>
      </w:r>
      <w:r>
        <w:rPr>
          <w:spacing w:val="-3"/>
        </w:rPr>
        <w:t>年修订）》（财</w:t>
      </w:r>
      <w:r>
        <w:rPr>
          <w:spacing w:val="-77"/>
        </w:rPr>
        <w:t> </w:t>
      </w:r>
      <w:r>
        <w:rPr>
          <w:spacing w:val="-77"/>
        </w:rPr>
      </w:r>
      <w:r>
        <w:rPr/>
        <w:t>会</w:t>
      </w:r>
      <w:r>
        <w:rPr>
          <w:rFonts w:ascii="宋体" w:hAnsi="宋体" w:cs="宋体" w:eastAsia="宋体" w:hint="default"/>
        </w:rPr>
        <w:t>[2017]14</w:t>
      </w:r>
      <w:r>
        <w:rPr/>
        <w:t>号）（上述准则以下统称“新金融工具准则”），并要求境内上市公司自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日起施行。 </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15</w:t>
      </w:r>
      <w:r>
        <w:rPr>
          <w:spacing w:val="-3"/>
        </w:rPr>
        <w:t>日，财政部发布了《关于修订印发</w:t>
      </w:r>
      <w:r>
        <w:rPr>
          <w:rFonts w:ascii="宋体" w:hAnsi="宋体" w:cs="宋体" w:eastAsia="宋体" w:hint="default"/>
          <w:spacing w:val="-3"/>
        </w:rPr>
        <w:t>2018</w:t>
      </w:r>
      <w:r>
        <w:rPr>
          <w:spacing w:val="-3"/>
        </w:rPr>
        <w:t>年度一般企业财务报表格式的通知》（财会</w:t>
      </w:r>
      <w:r>
        <w:rPr>
          <w:rFonts w:ascii="宋体" w:hAnsi="宋体" w:cs="宋体" w:eastAsia="宋体" w:hint="default"/>
          <w:spacing w:val="-3"/>
        </w:rPr>
        <w:t>[2018]15</w:t>
      </w:r>
      <w:r>
        <w:rPr>
          <w:spacing w:val="-3"/>
        </w:rPr>
        <w:t>号）（以下简称“财</w:t>
      </w:r>
      <w:r>
        <w:rPr>
          <w:spacing w:val="-81"/>
        </w:rPr>
        <w:t> </w:t>
      </w:r>
      <w:r>
        <w:rPr>
          <w:spacing w:val="-81"/>
        </w:rPr>
      </w:r>
      <w:r>
        <w:rPr>
          <w:spacing w:val="-2"/>
        </w:rPr>
        <w:t>会</w:t>
      </w:r>
      <w:r>
        <w:rPr>
          <w:rFonts w:ascii="宋体" w:hAnsi="宋体" w:cs="宋体" w:eastAsia="宋体" w:hint="default"/>
          <w:spacing w:val="-2"/>
        </w:rPr>
        <w:t>[2018]15</w:t>
      </w:r>
      <w:r>
        <w:rPr>
          <w:spacing w:val="-2"/>
        </w:rPr>
        <w:t>号”），要求执行企业会计准则的非金融企业按照修订后的一般企业财务报表格式（适用于尚未执行新金融准则</w:t>
      </w:r>
      <w:r>
        <w:rPr>
          <w:spacing w:val="-61"/>
        </w:rPr>
        <w:t> </w:t>
      </w:r>
      <w:r>
        <w:rPr>
          <w:spacing w:val="-61"/>
        </w:rPr>
      </w:r>
      <w:r>
        <w:rPr/>
        <w:t>和新收入准则的企业）编制财务报表。</w:t>
      </w:r>
    </w:p>
    <w:p>
      <w:pPr>
        <w:pStyle w:val="BodyText"/>
        <w:spacing w:line="316" w:lineRule="auto" w:before="19"/>
        <w:ind w:right="6434"/>
        <w:jc w:val="left"/>
      </w:pPr>
      <w:r>
        <w:rPr/>
        <w:t>按照上述文件的要求，公司对会计政策予以相应变更。 二、本次会计政策变更对公司的影响</w:t>
      </w:r>
    </w:p>
    <w:p>
      <w:pPr>
        <w:pStyle w:val="BodyText"/>
        <w:spacing w:line="319" w:lineRule="auto" w:before="19"/>
        <w:ind w:right="1124"/>
        <w:jc w:val="left"/>
      </w:pPr>
      <w:r>
        <w:rPr/>
        <w:t>（一）财会</w:t>
      </w:r>
      <w:r>
        <w:rPr>
          <w:rFonts w:ascii="宋体" w:hAnsi="宋体" w:cs="宋体" w:eastAsia="宋体" w:hint="default"/>
        </w:rPr>
        <w:t>[2018]15</w:t>
      </w:r>
      <w:r>
        <w:rPr/>
        <w:t>号文的会计政策变更 </w:t>
      </w:r>
      <w:r>
        <w:rPr>
          <w:spacing w:val="-2"/>
        </w:rPr>
        <w:t>根据《关于修订印发</w:t>
      </w:r>
      <w:r>
        <w:rPr>
          <w:rFonts w:ascii="宋体" w:hAnsi="宋体" w:cs="宋体" w:eastAsia="宋体" w:hint="default"/>
          <w:spacing w:val="-2"/>
        </w:rPr>
        <w:t>2018</w:t>
      </w:r>
      <w:r>
        <w:rPr>
          <w:spacing w:val="-2"/>
        </w:rPr>
        <w:t>年度一般企业财务报表格式的通知》（财会</w:t>
      </w:r>
      <w:r>
        <w:rPr>
          <w:rFonts w:ascii="宋体" w:hAnsi="宋体" w:cs="宋体" w:eastAsia="宋体" w:hint="default"/>
          <w:spacing w:val="-2"/>
        </w:rPr>
        <w:t>[2018]15</w:t>
      </w:r>
      <w:r>
        <w:rPr>
          <w:spacing w:val="-2"/>
        </w:rPr>
        <w:t>号），公司</w:t>
      </w:r>
      <w:r>
        <w:rPr>
          <w:rFonts w:ascii="宋体" w:hAnsi="宋体" w:cs="宋体" w:eastAsia="宋体" w:hint="default"/>
          <w:spacing w:val="-2"/>
        </w:rPr>
        <w:t>2018</w:t>
      </w:r>
      <w:r>
        <w:rPr>
          <w:spacing w:val="-2"/>
        </w:rPr>
        <w:t>年度及以后期间按照修订后的</w:t>
      </w:r>
      <w:r>
        <w:rPr>
          <w:spacing w:val="-56"/>
        </w:rPr>
        <w:t> </w:t>
      </w:r>
      <w:r>
        <w:rPr>
          <w:spacing w:val="-56"/>
        </w:rPr>
      </w:r>
      <w:r>
        <w:rPr/>
        <w:t>一般企业财务报表格式编制财务报表，对相关项目列报进行调整。 </w:t>
      </w:r>
      <w:r>
        <w:rPr>
          <w:rFonts w:ascii="宋体" w:hAnsi="宋体" w:cs="宋体" w:eastAsia="宋体" w:hint="default"/>
        </w:rPr>
        <w:t>1</w:t>
      </w:r>
      <w:r>
        <w:rPr/>
        <w:t>、在资产负债表中新增“应收票据及应收账款”行项目，将资产负债表中原“应收票据”和“应收账款”项目合并计入该 新增的项目；</w:t>
      </w:r>
    </w:p>
    <w:p>
      <w:pPr>
        <w:pStyle w:val="BodyText"/>
        <w:spacing w:line="240" w:lineRule="auto" w:before="17"/>
        <w:ind w:right="1133"/>
        <w:jc w:val="left"/>
      </w:pPr>
      <w:r>
        <w:rPr>
          <w:rFonts w:ascii="宋体" w:hAnsi="宋体" w:cs="宋体" w:eastAsia="宋体" w:hint="default"/>
        </w:rPr>
        <w:t>2</w:t>
      </w:r>
      <w:r>
        <w:rPr/>
        <w:t>、将资产负债表中原“应收利息”、“应收股利”和“其他应收款”项目合并计入“其他应收款”项目；</w:t>
      </w:r>
    </w:p>
    <w:p>
      <w:pPr>
        <w:pStyle w:val="BodyText"/>
        <w:spacing w:line="240" w:lineRule="auto" w:before="76"/>
        <w:ind w:right="1133"/>
        <w:jc w:val="left"/>
      </w:pPr>
      <w:r>
        <w:rPr>
          <w:rFonts w:ascii="宋体" w:hAnsi="宋体" w:cs="宋体" w:eastAsia="宋体" w:hint="default"/>
        </w:rPr>
        <w:t>3</w:t>
      </w:r>
      <w:r>
        <w:rPr/>
        <w:t>、将资产负债表中原“固定资产清理”和“固定资产”项目合并计入“固定资产”项目；</w:t>
      </w:r>
    </w:p>
    <w:p>
      <w:pPr>
        <w:pStyle w:val="BodyText"/>
        <w:spacing w:line="240" w:lineRule="auto" w:before="76"/>
        <w:ind w:right="1133"/>
        <w:jc w:val="left"/>
      </w:pPr>
      <w:r>
        <w:rPr>
          <w:rFonts w:ascii="宋体" w:hAnsi="宋体" w:cs="宋体" w:eastAsia="宋体" w:hint="default"/>
        </w:rPr>
        <w:t>4</w:t>
      </w:r>
      <w:r>
        <w:rPr/>
        <w:t>、将资产负债表中原“工程物资”和“在建工程”项目合并计入“在建工程”项目；</w:t>
      </w:r>
    </w:p>
    <w:p>
      <w:pPr>
        <w:pStyle w:val="BodyText"/>
        <w:spacing w:line="316" w:lineRule="auto" w:before="76"/>
        <w:ind w:right="1124"/>
        <w:jc w:val="left"/>
      </w:pPr>
      <w:r>
        <w:rPr>
          <w:rFonts w:ascii="宋体" w:hAnsi="宋体" w:cs="宋体" w:eastAsia="宋体" w:hint="default"/>
        </w:rPr>
        <w:t>5</w:t>
      </w:r>
      <w:r>
        <w:rPr/>
        <w:t>、在资产负债表中新增“应付票据及应付账款”行项目，将资产负债表中原“应付票据”和“应付账款”项目合并计入该 新增的项目；</w:t>
      </w:r>
    </w:p>
    <w:p>
      <w:pPr>
        <w:pStyle w:val="BodyText"/>
        <w:spacing w:line="240" w:lineRule="auto" w:before="18"/>
        <w:ind w:right="1133"/>
        <w:jc w:val="left"/>
      </w:pPr>
      <w:r>
        <w:rPr>
          <w:rFonts w:ascii="宋体" w:hAnsi="宋体" w:cs="宋体" w:eastAsia="宋体" w:hint="default"/>
        </w:rPr>
        <w:t>6</w:t>
      </w:r>
      <w:r>
        <w:rPr/>
        <w:t>、将资产负债表中原“应付利息”、“应付股利”和“其他应付款”项目合并计入“其他应付款”项目；</w:t>
      </w:r>
    </w:p>
    <w:p>
      <w:pPr>
        <w:spacing w:after="0" w:line="240" w:lineRule="auto"/>
        <w:jc w:val="left"/>
        <w:sectPr>
          <w:headerReference w:type="default" r:id="rId18"/>
          <w:footerReference w:type="default" r:id="rId19"/>
          <w:pgSz w:w="11910" w:h="16840"/>
          <w:pgMar w:header="852" w:footer="980" w:top="1300" w:bottom="1160" w:left="980" w:right="0"/>
          <w:pgNumType w:start="48"/>
        </w:sectPr>
      </w:pPr>
    </w:p>
    <w:p>
      <w:pPr>
        <w:pStyle w:val="BodyText"/>
        <w:spacing w:line="240" w:lineRule="auto" w:before="142"/>
        <w:ind w:right="1133"/>
        <w:jc w:val="left"/>
      </w:pPr>
      <w:r>
        <w:rPr>
          <w:rFonts w:ascii="宋体" w:hAnsi="宋体" w:cs="宋体" w:eastAsia="宋体" w:hint="default"/>
        </w:rPr>
        <w:t>7</w:t>
      </w:r>
      <w:r>
        <w:rPr/>
        <w:t>、将资产负债表中原“专项应付款”和“长期应付款”项目合并计入“长期应付款”项目；</w:t>
      </w:r>
    </w:p>
    <w:p>
      <w:pPr>
        <w:pStyle w:val="BodyText"/>
        <w:spacing w:line="240" w:lineRule="auto" w:before="77"/>
        <w:ind w:right="1133"/>
        <w:jc w:val="left"/>
      </w:pPr>
      <w:r>
        <w:rPr>
          <w:rFonts w:ascii="宋体" w:hAnsi="宋体" w:cs="宋体" w:eastAsia="宋体" w:hint="default"/>
        </w:rPr>
        <w:t>8</w:t>
      </w:r>
      <w:r>
        <w:rPr/>
        <w:t>、在利润表中新增“研发费用”行项目，用于反映企业进行研究与开发过程中发生的费用化支出；</w:t>
      </w:r>
    </w:p>
    <w:p>
      <w:pPr>
        <w:pStyle w:val="BodyText"/>
        <w:spacing w:line="316" w:lineRule="auto" w:before="76"/>
        <w:ind w:right="1123"/>
        <w:jc w:val="left"/>
      </w:pPr>
      <w:r>
        <w:rPr>
          <w:rFonts w:ascii="宋体" w:hAnsi="宋体" w:cs="宋体" w:eastAsia="宋体" w:hint="default"/>
        </w:rPr>
        <w:t>9</w:t>
      </w:r>
      <w:r>
        <w:rPr/>
        <w:t>、在利润表中“财务费用”项目下新增“利息费用”和“利息收入”明细项目，分别反映企业为筹集生产经营所需资金等 而发生的应予费用化的利息支出和企业确认的利息收入； </w:t>
      </w:r>
      <w:r>
        <w:rPr>
          <w:rFonts w:ascii="宋体" w:hAnsi="宋体" w:cs="宋体" w:eastAsia="宋体" w:hint="default"/>
          <w:spacing w:val="-2"/>
        </w:rPr>
        <w:t>10</w:t>
      </w:r>
      <w:r>
        <w:rPr>
          <w:spacing w:val="-2"/>
        </w:rPr>
        <w:t>、将利润表中“权益法下在被投资单位不能重分类进损益的其他综合收益中享有的份额”简化为“权益法下不能转损益的</w:t>
      </w:r>
      <w:r>
        <w:rPr>
          <w:spacing w:val="-65"/>
        </w:rPr>
        <w:t> </w:t>
      </w:r>
      <w:r>
        <w:rPr>
          <w:spacing w:val="-65"/>
        </w:rPr>
      </w:r>
      <w:r>
        <w:rPr/>
        <w:t>其他综合收益”； </w:t>
      </w:r>
      <w:r>
        <w:rPr>
          <w:rFonts w:ascii="宋体" w:hAnsi="宋体" w:cs="宋体" w:eastAsia="宋体" w:hint="default"/>
          <w:spacing w:val="-5"/>
        </w:rPr>
        <w:t>11</w:t>
      </w:r>
      <w:r>
        <w:rPr>
          <w:spacing w:val="-5"/>
        </w:rPr>
        <w:t>、合并现金流量表及现金流量表中“关于对无论与资产相关还是与收益相关的政府补助收到的现金均在现金流量表中的‘收</w:t>
      </w:r>
      <w:r>
        <w:rPr>
          <w:spacing w:val="-72"/>
        </w:rPr>
        <w:t> </w:t>
      </w:r>
      <w:r>
        <w:rPr>
          <w:spacing w:val="-72"/>
        </w:rPr>
      </w:r>
      <w:r>
        <w:rPr/>
        <w:t>到的其他与经营活动有关的现金’列报”，并对上期金额同口径追溯调整； </w:t>
      </w:r>
      <w:r>
        <w:rPr>
          <w:rFonts w:ascii="宋体" w:hAnsi="宋体" w:cs="宋体" w:eastAsia="宋体" w:hint="default"/>
        </w:rPr>
        <w:t>12</w:t>
      </w:r>
      <w:r>
        <w:rPr/>
        <w:t>、合并所有者权益变动表及所有者权益变动表新增“设定受益计划变动额结转留存收益”项目。 以上报表项目列报的调整仅对财务报表项目列示产生影响，对</w:t>
      </w:r>
      <w:r>
        <w:rPr>
          <w:rFonts w:ascii="宋体" w:hAnsi="宋体" w:cs="宋体" w:eastAsia="宋体" w:hint="default"/>
        </w:rPr>
        <w:t>2018</w:t>
      </w:r>
      <w:r>
        <w:rPr>
          <w:rFonts w:ascii="宋体" w:hAnsi="宋体" w:cs="宋体" w:eastAsia="宋体" w:hint="default"/>
          <w:spacing w:val="1"/>
        </w:rPr>
        <w:t> </w:t>
      </w:r>
      <w:r>
        <w:rPr/>
        <w:t>年度及前期列报的损益、总资产、净资产不产生影响。</w:t>
      </w:r>
    </w:p>
    <w:p>
      <w:pPr>
        <w:pStyle w:val="BodyText"/>
        <w:spacing w:line="319" w:lineRule="auto" w:before="19"/>
        <w:ind w:right="986"/>
        <w:jc w:val="left"/>
      </w:pPr>
      <w:r>
        <w:rPr/>
        <w:t>（二）新金融工具准则的会计政策变更 </w:t>
      </w:r>
      <w:r>
        <w:rPr>
          <w:rFonts w:ascii="宋体" w:hAnsi="宋体" w:cs="宋体" w:eastAsia="宋体" w:hint="default"/>
        </w:rPr>
        <w:t>1</w:t>
      </w:r>
      <w:r>
        <w:rPr/>
        <w:t>、减少金融资产类别，由现行“四分类”改为“三分类”。即以企业持有金融资产的业务模式和金融资产的合同现金流量 </w:t>
      </w:r>
      <w:r>
        <w:rPr>
          <w:spacing w:val="-2"/>
        </w:rPr>
        <w:t>特征作为金融资产分类的判断依据，将金融资产划分为“以摊余成本计量的金融资产”、“以公允价值计量且其变动计入其</w:t>
      </w:r>
      <w:r>
        <w:rPr>
          <w:spacing w:val="-67"/>
        </w:rPr>
        <w:t> </w:t>
      </w:r>
      <w:r>
        <w:rPr>
          <w:spacing w:val="-67"/>
        </w:rPr>
      </w:r>
      <w:r>
        <w:rPr/>
        <w:t>他综合收益的金融资产”、“以公允价值计量且其变动计入当期损益的金融资产”； </w:t>
      </w:r>
      <w:r>
        <w:rPr>
          <w:rFonts w:ascii="宋体" w:hAnsi="宋体" w:cs="宋体" w:eastAsia="宋体" w:hint="default"/>
          <w:spacing w:val="-2"/>
        </w:rPr>
        <w:t>2</w:t>
      </w:r>
      <w:r>
        <w:rPr>
          <w:spacing w:val="-2"/>
        </w:rPr>
        <w:t>、将金融资产减值计提，由“已发生信用损失法”，改为“预期信用损失法”，要求考虑金融资产未来预期信用损失情况，</w:t>
      </w:r>
      <w:r>
        <w:rPr>
          <w:spacing w:val="-65"/>
        </w:rPr>
        <w:t> </w:t>
      </w:r>
      <w:r>
        <w:rPr>
          <w:spacing w:val="-65"/>
        </w:rPr>
      </w:r>
      <w:r>
        <w:rPr/>
        <w:t>从而更及时、足额地计提金融资产减值准备，解释和防控金融资产信用风险； </w:t>
      </w:r>
      <w:r>
        <w:rPr>
          <w:rFonts w:ascii="宋体" w:hAnsi="宋体" w:cs="宋体" w:eastAsia="宋体" w:hint="default"/>
        </w:rPr>
        <w:t>3</w:t>
      </w:r>
      <w:r>
        <w:rPr/>
        <w:t>、简化了套期会计的规则，拓宽套期工具和被套期项目的范围，以定性的套期有效性要求取代了现行准则的定量要求；</w:t>
      </w:r>
    </w:p>
    <w:p>
      <w:pPr>
        <w:pStyle w:val="BodyText"/>
        <w:spacing w:line="240" w:lineRule="auto" w:before="17"/>
        <w:ind w:right="1133"/>
        <w:jc w:val="left"/>
      </w:pPr>
      <w:r>
        <w:rPr>
          <w:rFonts w:ascii="宋体" w:hAnsi="宋体" w:cs="宋体" w:eastAsia="宋体" w:hint="default"/>
        </w:rPr>
        <w:t>4</w:t>
      </w:r>
      <w:r>
        <w:rPr/>
        <w:t>、进一步明确金融资产转移的判断原则及其会计处理；</w:t>
      </w:r>
    </w:p>
    <w:p>
      <w:pPr>
        <w:pStyle w:val="BodyText"/>
        <w:spacing w:line="316" w:lineRule="auto" w:before="76"/>
        <w:ind w:right="986"/>
        <w:jc w:val="left"/>
      </w:pPr>
      <w:r>
        <w:rPr>
          <w:rFonts w:ascii="宋体" w:hAnsi="宋体" w:cs="宋体" w:eastAsia="宋体" w:hint="default"/>
        </w:rPr>
        <w:t>5</w:t>
      </w:r>
      <w:r>
        <w:rPr/>
        <w:t>、简化嵌入衍生工具的会计处理，调整非交易性权益工具投资的会计处理等。 </w:t>
      </w:r>
      <w:r>
        <w:rPr>
          <w:spacing w:val="-2"/>
        </w:rPr>
        <w:t>根据新金融工具准则的衔接规定，公司无需重述前期可比数，比较财务报表列报的信息与新准则要求不一致的无须调整。首</w:t>
      </w:r>
      <w:r>
        <w:rPr>
          <w:spacing w:val="-63"/>
        </w:rPr>
        <w:t> </w:t>
      </w:r>
      <w:r>
        <w:rPr>
          <w:spacing w:val="-63"/>
        </w:rPr>
      </w:r>
      <w:r>
        <w:rPr>
          <w:spacing w:val="-2"/>
        </w:rPr>
        <w:t>日执行新准则和旧准则的差异、调整计入</w:t>
      </w:r>
      <w:r>
        <w:rPr>
          <w:rFonts w:ascii="宋体" w:hAnsi="宋体" w:cs="宋体" w:eastAsia="宋体" w:hint="default"/>
          <w:spacing w:val="-2"/>
        </w:rPr>
        <w:t>2019</w:t>
      </w:r>
      <w:r>
        <w:rPr>
          <w:spacing w:val="-2"/>
        </w:rPr>
        <w:t>年期初留存收益或其他综合收益，因此，上述会计政策变更不会对</w:t>
      </w:r>
      <w:r>
        <w:rPr>
          <w:rFonts w:ascii="宋体" w:hAnsi="宋体" w:cs="宋体" w:eastAsia="宋体" w:hint="default"/>
          <w:spacing w:val="-2"/>
        </w:rPr>
        <w:t>2018</w:t>
      </w:r>
      <w:r>
        <w:rPr>
          <w:spacing w:val="-2"/>
        </w:rPr>
        <w:t>年度财</w:t>
      </w:r>
      <w:r>
        <w:rPr>
          <w:spacing w:val="-60"/>
        </w:rPr>
        <w:t> </w:t>
      </w:r>
      <w:r>
        <w:rPr>
          <w:spacing w:val="-60"/>
        </w:rPr>
      </w:r>
      <w:r>
        <w:rPr/>
        <w:t>务报告产生重大影响。</w:t>
      </w:r>
    </w:p>
    <w:p>
      <w:pPr>
        <w:spacing w:line="240" w:lineRule="auto" w:before="4"/>
        <w:rPr>
          <w:rFonts w:ascii="宋体" w:hAnsi="宋体" w:cs="宋体" w:eastAsia="宋体" w:hint="default"/>
          <w:sz w:val="25"/>
          <w:szCs w:val="25"/>
        </w:rPr>
      </w:pPr>
    </w:p>
    <w:p>
      <w:pPr>
        <w:pStyle w:val="BodyText"/>
        <w:spacing w:line="319" w:lineRule="auto"/>
        <w:ind w:right="986"/>
        <w:jc w:val="left"/>
      </w:pPr>
      <w:r>
        <w:rPr/>
        <w:t>第二次会计政策变更：公司于</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28</w:t>
      </w:r>
      <w:r>
        <w:rPr/>
        <w:t>日召开了第二届董事会第十次会议，审议通过《关于会计政策变更的议案》。 一、变更原因 </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30</w:t>
      </w:r>
      <w:r>
        <w:rPr>
          <w:spacing w:val="-3"/>
        </w:rPr>
        <w:t>日，财政部发布了《关于修订印发</w:t>
      </w:r>
      <w:r>
        <w:rPr>
          <w:rFonts w:ascii="宋体" w:hAnsi="宋体" w:cs="宋体" w:eastAsia="宋体" w:hint="default"/>
          <w:spacing w:val="-3"/>
        </w:rPr>
        <w:t>2019</w:t>
      </w:r>
      <w:r>
        <w:rPr>
          <w:spacing w:val="-3"/>
        </w:rPr>
        <w:t>年度一般企业财务报表格式的通知》（以下简称“财会</w:t>
      </w:r>
      <w:r>
        <w:rPr>
          <w:rFonts w:ascii="宋体" w:hAnsi="宋体" w:cs="宋体" w:eastAsia="宋体" w:hint="default"/>
          <w:spacing w:val="-3"/>
        </w:rPr>
        <w:t>[2019]6</w:t>
      </w:r>
      <w:r>
        <w:rPr>
          <w:spacing w:val="-3"/>
        </w:rPr>
        <w:t>号文”），</w:t>
      </w:r>
      <w:r>
        <w:rPr>
          <w:spacing w:val="-79"/>
        </w:rPr>
        <w:t> </w:t>
      </w:r>
      <w:r>
        <w:rPr>
          <w:spacing w:val="-79"/>
        </w:rPr>
      </w:r>
      <w:r>
        <w:rPr/>
        <w:t>要求执行企业会计准则的非金融企业应当按此格式编报</w:t>
      </w:r>
      <w:r>
        <w:rPr>
          <w:rFonts w:ascii="宋体" w:hAnsi="宋体" w:cs="宋体" w:eastAsia="宋体" w:hint="default"/>
        </w:rPr>
        <w:t>2019</w:t>
      </w:r>
      <w:r>
        <w:rPr/>
        <w:t>年度中期财务报表和年度财务报表及以后期间的财务报表。 根据上述文件的要求，公司按照规定对原会计政策进行了相应变更。</w:t>
      </w:r>
    </w:p>
    <w:p>
      <w:pPr>
        <w:pStyle w:val="BodyText"/>
        <w:spacing w:line="316" w:lineRule="auto" w:before="17"/>
        <w:ind w:right="1124"/>
        <w:jc w:val="left"/>
      </w:pPr>
      <w:r>
        <w:rPr/>
        <w:t>二、本次会计政策变更对公司的影响 公司根据财会</w:t>
      </w:r>
      <w:r>
        <w:rPr>
          <w:rFonts w:ascii="宋体" w:hAnsi="宋体" w:cs="宋体" w:eastAsia="宋体" w:hint="default"/>
        </w:rPr>
        <w:t>[2019]6</w:t>
      </w:r>
      <w:r>
        <w:rPr/>
        <w:t>号文规定的财务报表格式编制</w:t>
      </w:r>
      <w:r>
        <w:rPr>
          <w:rFonts w:ascii="宋体" w:hAnsi="宋体" w:cs="宋体" w:eastAsia="宋体" w:hint="default"/>
        </w:rPr>
        <w:t>2019</w:t>
      </w:r>
      <w:r>
        <w:rPr/>
        <w:t>年度财务报表，并采用追溯调整法变更了相关财务报表列报，具体 情况如下： </w:t>
      </w:r>
      <w:r>
        <w:rPr>
          <w:rFonts w:ascii="宋体" w:hAnsi="宋体" w:cs="宋体" w:eastAsia="宋体" w:hint="default"/>
        </w:rPr>
        <w:t>1</w:t>
      </w:r>
      <w:r>
        <w:rPr/>
        <w:t>、将资产负债表中“应收票据及应收账款”拆分为“应收票据”和“应收账款”两个项目，“应付票据及应付账款”拆分 为“应付票据”和“应付账款”两个项目。</w:t>
      </w:r>
    </w:p>
    <w:p>
      <w:pPr>
        <w:pStyle w:val="BodyText"/>
        <w:spacing w:line="319" w:lineRule="auto" w:before="19"/>
        <w:ind w:right="986"/>
        <w:jc w:val="left"/>
      </w:pPr>
      <w:r>
        <w:rPr>
          <w:rFonts w:ascii="宋体" w:hAnsi="宋体" w:cs="宋体" w:eastAsia="宋体" w:hint="default"/>
        </w:rPr>
        <w:t>2</w:t>
      </w:r>
      <w:r>
        <w:rPr/>
        <w:t>、将利润表中“减：资产减值损失”调整为“加：资产减值损失（损失以“</w:t>
      </w:r>
      <w:r>
        <w:rPr>
          <w:rFonts w:ascii="宋体" w:hAnsi="宋体" w:cs="宋体" w:eastAsia="宋体" w:hint="default"/>
        </w:rPr>
        <w:t>-</w:t>
      </w:r>
      <w:r>
        <w:rPr/>
        <w:t>”号填列）”。</w:t>
      </w:r>
      <w:r>
        <w:rPr>
          <w:spacing w:val="-87"/>
        </w:rPr>
        <w:t> </w:t>
      </w:r>
      <w:r>
        <w:rPr>
          <w:spacing w:val="-2"/>
        </w:rPr>
        <w:t>本次会计政策变更是根据法律、行政法规或国家统一的会计制度要求进行的变更，本次会计政策变更只涉及财务报表项目的</w:t>
      </w:r>
      <w:r>
        <w:rPr>
          <w:spacing w:val="-64"/>
        </w:rPr>
        <w:t> </w:t>
      </w:r>
      <w:r>
        <w:rPr>
          <w:spacing w:val="-64"/>
        </w:rPr>
      </w:r>
      <w:r>
        <w:rPr/>
        <w:t>列报和调整，对公司资产总额、净资产、营业收入、净利润无重大影响，也不存在损害公司及股东利益的情形。</w:t>
      </w:r>
    </w:p>
    <w:p>
      <w:pPr>
        <w:spacing w:line="240" w:lineRule="auto" w:before="2"/>
        <w:rPr>
          <w:rFonts w:ascii="宋体" w:hAnsi="宋体" w:cs="宋体" w:eastAsia="宋体" w:hint="default"/>
          <w:sz w:val="25"/>
          <w:szCs w:val="25"/>
        </w:rPr>
      </w:pPr>
    </w:p>
    <w:p>
      <w:pPr>
        <w:pStyle w:val="BodyText"/>
        <w:spacing w:line="316" w:lineRule="auto"/>
        <w:ind w:right="1034"/>
        <w:jc w:val="left"/>
      </w:pPr>
      <w:r>
        <w:rPr/>
        <w:t>第三次会计政策变更：公司于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24</w:t>
      </w:r>
      <w:r>
        <w:rPr/>
        <w:t>日召开了第二届董事会第十一次会议，审议通过《关于会计政策变更的议案》。 一、变更原因 财政部于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日发布了《关于修订印发合并财务报表格式（</w:t>
      </w:r>
      <w:r>
        <w:rPr>
          <w:rFonts w:ascii="宋体" w:hAnsi="宋体" w:cs="宋体" w:eastAsia="宋体" w:hint="default"/>
        </w:rPr>
        <w:t>2019</w:t>
      </w:r>
      <w:r>
        <w:rPr/>
        <w:t>版）的通知》（财会</w:t>
      </w:r>
      <w:r>
        <w:rPr>
          <w:rFonts w:ascii="宋体" w:hAnsi="宋体" w:cs="宋体" w:eastAsia="宋体" w:hint="default"/>
        </w:rPr>
        <w:t>[2019]16</w:t>
      </w:r>
      <w:r>
        <w:rPr/>
        <w:t>号），对合并财务报 </w:t>
      </w:r>
      <w:r>
        <w:rPr>
          <w:spacing w:val="-2"/>
        </w:rPr>
        <w:t>表格式进行了修订，要求已执行新金融准则但未执行新收入准则和新租赁准则的企业应当结合财会</w:t>
      </w:r>
      <w:r>
        <w:rPr>
          <w:rFonts w:ascii="宋体" w:hAnsi="宋体" w:cs="宋体" w:eastAsia="宋体" w:hint="default"/>
          <w:spacing w:val="-2"/>
        </w:rPr>
        <w:t>[2019]16</w:t>
      </w:r>
      <w:r>
        <w:rPr>
          <w:spacing w:val="-2"/>
        </w:rPr>
        <w:t>号通知附件要求</w:t>
      </w:r>
      <w:r>
        <w:rPr>
          <w:spacing w:val="-58"/>
        </w:rPr>
        <w:t> </w:t>
      </w:r>
      <w:r>
        <w:rPr>
          <w:spacing w:val="-58"/>
        </w:rPr>
      </w:r>
      <w:r>
        <w:rPr/>
        <w:t>对合并财务报表项目进行相应调整，并将适用于企业</w:t>
      </w:r>
      <w:r>
        <w:rPr>
          <w:rFonts w:ascii="宋体" w:hAnsi="宋体" w:cs="宋体" w:eastAsia="宋体" w:hint="default"/>
        </w:rPr>
        <w:t>2019</w:t>
      </w:r>
      <w:r>
        <w:rPr/>
        <w:t>年度合并财务报表及以后期间的合并财务报表。 公司按照上述文件的要求，对原会计政策进行了相应变更。</w:t>
      </w:r>
    </w:p>
    <w:p>
      <w:pPr>
        <w:pStyle w:val="BodyText"/>
        <w:spacing w:line="240" w:lineRule="auto" w:before="18"/>
        <w:ind w:right="1133"/>
        <w:jc w:val="left"/>
      </w:pPr>
      <w:r>
        <w:rPr/>
        <w:t>二、本次会计政策变更对公司的影响</w:t>
      </w:r>
    </w:p>
    <w:p>
      <w:pPr>
        <w:spacing w:after="0" w:line="240" w:lineRule="auto"/>
        <w:jc w:val="left"/>
        <w:sectPr>
          <w:pgSz w:w="11910" w:h="16840"/>
          <w:pgMar w:header="852" w:footer="980" w:top="1300" w:bottom="1160" w:left="980" w:right="0"/>
        </w:sectPr>
      </w:pPr>
    </w:p>
    <w:p>
      <w:pPr>
        <w:pStyle w:val="BodyText"/>
        <w:spacing w:line="319" w:lineRule="auto" w:before="142"/>
        <w:ind w:right="1124"/>
        <w:jc w:val="left"/>
      </w:pPr>
      <w:r>
        <w:rPr/>
        <w:t>公司根据财会</w:t>
      </w:r>
      <w:r>
        <w:rPr>
          <w:rFonts w:ascii="宋体" w:hAnsi="宋体" w:cs="宋体" w:eastAsia="宋体" w:hint="default"/>
        </w:rPr>
        <w:t>[2019]6</w:t>
      </w:r>
      <w:r>
        <w:rPr/>
        <w:t>号文规定的财务报表格式编制</w:t>
      </w:r>
      <w:r>
        <w:rPr>
          <w:rFonts w:ascii="宋体" w:hAnsi="宋体" w:cs="宋体" w:eastAsia="宋体" w:hint="default"/>
        </w:rPr>
        <w:t>2019</w:t>
      </w:r>
      <w:r>
        <w:rPr/>
        <w:t>年度财务报表，并采用追溯调整法变更了相关财务报表列报，具体 情况如下： </w:t>
      </w:r>
      <w:r>
        <w:rPr>
          <w:rFonts w:ascii="宋体" w:hAnsi="宋体" w:cs="宋体" w:eastAsia="宋体" w:hint="default"/>
        </w:rPr>
        <w:t>1</w:t>
      </w:r>
      <w:r>
        <w:rPr/>
        <w:t>、将资产负债表中“应收票据及应收账款”拆分为“应收票据”和“应收账款”两个项目，“应付票据及应付账款”拆分 为“应付票据”和“应付账款”两个项目。</w:t>
      </w:r>
    </w:p>
    <w:p>
      <w:pPr>
        <w:pStyle w:val="BodyText"/>
        <w:spacing w:line="316" w:lineRule="auto" w:before="17"/>
        <w:ind w:right="986"/>
        <w:jc w:val="left"/>
      </w:pPr>
      <w:r>
        <w:rPr>
          <w:rFonts w:ascii="宋体" w:hAnsi="宋体" w:cs="宋体" w:eastAsia="宋体" w:hint="default"/>
        </w:rPr>
        <w:t>2</w:t>
      </w:r>
      <w:r>
        <w:rPr/>
        <w:t>、将利润表中“减：资产减值损失”调整为“加：资产减值损失（损失以“</w:t>
      </w:r>
      <w:r>
        <w:rPr>
          <w:rFonts w:ascii="宋体" w:hAnsi="宋体" w:cs="宋体" w:eastAsia="宋体" w:hint="default"/>
        </w:rPr>
        <w:t>-</w:t>
      </w:r>
      <w:r>
        <w:rPr/>
        <w:t>”号填列）”。</w:t>
      </w:r>
      <w:r>
        <w:rPr>
          <w:spacing w:val="-87"/>
        </w:rPr>
        <w:t> </w:t>
      </w:r>
      <w:r>
        <w:rPr>
          <w:spacing w:val="-2"/>
        </w:rPr>
        <w:t>本次会计政策变更是根据法律、行政法规或国家统一的会计制度要求进行的变更，本次会计政策变更只涉及财务报表项目的</w:t>
      </w:r>
      <w:r>
        <w:rPr>
          <w:spacing w:val="-64"/>
        </w:rPr>
        <w:t> </w:t>
      </w:r>
      <w:r>
        <w:rPr>
          <w:spacing w:val="-64"/>
        </w:rPr>
      </w:r>
      <w:r>
        <w:rPr/>
        <w:t>列报和调整，对公司资产总额、净资产、营业收入、净利润无重大影响，也不存在损害公司及股东利益的情形。</w:t>
      </w:r>
    </w:p>
    <w:p>
      <w:pPr>
        <w:spacing w:line="240" w:lineRule="auto" w:before="4"/>
        <w:rPr>
          <w:rFonts w:ascii="宋体" w:hAnsi="宋体" w:cs="宋体" w:eastAsia="宋体" w:hint="default"/>
          <w:sz w:val="25"/>
          <w:szCs w:val="25"/>
        </w:rPr>
      </w:pPr>
    </w:p>
    <w:p>
      <w:pPr>
        <w:pStyle w:val="BodyText"/>
        <w:spacing w:line="316" w:lineRule="auto"/>
        <w:ind w:right="1133"/>
        <w:jc w:val="left"/>
      </w:pPr>
      <w:r>
        <w:rPr>
          <w:spacing w:val="-2"/>
        </w:rPr>
        <w:t>关于报告期会议政策、会计估计变更或重大会计差错更正的具体情况详见“第十二节、五、</w:t>
      </w:r>
      <w:r>
        <w:rPr>
          <w:rFonts w:ascii="宋体" w:hAnsi="宋体" w:cs="宋体" w:eastAsia="宋体" w:hint="default"/>
          <w:spacing w:val="-2"/>
        </w:rPr>
        <w:t>29</w:t>
      </w:r>
      <w:r>
        <w:rPr>
          <w:spacing w:val="-2"/>
        </w:rPr>
        <w:t>、重要会计政策和会计估计变</w:t>
      </w:r>
      <w:r>
        <w:rPr>
          <w:spacing w:val="-65"/>
        </w:rPr>
        <w:t> </w:t>
      </w:r>
      <w:r>
        <w:rPr>
          <w:spacing w:val="-65"/>
        </w:rPr>
      </w:r>
      <w:r>
        <w:rPr/>
        <w:t>更”。</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701"/>
        <w:gridCol w:w="3800"/>
        <w:gridCol w:w="1080"/>
        <w:gridCol w:w="3920"/>
      </w:tblGrid>
      <w:tr>
        <w:trPr>
          <w:trHeight w:val="348"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变动情况</w:t>
            </w:r>
            <w:r>
              <w:rPr>
                <w:rFonts w:ascii="宋体" w:hAnsi="宋体" w:cs="宋体" w:eastAsia="宋体" w:hint="default"/>
                <w:sz w:val="18"/>
                <w:szCs w:val="18"/>
              </w:rPr>
            </w:r>
          </w:p>
        </w:tc>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变更原因</w:t>
            </w:r>
            <w:r>
              <w:rPr>
                <w:rFonts w:ascii="宋体" w:hAnsi="宋体" w:cs="宋体" w:eastAsia="宋体" w:hint="default"/>
                <w:sz w:val="18"/>
                <w:szCs w:val="18"/>
              </w:rPr>
            </w:r>
          </w:p>
        </w:tc>
      </w:tr>
      <w:tr>
        <w:trPr>
          <w:trHeight w:val="346"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西安宇信融汇网络科技有限公司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r>
      <w:tr>
        <w:trPr>
          <w:trHeight w:val="348"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宇信鸿泰科技（香港）有限公司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r>
      <w:tr>
        <w:trPr>
          <w:trHeight w:val="348"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YUSYS TECHNOLOGIES PTE.</w:t>
            </w:r>
            <w:r>
              <w:rPr>
                <w:rFonts w:ascii="Times New Roman"/>
                <w:spacing w:val="-10"/>
                <w:sz w:val="18"/>
              </w:rPr>
              <w:t> </w:t>
            </w:r>
            <w:r>
              <w:rPr>
                <w:rFonts w:ascii="Times New Roman"/>
                <w:sz w:val="18"/>
              </w:rPr>
              <w:t>LTD.</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r>
      <w:tr>
        <w:trPr>
          <w:trHeight w:val="346"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北京宇信征信有限公司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减少</w:t>
            </w:r>
          </w:p>
        </w:tc>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注销子公司</w:t>
            </w:r>
          </w:p>
        </w:tc>
      </w:tr>
    </w:tbl>
    <w:p>
      <w:pPr>
        <w:pStyle w:val="BodyText"/>
        <w:spacing w:line="300" w:lineRule="auto" w:before="8"/>
        <w:ind w:right="1124" w:firstLine="360"/>
        <w:jc w:val="left"/>
      </w:pPr>
      <w:r>
        <w:rPr/>
        <w:t>本期子公司北京宇信鸿泰信息技术有限公司对北京宇信征信有限公司进行清算，北京宇信征信有限公司于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日办理工商注销登记。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1133"/>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100.7</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张金华、郭晓清</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3"/>
        <w:jc w:val="left"/>
      </w:pPr>
      <w:r>
        <w:rPr/>
        <w:t>是否改聘会计师事务所</w:t>
      </w:r>
    </w:p>
    <w:p>
      <w:pPr>
        <w:pStyle w:val="BodyText"/>
        <w:spacing w:line="338" w:lineRule="auto" w:before="118"/>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00" w:bottom="1160" w:left="980" w:right="0"/>
        </w:sectPr>
      </w:pPr>
    </w:p>
    <w:p>
      <w:pPr>
        <w:pStyle w:val="Heading2"/>
        <w:spacing w:line="240" w:lineRule="auto" w:before="96"/>
        <w:ind w:right="1133"/>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28"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报告期内，公司及其控股股东、实际控制人不存在未履行法院生效判决的情况，也不存在负数额较大的债务到期未清偿的情</w:t>
      </w:r>
      <w:r>
        <w:rPr>
          <w:spacing w:val="-62"/>
        </w:rPr>
        <w:t> </w:t>
      </w:r>
      <w:r>
        <w:rPr>
          <w:spacing w:val="-62"/>
        </w:rPr>
      </w:r>
      <w:r>
        <w:rPr/>
        <w:t>况。</w:t>
      </w:r>
    </w:p>
    <w:p>
      <w:pPr>
        <w:spacing w:line="240" w:lineRule="auto" w:before="2"/>
        <w:rPr>
          <w:rFonts w:ascii="宋体" w:hAnsi="宋体" w:cs="宋体" w:eastAsia="宋体" w:hint="default"/>
          <w:sz w:val="20"/>
          <w:szCs w:val="20"/>
        </w:rPr>
      </w:pPr>
    </w:p>
    <w:p>
      <w:pPr>
        <w:pStyle w:val="Heading2"/>
        <w:spacing w:line="240" w:lineRule="auto"/>
        <w:ind w:right="1133"/>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2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after="0" w:line="338" w:lineRule="auto"/>
        <w:jc w:val="left"/>
        <w:sectPr>
          <w:pgSz w:w="11910" w:h="16840"/>
          <w:pgMar w:header="852" w:footer="980" w:top="1300" w:bottom="1160" w:left="980" w:right="0"/>
        </w:sectPr>
      </w:pPr>
    </w:p>
    <w:p>
      <w:pPr>
        <w:pStyle w:val="Heading3"/>
        <w:spacing w:line="240" w:lineRule="auto" w:before="122"/>
        <w:ind w:right="1133"/>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托管情况" w:id="87"/>
      <w:bookmarkEnd w:id="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31"/>
        <w:gridCol w:w="920"/>
        <w:gridCol w:w="1296"/>
        <w:gridCol w:w="1064"/>
        <w:gridCol w:w="1034"/>
        <w:gridCol w:w="1052"/>
        <w:gridCol w:w="790"/>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bl>
    <w:p>
      <w:pPr>
        <w:spacing w:after="0" w:line="240" w:lineRule="auto"/>
        <w:jc w:val="center"/>
        <w:rPr>
          <w:rFonts w:ascii="宋体" w:hAnsi="宋体" w:cs="宋体" w:eastAsia="宋体"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5"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厦门市宇信鸿泰科技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厦门市宇信鸿泰科技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24" w:right="53"/>
              <w:jc w:val="left"/>
              <w:rPr>
                <w:rFonts w:ascii="宋体" w:hAnsi="宋体" w:cs="宋体" w:eastAsia="宋体" w:hint="default"/>
                <w:sz w:val="18"/>
                <w:szCs w:val="18"/>
              </w:rPr>
            </w:pPr>
            <w:r>
              <w:rPr>
                <w:rFonts w:ascii="宋体" w:hAnsi="宋体" w:cs="宋体" w:eastAsia="宋体" w:hint="default"/>
                <w:sz w:val="18"/>
                <w:szCs w:val="18"/>
              </w:rPr>
              <w:t>厦门市宇信鸿泰科技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宇信数据科技有限公 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1,139.08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679.88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955.17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2,667.74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2,497.27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1,164.59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319.3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576.97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2,054.13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2,141.23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1,789.65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1,571.43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401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1,765.38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1,515.26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761.92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8,171.22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北京宇信启融科技有 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珠海宇信易诚科技有 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珠海宇信鸿泰科技有 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宇信数据科技有限公 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厦门市宇信鸿泰科技 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2,047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1,585.08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珠海宇信易诚科技有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尚未签署担 保合同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31,100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30,929.35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721"/>
        <w:gridCol w:w="898"/>
        <w:gridCol w:w="924"/>
        <w:gridCol w:w="1316"/>
        <w:gridCol w:w="1030"/>
        <w:gridCol w:w="1057"/>
        <w:gridCol w:w="1066"/>
        <w:gridCol w:w="774"/>
        <w:gridCol w:w="788"/>
      </w:tblGrid>
      <w:tr>
        <w:trPr>
          <w:trHeight w:val="720"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87,497</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58,206.3</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21" w:type="dxa"/>
            <w:vMerge w:val="restart"/>
            <w:tcBorders>
              <w:top w:val="single" w:sz="4" w:space="0" w:color="000000"/>
              <w:left w:val="single" w:sz="4" w:space="0" w:color="000000"/>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1"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0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21"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0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4" w:right="5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7"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96"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8"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30" w:type="dxa"/>
            <w:vMerge/>
            <w:tcBorders>
              <w:left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4"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r>
      <w:tr>
        <w:trPr>
          <w:trHeight w:val="156" w:hRule="exact"/>
        </w:trPr>
        <w:tc>
          <w:tcPr>
            <w:tcW w:w="1721" w:type="dxa"/>
            <w:vMerge w:val="restart"/>
            <w:tcBorders>
              <w:top w:val="nil" w:sz="6" w:space="0" w:color="auto"/>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030" w:type="dxa"/>
            <w:vMerge/>
            <w:tcBorders>
              <w:left w:val="single" w:sz="4" w:space="0" w:color="000000"/>
              <w:bottom w:val="nil" w:sz="6" w:space="0" w:color="auto"/>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21"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0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31,100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30,929.35</w:t>
            </w:r>
          </w:p>
        </w:tc>
      </w:tr>
      <w:tr>
        <w:trPr>
          <w:trHeight w:val="715"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87,497</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58,206.3</w:t>
            </w:r>
          </w:p>
        </w:tc>
      </w:tr>
      <w:tr>
        <w:trPr>
          <w:trHeight w:val="408"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31.53%</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50,221.22</w:t>
            </w:r>
          </w:p>
        </w:tc>
      </w:tr>
      <w:tr>
        <w:trPr>
          <w:trHeight w:val="402"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50,221.22</w:t>
            </w:r>
          </w:p>
        </w:tc>
      </w:tr>
    </w:tbl>
    <w:p>
      <w:pPr>
        <w:pStyle w:val="BodyText"/>
        <w:spacing w:line="357" w:lineRule="auto" w:before="49"/>
        <w:ind w:right="8054"/>
        <w:jc w:val="left"/>
      </w:pPr>
      <w:r>
        <w:rPr/>
        <w:t>采用复合方式担保的具体情况说明 无。</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委托理财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80" w:top="130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580" w:bottom="70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40,385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57,485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pStyle w:val="BodyText"/>
        <w:spacing w:line="240" w:lineRule="auto" w:before="49"/>
        <w:ind w:right="-20"/>
        <w:jc w:val="left"/>
      </w:pPr>
      <w:r>
        <w:rPr/>
        <w:t>单项金额重大或安全性较低、流动性较差、不保本的高风险委托理财具体情况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580" w:bottom="700" w:left="980" w:right="0"/>
          <w:cols w:num="2" w:equalWidth="0">
            <w:col w:w="6273" w:space="2467"/>
            <w:col w:w="2190"/>
          </w:cols>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2273"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0" w:right="98"/>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7"/>
              <w:ind w:left="100" w:right="99"/>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7"/>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352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76"/>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投资 收益 和</w:t>
            </w:r>
          </w:p>
          <w:p>
            <w:pPr>
              <w:pStyle w:val="TableParagraph"/>
              <w:spacing w:line="362" w:lineRule="auto" w:before="61"/>
              <w:ind w:left="23" w:right="77"/>
              <w:jc w:val="left"/>
              <w:rPr>
                <w:rFonts w:ascii="Times New Roman" w:hAnsi="Times New Roman" w:cs="Times New Roman" w:eastAsia="Times New Roman" w:hint="default"/>
                <w:sz w:val="18"/>
                <w:szCs w:val="18"/>
              </w:rPr>
            </w:pPr>
            <w:r>
              <w:rPr>
                <w:rFonts w:ascii="Times New Roman"/>
                <w:sz w:val="18"/>
              </w:rPr>
              <w:t>USD3</w:t>
            </w:r>
            <w:r>
              <w:rPr>
                <w:rFonts w:ascii="Times New Roman"/>
                <w:w w:val="99"/>
                <w:sz w:val="18"/>
              </w:rPr>
              <w:t> </w:t>
            </w:r>
            <w:r>
              <w:rPr>
                <w:rFonts w:ascii="Times New Roman"/>
                <w:sz w:val="18"/>
              </w:rPr>
              <w:t>M-LI</w:t>
            </w:r>
            <w:r>
              <w:rPr>
                <w:rFonts w:ascii="Times New Roman"/>
                <w:spacing w:val="-2"/>
                <w:w w:val="99"/>
                <w:sz w:val="18"/>
              </w:rPr>
              <w:t> </w:t>
            </w:r>
            <w:r>
              <w:rPr>
                <w:rFonts w:ascii="Times New Roman"/>
                <w:sz w:val="18"/>
              </w:rPr>
              <w:t>BOR</w:t>
            </w:r>
          </w:p>
          <w:p>
            <w:pPr>
              <w:pStyle w:val="TableParagraph"/>
              <w:spacing w:line="197" w:lineRule="exact"/>
              <w:ind w:left="23" w:right="0"/>
              <w:jc w:val="both"/>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6" w:lineRule="auto" w:before="76"/>
              <w:ind w:left="23" w:right="167"/>
              <w:jc w:val="both"/>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104.79</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104.79</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117"/>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003</w:t>
            </w:r>
          </w:p>
        </w:tc>
      </w:tr>
      <w:tr>
        <w:trPr>
          <w:trHeight w:val="352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 收益 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M-LI</w:t>
            </w:r>
          </w:p>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Times New Roman"/>
                <w:sz w:val="18"/>
              </w:rPr>
              <w:t>BOR</w:t>
            </w:r>
          </w:p>
          <w:p>
            <w:pPr>
              <w:pStyle w:val="TableParagraph"/>
              <w:spacing w:line="316" w:lineRule="auto" w:before="63"/>
              <w:ind w:left="23" w:right="167"/>
              <w:jc w:val="both"/>
              <w:rPr>
                <w:rFonts w:ascii="宋体" w:hAnsi="宋体" w:cs="宋体" w:eastAsia="宋体" w:hint="default"/>
                <w:sz w:val="18"/>
                <w:szCs w:val="18"/>
              </w:rPr>
            </w:pPr>
            <w:r>
              <w:rPr>
                <w:rFonts w:ascii="宋体" w:hAnsi="宋体" w:cs="宋体" w:eastAsia="宋体" w:hint="default"/>
                <w:sz w:val="18"/>
                <w:szCs w:val="18"/>
              </w:rPr>
              <w:t>挂钩 的金 融衍 生品 交易</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89.86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89.86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89.86</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003</w:t>
            </w:r>
          </w:p>
        </w:tc>
      </w:tr>
      <w:tr>
        <w:trPr>
          <w:trHeight w:val="25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中信 银行 股份 有限 公司 总行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7" w:right="0"/>
              <w:jc w:val="center"/>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结构 性产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62" w:right="0"/>
              <w:jc w:val="left"/>
              <w:rPr>
                <w:rFonts w:ascii="Times New Roman" w:hAnsi="Times New Roman" w:cs="Times New Roman" w:eastAsia="Times New Roman" w:hint="default"/>
                <w:sz w:val="18"/>
                <w:szCs w:val="18"/>
              </w:rPr>
            </w:pPr>
            <w:r>
              <w:rPr>
                <w:rFonts w:ascii="Times New Roman"/>
                <w:sz w:val="18"/>
              </w:rPr>
              <w:t>3.65%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Times New Roman" w:hAnsi="Times New Roman" w:cs="Times New Roman" w:eastAsia="Times New Roman" w:hint="default"/>
                <w:sz w:val="18"/>
                <w:szCs w:val="18"/>
              </w:rPr>
            </w:pPr>
            <w:r>
              <w:rPr>
                <w:rFonts w:ascii="Times New Roman"/>
                <w:sz w:val="18"/>
              </w:rPr>
              <w:t>30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017</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320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光大 银行 股份 有限 公司 长沙 劳动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固定 收益 类资 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pacing w:val="-1"/>
                <w:sz w:val="18"/>
              </w:rPr>
              <w:t>0.01</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77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中国 建设 银行 陕西 省分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债权 类资 </w:t>
            </w:r>
            <w:r>
              <w:rPr>
                <w:rFonts w:ascii="宋体" w:hAnsi="宋体" w:cs="宋体" w:eastAsia="宋体" w:hint="default"/>
                <w:spacing w:val="-12"/>
                <w:sz w:val="18"/>
                <w:szCs w:val="18"/>
              </w:rPr>
              <w:t>产、债</w:t>
            </w:r>
            <w:r>
              <w:rPr>
                <w:rFonts w:ascii="宋体" w:hAnsi="宋体" w:cs="宋体" w:eastAsia="宋体" w:hint="default"/>
                <w:sz w:val="18"/>
                <w:szCs w:val="18"/>
              </w:rPr>
              <w:t> 券和 货币 市场 工具 类资 </w:t>
            </w:r>
            <w:r>
              <w:rPr>
                <w:rFonts w:ascii="宋体" w:hAnsi="宋体" w:cs="宋体" w:eastAsia="宋体" w:hint="default"/>
                <w:spacing w:val="-12"/>
                <w:sz w:val="18"/>
                <w:szCs w:val="18"/>
              </w:rPr>
              <w:t>产、其</w:t>
            </w:r>
            <w:r>
              <w:rPr>
                <w:rFonts w:ascii="宋体" w:hAnsi="宋体" w:cs="宋体" w:eastAsia="宋体" w:hint="default"/>
                <w:sz w:val="18"/>
                <w:szCs w:val="18"/>
              </w:rPr>
              <w:t> 他符 合监 管要 求的 资产 组合</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pacing w:val="-1"/>
                <w:sz w:val="18"/>
              </w:rPr>
              <w:t>0.97</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40,390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225.63</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委托理财出现预期无法收回本金或存在其他可能导致减值的情形</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38" w:lineRule="auto"/>
        <w:jc w:val="left"/>
        <w:sectPr>
          <w:pgSz w:w="11910" w:h="16840"/>
          <w:pgMar w:header="852" w:footer="980" w:top="1300" w:bottom="1160" w:left="980" w:right="0"/>
        </w:sectPr>
      </w:pPr>
    </w:p>
    <w:p>
      <w:pPr>
        <w:pStyle w:val="Heading2"/>
        <w:spacing w:line="240" w:lineRule="auto" w:before="96"/>
        <w:ind w:right="1133"/>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07" w:lineRule="auto"/>
        <w:ind w:right="1034" w:firstLine="360"/>
        <w:jc w:val="left"/>
      </w:pPr>
      <w:r>
        <w:rPr>
          <w:rFonts w:ascii="Times New Roman" w:hAnsi="Times New Roman" w:cs="Times New Roman" w:eastAsia="Times New Roman" w:hint="default"/>
          <w:spacing w:val="-2"/>
        </w:rPr>
        <w:t>2019</w:t>
      </w:r>
      <w:r>
        <w:rPr>
          <w:spacing w:val="-2"/>
        </w:rPr>
        <w:t>年，公司在追求自身不断发展的同时，始终以奉献社会、回馈社会为使命，多次向湖南黄市小学、瑞灵小学、甘肃</w:t>
      </w:r>
      <w:r>
        <w:rPr/>
        <w:t> 杨家小学、民族中学、贵州玉龙坝新厂小学、纳雍四中进行了捐助，向学校及特困生赠送了图书、学习用品、体育用品等。 同时，公司还在</w:t>
      </w:r>
      <w:r>
        <w:rPr>
          <w:rFonts w:ascii="Times New Roman" w:hAnsi="Times New Roman" w:cs="Times New Roman" w:eastAsia="Times New Roman" w:hint="default"/>
        </w:rPr>
        <w:t>2</w:t>
      </w:r>
      <w:r>
        <w:rPr/>
        <w:t>所高中开设</w:t>
      </w:r>
      <w:r>
        <w:rPr>
          <w:rFonts w:ascii="Times New Roman" w:hAnsi="Times New Roman" w:cs="Times New Roman" w:eastAsia="Times New Roman" w:hint="default"/>
        </w:rPr>
        <w:t>3</w:t>
      </w:r>
      <w:r>
        <w:rPr/>
        <w:t>个</w:t>
      </w:r>
      <w:r>
        <w:rPr>
          <w:rFonts w:ascii="Times New Roman" w:hAnsi="Times New Roman" w:cs="Times New Roman" w:eastAsia="Times New Roman" w:hint="default"/>
        </w:rPr>
        <w:t>“</w:t>
      </w:r>
      <w:r>
        <w:rPr/>
        <w:t>宇信班</w:t>
      </w:r>
      <w:r>
        <w:rPr>
          <w:rFonts w:ascii="Times New Roman" w:hAnsi="Times New Roman" w:cs="Times New Roman" w:eastAsia="Times New Roman" w:hint="default"/>
        </w:rPr>
        <w:t>”</w:t>
      </w:r>
      <w:r>
        <w:rPr/>
        <w:t>，对</w:t>
      </w:r>
      <w:r>
        <w:rPr>
          <w:rFonts w:ascii="Times New Roman" w:hAnsi="Times New Roman" w:cs="Times New Roman" w:eastAsia="Times New Roman" w:hint="default"/>
        </w:rPr>
        <w:t>111</w:t>
      </w:r>
      <w:r>
        <w:rPr/>
        <w:t>名贫困高中生进行一对一助学，并号召员工通过宇信公益平台参与到</w:t>
      </w:r>
      <w:r>
        <w:rPr>
          <w:rFonts w:ascii="Times New Roman" w:hAnsi="Times New Roman" w:cs="Times New Roman" w:eastAsia="Times New Roman" w:hint="default"/>
        </w:rPr>
        <w:t>“</w:t>
      </w:r>
      <w:r>
        <w:rPr/>
        <w:t>一对 一爱心助学</w:t>
      </w:r>
      <w:r>
        <w:rPr>
          <w:rFonts w:ascii="Times New Roman" w:hAnsi="Times New Roman" w:cs="Times New Roman" w:eastAsia="Times New Roman" w:hint="default"/>
        </w:rPr>
        <w:t>”</w:t>
      </w:r>
      <w:r>
        <w:rPr/>
        <w:t>项目，认领捐助贫困学生，激励广大学子以一颗感恩的心发奋学习，将来可以回报社会。公司积极履行社会责 </w:t>
      </w:r>
      <w:r>
        <w:rPr>
          <w:spacing w:val="-2"/>
        </w:rPr>
        <w:t>任，投身社会公益事业，努力促进公司和社会的和谐发展，以教育助学的形式深入贫困地区一线，在社会公益上做出了一份</w:t>
      </w:r>
      <w:r>
        <w:rPr>
          <w:spacing w:val="-64"/>
        </w:rPr>
        <w:t> </w:t>
      </w:r>
      <w:r>
        <w:rPr>
          <w:spacing w:val="-64"/>
        </w:rPr>
      </w:r>
      <w:r>
        <w:rPr/>
        <w:t>贡献。</w:t>
      </w:r>
    </w:p>
    <w:p>
      <w:pPr>
        <w:spacing w:line="240" w:lineRule="auto" w:before="4"/>
        <w:rPr>
          <w:rFonts w:ascii="宋体" w:hAnsi="宋体" w:cs="宋体" w:eastAsia="宋体" w:hint="default"/>
          <w:sz w:val="23"/>
          <w:szCs w:val="23"/>
        </w:rPr>
      </w:pPr>
    </w:p>
    <w:p>
      <w:pPr>
        <w:pStyle w:val="Heading3"/>
        <w:spacing w:line="240" w:lineRule="auto"/>
        <w:ind w:right="1133"/>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5"/>
        <w:ind w:right="1133"/>
        <w:jc w:val="left"/>
      </w:pPr>
      <w:r>
        <w:rPr/>
        <w:t>公司及子公司不属于环保部门公布的重点排污单位。</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12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日召开的第二届董事会第十一次会议及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2019</w:t>
      </w:r>
      <w:r>
        <w:rPr/>
        <w:t>年第二次临时股东大会审议通</w:t>
      </w:r>
    </w:p>
    <w:p>
      <w:pPr>
        <w:pStyle w:val="BodyText"/>
        <w:spacing w:line="228" w:lineRule="exact"/>
        <w:ind w:right="1133"/>
        <w:jc w:val="left"/>
      </w:pPr>
      <w:r>
        <w:rPr/>
        <w:t>过了关于公开发行可转换公司债券事宜的相关议案，本次拟发行可转换公司债券募集资金总额不超过人民币</w:t>
      </w:r>
      <w:r>
        <w:rPr>
          <w:rFonts w:ascii="Times New Roman" w:hAnsi="Times New Roman" w:cs="Times New Roman" w:eastAsia="Times New Roman" w:hint="default"/>
        </w:rPr>
        <w:t>68,815.30</w:t>
      </w:r>
      <w:r>
        <w:rPr/>
        <w:t>万元</w:t>
      </w:r>
    </w:p>
    <w:p>
      <w:pPr>
        <w:pStyle w:val="BodyText"/>
        <w:spacing w:line="300" w:lineRule="auto" w:before="63"/>
        <w:ind w:right="1133"/>
        <w:jc w:val="left"/>
      </w:pPr>
      <w:r>
        <w:rPr>
          <w:spacing w:val="-2"/>
        </w:rPr>
        <w:t>（含</w:t>
      </w:r>
      <w:r>
        <w:rPr>
          <w:rFonts w:ascii="Times New Roman" w:hAnsi="Times New Roman" w:cs="Times New Roman" w:eastAsia="Times New Roman" w:hint="default"/>
          <w:spacing w:val="-2"/>
        </w:rPr>
        <w:t>68,815.30</w:t>
      </w:r>
      <w:r>
        <w:rPr>
          <w:spacing w:val="-2"/>
        </w:rPr>
        <w:t>万元）。截至本报告披露日，公司已收到中国证券监督管理委员会（以下简称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）出具的《中国证</w:t>
      </w:r>
      <w:r>
        <w:rPr>
          <w:spacing w:val="-39"/>
        </w:rPr>
        <w:t> </w:t>
      </w:r>
      <w:r>
        <w:rPr>
          <w:spacing w:val="-39"/>
        </w:rPr>
      </w:r>
      <w:r>
        <w:rPr/>
        <w:t>监会行政许可项目审查一次反馈意见通知书》</w:t>
      </w:r>
      <w:r>
        <w:rPr>
          <w:rFonts w:ascii="Times New Roman" w:hAnsi="Times New Roman" w:cs="Times New Roman" w:eastAsia="Times New Roman" w:hint="default"/>
        </w:rPr>
        <w:t>[193166</w:t>
      </w:r>
      <w:r>
        <w:rPr/>
        <w:t>号</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0"/>
          <w:szCs w:val="20"/>
        </w:rPr>
      </w:pPr>
    </w:p>
    <w:p>
      <w:pPr>
        <w:pStyle w:val="Heading2"/>
        <w:spacing w:line="240" w:lineRule="auto"/>
        <w:ind w:right="1133"/>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24" w:firstLine="36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日召开第二届董事会第十二次会议，审议通过了《关于对无锡宇信易诚增资的议案》，公司同 意使用自有资金</w:t>
      </w:r>
      <w:r>
        <w:rPr>
          <w:rFonts w:ascii="Times New Roman" w:hAnsi="Times New Roman" w:cs="Times New Roman" w:eastAsia="Times New Roman" w:hint="default"/>
        </w:rPr>
        <w:t>51,000.00</w:t>
      </w:r>
      <w:r>
        <w:rPr/>
        <w:t>万元人民币对全资子公司无锡宇信易诚进行增资。本次增资完成后，无锡宇信易诚的注册资本由 </w:t>
      </w:r>
      <w:r>
        <w:rPr>
          <w:rFonts w:ascii="Times New Roman" w:hAnsi="Times New Roman" w:cs="Times New Roman" w:eastAsia="Times New Roman" w:hint="default"/>
        </w:rPr>
        <w:t>3,000.00</w:t>
      </w:r>
      <w:r>
        <w:rPr/>
        <w:t>万元人民币增至</w:t>
      </w:r>
      <w:r>
        <w:rPr>
          <w:rFonts w:ascii="Times New Roman" w:hAnsi="Times New Roman" w:cs="Times New Roman" w:eastAsia="Times New Roman" w:hint="default"/>
        </w:rPr>
        <w:t>54,000.00</w:t>
      </w:r>
      <w:r>
        <w:rPr/>
        <w:t>万元人民币，公司仍持有其</w:t>
      </w:r>
      <w:r>
        <w:rPr>
          <w:rFonts w:ascii="Times New Roman" w:hAnsi="Times New Roman" w:cs="Times New Roman" w:eastAsia="Times New Roman" w:hint="default"/>
        </w:rPr>
        <w:t>100%</w:t>
      </w:r>
      <w:r>
        <w:rPr/>
        <w:t>的股权。</w:t>
      </w:r>
    </w:p>
    <w:p>
      <w:pPr>
        <w:pStyle w:val="BodyText"/>
        <w:spacing w:line="309" w:lineRule="auto" w:before="54"/>
        <w:ind w:right="1133" w:firstLine="360"/>
        <w:jc w:val="both"/>
      </w:pPr>
      <w:r>
        <w:rPr>
          <w:rFonts w:ascii="Times New Roman" w:hAnsi="Times New Roman" w:cs="Times New Roman" w:eastAsia="Times New Roman" w:hint="default"/>
        </w:rPr>
        <w:t>2</w:t>
      </w:r>
      <w:r>
        <w:rPr/>
        <w:t>、报告期内，公司全资子公司厦门宇信鸿泰参与投资设立的股权投资基金，该基金管理人宇新（厦门）股权投资管理 </w:t>
      </w:r>
      <w:r>
        <w:rPr>
          <w:spacing w:val="-2"/>
        </w:rPr>
        <w:t>有限公司为私募投资基金管理人，已经依照《私募投资基金监督管理暂行办法》及《私募投资基金管理人登记和基金备案办</w:t>
      </w:r>
      <w:r>
        <w:rPr>
          <w:spacing w:val="-66"/>
        </w:rPr>
        <w:t> </w:t>
      </w:r>
      <w:r>
        <w:rPr>
          <w:spacing w:val="-66"/>
        </w:rPr>
      </w:r>
      <w:r>
        <w:rPr/>
        <w:t>法（试行）》等法律、法规、规章、规范性文件、行业规定等履行登记备案程序（登记编号</w:t>
      </w:r>
      <w:r>
        <w:rPr>
          <w:spacing w:val="-18"/>
        </w:rPr>
        <w:t> </w:t>
      </w:r>
      <w:r>
        <w:rPr>
          <w:rFonts w:ascii="Times New Roman" w:hAnsi="Times New Roman" w:cs="Times New Roman" w:eastAsia="Times New Roman" w:hint="default"/>
        </w:rPr>
        <w:t>P1069817</w:t>
      </w:r>
      <w:r>
        <w:rPr/>
        <w:t>）。</w:t>
      </w:r>
    </w:p>
    <w:p>
      <w:pPr>
        <w:spacing w:after="0" w:line="309" w:lineRule="auto"/>
        <w:jc w:val="both"/>
        <w:sectPr>
          <w:pgSz w:w="11910" w:h="16840"/>
          <w:pgMar w:header="852" w:footer="980" w:top="130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left="3045" w:right="1133"/>
        <w:jc w:val="left"/>
        <w:rPr>
          <w:b w:val="0"/>
          <w:bCs w:val="0"/>
        </w:rPr>
      </w:pPr>
      <w:bookmarkStart w:name="第六节股份变动及股东情况" w:id="103"/>
      <w:bookmarkEnd w:id="103"/>
      <w:r>
        <w:rPr>
          <w:b w:val="0"/>
          <w:bCs w:val="0"/>
        </w:rPr>
      </w:r>
      <w:bookmarkStart w:name="_bookmark5" w:id="104"/>
      <w:bookmarkEnd w:id="104"/>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股份变动情况" w:id="105"/>
      <w:bookmarkEnd w:id="105"/>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-236,089,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215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-236,089,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215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123,910,7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30.98%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235,597,6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58.90%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-111,686,</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895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-111,686,</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895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123,910,7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30.98%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235,597,6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58.90%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-111,687,</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120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-111,687,</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120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123,910,5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30.98%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124,402,3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31.10%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-124,402,</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320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-124,402,</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320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124,402,3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31.10%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-124,402,</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320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-124,402,</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320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236,089,2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236,089,2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276,099,2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69.02%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236,089,2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236,089,2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276,099,2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69.02%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400,010,0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400,010,0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股份变动的原因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133"/>
        <w:jc w:val="left"/>
      </w:pPr>
      <w:r>
        <w:rPr/>
        <w:t>（</w:t>
      </w:r>
      <w:r>
        <w:rPr>
          <w:rFonts w:ascii="Times New Roman" w:hAnsi="Times New Roman" w:cs="Times New Roman" w:eastAsia="Times New Roman" w:hint="default"/>
        </w:rPr>
        <w:t>1</w:t>
      </w:r>
      <w:r>
        <w:rPr/>
        <w:t>）公司首次公开发行前已发行部分股份解除限售并上市流通。</w:t>
      </w:r>
    </w:p>
    <w:p>
      <w:pPr>
        <w:spacing w:after="0" w:line="240" w:lineRule="auto"/>
        <w:jc w:val="left"/>
        <w:sectPr>
          <w:pgSz w:w="11910" w:h="16840"/>
          <w:pgMar w:header="852" w:footer="980" w:top="1300" w:bottom="1160" w:left="980" w:right="0"/>
        </w:sectPr>
      </w:pPr>
    </w:p>
    <w:p>
      <w:pPr>
        <w:pStyle w:val="BodyText"/>
        <w:spacing w:line="340" w:lineRule="auto" w:before="142"/>
        <w:ind w:right="9134"/>
        <w:jc w:val="left"/>
      </w:pPr>
      <w:r>
        <w:rPr/>
        <w:t>（</w:t>
      </w:r>
      <w:r>
        <w:rPr>
          <w:rFonts w:ascii="Times New Roman" w:hAnsi="Times New Roman" w:cs="Times New Roman" w:eastAsia="Times New Roman" w:hint="default"/>
        </w:rPr>
        <w:t>2</w:t>
      </w:r>
      <w:r>
        <w:rPr/>
        <w:t>）高管锁定股。 股份变动的批准情况</w:t>
      </w:r>
    </w:p>
    <w:p>
      <w:pPr>
        <w:pStyle w:val="BodyText"/>
        <w:spacing w:line="340" w:lineRule="auto" w:before="3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43"/>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10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1028"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3"/>
              <w:jc w:val="both"/>
              <w:rPr>
                <w:rFonts w:ascii="宋体" w:hAnsi="宋体" w:cs="宋体" w:eastAsia="宋体" w:hint="default"/>
                <w:sz w:val="18"/>
                <w:szCs w:val="18"/>
              </w:rPr>
            </w:pPr>
            <w:r>
              <w:rPr>
                <w:rFonts w:ascii="宋体" w:hAnsi="宋体" w:cs="宋体" w:eastAsia="宋体" w:hint="default"/>
                <w:sz w:val="18"/>
                <w:szCs w:val="18"/>
              </w:rPr>
              <w:t>珠海宇琴鸿泰 信息咨询有限 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123,910,560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123,910,560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87"/>
              <w:jc w:val="left"/>
              <w:rPr>
                <w:rFonts w:ascii="宋体" w:hAnsi="宋体" w:cs="宋体" w:eastAsia="宋体" w:hint="default"/>
                <w:sz w:val="18"/>
                <w:szCs w:val="18"/>
              </w:rPr>
            </w:pPr>
            <w:r>
              <w:rPr>
                <w:rFonts w:ascii="宋体" w:hAnsi="宋体" w:cs="宋体" w:eastAsia="宋体" w:hint="default"/>
                <w:sz w:val="18"/>
                <w:szCs w:val="18"/>
              </w:rPr>
              <w:t>首次公开发行 承诺</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3"/>
              <w:jc w:val="left"/>
              <w:rPr>
                <w:rFonts w:ascii="宋体" w:hAnsi="宋体" w:cs="宋体" w:eastAsia="宋体" w:hint="default"/>
                <w:sz w:val="18"/>
                <w:szCs w:val="18"/>
              </w:rPr>
            </w:pPr>
            <w:r>
              <w:rPr>
                <w:rFonts w:ascii="宋体" w:hAnsi="宋体" w:cs="宋体" w:eastAsia="宋体" w:hint="default"/>
                <w:sz w:val="18"/>
                <w:szCs w:val="18"/>
              </w:rPr>
              <w:t>远创基因投资 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34,990,200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34,990,200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首次公开发行 承诺，现已解 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解除限售时间 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80"/>
              <w:jc w:val="left"/>
              <w:rPr>
                <w:rFonts w:ascii="Times New Roman" w:hAnsi="Times New Roman" w:cs="Times New Roman" w:eastAsia="Times New Roman" w:hint="default"/>
                <w:sz w:val="18"/>
                <w:szCs w:val="18"/>
              </w:rPr>
            </w:pPr>
            <w:r>
              <w:rPr>
                <w:rFonts w:ascii="Times New Roman"/>
                <w:spacing w:val="-3"/>
                <w:sz w:val="18"/>
              </w:rPr>
              <w:t>PORT</w:t>
            </w:r>
            <w:r>
              <w:rPr>
                <w:rFonts w:ascii="Times New Roman"/>
                <w:spacing w:val="-8"/>
                <w:sz w:val="18"/>
              </w:rPr>
              <w:t> </w:t>
            </w:r>
            <w:r>
              <w:rPr>
                <w:rFonts w:ascii="Times New Roman"/>
                <w:sz w:val="18"/>
              </w:rPr>
              <w:t>WING</w:t>
            </w:r>
            <w:r>
              <w:rPr>
                <w:rFonts w:ascii="Times New Roman"/>
                <w:w w:val="99"/>
                <w:sz w:val="18"/>
              </w:rPr>
              <w:t> </w:t>
            </w:r>
            <w:r>
              <w:rPr>
                <w:rFonts w:ascii="Times New Roman"/>
                <w:sz w:val="18"/>
              </w:rPr>
              <w:t>DEVELOPME</w:t>
            </w:r>
            <w:r>
              <w:rPr>
                <w:rFonts w:ascii="Times New Roman"/>
                <w:sz w:val="18"/>
              </w:rPr>
              <w:t> NT</w:t>
            </w:r>
            <w:r>
              <w:rPr>
                <w:rFonts w:ascii="Times New Roman"/>
                <w:w w:val="99"/>
                <w:sz w:val="18"/>
              </w:rPr>
              <w:t> </w:t>
            </w:r>
            <w:r>
              <w:rPr>
                <w:rFonts w:ascii="Times New Roman"/>
                <w:spacing w:val="-3"/>
                <w:sz w:val="18"/>
              </w:rPr>
              <w:t>COMAPANY</w:t>
            </w:r>
            <w:r>
              <w:rPr>
                <w:rFonts w:ascii="Times New Roman"/>
                <w:spacing w:val="-41"/>
                <w:sz w:val="18"/>
              </w:rPr>
              <w:t> </w:t>
            </w:r>
            <w:r>
              <w:rPr>
                <w:rFonts w:ascii="Times New Roman"/>
                <w:spacing w:val="-41"/>
                <w:sz w:val="18"/>
              </w:rPr>
            </w:r>
            <w:r>
              <w:rPr>
                <w:rFonts w:ascii="Times New Roman"/>
                <w:sz w:val="18"/>
              </w:rPr>
              <w:t>LIMITED</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27,877,320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27,877,320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87"/>
              <w:jc w:val="both"/>
              <w:rPr>
                <w:rFonts w:ascii="宋体" w:hAnsi="宋体" w:cs="宋体" w:eastAsia="宋体" w:hint="default"/>
                <w:sz w:val="18"/>
                <w:szCs w:val="18"/>
              </w:rPr>
            </w:pPr>
            <w:r>
              <w:rPr>
                <w:rFonts w:ascii="宋体" w:hAnsi="宋体" w:cs="宋体" w:eastAsia="宋体" w:hint="default"/>
                <w:sz w:val="18"/>
                <w:szCs w:val="18"/>
              </w:rPr>
              <w:t>首次公开发行 承诺，现已解 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解除限售时间 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69"/>
              <w:jc w:val="center"/>
              <w:rPr>
                <w:rFonts w:ascii="宋体" w:hAnsi="宋体" w:cs="宋体" w:eastAsia="宋体" w:hint="default"/>
                <w:sz w:val="18"/>
                <w:szCs w:val="18"/>
              </w:rPr>
            </w:pPr>
            <w:r>
              <w:rPr>
                <w:rFonts w:ascii="宋体" w:hAnsi="宋体" w:cs="宋体" w:eastAsia="宋体" w:hint="default"/>
                <w:sz w:val="18"/>
                <w:szCs w:val="18"/>
              </w:rPr>
              <w:t>尚远有限公司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22,021,920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22,021,920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首次公开发行 承诺，现已解 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解除限售时间 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3"/>
              <w:jc w:val="both"/>
              <w:rPr>
                <w:rFonts w:ascii="宋体" w:hAnsi="宋体" w:cs="宋体" w:eastAsia="宋体" w:hint="default"/>
                <w:sz w:val="18"/>
                <w:szCs w:val="18"/>
              </w:rPr>
            </w:pPr>
            <w:r>
              <w:rPr>
                <w:rFonts w:ascii="宋体" w:hAnsi="宋体" w:cs="宋体" w:eastAsia="宋体" w:hint="default"/>
                <w:sz w:val="18"/>
                <w:szCs w:val="18"/>
              </w:rPr>
              <w:t>杭州海富恒歆 股权投资合伙 企业（有限合 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21,733,920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21,733,920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首次公开发行 承诺，现已解 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解除限售时间 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133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3"/>
              <w:jc w:val="both"/>
              <w:rPr>
                <w:rFonts w:ascii="宋体" w:hAnsi="宋体" w:cs="宋体" w:eastAsia="宋体" w:hint="default"/>
                <w:sz w:val="18"/>
                <w:szCs w:val="18"/>
              </w:rPr>
            </w:pPr>
            <w:r>
              <w:rPr>
                <w:rFonts w:ascii="宋体" w:hAnsi="宋体" w:cs="宋体" w:eastAsia="宋体" w:hint="default"/>
                <w:sz w:val="18"/>
                <w:szCs w:val="18"/>
              </w:rPr>
              <w:t>珠海爱康佳华 资产管理合伙 企业（有限合 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19,872,000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19,872,000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首次公开发行 承诺，现已解 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解除限售时间 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3"/>
              <w:jc w:val="both"/>
              <w:rPr>
                <w:rFonts w:ascii="宋体" w:hAnsi="宋体" w:cs="宋体" w:eastAsia="宋体" w:hint="default"/>
                <w:sz w:val="18"/>
                <w:szCs w:val="18"/>
              </w:rPr>
            </w:pPr>
            <w:r>
              <w:rPr>
                <w:rFonts w:ascii="宋体" w:hAnsi="宋体" w:cs="宋体" w:eastAsia="宋体" w:hint="default"/>
                <w:sz w:val="18"/>
                <w:szCs w:val="18"/>
              </w:rPr>
              <w:t>华侨星城（上 海）股权投资 基金合伙企业</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18,473,760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18,473,760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首次公开发行 承诺，现已解 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解除限售时间 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3"/>
              <w:jc w:val="left"/>
              <w:rPr>
                <w:rFonts w:ascii="宋体" w:hAnsi="宋体" w:cs="宋体" w:eastAsia="宋体" w:hint="default"/>
                <w:sz w:val="18"/>
                <w:szCs w:val="18"/>
              </w:rPr>
            </w:pPr>
            <w:r>
              <w:rPr>
                <w:rFonts w:ascii="宋体" w:hAnsi="宋体" w:cs="宋体" w:eastAsia="宋体" w:hint="default"/>
                <w:sz w:val="18"/>
                <w:szCs w:val="18"/>
              </w:rPr>
              <w:t>巨富中国投资 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16,949,880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16,949,880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首次公开发行 承诺，现已解 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解除限售时间 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8"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93"/>
              <w:jc w:val="left"/>
              <w:rPr>
                <w:rFonts w:ascii="宋体" w:hAnsi="宋体" w:cs="宋体" w:eastAsia="宋体" w:hint="default"/>
                <w:sz w:val="18"/>
                <w:szCs w:val="18"/>
              </w:rPr>
            </w:pPr>
            <w:r>
              <w:rPr>
                <w:rFonts w:ascii="宋体" w:hAnsi="宋体" w:cs="宋体" w:eastAsia="宋体" w:hint="default"/>
                <w:sz w:val="18"/>
                <w:szCs w:val="18"/>
              </w:rPr>
              <w:t>光控基因投资 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16,908,840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16,908,840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87"/>
              <w:jc w:val="both"/>
              <w:rPr>
                <w:rFonts w:ascii="宋体" w:hAnsi="宋体" w:cs="宋体" w:eastAsia="宋体" w:hint="default"/>
                <w:sz w:val="18"/>
                <w:szCs w:val="18"/>
              </w:rPr>
            </w:pPr>
            <w:r>
              <w:rPr>
                <w:rFonts w:ascii="宋体" w:hAnsi="宋体" w:cs="宋体" w:eastAsia="宋体" w:hint="default"/>
                <w:sz w:val="18"/>
                <w:szCs w:val="18"/>
              </w:rPr>
              <w:t>首次公开发行 承诺，现已解 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解除限售时间 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27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57,261,600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57,261,600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首次公开发行 承诺，现已解 除限售；本期 新增的高管锁 定股每年初解 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首次公开发行 承诺股解除限 售时间是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12" w:lineRule="auto"/>
              <w:ind w:left="24"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 </w:t>
            </w:r>
            <w:r>
              <w:rPr>
                <w:rFonts w:ascii="宋体" w:hAnsi="宋体" w:cs="宋体" w:eastAsia="宋体" w:hint="default"/>
                <w:sz w:val="18"/>
                <w:szCs w:val="18"/>
              </w:rPr>
              <w:t>本期新增的高</w:t>
            </w:r>
            <w:r>
              <w:rPr>
                <w:rFonts w:ascii="宋体" w:hAnsi="宋体" w:cs="宋体" w:eastAsia="宋体" w:hint="default"/>
                <w:sz w:val="18"/>
                <w:szCs w:val="18"/>
              </w:rPr>
              <w:t> 管锁定股每年 初解锁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236,089,440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123,910,785</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after="0" w:line="240" w:lineRule="auto"/>
        <w:jc w:val="right"/>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r>
        <w:rPr/>
        <w:pict>
          <v:group style="position:absolute;margin-left:329.709991pt;margin-top:123.259979pt;width:52.8pt;height:31.2pt;mso-position-horizontal-relative:page;mso-position-vertical-relative:page;z-index:-1227832" coordorigin="6594,2465" coordsize="1056,624">
            <v:shape style="position:absolute;left:6594;top:2465;width:1056;height:624" coordorigin="6594,2465" coordsize="1056,624" path="m6594,3089l7650,3089,7650,2465,6594,2465,6594,3089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00"/>
        <w:gridCol w:w="1204"/>
        <w:gridCol w:w="918"/>
        <w:gridCol w:w="1075"/>
        <w:gridCol w:w="1052"/>
        <w:gridCol w:w="1079"/>
        <w:gridCol w:w="920"/>
        <w:gridCol w:w="1063"/>
        <w:gridCol w:w="106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17,667</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13,200</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7"/>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9"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9"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9"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9"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9"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4" w:right="8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9"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right w:val="single" w:sz="4" w:space="0" w:color="000000"/>
            </w:tcBorders>
            <w:shd w:val="clear" w:color="auto" w:fill="D2D2D2"/>
          </w:tcPr>
          <w:p>
            <w:pPr/>
          </w:p>
        </w:tc>
      </w:tr>
      <w:tr>
        <w:trPr>
          <w:trHeight w:val="140"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珠海宇琴鸿泰 信息咨询有限 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30.98%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123,910,560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123,910,560</w:t>
            </w:r>
          </w:p>
        </w:tc>
        <w:tc>
          <w:tcPr>
            <w:tcW w:w="9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12" w:right="0"/>
              <w:jc w:val="left"/>
              <w:rPr>
                <w:rFonts w:ascii="Times New Roman" w:hAnsi="Times New Roman" w:cs="Times New Roman" w:eastAsia="Times New Roman" w:hint="default"/>
                <w:sz w:val="18"/>
                <w:szCs w:val="18"/>
              </w:rPr>
            </w:pPr>
            <w:r>
              <w:rPr>
                <w:rFonts w:ascii="Times New Roman"/>
                <w:sz w:val="18"/>
              </w:rPr>
              <w:t>2,173,913</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远创基因投资 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8.75%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34,990,200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34,990,200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73"/>
              <w:jc w:val="left"/>
              <w:rPr>
                <w:rFonts w:ascii="Times New Roman" w:hAnsi="Times New Roman" w:cs="Times New Roman" w:eastAsia="Times New Roman" w:hint="default"/>
                <w:sz w:val="18"/>
                <w:szCs w:val="18"/>
              </w:rPr>
            </w:pPr>
            <w:r>
              <w:rPr>
                <w:rFonts w:ascii="Times New Roman"/>
                <w:spacing w:val="-3"/>
                <w:sz w:val="18"/>
              </w:rPr>
              <w:t>PORT</w:t>
            </w:r>
            <w:r>
              <w:rPr>
                <w:rFonts w:ascii="Times New Roman"/>
                <w:spacing w:val="-8"/>
                <w:sz w:val="18"/>
              </w:rPr>
              <w:t> </w:t>
            </w:r>
            <w:r>
              <w:rPr>
                <w:rFonts w:ascii="Times New Roman"/>
                <w:sz w:val="18"/>
              </w:rPr>
              <w:t>WING</w:t>
            </w:r>
            <w:r>
              <w:rPr>
                <w:rFonts w:ascii="Times New Roman"/>
                <w:w w:val="99"/>
                <w:sz w:val="18"/>
              </w:rPr>
              <w:t> </w:t>
            </w:r>
            <w:r>
              <w:rPr>
                <w:rFonts w:ascii="Times New Roman"/>
                <w:sz w:val="18"/>
              </w:rPr>
              <w:t>DEVELOPME</w:t>
            </w:r>
            <w:r>
              <w:rPr>
                <w:rFonts w:ascii="Times New Roman"/>
                <w:sz w:val="18"/>
              </w:rPr>
              <w:t> NT</w:t>
            </w:r>
            <w:r>
              <w:rPr>
                <w:rFonts w:ascii="Times New Roman"/>
                <w:w w:val="99"/>
                <w:sz w:val="18"/>
              </w:rPr>
              <w:t> </w:t>
            </w:r>
            <w:r>
              <w:rPr>
                <w:rFonts w:ascii="Times New Roman"/>
                <w:spacing w:val="-3"/>
                <w:sz w:val="18"/>
              </w:rPr>
              <w:t>COMAPANY</w:t>
            </w:r>
            <w:r>
              <w:rPr>
                <w:rFonts w:ascii="Times New Roman"/>
                <w:spacing w:val="-41"/>
                <w:sz w:val="18"/>
              </w:rPr>
              <w:t> </w:t>
            </w:r>
            <w:r>
              <w:rPr>
                <w:rFonts w:ascii="Times New Roman"/>
                <w:spacing w:val="-41"/>
                <w:sz w:val="18"/>
              </w:rPr>
            </w:r>
            <w:r>
              <w:rPr>
                <w:rFonts w:ascii="Times New Roman"/>
                <w:sz w:val="18"/>
              </w:rPr>
              <w:t>LIMITED</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6.80%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27,220,120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-657,200</w:t>
            </w:r>
          </w:p>
        </w:tc>
        <w:tc>
          <w:tcPr>
            <w:tcW w:w="107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27,220,120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尚远有限公司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5.51%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22,021,920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22,021,920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杭州海富恒歆 股权投资合伙 企业（有限合 伙）</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z w:val="18"/>
              </w:rPr>
              <w:t>5.43%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5"/>
              <w:jc w:val="right"/>
              <w:rPr>
                <w:rFonts w:ascii="Times New Roman" w:hAnsi="Times New Roman" w:cs="Times New Roman" w:eastAsia="Times New Roman" w:hint="default"/>
                <w:sz w:val="18"/>
                <w:szCs w:val="18"/>
              </w:rPr>
            </w:pPr>
            <w:r>
              <w:rPr>
                <w:rFonts w:ascii="Times New Roman"/>
                <w:spacing w:val="-1"/>
                <w:sz w:val="18"/>
              </w:rPr>
              <w:t>21,733,920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21,733,920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珠海爱康佳华 资产管理合伙 企业（有限合 伙）</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
              <w:jc w:val="right"/>
              <w:rPr>
                <w:rFonts w:ascii="Times New Roman" w:hAnsi="Times New Roman" w:cs="Times New Roman" w:eastAsia="Times New Roman" w:hint="default"/>
                <w:sz w:val="18"/>
                <w:szCs w:val="18"/>
              </w:rPr>
            </w:pPr>
            <w:r>
              <w:rPr>
                <w:rFonts w:ascii="Times New Roman"/>
                <w:sz w:val="18"/>
              </w:rPr>
              <w:t>4.81%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5"/>
              <w:jc w:val="right"/>
              <w:rPr>
                <w:rFonts w:ascii="Times New Roman" w:hAnsi="Times New Roman" w:cs="Times New Roman" w:eastAsia="Times New Roman" w:hint="default"/>
                <w:sz w:val="18"/>
                <w:szCs w:val="18"/>
              </w:rPr>
            </w:pPr>
            <w:r>
              <w:rPr>
                <w:rFonts w:ascii="Times New Roman"/>
                <w:spacing w:val="-1"/>
                <w:sz w:val="18"/>
              </w:rPr>
              <w:t>19,253,500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pacing w:val="-1"/>
                <w:sz w:val="18"/>
              </w:rPr>
              <w:t>-618,500</w:t>
            </w:r>
          </w:p>
        </w:tc>
        <w:tc>
          <w:tcPr>
            <w:tcW w:w="107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19,253,500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华侨星城（上 海）股权投资 基金合伙企业</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sz w:val="18"/>
              </w:rPr>
              <w:t>4.62%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5"/>
              <w:jc w:val="right"/>
              <w:rPr>
                <w:rFonts w:ascii="Times New Roman" w:hAnsi="Times New Roman" w:cs="Times New Roman" w:eastAsia="Times New Roman" w:hint="default"/>
                <w:sz w:val="18"/>
                <w:szCs w:val="18"/>
              </w:rPr>
            </w:pPr>
            <w:r>
              <w:rPr>
                <w:rFonts w:ascii="Times New Roman"/>
                <w:spacing w:val="-1"/>
                <w:sz w:val="18"/>
              </w:rPr>
              <w:t>18,473,760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18,473,760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光控基因投资 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16,908,840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16,908,840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巨富中国投资 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12,954,000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-3,995,880</w:t>
            </w:r>
          </w:p>
        </w:tc>
        <w:tc>
          <w:tcPr>
            <w:tcW w:w="107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12,954,000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珠海宇琴广源 信息咨询合伙 企业（有限合 伙）</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
              <w:jc w:val="right"/>
              <w:rPr>
                <w:rFonts w:ascii="Times New Roman" w:hAnsi="Times New Roman" w:cs="Times New Roman" w:eastAsia="Times New Roman" w:hint="default"/>
                <w:sz w:val="18"/>
                <w:szCs w:val="18"/>
              </w:rPr>
            </w:pPr>
            <w:r>
              <w:rPr>
                <w:rFonts w:ascii="Times New Roman"/>
                <w:sz w:val="18"/>
              </w:rPr>
              <w:t>2.18%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5"/>
              <w:jc w:val="right"/>
              <w:rPr>
                <w:rFonts w:ascii="Times New Roman" w:hAnsi="Times New Roman" w:cs="Times New Roman" w:eastAsia="Times New Roman" w:hint="default"/>
                <w:sz w:val="18"/>
                <w:szCs w:val="18"/>
              </w:rPr>
            </w:pPr>
            <w:r>
              <w:rPr>
                <w:rFonts w:ascii="Times New Roman"/>
                <w:spacing w:val="-1"/>
                <w:sz w:val="18"/>
              </w:rPr>
              <w:t>8,726,040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8,726,040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93"/>
        <w:gridCol w:w="4130"/>
        <w:gridCol w:w="1702"/>
        <w:gridCol w:w="1351"/>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83"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83" w:type="dxa"/>
            <w:gridSpan w:val="3"/>
            <w:tcBorders>
              <w:top w:val="single" w:sz="4" w:space="0" w:color="000000"/>
              <w:left w:val="single" w:sz="12" w:space="0" w:color="D2D2D2"/>
              <w:bottom w:val="single" w:sz="4" w:space="0" w:color="000000"/>
              <w:right w:val="single" w:sz="4" w:space="0" w:color="000000"/>
            </w:tcBorders>
          </w:tcPr>
          <w:p>
            <w:pPr>
              <w:pStyle w:val="TableParagraph"/>
              <w:spacing w:line="297" w:lineRule="auto" w:before="51"/>
              <w:ind w:left="18" w:right="630"/>
              <w:jc w:val="left"/>
              <w:rPr>
                <w:rFonts w:ascii="宋体" w:hAnsi="宋体" w:cs="宋体" w:eastAsia="宋体" w:hint="default"/>
                <w:sz w:val="18"/>
                <w:szCs w:val="18"/>
              </w:rPr>
            </w:pPr>
            <w:r>
              <w:rPr>
                <w:rFonts w:ascii="宋体" w:hAnsi="宋体" w:cs="宋体" w:eastAsia="宋体" w:hint="default"/>
                <w:sz w:val="18"/>
                <w:szCs w:val="18"/>
              </w:rPr>
              <w:t>远创基因投资有限公司和光控基因投资有限公司的实际控制人均为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Everbright</w:t>
            </w:r>
            <w:r>
              <w:rPr>
                <w:rFonts w:ascii="Times New Roman" w:hAnsi="Times New Roman" w:cs="Times New Roman" w:eastAsia="Times New Roman" w:hint="default"/>
                <w:sz w:val="18"/>
                <w:szCs w:val="18"/>
              </w:rPr>
              <w:t> Limited</w:t>
            </w:r>
            <w:r>
              <w:rPr>
                <w:rFonts w:ascii="宋体" w:hAnsi="宋体" w:cs="宋体" w:eastAsia="宋体" w:hint="default"/>
                <w:sz w:val="18"/>
                <w:szCs w:val="18"/>
              </w:rPr>
              <w:t>。</w:t>
            </w:r>
          </w:p>
        </w:tc>
      </w:tr>
      <w:tr>
        <w:trPr>
          <w:trHeight w:val="402" w:hRule="exact"/>
        </w:trPr>
        <w:tc>
          <w:tcPr>
            <w:tcW w:w="9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413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3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1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0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3" w:type="dxa"/>
            <w:vMerge/>
            <w:tcBorders>
              <w:left w:val="single" w:sz="4" w:space="0" w:color="000000"/>
              <w:bottom w:val="nil" w:sz="6" w:space="0" w:color="auto"/>
              <w:right w:val="single" w:sz="4" w:space="0" w:color="000000"/>
            </w:tcBorders>
            <w:shd w:val="clear" w:color="auto" w:fill="D2D2D2"/>
          </w:tcPr>
          <w:p>
            <w:pPr/>
          </w:p>
        </w:tc>
        <w:tc>
          <w:tcPr>
            <w:tcW w:w="4130"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41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35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远创基因投资有限公司</w:t>
            </w:r>
          </w:p>
        </w:tc>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34,990,200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34,990,200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67"/>
              <w:jc w:val="left"/>
              <w:rPr>
                <w:rFonts w:ascii="Times New Roman" w:hAnsi="Times New Roman" w:cs="Times New Roman" w:eastAsia="Times New Roman" w:hint="default"/>
                <w:sz w:val="18"/>
                <w:szCs w:val="18"/>
              </w:rPr>
            </w:pPr>
            <w:r>
              <w:rPr>
                <w:rFonts w:ascii="Times New Roman"/>
                <w:spacing w:val="-3"/>
                <w:sz w:val="18"/>
              </w:rPr>
              <w:t>PORT</w:t>
            </w:r>
            <w:r>
              <w:rPr>
                <w:rFonts w:ascii="Times New Roman"/>
                <w:spacing w:val="-8"/>
                <w:sz w:val="18"/>
              </w:rPr>
              <w:t> </w:t>
            </w:r>
            <w:r>
              <w:rPr>
                <w:rFonts w:ascii="Times New Roman"/>
                <w:sz w:val="18"/>
              </w:rPr>
              <w:t>WING</w:t>
            </w:r>
            <w:r>
              <w:rPr>
                <w:rFonts w:ascii="Times New Roman"/>
                <w:w w:val="99"/>
                <w:sz w:val="18"/>
              </w:rPr>
              <w:t> </w:t>
            </w:r>
            <w:r>
              <w:rPr>
                <w:rFonts w:ascii="Times New Roman"/>
                <w:sz w:val="18"/>
              </w:rPr>
              <w:t>DEVELOPMENT</w:t>
            </w:r>
            <w:r>
              <w:rPr>
                <w:rFonts w:ascii="Times New Roman"/>
                <w:w w:val="99"/>
                <w:sz w:val="18"/>
              </w:rPr>
              <w:t> </w:t>
            </w:r>
            <w:r>
              <w:rPr>
                <w:rFonts w:ascii="Times New Roman"/>
                <w:spacing w:val="-3"/>
                <w:sz w:val="18"/>
              </w:rPr>
              <w:t>COMAPANY</w:t>
            </w:r>
            <w:r>
              <w:rPr>
                <w:rFonts w:ascii="Times New Roman"/>
                <w:spacing w:val="-6"/>
                <w:sz w:val="18"/>
              </w:rPr>
              <w:t> </w:t>
            </w:r>
            <w:r>
              <w:rPr>
                <w:rFonts w:ascii="Times New Roman"/>
                <w:sz w:val="18"/>
              </w:rPr>
              <w:t>LIMITED</w:t>
            </w:r>
          </w:p>
        </w:tc>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27,220,120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27,220,120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尚远有限公司</w:t>
            </w:r>
          </w:p>
        </w:tc>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22,021,920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22,021,920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
              <w:jc w:val="left"/>
              <w:rPr>
                <w:rFonts w:ascii="宋体" w:hAnsi="宋体" w:cs="宋体" w:eastAsia="宋体" w:hint="default"/>
                <w:sz w:val="18"/>
                <w:szCs w:val="18"/>
              </w:rPr>
            </w:pPr>
            <w:r>
              <w:rPr>
                <w:rFonts w:ascii="宋体" w:hAnsi="宋体" w:cs="宋体" w:eastAsia="宋体" w:hint="default"/>
                <w:sz w:val="18"/>
                <w:szCs w:val="18"/>
              </w:rPr>
              <w:t>杭州海富恒歆股权投资合伙企 业（有限合伙）</w:t>
            </w:r>
          </w:p>
        </w:tc>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21,733,920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21,733,920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
              <w:jc w:val="left"/>
              <w:rPr>
                <w:rFonts w:ascii="宋体" w:hAnsi="宋体" w:cs="宋体" w:eastAsia="宋体" w:hint="default"/>
                <w:sz w:val="18"/>
                <w:szCs w:val="18"/>
              </w:rPr>
            </w:pPr>
            <w:r>
              <w:rPr>
                <w:rFonts w:ascii="宋体" w:hAnsi="宋体" w:cs="宋体" w:eastAsia="宋体" w:hint="default"/>
                <w:sz w:val="18"/>
                <w:szCs w:val="18"/>
              </w:rPr>
              <w:t>珠海爱康佳华资产管理合伙企 业（有限合伙）</w:t>
            </w:r>
          </w:p>
        </w:tc>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19,253,500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19,253,500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华侨星城（上海）股权投资基 金合伙企业（有限合伙）</w:t>
            </w:r>
          </w:p>
        </w:tc>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18,473,760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18,473,760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光控基因投资有限公司</w:t>
            </w:r>
          </w:p>
        </w:tc>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16,908,840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16,908,840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巨富中国投资有限公司</w:t>
            </w:r>
          </w:p>
        </w:tc>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12,954,000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
              <w:jc w:val="left"/>
              <w:rPr>
                <w:rFonts w:ascii="宋体" w:hAnsi="宋体" w:cs="宋体" w:eastAsia="宋体" w:hint="default"/>
                <w:sz w:val="18"/>
                <w:szCs w:val="18"/>
              </w:rPr>
            </w:pPr>
            <w:r>
              <w:rPr>
                <w:rFonts w:ascii="宋体" w:hAnsi="宋体" w:cs="宋体" w:eastAsia="宋体" w:hint="default"/>
                <w:sz w:val="18"/>
                <w:szCs w:val="18"/>
              </w:rPr>
              <w:t>珠海宇琴广源信息咨询合伙企 业（有限合伙）</w:t>
            </w:r>
          </w:p>
        </w:tc>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8,726,040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8,726,040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珠海宇琴通诚信息咨询合伙企 业（有限合伙）</w:t>
            </w:r>
          </w:p>
        </w:tc>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8,318,520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8,318,520</w:t>
            </w:r>
          </w:p>
        </w:tc>
      </w:tr>
      <w:tr>
        <w:trPr>
          <w:trHeight w:val="1339"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4"/>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9" w:right="17"/>
              <w:jc w:val="left"/>
              <w:rPr>
                <w:rFonts w:ascii="宋体" w:hAnsi="宋体" w:cs="宋体" w:eastAsia="宋体" w:hint="default"/>
                <w:sz w:val="18"/>
                <w:szCs w:val="18"/>
              </w:rPr>
            </w:pPr>
            <w:r>
              <w:rPr>
                <w:rFonts w:ascii="宋体" w:hAnsi="宋体" w:cs="宋体" w:eastAsia="宋体" w:hint="default"/>
                <w:sz w:val="18"/>
                <w:szCs w:val="18"/>
              </w:rPr>
              <w:t>远创基因投资有限公司和光控基因投资有限公司的实际控制人均为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Everbright</w:t>
            </w:r>
            <w:r>
              <w:rPr>
                <w:rFonts w:ascii="Times New Roman" w:hAnsi="Times New Roman" w:cs="Times New Roman" w:eastAsia="Times New Roman" w:hint="default"/>
                <w:sz w:val="18"/>
                <w:szCs w:val="18"/>
              </w:rPr>
              <w:t> Limited</w:t>
            </w:r>
            <w:r>
              <w:rPr>
                <w:rFonts w:ascii="宋体" w:hAnsi="宋体" w:cs="宋体" w:eastAsia="宋体" w:hint="default"/>
                <w:sz w:val="18"/>
                <w:szCs w:val="18"/>
              </w:rPr>
              <w:t>，宇琴广源与宇琴通诚的执行事务合伙人为同一人。除此之外，未知前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w:t>
            </w:r>
          </w:p>
          <w:p>
            <w:pPr>
              <w:pStyle w:val="TableParagraph"/>
              <w:spacing w:line="240" w:lineRule="auto" w:before="15"/>
              <w:ind w:left="29" w:right="0"/>
              <w:jc w:val="left"/>
              <w:rPr>
                <w:rFonts w:ascii="宋体" w:hAnsi="宋体" w:cs="宋体" w:eastAsia="宋体" w:hint="default"/>
                <w:sz w:val="18"/>
                <w:szCs w:val="18"/>
              </w:rPr>
            </w:pPr>
            <w:r>
              <w:rPr>
                <w:rFonts w:ascii="宋体" w:hAnsi="宋体" w:cs="宋体" w:eastAsia="宋体" w:hint="default"/>
                <w:sz w:val="18"/>
                <w:szCs w:val="18"/>
              </w:rPr>
              <w:t>流通股股东之间是否存在关联关系或一致行动人关系；未知前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名无限售流通股股东和前</w:t>
            </w:r>
          </w:p>
          <w:p>
            <w:pPr>
              <w:pStyle w:val="TableParagraph"/>
              <w:spacing w:line="240" w:lineRule="auto" w:before="63"/>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名股东之间是否存在关联关系或一致行动人关系。</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8"/>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公司股东珠海爱康佳华资产管理合伙企业（有限合伙）除通过普通证券账户持有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6,000,000</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股外，还通过民生证券股份有限公司客户信用交易担保证券账户持有</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13,253,500</w:t>
            </w:r>
            <w:r>
              <w:rPr>
                <w:rFonts w:ascii="Times New Roman" w:hAnsi="Times New Roman" w:cs="Times New Roman" w:eastAsia="Times New Roman" w:hint="default"/>
                <w:spacing w:val="-18"/>
                <w:sz w:val="18"/>
                <w:szCs w:val="18"/>
              </w:rPr>
              <w:t> </w:t>
            </w:r>
            <w:r>
              <w:rPr>
                <w:rFonts w:ascii="宋体" w:hAnsi="宋体" w:cs="宋体" w:eastAsia="宋体" w:hint="default"/>
                <w:spacing w:val="-9"/>
                <w:sz w:val="18"/>
                <w:szCs w:val="18"/>
              </w:rPr>
              <w:t>股，实际合</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19,253,500 </w:t>
            </w:r>
            <w:r>
              <w:rPr>
                <w:rFonts w:ascii="宋体" w:hAnsi="宋体" w:cs="宋体" w:eastAsia="宋体" w:hint="default"/>
                <w:sz w:val="18"/>
                <w:szCs w:val="18"/>
              </w:rPr>
              <w:t>股。</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控股股东性质：自然人控股</w:t>
      </w:r>
    </w:p>
    <w:p>
      <w:pPr>
        <w:spacing w:after="0" w:line="240" w:lineRule="auto"/>
        <w:jc w:val="left"/>
        <w:sectPr>
          <w:pgSz w:w="11910" w:h="16840"/>
          <w:pgMar w:header="852" w:footer="980" w:top="1300" w:bottom="1160" w:left="980" w:right="0"/>
        </w:sectPr>
      </w:pPr>
    </w:p>
    <w:p>
      <w:pPr>
        <w:pStyle w:val="BodyText"/>
        <w:spacing w:line="240" w:lineRule="auto" w:before="142"/>
        <w:ind w:right="1133"/>
        <w:jc w:val="left"/>
      </w:pPr>
      <w:r>
        <w:rPr/>
        <w:t>控股股东类型：法人</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珠海宇琴鸿泰信息咨询有 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91440400324750713D</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对外投资等</w:t>
            </w:r>
          </w:p>
        </w:tc>
      </w:tr>
      <w:tr>
        <w:trPr>
          <w:trHeight w:val="102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控股股东报告期内变更</w:t>
      </w:r>
    </w:p>
    <w:p>
      <w:pPr>
        <w:pStyle w:val="BodyText"/>
        <w:spacing w:line="338" w:lineRule="auto" w:before="117"/>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41"/>
              <w:jc w:val="left"/>
              <w:rPr>
                <w:rFonts w:ascii="宋体" w:hAnsi="宋体" w:cs="宋体" w:eastAsia="宋体" w:hint="default"/>
                <w:sz w:val="18"/>
                <w:szCs w:val="18"/>
              </w:rPr>
            </w:pPr>
            <w:r>
              <w:rPr>
                <w:rFonts w:ascii="宋体" w:hAnsi="宋体" w:cs="宋体" w:eastAsia="宋体" w:hint="default"/>
                <w:sz w:val="18"/>
                <w:szCs w:val="18"/>
              </w:rPr>
              <w:t>实际控制人洪卫东于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年曾控股纳斯达克上市公司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Yucheng</w:t>
            </w:r>
            <w:r>
              <w:rPr>
                <w:rFonts w:ascii="宋体" w:hAnsi="宋体" w:cs="宋体" w:eastAsia="宋体" w:hint="default"/>
                <w:sz w:val="18"/>
                <w:szCs w:val="18"/>
              </w:rPr>
              <w:t>，股票简称为 </w:t>
            </w:r>
            <w:r>
              <w:rPr>
                <w:rFonts w:ascii="Times New Roman" w:hAnsi="Times New Roman" w:cs="Times New Roman" w:eastAsia="Times New Roman" w:hint="default"/>
                <w:sz w:val="18"/>
                <w:szCs w:val="18"/>
              </w:rPr>
              <w:t>YTEC</w:t>
            </w:r>
            <w:r>
              <w:rPr>
                <w:rFonts w:ascii="宋体" w:hAnsi="宋体" w:cs="宋体" w:eastAsia="宋体" w:hint="default"/>
                <w:sz w:val="18"/>
                <w:szCs w:val="18"/>
              </w:rPr>
              <w:t>。</w:t>
            </w:r>
          </w:p>
        </w:tc>
      </w:tr>
    </w:tbl>
    <w:p>
      <w:pPr>
        <w:pStyle w:val="BodyText"/>
        <w:spacing w:line="240" w:lineRule="auto" w:before="65"/>
        <w:ind w:right="1133"/>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17"/>
          <w:szCs w:val="17"/>
        </w:rPr>
      </w:pPr>
    </w:p>
    <w:p>
      <w:pPr>
        <w:spacing w:line="3358" w:lineRule="exact"/>
        <w:ind w:left="3851"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1423161" cy="2132838"/>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20" cstate="print"/>
                    <a:stretch>
                      <a:fillRect/>
                    </a:stretch>
                  </pic:blipFill>
                  <pic:spPr>
                    <a:xfrm>
                      <a:off x="0" y="0"/>
                      <a:ext cx="1423161" cy="2132838"/>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
        <w:rPr>
          <w:rFonts w:ascii="宋体" w:hAnsi="宋体" w:cs="宋体" w:eastAsia="宋体" w:hint="default"/>
          <w:sz w:val="19"/>
          <w:szCs w:val="19"/>
        </w:rPr>
      </w:pPr>
    </w:p>
    <w:p>
      <w:pPr>
        <w:pStyle w:val="BodyText"/>
        <w:spacing w:line="240" w:lineRule="auto"/>
        <w:ind w:right="1133"/>
        <w:jc w:val="left"/>
      </w:pPr>
      <w:r>
        <w:rPr/>
        <w:t>实际控制人通过信托或其他资产管理方式控制公司</w:t>
      </w:r>
    </w:p>
    <w:p>
      <w:pPr>
        <w:spacing w:line="240" w:lineRule="auto" w:before="11"/>
        <w:rPr>
          <w:rFonts w:ascii="宋体" w:hAnsi="宋体" w:cs="宋体" w:eastAsia="宋体" w:hint="default"/>
          <w:sz w:val="20"/>
          <w:szCs w:val="20"/>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00" w:bottom="1160" w:left="980" w:right="0"/>
        </w:sectPr>
      </w:pPr>
    </w:p>
    <w:p>
      <w:pPr>
        <w:pStyle w:val="Heading3"/>
        <w:spacing w:line="240" w:lineRule="auto" w:before="122"/>
        <w:ind w:right="1133"/>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0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365" w:right="1133"/>
        <w:jc w:val="left"/>
        <w:rPr>
          <w:b w:val="0"/>
          <w:bCs w:val="0"/>
        </w:rPr>
      </w:pPr>
      <w:bookmarkStart w:name="第七节优先股相关情况" w:id="118"/>
      <w:bookmarkEnd w:id="118"/>
      <w:r>
        <w:rPr>
          <w:b w:val="0"/>
          <w:bCs w:val="0"/>
        </w:rPr>
      </w:r>
      <w:bookmarkStart w:name="_bookmark6" w:id="119"/>
      <w:bookmarkEnd w:id="119"/>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52" w:footer="980" w:top="130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23" w:right="1133"/>
        <w:jc w:val="left"/>
        <w:rPr>
          <w:b w:val="0"/>
          <w:bCs w:val="0"/>
        </w:rPr>
      </w:pPr>
      <w:bookmarkStart w:name="第八节可转换公司债券相关情况" w:id="120"/>
      <w:bookmarkEnd w:id="120"/>
      <w:r>
        <w:rPr>
          <w:b w:val="0"/>
          <w:bCs w:val="0"/>
        </w:rPr>
      </w:r>
      <w:bookmarkStart w:name="_bookmark7" w:id="121"/>
      <w:bookmarkEnd w:id="121"/>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852" w:footer="980" w:top="130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758" w:right="1133"/>
        <w:jc w:val="left"/>
        <w:rPr>
          <w:b w:val="0"/>
          <w:bCs w:val="0"/>
        </w:rPr>
      </w:pPr>
      <w:bookmarkStart w:name="第九节董事、监事、高级管理人员和员工情况" w:id="122"/>
      <w:bookmarkEnd w:id="122"/>
      <w:r>
        <w:rPr>
          <w:b w:val="0"/>
          <w:bCs w:val="0"/>
        </w:rPr>
      </w:r>
      <w:bookmarkStart w:name="_bookmark8" w:id="123"/>
      <w:bookmarkEnd w:id="123"/>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董事、财 务总监、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雷家骕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封竞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任利京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陈京蓉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于新民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4"/>
        <w:rPr>
          <w:rFonts w:ascii="宋体" w:hAnsi="宋体" w:cs="宋体" w:eastAsia="宋体" w:hint="default"/>
          <w:b/>
          <w:bCs/>
          <w:sz w:val="10"/>
          <w:szCs w:val="10"/>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陈峰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范庆骅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梁强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欧阳忠诚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郑春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王燕梅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宋开宇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王建强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w:t>
            </w:r>
          </w:p>
        </w:tc>
      </w:tr>
    </w:tbl>
    <w:p>
      <w:pPr>
        <w:spacing w:line="240" w:lineRule="auto" w:before="1"/>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bookmarkStart w:name="二、公司董事、监事、高级管理人员变动情况" w:id="125"/>
      <w:bookmarkEnd w:id="125"/>
      <w:r>
        <w:rPr/>
      </w: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2391"/>
        <w:gridCol w:w="318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pStyle w:val="Heading2"/>
        <w:spacing w:line="240" w:lineRule="auto" w:before="96"/>
        <w:ind w:right="1133"/>
        <w:jc w:val="left"/>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BodyText"/>
        <w:spacing w:line="240" w:lineRule="auto" w:before="115"/>
        <w:ind w:right="1133"/>
        <w:jc w:val="left"/>
      </w:pPr>
      <w:r>
        <w:rPr/>
        <w:t>（一）董事</w:t>
      </w:r>
    </w:p>
    <w:p>
      <w:pPr>
        <w:pStyle w:val="BodyText"/>
        <w:spacing w:line="240" w:lineRule="auto" w:before="117"/>
        <w:ind w:left="513" w:right="986"/>
        <w:jc w:val="left"/>
      </w:pPr>
      <w:r>
        <w:rPr>
          <w:rFonts w:ascii="Times New Roman" w:hAnsi="Times New Roman" w:cs="Times New Roman" w:eastAsia="Times New Roman" w:hint="default"/>
        </w:rPr>
        <w:t>1</w:t>
      </w:r>
      <w:r>
        <w:rPr/>
        <w:t>、洪卫东先生，中国国籍，无境外永久居留权，</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9</w:t>
      </w:r>
      <w:r>
        <w:rPr/>
        <w:t>月生，清华大学硕士学历。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月任西科姆</w:t>
      </w:r>
    </w:p>
    <w:p>
      <w:pPr>
        <w:pStyle w:val="BodyText"/>
        <w:spacing w:line="300" w:lineRule="auto" w:before="63"/>
        <w:ind w:right="1133"/>
        <w:jc w:val="left"/>
      </w:pPr>
      <w:r>
        <w:rPr>
          <w:spacing w:val="-2"/>
        </w:rPr>
        <w:t>（中国）有限公司部门经理，</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6</w:t>
      </w:r>
      <w:r>
        <w:rPr>
          <w:spacing w:val="-2"/>
        </w:rPr>
        <w:t>月担任北京高伟达科技发展有限公司总经理，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6</w:t>
      </w:r>
      <w:r>
        <w:rPr>
          <w:spacing w:val="-2"/>
        </w:rPr>
        <w:t>月任宇</w:t>
      </w:r>
      <w:r>
        <w:rPr>
          <w:spacing w:val="-50"/>
        </w:rPr>
        <w:t> </w:t>
      </w:r>
      <w:r>
        <w:rPr>
          <w:spacing w:val="-50"/>
        </w:rPr>
      </w:r>
      <w:r>
        <w:rPr/>
        <w:t>信鸿泰</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月至今任公司</w:t>
      </w:r>
      <w:r>
        <w:rPr>
          <w:rFonts w:ascii="Times New Roman" w:hAnsi="Times New Roman" w:cs="Times New Roman" w:eastAsia="Times New Roman" w:hint="default"/>
        </w:rPr>
        <w:t>CEO</w:t>
      </w:r>
      <w:r>
        <w:rPr/>
        <w:t>。现任公司董事长兼总经理。</w:t>
      </w:r>
    </w:p>
    <w:p>
      <w:pPr>
        <w:pStyle w:val="BodyText"/>
        <w:spacing w:line="300" w:lineRule="auto" w:before="53"/>
        <w:ind w:right="1028" w:firstLine="360"/>
        <w:jc w:val="left"/>
      </w:pPr>
      <w:r>
        <w:rPr>
          <w:rFonts w:ascii="Times New Roman" w:hAnsi="Times New Roman" w:cs="Times New Roman" w:eastAsia="Times New Roman" w:hint="default"/>
        </w:rPr>
        <w:t>2</w:t>
      </w:r>
      <w:r>
        <w:rPr/>
        <w:t>、戴士平（护照姓名</w:t>
      </w:r>
      <w:r>
        <w:rPr>
          <w:rFonts w:ascii="Times New Roman" w:hAnsi="Times New Roman" w:cs="Times New Roman" w:eastAsia="Times New Roman" w:hint="default"/>
        </w:rPr>
        <w:t>Steve</w:t>
      </w:r>
      <w:r>
        <w:rPr>
          <w:rFonts w:ascii="Times New Roman" w:hAnsi="Times New Roman" w:cs="Times New Roman" w:eastAsia="Times New Roman" w:hint="default"/>
          <w:spacing w:val="-22"/>
        </w:rPr>
        <w:t> </w:t>
      </w:r>
      <w:r>
        <w:rPr>
          <w:rFonts w:ascii="Times New Roman" w:hAnsi="Times New Roman" w:cs="Times New Roman" w:eastAsia="Times New Roman" w:hint="default"/>
        </w:rPr>
        <w:t>Shiping</w:t>
      </w:r>
      <w:r>
        <w:rPr>
          <w:rFonts w:ascii="Times New Roman" w:hAnsi="Times New Roman" w:cs="Times New Roman" w:eastAsia="Times New Roman" w:hint="default"/>
          <w:spacing w:val="-22"/>
        </w:rPr>
        <w:t> </w:t>
      </w:r>
      <w:r>
        <w:rPr>
          <w:rFonts w:ascii="Times New Roman" w:hAnsi="Times New Roman" w:cs="Times New Roman" w:eastAsia="Times New Roman" w:hint="default"/>
        </w:rPr>
        <w:t>Dai</w:t>
      </w:r>
      <w:r>
        <w:rPr/>
        <w:t>）先生，美国国籍，持有《中华人民共和国外国人永久居留证》，</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w:t>
      </w:r>
      <w:r>
        <w:rPr/>
        <w:t>月生， </w:t>
      </w:r>
      <w:r>
        <w:rPr>
          <w:spacing w:val="-2"/>
        </w:rPr>
        <w:t>宾夕法尼亚大学硕士学历。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w:t>
      </w:r>
      <w:r>
        <w:rPr>
          <w:spacing w:val="-2"/>
        </w:rPr>
        <w:t>月任</w:t>
      </w:r>
      <w:r>
        <w:rPr>
          <w:rFonts w:ascii="Times New Roman" w:hAnsi="Times New Roman" w:cs="Times New Roman" w:eastAsia="Times New Roman" w:hint="default"/>
          <w:spacing w:val="-2"/>
        </w:rPr>
        <w:t>UBS</w:t>
      </w:r>
      <w:r>
        <w:rPr>
          <w:spacing w:val="-2"/>
        </w:rPr>
        <w:t>投资银行兼并收购部经理，</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12</w:t>
      </w:r>
      <w:r>
        <w:rPr>
          <w:spacing w:val="-2"/>
        </w:rPr>
        <w:t>月任四川中小企</w:t>
      </w:r>
      <w:r>
        <w:rPr>
          <w:spacing w:val="-35"/>
        </w:rPr>
        <w:t> </w:t>
      </w:r>
      <w:r>
        <w:rPr>
          <w:spacing w:val="-2"/>
        </w:rPr>
        <w:t>业投资基金副总裁，</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月任北京泰鸿投资有限公司副总裁、首席财务官，</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spacing w:val="-2"/>
        </w:rPr>
        <w:t>月任北京博</w:t>
      </w:r>
      <w:r>
        <w:rPr>
          <w:spacing w:val="-47"/>
        </w:rPr>
        <w:t> </w:t>
      </w:r>
      <w:r>
        <w:rPr/>
        <w:t>彦科技有限责任公司高级副总裁、首席财务官，</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月至今担任公司高级副总裁、首席财务官。现任公司董事兼财务总</w:t>
      </w:r>
      <w:r>
        <w:rPr>
          <w:spacing w:val="-85"/>
        </w:rPr>
        <w:t> </w:t>
      </w:r>
      <w:r>
        <w:rPr>
          <w:spacing w:val="-85"/>
        </w:rPr>
      </w:r>
      <w:r>
        <w:rPr/>
        <w:t>监、董事会秘书。</w:t>
      </w:r>
    </w:p>
    <w:p>
      <w:pPr>
        <w:pStyle w:val="BodyText"/>
        <w:spacing w:line="300" w:lineRule="auto" w:before="70"/>
        <w:ind w:right="1128" w:firstLine="360"/>
        <w:jc w:val="both"/>
      </w:pPr>
      <w:r>
        <w:rPr>
          <w:rFonts w:ascii="Times New Roman" w:hAnsi="Times New Roman" w:cs="Times New Roman" w:eastAsia="Times New Roman" w:hint="default"/>
          <w:spacing w:val="-2"/>
        </w:rPr>
        <w:t>3</w:t>
      </w:r>
      <w:r>
        <w:rPr>
          <w:spacing w:val="-2"/>
        </w:rPr>
        <w:t>、李建国先生，中国国籍，无境外永久居留权，</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8</w:t>
      </w:r>
      <w:r>
        <w:rPr>
          <w:spacing w:val="-2"/>
        </w:rPr>
        <w:t>月生，中国人民大学博士学历。</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4</w:t>
      </w:r>
      <w:r>
        <w:rPr>
          <w:spacing w:val="-2"/>
        </w:rPr>
        <w:t>月任国家</w:t>
      </w:r>
      <w:r>
        <w:rPr/>
        <w:t> 经济贸易委员会副处长，</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月历任联想集团业务发展部、公关部、人力资源部副总经理、总经理，</w:t>
      </w:r>
      <w:r>
        <w:rPr>
          <w:rFonts w:ascii="Times New Roman" w:hAnsi="Times New Roman" w:cs="Times New Roman" w:eastAsia="Times New Roman" w:hint="default"/>
        </w:rPr>
        <w:t>2001</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w:t>
      </w:r>
      <w:r>
        <w:rPr>
          <w:spacing w:val="-2"/>
        </w:rPr>
        <w:t>月任联想投资有限公司创始合伙人、董事总经理，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月任联想控股弘毅投资有限公司创始</w:t>
      </w:r>
      <w:r>
        <w:rPr>
          <w:spacing w:val="-56"/>
        </w:rPr>
        <w:t> </w:t>
      </w:r>
      <w:r>
        <w:rPr>
          <w:spacing w:val="-56"/>
        </w:rPr>
      </w:r>
      <w:r>
        <w:rPr/>
        <w:t>合伙人、董事总经理，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月至今任雷岩投资有限公司执行董事、总经理。现任公司董事。</w:t>
      </w:r>
    </w:p>
    <w:p>
      <w:pPr>
        <w:pStyle w:val="BodyText"/>
        <w:spacing w:line="300" w:lineRule="auto" w:before="53"/>
        <w:ind w:right="1126" w:firstLine="360"/>
        <w:jc w:val="both"/>
      </w:pPr>
      <w:r>
        <w:rPr>
          <w:rFonts w:ascii="Times New Roman" w:hAnsi="Times New Roman" w:cs="Times New Roman" w:eastAsia="Times New Roman" w:hint="default"/>
          <w:spacing w:val="-2"/>
        </w:rPr>
        <w:t>4</w:t>
      </w:r>
      <w:r>
        <w:rPr>
          <w:spacing w:val="-2"/>
        </w:rPr>
        <w:t>、雷家骕先生，中国国籍，无境外永久居留权，</w:t>
      </w:r>
      <w:r>
        <w:rPr>
          <w:rFonts w:ascii="Times New Roman" w:hAnsi="Times New Roman" w:cs="Times New Roman" w:eastAsia="Times New Roman" w:hint="default"/>
          <w:spacing w:val="-2"/>
        </w:rPr>
        <w:t>1955</w:t>
      </w:r>
      <w:r>
        <w:rPr>
          <w:spacing w:val="-2"/>
        </w:rPr>
        <w:t>年</w:t>
      </w:r>
      <w:r>
        <w:rPr>
          <w:rFonts w:ascii="Times New Roman" w:hAnsi="Times New Roman" w:cs="Times New Roman" w:eastAsia="Times New Roman" w:hint="default"/>
          <w:spacing w:val="-2"/>
        </w:rPr>
        <w:t>8</w:t>
      </w:r>
      <w:r>
        <w:rPr>
          <w:spacing w:val="-2"/>
        </w:rPr>
        <w:t>月生，清华大学博士学历，教授。</w:t>
      </w:r>
      <w:r>
        <w:rPr>
          <w:rFonts w:ascii="Times New Roman" w:hAnsi="Times New Roman" w:cs="Times New Roman" w:eastAsia="Times New Roman" w:hint="default"/>
          <w:spacing w:val="-2"/>
        </w:rPr>
        <w:t>1983</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8</w:t>
      </w:r>
      <w:r>
        <w:rPr>
          <w:spacing w:val="-2"/>
        </w:rPr>
        <w:t>月任西</w:t>
      </w:r>
      <w:r>
        <w:rPr/>
        <w:t> </w:t>
      </w:r>
      <w:r>
        <w:rPr>
          <w:spacing w:val="-3"/>
        </w:rPr>
        <w:t>安电子科技大学讲师、党支书，</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2</w:t>
      </w:r>
      <w:r>
        <w:rPr>
          <w:spacing w:val="-3"/>
        </w:rPr>
        <w:t>月至</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12</w:t>
      </w:r>
      <w:r>
        <w:rPr>
          <w:spacing w:val="-3"/>
        </w:rPr>
        <w:t>月任清华大学经济管理学院副教授、清华大学校长办公室副主任，</w:t>
      </w:r>
      <w:r>
        <w:rPr>
          <w:rFonts w:ascii="Times New Roman" w:hAnsi="Times New Roman" w:cs="Times New Roman" w:eastAsia="Times New Roman" w:hint="default"/>
          <w:spacing w:val="-3"/>
        </w:rPr>
        <w:t>1991</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w:t>
      </w:r>
      <w:r>
        <w:rPr>
          <w:rFonts w:ascii="Times New Roman" w:hAnsi="Times New Roman" w:cs="Times New Roman" w:eastAsia="Times New Roman" w:hint="default"/>
        </w:rPr>
        <w:t>1</w:t>
      </w:r>
      <w:r>
        <w:rPr/>
        <w:t>月至今历任清华大学经济管理学院副教授、教授，现任清华大学经济管理学院教授、清华大学中国企业成长与经济安全</w:t>
      </w:r>
      <w:r>
        <w:rPr>
          <w:spacing w:val="-84"/>
        </w:rPr>
        <w:t> </w:t>
      </w:r>
      <w:r>
        <w:rPr>
          <w:spacing w:val="-84"/>
        </w:rPr>
      </w:r>
      <w:r>
        <w:rPr/>
        <w:t>研究中心主任。现任公司独立董事。</w:t>
      </w:r>
    </w:p>
    <w:p>
      <w:pPr>
        <w:pStyle w:val="BodyText"/>
        <w:spacing w:line="300" w:lineRule="auto" w:before="72"/>
        <w:ind w:right="1130" w:firstLine="360"/>
        <w:jc w:val="both"/>
      </w:pPr>
      <w:r>
        <w:rPr>
          <w:rFonts w:ascii="Times New Roman" w:hAnsi="Times New Roman" w:cs="Times New Roman" w:eastAsia="Times New Roman" w:hint="default"/>
        </w:rPr>
        <w:t>5</w:t>
      </w:r>
      <w:r>
        <w:rPr/>
        <w:t>、封竞先生，中国国籍，无境外永久居留权，</w:t>
      </w:r>
      <w:r>
        <w:rPr>
          <w:rFonts w:ascii="Times New Roman" w:hAnsi="Times New Roman" w:cs="Times New Roman" w:eastAsia="Times New Roman" w:hint="default"/>
        </w:rPr>
        <w:t>1951</w:t>
      </w:r>
      <w:r>
        <w:rPr/>
        <w:t>年</w:t>
      </w:r>
      <w:r>
        <w:rPr>
          <w:rFonts w:ascii="Times New Roman" w:hAnsi="Times New Roman" w:cs="Times New Roman" w:eastAsia="Times New Roman" w:hint="default"/>
        </w:rPr>
        <w:t>8</w:t>
      </w:r>
      <w:r>
        <w:rPr/>
        <w:t>月生，东北财经大学硕士学历，高级经济师。</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1986 </w:t>
      </w:r>
      <w:r>
        <w:rPr/>
        <w:t>年</w:t>
      </w:r>
      <w:r>
        <w:rPr>
          <w:rFonts w:ascii="Times New Roman" w:hAnsi="Times New Roman" w:cs="Times New Roman" w:eastAsia="Times New Roman" w:hint="default"/>
        </w:rPr>
        <w:t>8</w:t>
      </w:r>
      <w:r>
        <w:rPr/>
        <w:t>月任中国建设银行扬州市支行拨款员、副科长、科长，</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11</w:t>
      </w:r>
      <w:r>
        <w:rPr/>
        <w:t>月任中国建设银行仪征市支行行长，</w:t>
      </w:r>
      <w:r>
        <w:rPr>
          <w:rFonts w:ascii="Times New Roman" w:hAnsi="Times New Roman" w:cs="Times New Roman" w:eastAsia="Times New Roman" w:hint="default"/>
        </w:rPr>
        <w:t>1988</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月历任中国建设银行江苏省分行副处长、处长、副行长、党组成员，</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月任中国建设银 </w:t>
      </w:r>
      <w:r>
        <w:rPr>
          <w:spacing w:val="-2"/>
        </w:rPr>
        <w:t>行信用卡部总经理，</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月任中国建设银行内蒙古分行行长、党委书记，</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月任中国建</w:t>
      </w:r>
      <w:r>
        <w:rPr>
          <w:spacing w:val="-52"/>
        </w:rPr>
        <w:t> </w:t>
      </w:r>
      <w:r>
        <w:rPr>
          <w:spacing w:val="-52"/>
        </w:rPr>
      </w:r>
      <w:r>
        <w:rPr/>
        <w:t>银投资有限责任公司副总裁、党委委员。现任公司独立董事。</w:t>
      </w:r>
    </w:p>
    <w:p>
      <w:pPr>
        <w:pStyle w:val="BodyText"/>
        <w:spacing w:line="300" w:lineRule="auto" w:before="70"/>
        <w:ind w:right="1126" w:firstLine="360"/>
        <w:jc w:val="both"/>
      </w:pPr>
      <w:r>
        <w:rPr>
          <w:rFonts w:ascii="Times New Roman" w:hAnsi="Times New Roman" w:cs="Times New Roman" w:eastAsia="Times New Roman" w:hint="default"/>
        </w:rPr>
        <w:t>6</w:t>
      </w:r>
      <w:r>
        <w:rPr/>
        <w:t>、毛志宏先生，中国国籍，无境外永久居留权，</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4</w:t>
      </w:r>
      <w:r>
        <w:rPr/>
        <w:t>月生，吉林大学博士学历。</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月任长春税 </w:t>
      </w:r>
      <w:r>
        <w:rPr>
          <w:spacing w:val="-2"/>
        </w:rPr>
        <w:t>务学院会计系副教授，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12</w:t>
      </w:r>
      <w:r>
        <w:rPr>
          <w:spacing w:val="-2"/>
        </w:rPr>
        <w:t>月至今任吉林大学商学院教授、博士生导师、会计系主任。</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月担任长春</w:t>
      </w:r>
      <w:r>
        <w:rPr>
          <w:spacing w:val="-50"/>
        </w:rPr>
        <w:t> </w:t>
      </w:r>
      <w:r>
        <w:rPr/>
        <w:t>一东离合器股份有限公司独立董事；</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月担任山东蓬翔汽车有限公司独立董事；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月担任 </w:t>
      </w:r>
      <w:r>
        <w:rPr>
          <w:spacing w:val="-2"/>
        </w:rPr>
        <w:t>中通国脉通信股份有限公司独立董事；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月担任吉林吉恩镍业股份有限公司独立董事；</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月至今担</w:t>
      </w:r>
      <w:r>
        <w:rPr>
          <w:spacing w:val="-57"/>
        </w:rPr>
        <w:t> </w:t>
      </w:r>
      <w:r>
        <w:rPr>
          <w:spacing w:val="-57"/>
        </w:rPr>
      </w:r>
      <w:r>
        <w:rPr/>
        <w:t>任安华农业保险股份有限公司独立董事，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月至今担任长春高新技术产业（集团）股份有限公司独立董事，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t>月至今担任吉林省金冠电气股份有限公司独立董事。现任公司独立董事。</w:t>
      </w:r>
    </w:p>
    <w:p>
      <w:pPr>
        <w:pStyle w:val="BodyText"/>
        <w:spacing w:line="300" w:lineRule="auto" w:before="72"/>
        <w:ind w:right="1034" w:firstLine="360"/>
        <w:jc w:val="left"/>
      </w:pPr>
      <w:r>
        <w:rPr>
          <w:rFonts w:ascii="Times New Roman" w:hAnsi="Times New Roman" w:cs="Times New Roman" w:eastAsia="Times New Roman" w:hint="default"/>
          <w:spacing w:val="-2"/>
        </w:rPr>
        <w:t>7</w:t>
      </w:r>
      <w:r>
        <w:rPr>
          <w:spacing w:val="-2"/>
        </w:rPr>
        <w:t>、陈静女士，中国国籍，拥有美国永久居留权，</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2</w:t>
      </w:r>
      <w:r>
        <w:rPr>
          <w:spacing w:val="-2"/>
        </w:rPr>
        <w:t>月生，美国杨百翰大学硕士学历。</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4</w:t>
      </w:r>
      <w:r>
        <w:rPr>
          <w:spacing w:val="-2"/>
        </w:rPr>
        <w:t>月任中</w:t>
      </w:r>
      <w:r>
        <w:rPr/>
        <w:t> </w:t>
      </w:r>
      <w:r>
        <w:rPr>
          <w:spacing w:val="-3"/>
        </w:rPr>
        <w:t>国海洋石油总公司财务部干部，</w:t>
      </w:r>
      <w:r>
        <w:rPr>
          <w:rFonts w:ascii="Times New Roman" w:hAnsi="Times New Roman" w:cs="Times New Roman" w:eastAsia="Times New Roman" w:hint="default"/>
          <w:spacing w:val="-3"/>
        </w:rPr>
        <w:t>1987</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1989</w:t>
      </w:r>
      <w:r>
        <w:rPr>
          <w:spacing w:val="-3"/>
        </w:rPr>
        <w:t>年</w:t>
      </w:r>
      <w:r>
        <w:rPr>
          <w:rFonts w:ascii="Times New Roman" w:hAnsi="Times New Roman" w:cs="Times New Roman" w:eastAsia="Times New Roman" w:hint="default"/>
          <w:spacing w:val="-3"/>
        </w:rPr>
        <w:t>6</w:t>
      </w:r>
      <w:r>
        <w:rPr>
          <w:spacing w:val="-3"/>
        </w:rPr>
        <w:t>月任中外运</w:t>
      </w:r>
      <w:r>
        <w:rPr>
          <w:rFonts w:ascii="Times New Roman" w:hAnsi="Times New Roman" w:cs="Times New Roman" w:eastAsia="Times New Roman" w:hint="default"/>
          <w:spacing w:val="-3"/>
        </w:rPr>
        <w:t>—</w:t>
      </w:r>
      <w:r>
        <w:rPr>
          <w:spacing w:val="-3"/>
        </w:rPr>
        <w:t>敦豪国际航空快件有限公司财务部经理，</w:t>
      </w:r>
      <w:r>
        <w:rPr>
          <w:rFonts w:ascii="Times New Roman" w:hAnsi="Times New Roman" w:cs="Times New Roman" w:eastAsia="Times New Roman" w:hint="default"/>
          <w:spacing w:val="-3"/>
        </w:rPr>
        <w:t>1993</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1996</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w:t>
      </w:r>
      <w:r>
        <w:rPr>
          <w:rFonts w:ascii="Times New Roman" w:hAnsi="Times New Roman" w:cs="Times New Roman" w:eastAsia="Times New Roman" w:hint="default"/>
        </w:rPr>
        <w:t>9</w:t>
      </w:r>
      <w:r>
        <w:rPr/>
        <w:t>月任普华会计师事务所华盛顿办事处审计师，</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月历任世界银行总部高级会计官员、高级金融官员， </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月任中国证监会规划委高级顾问委员兼会计部副主任，</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月任中国投资有限责任公司</w:t>
      </w:r>
      <w:r>
        <w:rPr>
          <w:spacing w:val="-53"/>
        </w:rPr>
        <w:t> </w:t>
      </w:r>
      <w:r>
        <w:rPr>
          <w:spacing w:val="-53"/>
        </w:rPr>
      </w:r>
      <w:r>
        <w:rPr/>
        <w:t>财务部副总监、董事总经理，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月任世界银行多边投资担保机构及国际金融公司的北京办公室高级金融</w:t>
      </w:r>
      <w:r>
        <w:rPr>
          <w:spacing w:val="-87"/>
        </w:rPr>
        <w:t> </w:t>
      </w:r>
      <w:r>
        <w:rPr>
          <w:spacing w:val="-87"/>
        </w:rPr>
      </w:r>
      <w:r>
        <w:rPr/>
        <w:t>官员，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月至今任瑞士合众集团（</w:t>
      </w:r>
      <w:r>
        <w:rPr>
          <w:rFonts w:ascii="Times New Roman" w:hAnsi="Times New Roman" w:cs="Times New Roman" w:eastAsia="Times New Roman" w:hint="default"/>
        </w:rPr>
        <w:t>Partners Group</w:t>
      </w:r>
      <w:r>
        <w:rPr/>
        <w:t>）中国董事会成员，</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月至今任海富通基金管理有限公司独立</w:t>
      </w:r>
      <w:r>
        <w:rPr>
          <w:spacing w:val="-64"/>
        </w:rPr>
        <w:t> </w:t>
      </w:r>
      <w:r>
        <w:rPr>
          <w:spacing w:val="-64"/>
        </w:rPr>
      </w:r>
      <w:r>
        <w:rPr/>
        <w:t>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日至今任公司独立董事。现任公司独立董事。</w:t>
      </w:r>
    </w:p>
    <w:p>
      <w:pPr>
        <w:pStyle w:val="BodyText"/>
        <w:spacing w:line="240" w:lineRule="auto" w:before="51"/>
        <w:ind w:right="1133"/>
        <w:jc w:val="left"/>
      </w:pPr>
      <w:r>
        <w:rPr/>
        <w:t>（二）监事</w:t>
      </w:r>
    </w:p>
    <w:p>
      <w:pPr>
        <w:pStyle w:val="BodyText"/>
        <w:spacing w:line="300" w:lineRule="auto" w:before="117"/>
        <w:ind w:right="1128" w:firstLine="360"/>
        <w:jc w:val="both"/>
      </w:pPr>
      <w:r>
        <w:rPr>
          <w:rFonts w:ascii="Times New Roman" w:hAnsi="Times New Roman" w:cs="Times New Roman" w:eastAsia="Times New Roman" w:hint="default"/>
          <w:spacing w:val="-2"/>
        </w:rPr>
        <w:t>1</w:t>
      </w:r>
      <w:r>
        <w:rPr>
          <w:spacing w:val="-2"/>
        </w:rPr>
        <w:t>、任利京先生，中国国籍，无境外永久居留权，</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11</w:t>
      </w:r>
      <w:r>
        <w:rPr>
          <w:spacing w:val="-2"/>
        </w:rPr>
        <w:t>月生，清华大学硕士学历。</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10</w:t>
      </w:r>
      <w:r>
        <w:rPr>
          <w:spacing w:val="-2"/>
        </w:rPr>
        <w:t>月任北京中</w:t>
      </w:r>
      <w:r>
        <w:rPr/>
        <w:t> 联兴达软件工程有限公司副总裁，</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月任北京华信正合信息技术有限公司总经理，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 </w:t>
      </w:r>
      <w:r>
        <w:rPr/>
        <w:t>月任北京同方北美科技有限公司总经理，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月加入公司并任公司高级副总裁至今，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月任公司副总</w:t>
      </w:r>
      <w:r>
        <w:rPr>
          <w:spacing w:val="-87"/>
        </w:rPr>
        <w:t> </w:t>
      </w:r>
      <w:r>
        <w:rPr/>
        <w:t>经理。现任公司监事会主席。</w:t>
      </w:r>
    </w:p>
    <w:p>
      <w:pPr>
        <w:spacing w:after="0" w:line="300" w:lineRule="auto"/>
        <w:jc w:val="both"/>
        <w:sectPr>
          <w:pgSz w:w="11910" w:h="16840"/>
          <w:pgMar w:header="852" w:footer="980" w:top="1300" w:bottom="1160" w:left="980" w:right="0"/>
        </w:sectPr>
      </w:pPr>
    </w:p>
    <w:p>
      <w:pPr>
        <w:pStyle w:val="BodyText"/>
        <w:spacing w:line="300" w:lineRule="auto" w:before="142"/>
        <w:ind w:right="1128" w:firstLine="360"/>
        <w:jc w:val="both"/>
      </w:pPr>
      <w:r>
        <w:rPr>
          <w:rFonts w:ascii="Times New Roman" w:hAnsi="Times New Roman" w:cs="Times New Roman" w:eastAsia="Times New Roman" w:hint="default"/>
        </w:rPr>
        <w:t>2</w:t>
      </w:r>
      <w:r>
        <w:rPr/>
        <w:t>、陈京蓉女士，中国国籍，无境外永久居留权，</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6</w:t>
      </w:r>
      <w:r>
        <w:rPr/>
        <w:t>月生，中国人民大学本科学历。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4</w:t>
      </w:r>
      <w:r>
        <w:rPr/>
        <w:t>月任西 科姆（中国）有限公司会计，</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月任北京高伟达科技发展有限公司会计，</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月任宇信 鸿泰财务经理，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月至今任公司财务经理。现任公司监事。</w:t>
      </w:r>
    </w:p>
    <w:p>
      <w:pPr>
        <w:pStyle w:val="BodyText"/>
        <w:spacing w:line="240" w:lineRule="auto" w:before="53"/>
        <w:ind w:left="513" w:right="986"/>
        <w:jc w:val="left"/>
      </w:pPr>
      <w:r>
        <w:rPr>
          <w:rFonts w:ascii="Times New Roman" w:hAnsi="Times New Roman" w:cs="Times New Roman" w:eastAsia="Times New Roman" w:hint="default"/>
        </w:rPr>
        <w:t>3</w:t>
      </w:r>
      <w:r>
        <w:rPr/>
        <w:t>、于新民女士，中国国籍，无境外永久居留权，</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7</w:t>
      </w:r>
      <w:r>
        <w:rPr/>
        <w:t>月生，中国人民解放军第二炮兵工程学院本科学历，工程师。</w:t>
      </w:r>
    </w:p>
    <w:p>
      <w:pPr>
        <w:pStyle w:val="BodyText"/>
        <w:spacing w:line="300" w:lineRule="auto" w:before="63"/>
        <w:ind w:right="1126"/>
        <w:jc w:val="both"/>
      </w:pPr>
      <w:r>
        <w:rPr>
          <w:rFonts w:ascii="Times New Roman" w:hAnsi="Times New Roman" w:cs="Times New Roman" w:eastAsia="Times New Roman" w:hint="default"/>
        </w:rPr>
        <w:t>1983</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月任北京长城无线电厂技术员，</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4</w:t>
      </w:r>
      <w:r>
        <w:rPr/>
        <w:t>月任北京燕山电子设备厂软件室程序员，</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5 </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6</w:t>
      </w:r>
      <w:r>
        <w:rPr/>
        <w:t>月任</w:t>
      </w:r>
      <w:r>
        <w:rPr>
          <w:rFonts w:ascii="Times New Roman" w:hAnsi="Times New Roman" w:cs="Times New Roman" w:eastAsia="Times New Roman" w:hint="default"/>
        </w:rPr>
        <w:t>AST</w:t>
      </w:r>
      <w:r>
        <w:rPr/>
        <w:t>北京办事处技术部技术支持，</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月任北京双语教育电子有限公司行政部经理，</w:t>
      </w:r>
      <w:r>
        <w:rPr>
          <w:rFonts w:ascii="Times New Roman" w:hAnsi="Times New Roman" w:cs="Times New Roman" w:eastAsia="Times New Roman" w:hint="default"/>
        </w:rPr>
        <w:t>2003</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月任宇信鸿泰内控部主管，</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月任公司内审部主管。现任公司监事。</w:t>
      </w:r>
    </w:p>
    <w:p>
      <w:pPr>
        <w:pStyle w:val="BodyText"/>
        <w:spacing w:line="240" w:lineRule="auto" w:before="51"/>
        <w:ind w:right="0"/>
        <w:jc w:val="both"/>
      </w:pPr>
      <w:r>
        <w:rPr/>
        <w:t>（三）高级管理人员</w:t>
      </w:r>
    </w:p>
    <w:p>
      <w:pPr>
        <w:pStyle w:val="BodyText"/>
        <w:spacing w:line="240" w:lineRule="auto" w:before="117"/>
        <w:ind w:left="513" w:right="1133"/>
        <w:jc w:val="left"/>
      </w:pPr>
      <w:r>
        <w:rPr>
          <w:rFonts w:ascii="Times New Roman" w:hAnsi="Times New Roman" w:cs="Times New Roman" w:eastAsia="Times New Roman" w:hint="default"/>
        </w:rPr>
        <w:t>1</w:t>
      </w:r>
      <w:r>
        <w:rPr/>
        <w:t>、洪卫东先生，总经理，有关情况详见董事部分介绍。</w:t>
      </w:r>
    </w:p>
    <w:p>
      <w:pPr>
        <w:pStyle w:val="BodyText"/>
        <w:spacing w:line="240" w:lineRule="auto" w:before="103"/>
        <w:ind w:left="513" w:right="1133"/>
        <w:jc w:val="left"/>
      </w:pPr>
      <w:r>
        <w:rPr>
          <w:rFonts w:ascii="Times New Roman" w:hAnsi="Times New Roman" w:cs="Times New Roman" w:eastAsia="Times New Roman" w:hint="default"/>
        </w:rPr>
        <w:t>2</w:t>
      </w:r>
      <w:r>
        <w:rPr/>
        <w:t>、戴士平先生，财务总监、董事会秘书，有关情况详见董事部分介绍。</w:t>
      </w:r>
    </w:p>
    <w:p>
      <w:pPr>
        <w:pStyle w:val="BodyText"/>
        <w:spacing w:line="240" w:lineRule="auto" w:before="101"/>
        <w:ind w:left="513" w:right="986"/>
        <w:jc w:val="left"/>
      </w:pPr>
      <w:r>
        <w:rPr>
          <w:rFonts w:ascii="Times New Roman" w:hAnsi="Times New Roman" w:cs="Times New Roman" w:eastAsia="Times New Roman" w:hint="default"/>
        </w:rPr>
        <w:t>3</w:t>
      </w:r>
      <w:r>
        <w:rPr/>
        <w:t>、陈峰先生，中国国籍，无境外永久居留权，</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6</w:t>
      </w:r>
      <w:r>
        <w:rPr/>
        <w:t>月生，乌兰察布师范专科学校专科学历，工程师。</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8</w:t>
      </w:r>
      <w:r>
        <w:rPr/>
        <w:t>月至</w:t>
      </w:r>
    </w:p>
    <w:p>
      <w:pPr>
        <w:pStyle w:val="BodyText"/>
        <w:spacing w:line="300" w:lineRule="auto" w:before="63"/>
        <w:ind w:right="1131"/>
        <w:jc w:val="both"/>
      </w:pP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12</w:t>
      </w:r>
      <w:r>
        <w:rPr/>
        <w:t>月任内蒙古乌兰察布水利科研所工程师，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月任中国银行博科软件中心系统工程师，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 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月任神州数码（中国）有限公司事业部总经理，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月至今任公司高级副总裁。现任公司副总经理。</w:t>
      </w:r>
    </w:p>
    <w:p>
      <w:pPr>
        <w:pStyle w:val="BodyText"/>
        <w:spacing w:line="300" w:lineRule="auto" w:before="53"/>
        <w:ind w:right="1131" w:firstLine="360"/>
        <w:jc w:val="both"/>
      </w:pPr>
      <w:r>
        <w:rPr>
          <w:rFonts w:ascii="Times New Roman" w:hAnsi="Times New Roman" w:cs="Times New Roman" w:eastAsia="Times New Roman" w:hint="default"/>
        </w:rPr>
        <w:t>4</w:t>
      </w:r>
      <w:r>
        <w:rPr/>
        <w:t>、范庆骅先生，中国国籍，无境外永久居留权，</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7</w:t>
      </w:r>
      <w:r>
        <w:rPr/>
        <w:t>月生，澳大利亚默多克大学硕士学历。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月任广州市华南电子科技发展有限公司经理，</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月任广州市鑫箭计算机系统有限公司总经理，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 </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月任广州市宇信鸿泰科技发展有限公司总经理，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月至今任广州宇信易诚经理，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月至今任公司 副总裁。现任公司副总经理。</w:t>
      </w:r>
    </w:p>
    <w:p>
      <w:pPr>
        <w:pStyle w:val="BodyText"/>
        <w:spacing w:line="300" w:lineRule="auto" w:before="72"/>
        <w:ind w:right="1128" w:firstLine="360"/>
        <w:jc w:val="both"/>
      </w:pPr>
      <w:r>
        <w:rPr>
          <w:rFonts w:ascii="Times New Roman" w:hAnsi="Times New Roman" w:cs="Times New Roman" w:eastAsia="Times New Roman" w:hint="default"/>
          <w:spacing w:val="-2"/>
        </w:rPr>
        <w:t>5</w:t>
      </w:r>
      <w:r>
        <w:rPr>
          <w:spacing w:val="-2"/>
        </w:rPr>
        <w:t>、梁强先生，中国国籍，无境外永久居留权，</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w:t>
      </w:r>
      <w:r>
        <w:rPr>
          <w:spacing w:val="-2"/>
        </w:rPr>
        <w:t>月生，南京理工大学本科学历。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2</w:t>
      </w:r>
      <w:r>
        <w:rPr>
          <w:spacing w:val="-2"/>
        </w:rPr>
        <w:t>月任南天电</w:t>
      </w:r>
      <w:r>
        <w:rPr/>
        <w:t> </w:t>
      </w:r>
      <w:r>
        <w:rPr>
          <w:spacing w:val="-2"/>
        </w:rPr>
        <w:t>子信息产业股份有限公司软件工程师，</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9</w:t>
      </w:r>
      <w:r>
        <w:rPr>
          <w:spacing w:val="-2"/>
        </w:rPr>
        <w:t>月任易诚世纪系统分析员、部门经理，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10</w:t>
      </w:r>
      <w:r>
        <w:rPr>
          <w:spacing w:val="-2"/>
        </w:rPr>
        <w:t>月至今历任公司</w:t>
      </w:r>
      <w:r>
        <w:rPr>
          <w:spacing w:val="-52"/>
        </w:rPr>
        <w:t> </w:t>
      </w:r>
      <w:r>
        <w:rPr>
          <w:spacing w:val="-52"/>
        </w:rPr>
      </w:r>
      <w:r>
        <w:rPr/>
        <w:t>架构师、技术总监、总经理、副总裁。现任公司副总经理。</w:t>
      </w:r>
    </w:p>
    <w:p>
      <w:pPr>
        <w:pStyle w:val="BodyText"/>
        <w:spacing w:line="300" w:lineRule="auto" w:before="70"/>
        <w:ind w:right="1127" w:firstLine="360"/>
        <w:jc w:val="both"/>
      </w:pPr>
      <w:r>
        <w:rPr>
          <w:rFonts w:ascii="Times New Roman" w:hAnsi="Times New Roman" w:cs="Times New Roman" w:eastAsia="Times New Roman" w:hint="default"/>
          <w:spacing w:val="-3"/>
        </w:rPr>
        <w:t>6</w:t>
      </w:r>
      <w:r>
        <w:rPr>
          <w:spacing w:val="-3"/>
        </w:rPr>
        <w:t>、鲁军先生，中国国籍，无境外永久居留权，</w:t>
      </w:r>
      <w:r>
        <w:rPr>
          <w:rFonts w:ascii="Times New Roman" w:hAnsi="Times New Roman" w:cs="Times New Roman" w:eastAsia="Times New Roman" w:hint="default"/>
          <w:spacing w:val="-3"/>
        </w:rPr>
        <w:t>1963</w:t>
      </w:r>
      <w:r>
        <w:rPr>
          <w:spacing w:val="-3"/>
        </w:rPr>
        <w:t>年</w:t>
      </w:r>
      <w:r>
        <w:rPr>
          <w:rFonts w:ascii="Times New Roman" w:hAnsi="Times New Roman" w:cs="Times New Roman" w:eastAsia="Times New Roman" w:hint="default"/>
          <w:spacing w:val="-3"/>
        </w:rPr>
        <w:t>6</w:t>
      </w:r>
      <w:r>
        <w:rPr>
          <w:spacing w:val="-3"/>
        </w:rPr>
        <w:t>月生，大连工学院本科学历。</w:t>
      </w:r>
      <w:r>
        <w:rPr>
          <w:rFonts w:ascii="Times New Roman" w:hAnsi="Times New Roman" w:cs="Times New Roman" w:eastAsia="Times New Roman" w:hint="default"/>
          <w:spacing w:val="-3"/>
        </w:rPr>
        <w:t>1985</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1992</w:t>
      </w:r>
      <w:r>
        <w:rPr>
          <w:spacing w:val="-3"/>
        </w:rPr>
        <w:t>年</w:t>
      </w:r>
      <w:r>
        <w:rPr>
          <w:rFonts w:ascii="Times New Roman" w:hAnsi="Times New Roman" w:cs="Times New Roman" w:eastAsia="Times New Roman" w:hint="default"/>
          <w:spacing w:val="-3"/>
        </w:rPr>
        <w:t>4</w:t>
      </w:r>
      <w:r>
        <w:rPr>
          <w:spacing w:val="-3"/>
        </w:rPr>
        <w:t>月任航天部</w:t>
      </w:r>
      <w:r>
        <w:rPr>
          <w:rFonts w:ascii="Times New Roman" w:hAnsi="Times New Roman" w:cs="Times New Roman" w:eastAsia="Times New Roman" w:hint="default"/>
          <w:spacing w:val="-3"/>
        </w:rPr>
        <w:t>706</w:t>
      </w:r>
      <w:r>
        <w:rPr>
          <w:rFonts w:ascii="Times New Roman" w:hAnsi="Times New Roman" w:cs="Times New Roman" w:eastAsia="Times New Roman" w:hint="default"/>
        </w:rPr>
        <w:t> </w:t>
      </w:r>
      <w:r>
        <w:rPr>
          <w:spacing w:val="-2"/>
        </w:rPr>
        <w:t>所软件工程师，</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12</w:t>
      </w:r>
      <w:r>
        <w:rPr>
          <w:spacing w:val="-2"/>
        </w:rPr>
        <w:t>月任北京高立电脑公司部门经理，</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月任北京必嘉实业总公司部门</w:t>
      </w:r>
      <w:r>
        <w:rPr>
          <w:spacing w:val="-52"/>
        </w:rPr>
        <w:t> </w:t>
      </w:r>
      <w:r>
        <w:rPr/>
        <w:t>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月任北京建银电脑公司技术总监，</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月任宇信鸿泰部门经理，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月至</w:t>
      </w:r>
      <w:r>
        <w:rPr>
          <w:spacing w:val="-3"/>
        </w:rPr>
        <w:t> </w:t>
      </w:r>
      <w:r>
        <w:rPr/>
        <w:t>今任公司副总裁。现任公司副总经理。</w:t>
      </w:r>
    </w:p>
    <w:p>
      <w:pPr>
        <w:pStyle w:val="BodyText"/>
        <w:spacing w:line="300" w:lineRule="auto" w:before="72"/>
        <w:ind w:right="1131" w:firstLine="360"/>
        <w:jc w:val="both"/>
      </w:pPr>
      <w:r>
        <w:rPr>
          <w:rFonts w:ascii="Times New Roman" w:hAnsi="Times New Roman" w:cs="Times New Roman" w:eastAsia="Times New Roman" w:hint="default"/>
        </w:rPr>
        <w:t>7</w:t>
      </w:r>
      <w:r>
        <w:rPr/>
        <w:t>、欧阳忠诚先生，中国国籍，无境外永久居留权，</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2</w:t>
      </w:r>
      <w:r>
        <w:rPr/>
        <w:t>月生，东北大学本科学历，工程师。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月任中国建设银行沈阳分行科长，</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月任上海三剪科技有限公司技术总监，</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月历</w:t>
      </w:r>
      <w:r>
        <w:rPr>
          <w:spacing w:val="-3"/>
        </w:rPr>
        <w:t> </w:t>
      </w:r>
      <w:r>
        <w:rPr/>
        <w:t>任宇信鸿泰项目经理、部门经理、总经理，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月至今历任公司高级副总裁、首席运营官。现任公司副总经理。</w:t>
      </w:r>
    </w:p>
    <w:p>
      <w:pPr>
        <w:pStyle w:val="BodyText"/>
        <w:spacing w:line="300" w:lineRule="auto" w:before="53"/>
        <w:ind w:right="1128" w:firstLine="360"/>
        <w:jc w:val="both"/>
      </w:pPr>
      <w:r>
        <w:rPr>
          <w:rFonts w:ascii="Times New Roman" w:hAnsi="Times New Roman" w:cs="Times New Roman" w:eastAsia="Times New Roman" w:hint="default"/>
          <w:spacing w:val="-2"/>
        </w:rPr>
        <w:t>8</w:t>
      </w:r>
      <w:r>
        <w:rPr>
          <w:spacing w:val="-2"/>
        </w:rPr>
        <w:t>、郑春先生，中国国籍，无境外永久居留权，</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w:t>
      </w:r>
      <w:r>
        <w:rPr>
          <w:spacing w:val="-2"/>
        </w:rPr>
        <w:t>月生，中国科学技术大学硕士学历。</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w:t>
      </w:r>
      <w:r>
        <w:rPr>
          <w:spacing w:val="-2"/>
        </w:rPr>
        <w:t>月任西</w:t>
      </w:r>
      <w:r>
        <w:rPr/>
        <w:t> 科姆（中国）有限公司部门经理，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月任宇信鸿泰部门经理，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月至今历任公司部门经理、</w:t>
      </w:r>
      <w:r>
        <w:rPr>
          <w:rFonts w:ascii="Times New Roman" w:hAnsi="Times New Roman" w:cs="Times New Roman" w:eastAsia="Times New Roman" w:hint="default"/>
        </w:rPr>
        <w:t>IT</w:t>
      </w:r>
      <w:r>
        <w:rPr/>
        <w:t>支</w:t>
      </w:r>
      <w:r>
        <w:rPr>
          <w:spacing w:val="-80"/>
        </w:rPr>
        <w:t> </w:t>
      </w:r>
      <w:r>
        <w:rPr/>
        <w:t>持总监、副总裁。现任公司副总经理。</w:t>
      </w:r>
    </w:p>
    <w:p>
      <w:pPr>
        <w:pStyle w:val="BodyText"/>
        <w:spacing w:line="240" w:lineRule="auto" w:before="70"/>
        <w:ind w:right="0"/>
        <w:jc w:val="both"/>
      </w:pPr>
      <w:r>
        <w:rPr/>
        <w:t>在股东单位任职情况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珠海宇琴鸿泰信息咨询有限公司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茗峰开发有限公司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尚远有限公司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陈京蓉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92"/>
              <w:jc w:val="left"/>
              <w:rPr>
                <w:rFonts w:ascii="宋体" w:hAnsi="宋体" w:cs="宋体" w:eastAsia="宋体" w:hint="default"/>
                <w:sz w:val="18"/>
                <w:szCs w:val="18"/>
              </w:rPr>
            </w:pPr>
            <w:r>
              <w:rPr>
                <w:rFonts w:ascii="宋体" w:hAnsi="宋体" w:cs="宋体" w:eastAsia="宋体" w:hint="default"/>
                <w:sz w:val="18"/>
                <w:szCs w:val="18"/>
              </w:rPr>
              <w:t>珠海宇琴广利信息咨询合伙企业（有限 合伙）</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陈京蓉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2"/>
              <w:jc w:val="left"/>
              <w:rPr>
                <w:rFonts w:ascii="宋体" w:hAnsi="宋体" w:cs="宋体" w:eastAsia="宋体" w:hint="default"/>
                <w:sz w:val="18"/>
                <w:szCs w:val="18"/>
              </w:rPr>
            </w:pPr>
            <w:r>
              <w:rPr>
                <w:rFonts w:ascii="宋体" w:hAnsi="宋体" w:cs="宋体" w:eastAsia="宋体" w:hint="default"/>
                <w:sz w:val="18"/>
                <w:szCs w:val="18"/>
              </w:rPr>
              <w:t>珠海宇琴金智信息咨询合伙企业（有限 合伙）</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陈京蓉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2"/>
              <w:jc w:val="left"/>
              <w:rPr>
                <w:rFonts w:ascii="宋体" w:hAnsi="宋体" w:cs="宋体" w:eastAsia="宋体" w:hint="default"/>
                <w:sz w:val="18"/>
                <w:szCs w:val="18"/>
              </w:rPr>
            </w:pPr>
            <w:r>
              <w:rPr>
                <w:rFonts w:ascii="宋体" w:hAnsi="宋体" w:cs="宋体" w:eastAsia="宋体" w:hint="default"/>
                <w:sz w:val="18"/>
                <w:szCs w:val="18"/>
              </w:rPr>
              <w:t>珠海宇琴高科信息咨询合伙企业（有限 合伙）</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北京宇信金地科技有限公司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北京宇信鸿泰科技发展有限公司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北京宇信易诚信息技术有限公司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广州宇信易诚信息科技有限公司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天津宇信易诚科技有限公司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铜根源（北京）信息咨询有限公司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无锡宇信易诚科技有限公司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无锡宇信易诚培训有限公司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无锡宇信易诚培训有限公司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珠海宇信鸿泰科技有限公司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珠海宇信易诚科技有限公司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北京宇信鸿泰软件技术有限公司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上海宇信易诚软件技术有限公司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董事长、经理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厦门宇诚科技有限公司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北京宇信易初科技有限公司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北京宇信征信有限公司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长沙宇信鸿泰信息科技有限公司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北京宇信企慧信息技术有限公司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厦门市宇信鸿泰科技有限公司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宇信金服科技有限公司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宇信金服科技有限公司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西安宇信融汇网络科技有限公司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宇信鸿泰科技（香港）有限公司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YUSYS TECHNOLOGIES PTE.</w:t>
            </w:r>
            <w:r>
              <w:rPr>
                <w:rFonts w:ascii="Times New Roman"/>
                <w:spacing w:val="-8"/>
                <w:sz w:val="18"/>
              </w:rPr>
              <w:t> </w:t>
            </w:r>
            <w:r>
              <w:rPr>
                <w:rFonts w:ascii="Times New Roman"/>
                <w:spacing w:val="-5"/>
                <w:sz w:val="18"/>
              </w:rPr>
              <w:t>LTD.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上海拍贝信息科技有限公司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pacing w:val="-3"/>
                <w:sz w:val="18"/>
              </w:rPr>
              <w:t>Yucheng </w:t>
            </w:r>
            <w:r>
              <w:rPr>
                <w:rFonts w:ascii="Times New Roman"/>
                <w:sz w:val="18"/>
              </w:rPr>
              <w:t>Technologies</w:t>
            </w:r>
            <w:r>
              <w:rPr>
                <w:rFonts w:ascii="Times New Roman"/>
                <w:spacing w:val="-23"/>
                <w:sz w:val="18"/>
              </w:rPr>
              <w:t> </w:t>
            </w:r>
            <w:r>
              <w:rPr>
                <w:rFonts w:ascii="Times New Roman"/>
                <w:sz w:val="18"/>
              </w:rPr>
              <w:t>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中科鼎辉生物科技（苏州）有限公司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YUSYS TECHNOLOGIES PTE.</w:t>
            </w:r>
            <w:r>
              <w:rPr>
                <w:rFonts w:ascii="Times New Roman"/>
                <w:spacing w:val="-8"/>
                <w:sz w:val="18"/>
              </w:rPr>
              <w:t> </w:t>
            </w:r>
            <w:r>
              <w:rPr>
                <w:rFonts w:ascii="Times New Roman"/>
                <w:spacing w:val="-5"/>
                <w:sz w:val="18"/>
              </w:rPr>
              <w:t>LTD.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雷岩投资有限公司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山东蓬翔汽车有限公司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北京神州绿盟信息安全科技股份有限公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Leadyond Assets</w:t>
            </w:r>
            <w:r>
              <w:rPr>
                <w:rFonts w:ascii="Times New Roman"/>
                <w:spacing w:val="-17"/>
                <w:sz w:val="18"/>
              </w:rPr>
              <w:t> </w:t>
            </w:r>
            <w:r>
              <w:rPr>
                <w:rFonts w:ascii="Times New Roman"/>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北京雷岩宏泰投资管理有限公司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北京雷岩投资管理顾问有限公司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雷家骕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雷家骕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众智博汇（北京）科技孵化器有限责任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雷家骕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北京镈润创投资本管理有限公司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雷家骕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北京掌趣科技股份有限公司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雷家骕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雷家骕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数聚变（北京）科技有限公司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封竞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幸福人寿保险股份有限公司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吉林大学</w:t>
            </w:r>
          </w:p>
        </w:tc>
        <w:tc>
          <w:tcPr>
            <w:tcW w:w="1064"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会计系主任 教授</w:t>
            </w:r>
          </w:p>
        </w:tc>
        <w:tc>
          <w:tcPr>
            <w:tcW w:w="119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47"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长春高新技术产业（集团）股份有限公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安华农业保险股份有限公司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瑞士合众集团（</w:t>
            </w:r>
            <w:r>
              <w:rPr>
                <w:rFonts w:ascii="Times New Roman" w:hAnsi="Times New Roman" w:cs="Times New Roman" w:eastAsia="Times New Roman" w:hint="default"/>
                <w:sz w:val="18"/>
                <w:szCs w:val="18"/>
              </w:rPr>
              <w:t>Partners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Group</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中国董事会 成员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海富通基金管理有限公司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任利京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于新民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陈京蓉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陈京蓉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珠海天鸿智通资产管理合伙企业（有限 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范庆骅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广州宇信易诚信息科技有限公司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范庆骅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珠海宇信易诚科技有限公司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范庆骅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北京宇信鸿泰科技发展有限公司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西安宇信融汇网络科技有限公司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欧阳忠诚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欧阳忠诚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00" w:bottom="1160" w:left="980" w:right="0"/>
        </w:sectPr>
      </w:pPr>
    </w:p>
    <w:p>
      <w:pPr>
        <w:pStyle w:val="Heading2"/>
        <w:spacing w:line="240" w:lineRule="auto" w:before="96"/>
        <w:ind w:right="1133"/>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41" w:right="1133" w:hanging="289"/>
        <w:jc w:val="left"/>
      </w:pPr>
      <w:r>
        <w:rPr/>
        <w:t>董事、监事、高级管理人员报酬的决策程序、确定依据、实际支付情况 </w:t>
      </w:r>
      <w:r>
        <w:rPr>
          <w:spacing w:val="-1"/>
        </w:rPr>
        <w:t>公司董事会下设薪酬与考核委员会，审查公司董事及高级管理人员履行职责的情况并对其进行年度绩效考评，薪酬与考</w:t>
      </w:r>
    </w:p>
    <w:p>
      <w:pPr>
        <w:pStyle w:val="BodyText"/>
        <w:spacing w:line="224" w:lineRule="exact"/>
        <w:ind w:right="986"/>
        <w:jc w:val="left"/>
      </w:pPr>
      <w:r>
        <w:rPr/>
        <w:t>核委员会提出的公司董事的薪酬计划，须经董事会同意后提交股东大会审议后方可实施；公司高级管理人员的薪酬分配方案</w:t>
      </w:r>
    </w:p>
    <w:p>
      <w:pPr>
        <w:pStyle w:val="BodyText"/>
        <w:spacing w:line="316" w:lineRule="auto" w:before="76"/>
        <w:ind w:left="441" w:right="1825" w:hanging="289"/>
        <w:jc w:val="left"/>
      </w:pPr>
      <w:r>
        <w:rPr/>
        <w:t>须报董事会批准。公司监事会的薪酬方案由监事会同意后提交股东大会审议后实施。 董事、监事、高级管理人员的报酬依据公司的盈利水平及其职责履行情况并结合年度绩效完成情况综合确定。 </w:t>
      </w:r>
      <w:r>
        <w:rPr>
          <w:rFonts w:ascii="Times New Roman" w:hAnsi="Times New Roman" w:cs="Times New Roman" w:eastAsia="Times New Roman" w:hint="default"/>
        </w:rPr>
        <w:t>2019</w:t>
      </w:r>
      <w:r>
        <w:rPr/>
        <w:t>年，公司实际支付董事、监事、高级管理人员的报酬总额为</w:t>
      </w:r>
      <w:r>
        <w:rPr>
          <w:rFonts w:ascii="Times New Roman" w:hAnsi="Times New Roman" w:cs="Times New Roman" w:eastAsia="Times New Roman" w:hint="default"/>
        </w:rPr>
        <w:t>1,089.72</w:t>
      </w:r>
      <w:r>
        <w:rPr/>
        <w:t>万元。</w:t>
      </w:r>
    </w:p>
    <w:p>
      <w:pPr>
        <w:spacing w:line="240" w:lineRule="auto" w:before="6"/>
        <w:rPr>
          <w:rFonts w:ascii="宋体" w:hAnsi="宋体" w:cs="宋体" w:eastAsia="宋体" w:hint="default"/>
          <w:sz w:val="23"/>
          <w:szCs w:val="23"/>
        </w:rPr>
      </w:pPr>
    </w:p>
    <w:p>
      <w:pPr>
        <w:pStyle w:val="BodyText"/>
        <w:spacing w:line="240" w:lineRule="auto" w:before="44"/>
        <w:ind w:right="1133"/>
        <w:jc w:val="left"/>
      </w:pPr>
      <w:r>
        <w:rPr/>
        <w:t>公司报告期内董事、监事和高级管理人员报酬情况</w:t>
      </w:r>
    </w:p>
    <w:p>
      <w:pPr>
        <w:pStyle w:val="BodyText"/>
        <w:spacing w:line="240" w:lineRule="auto" w:before="117"/>
        <w:ind w:left="0" w:right="1131"/>
        <w:jc w:val="right"/>
      </w:pPr>
      <w:r>
        <w:rPr/>
        <w:pict>
          <v:group style="position:absolute;margin-left:193.850006pt;margin-top:79.271744pt;width:67.8pt;height:28.05pt;mso-position-horizontal-relative:page;mso-position-vertical-relative:paragraph;z-index:-1227808" coordorigin="3877,1585" coordsize="1356,561">
            <v:group style="position:absolute;left:3877;top:1585;width:1356;height:156" coordorigin="3877,1585" coordsize="1356,156">
              <v:shape style="position:absolute;left:3877;top:1585;width:1356;height:156" coordorigin="3877,1585" coordsize="1356,156" path="m3877,1741l5233,1741,5233,1585,3877,1585,3877,1741xe" filled="true" fillcolor="#ffffff" stroked="false">
                <v:path arrowok="t"/>
                <v:fill type="solid"/>
              </v:shape>
            </v:group>
            <v:group style="position:absolute;left:3888;top:1741;width:2;height:394" coordorigin="3888,1741" coordsize="2,394">
              <v:shape style="position:absolute;left:3888;top:1741;width:2;height:394" coordorigin="3888,1741" coordsize="0,394" path="m3888,1741l3888,2135e" filled="false" stroked="true" strokeweight="1.08pt" strokecolor="#ffffff">
                <v:path arrowok="t"/>
              </v:shape>
            </v:group>
            <v:group style="position:absolute;left:3899;top:1741;width:1311;height:394" coordorigin="3899,1741" coordsize="1311,394">
              <v:shape style="position:absolute;left:3899;top:1741;width:1311;height:394" coordorigin="3899,1741" coordsize="1311,394" path="m3899,2135l5209,2135,5209,1741,3899,1741,3899,2135xe" filled="true" fillcolor="#ffffff" stroked="false">
                <v:path arrowok="t"/>
                <v:fill type="solid"/>
              </v:shape>
            </v:group>
            <w10:wrap type="none"/>
          </v:group>
        </w:pict>
      </w: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pacing w:val="-6"/>
                <w:sz w:val="18"/>
                <w:szCs w:val="18"/>
              </w:rPr>
              <w:t>董事、财务总监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雷家骕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封竞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任利京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陈京蓉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于新民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范庆骅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欧阳忠诚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王燕梅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宋开宇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1,089.72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00" w:bottom="1160" w:left="980" w:right="0"/>
        </w:sectPr>
      </w:pPr>
    </w:p>
    <w:p>
      <w:pPr>
        <w:pStyle w:val="Heading2"/>
        <w:spacing w:line="240" w:lineRule="auto" w:before="96"/>
        <w:ind w:right="1133"/>
        <w:jc w:val="left"/>
        <w:rPr>
          <w:b w:val="0"/>
          <w:bCs w:val="0"/>
        </w:rPr>
      </w:pPr>
      <w:bookmarkStart w:name="五、公司员工情况" w:id="128"/>
      <w:bookmarkEnd w:id="128"/>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10,324</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10,084</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8,279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10,084</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bookmarkStart w:name="2、薪酬政策" w:id="130"/>
      <w:bookmarkEnd w:id="13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9" w:lineRule="auto"/>
        <w:ind w:right="986" w:firstLine="288"/>
        <w:jc w:val="left"/>
      </w:pPr>
      <w:r>
        <w:rPr/>
        <w:t>公司遵循公平、竞争、激励、经济、合法的原则，制定符合公司整体战略的薪酬策略。公司参照劳动力市场工资指导价 </w:t>
      </w:r>
      <w:r>
        <w:rPr>
          <w:spacing w:val="-4"/>
        </w:rPr>
        <w:t>位、员工所在地区差异，以员工所承担的岗位职责、发挥价值、出勤情况及其所需要的知识、技能等为依据，合理确定工资、</w:t>
      </w:r>
      <w:r>
        <w:rPr>
          <w:spacing w:val="-44"/>
        </w:rPr>
        <w:t> </w:t>
      </w:r>
      <w:r>
        <w:rPr>
          <w:spacing w:val="-44"/>
        </w:rPr>
      </w:r>
      <w:r>
        <w:rPr>
          <w:spacing w:val="-2"/>
        </w:rPr>
        <w:t>福利与奖励标准，使员工收入与其劳动付出相匹配；公司适度提高公司关键岗位人才、绩效优异人员和市场短缺岗位人才的</w:t>
      </w:r>
      <w:r>
        <w:rPr>
          <w:spacing w:val="-63"/>
        </w:rPr>
        <w:t> </w:t>
      </w:r>
      <w:r>
        <w:rPr>
          <w:spacing w:val="-63"/>
        </w:rPr>
      </w:r>
      <w:r>
        <w:rPr/>
        <w:t>薪酬水平，充分发挥薪酬在人力资源配置和吸引优秀人才方面的导向作用，促进人力资源的合理有效配置。</w:t>
      </w:r>
    </w:p>
    <w:p>
      <w:pPr>
        <w:pStyle w:val="BodyText"/>
        <w:spacing w:line="316" w:lineRule="auto" w:before="17"/>
        <w:ind w:right="1063" w:firstLine="331"/>
        <w:jc w:val="left"/>
      </w:pPr>
      <w:r>
        <w:rPr/>
        <w:t>报告期内，公司在部分重要岗位实行跨区域、跨部门的公开竞聘机制，在业务单元实施积分晋级制，力求以更加公平、 公正、公开的方式为员工搭建成长事业平台。</w:t>
      </w:r>
    </w:p>
    <w:p>
      <w:pPr>
        <w:spacing w:line="240" w:lineRule="auto" w:before="0"/>
        <w:rPr>
          <w:rFonts w:ascii="宋体" w:hAnsi="宋体" w:cs="宋体" w:eastAsia="宋体" w:hint="default"/>
          <w:sz w:val="18"/>
          <w:szCs w:val="18"/>
        </w:rPr>
      </w:pPr>
    </w:p>
    <w:p>
      <w:pPr>
        <w:pStyle w:val="BodyText"/>
        <w:spacing w:line="338" w:lineRule="auto" w:before="136"/>
        <w:ind w:left="513" w:right="1133"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1"/>
        </w:rPr>
        <w:t>公司报告期内计入当期成本的职工薪酬总额为</w:t>
      </w:r>
      <w:r>
        <w:rPr>
          <w:rFonts w:ascii="Times New Roman" w:hAnsi="Times New Roman" w:cs="Times New Roman" w:eastAsia="Times New Roman" w:hint="default"/>
          <w:spacing w:val="-1"/>
        </w:rPr>
        <w:t>111,330.21</w:t>
      </w:r>
      <w:r>
        <w:rPr>
          <w:spacing w:val="-1"/>
        </w:rPr>
        <w:t>万元，占公司成本总额的</w:t>
      </w:r>
      <w:r>
        <w:rPr>
          <w:rFonts w:ascii="Times New Roman" w:hAnsi="Times New Roman" w:cs="Times New Roman" w:eastAsia="Times New Roman" w:hint="default"/>
          <w:spacing w:val="-1"/>
        </w:rPr>
        <w:t>64.59%</w:t>
      </w:r>
      <w:r>
        <w:rPr>
          <w:spacing w:val="-1"/>
        </w:rPr>
        <w:t>，其中公司软件开发及服务业</w:t>
      </w:r>
    </w:p>
    <w:p>
      <w:pPr>
        <w:pStyle w:val="BodyText"/>
        <w:spacing w:line="230" w:lineRule="exact"/>
        <w:ind w:right="1133"/>
        <w:jc w:val="left"/>
      </w:pPr>
      <w:r>
        <w:rPr/>
        <w:t>务职工薪酬成本占软件开发及服务业务总成本的</w:t>
      </w:r>
      <w:r>
        <w:rPr>
          <w:rFonts w:ascii="Times New Roman" w:hAnsi="Times New Roman" w:cs="Times New Roman" w:eastAsia="Times New Roman" w:hint="default"/>
        </w:rPr>
        <w:t>93.91%</w:t>
      </w:r>
      <w:r>
        <w:rPr/>
        <w:t>。职工薪酬作为公司业务最主要的成本构成部分，公司职工薪酬总</w:t>
      </w:r>
    </w:p>
    <w:p>
      <w:pPr>
        <w:pStyle w:val="BodyText"/>
        <w:spacing w:line="240" w:lineRule="auto" w:before="62"/>
        <w:ind w:right="986"/>
        <w:jc w:val="left"/>
      </w:pPr>
      <w:r>
        <w:rPr/>
        <w:t>额的变化直接影响公司净利润的变化，假设其他条件保持不变的情况下，职工薪酬总额每增加</w:t>
      </w:r>
      <w:r>
        <w:rPr>
          <w:rFonts w:ascii="Times New Roman" w:hAnsi="Times New Roman" w:cs="Times New Roman" w:eastAsia="Times New Roman" w:hint="default"/>
        </w:rPr>
        <w:t>1%</w:t>
      </w:r>
      <w:r>
        <w:rPr/>
        <w:t>，净利润预计会下降</w:t>
      </w:r>
      <w:r>
        <w:rPr>
          <w:rFonts w:ascii="Times New Roman" w:hAnsi="Times New Roman" w:cs="Times New Roman" w:eastAsia="Times New Roman" w:hint="default"/>
        </w:rPr>
        <w:t>3%</w:t>
      </w:r>
      <w:r>
        <w:rPr/>
        <w:t>左</w:t>
      </w:r>
    </w:p>
    <w:p>
      <w:pPr>
        <w:spacing w:after="0" w:line="240" w:lineRule="auto"/>
        <w:jc w:val="left"/>
        <w:sectPr>
          <w:pgSz w:w="11910" w:h="16840"/>
          <w:pgMar w:header="852" w:footer="980" w:top="1300" w:bottom="1160" w:left="980" w:right="0"/>
        </w:sectPr>
      </w:pPr>
    </w:p>
    <w:p>
      <w:pPr>
        <w:pStyle w:val="BodyText"/>
        <w:spacing w:line="300" w:lineRule="auto" w:before="142"/>
        <w:ind w:right="1128"/>
        <w:jc w:val="both"/>
      </w:pPr>
      <w:r>
        <w:rPr>
          <w:spacing w:val="-2"/>
        </w:rPr>
        <w:t>右，然而技术人员薪酬总额的增加往往会为公司带来收入的增加，以抵减成本的增加和利润的下降。公司</w:t>
      </w:r>
      <w:r>
        <w:rPr>
          <w:rFonts w:ascii="Times New Roman" w:hAnsi="Times New Roman" w:cs="Times New Roman" w:eastAsia="Times New Roman" w:hint="default"/>
          <w:spacing w:val="-2"/>
        </w:rPr>
        <w:t>2019</w:t>
      </w:r>
      <w:r>
        <w:rPr>
          <w:spacing w:val="-2"/>
        </w:rPr>
        <w:t>年和</w:t>
      </w:r>
      <w:r>
        <w:rPr>
          <w:rFonts w:ascii="Times New Roman" w:hAnsi="Times New Roman" w:cs="Times New Roman" w:eastAsia="Times New Roman" w:hint="default"/>
          <w:spacing w:val="-2"/>
        </w:rPr>
        <w:t>2018</w:t>
      </w:r>
      <w:r>
        <w:rPr>
          <w:spacing w:val="-2"/>
        </w:rPr>
        <w:t>年技</w:t>
      </w:r>
      <w:r>
        <w:rPr>
          <w:spacing w:val="-56"/>
        </w:rPr>
        <w:t> </w:t>
      </w:r>
      <w:r>
        <w:rPr/>
        <w:t>术研发人员数量占公司总人数比例分别为</w:t>
      </w:r>
      <w:r>
        <w:rPr>
          <w:rFonts w:ascii="Times New Roman" w:hAnsi="Times New Roman" w:cs="Times New Roman" w:eastAsia="Times New Roman" w:hint="default"/>
        </w:rPr>
        <w:t>90.36%</w:t>
      </w:r>
      <w:r>
        <w:rPr/>
        <w:t>和</w:t>
      </w:r>
      <w:r>
        <w:rPr>
          <w:rFonts w:ascii="Times New Roman" w:hAnsi="Times New Roman" w:cs="Times New Roman" w:eastAsia="Times New Roman" w:hint="default"/>
        </w:rPr>
        <w:t>89.98%</w:t>
      </w:r>
      <w:r>
        <w:rPr/>
        <w:t>，公司</w:t>
      </w:r>
      <w:r>
        <w:rPr>
          <w:rFonts w:ascii="Times New Roman" w:hAnsi="Times New Roman" w:cs="Times New Roman" w:eastAsia="Times New Roman" w:hint="default"/>
        </w:rPr>
        <w:t>2019</w:t>
      </w:r>
      <w:r>
        <w:rPr/>
        <w:t>年和</w:t>
      </w:r>
      <w:r>
        <w:rPr>
          <w:rFonts w:ascii="Times New Roman" w:hAnsi="Times New Roman" w:cs="Times New Roman" w:eastAsia="Times New Roman" w:hint="default"/>
        </w:rPr>
        <w:t>2018</w:t>
      </w:r>
      <w:r>
        <w:rPr/>
        <w:t>年技术研发人员薪酬占公司总薪酬比例分别</w:t>
      </w:r>
      <w:r>
        <w:rPr>
          <w:spacing w:val="-38"/>
        </w:rPr>
        <w:t> </w:t>
      </w:r>
      <w:r>
        <w:rPr>
          <w:spacing w:val="-38"/>
        </w:rPr>
      </w:r>
      <w:r>
        <w:rPr/>
        <w:t>为</w:t>
      </w:r>
      <w:r>
        <w:rPr>
          <w:rFonts w:ascii="Times New Roman" w:hAnsi="Times New Roman" w:cs="Times New Roman" w:eastAsia="Times New Roman" w:hint="default"/>
        </w:rPr>
        <w:t>85.67%</w:t>
      </w:r>
      <w:r>
        <w:rPr/>
        <w:t>和</w:t>
      </w:r>
      <w:r>
        <w:rPr>
          <w:rFonts w:ascii="Times New Roman" w:hAnsi="Times New Roman" w:cs="Times New Roman" w:eastAsia="Times New Roman" w:hint="default"/>
        </w:rPr>
        <w:t>84.54%</w:t>
      </w:r>
      <w:r>
        <w:rPr/>
        <w:t>，</w:t>
      </w:r>
      <w:r>
        <w:rPr>
          <w:rFonts w:ascii="Times New Roman" w:hAnsi="Times New Roman" w:cs="Times New Roman" w:eastAsia="Times New Roman" w:hint="default"/>
        </w:rPr>
        <w:t>2019</w:t>
      </w:r>
      <w:r>
        <w:rPr/>
        <w:t>年人员数量和薪酬占比均略有提高主要原因为随着公司软件及开发业务的发展，技术研发人员数</w:t>
      </w:r>
      <w:r>
        <w:rPr>
          <w:spacing w:val="-40"/>
        </w:rPr>
        <w:t> </w:t>
      </w:r>
      <w:r>
        <w:rPr>
          <w:spacing w:val="-40"/>
        </w:rPr>
      </w:r>
      <w:r>
        <w:rPr/>
        <w:t>量增加，管理人员和销售人员数量保持相对稳定。</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42" w:firstLine="432"/>
        <w:jc w:val="left"/>
      </w:pPr>
      <w:r>
        <w:rPr/>
        <w:t>公司根据不同岗位胜任力模型，搭建培训体系进行阶梯式培养，助力员工的成长与发展。人力资源部针对不同岗位， 发起《年度培训需求调研表》，并根据公司经营规划与战略目标确定年度培训计划与预算，经总经理批准后执行。</w:t>
      </w:r>
    </w:p>
    <w:p>
      <w:pPr>
        <w:pStyle w:val="BodyText"/>
        <w:spacing w:line="297" w:lineRule="auto" w:before="59"/>
        <w:ind w:right="1133" w:firstLine="216"/>
        <w:jc w:val="left"/>
      </w:pPr>
      <w:r>
        <w:rPr/>
        <w:t>报告期内，公司的员工培训计划由面授培训</w:t>
      </w:r>
      <w:r>
        <w:rPr>
          <w:rFonts w:ascii="Times New Roman" w:hAnsi="Times New Roman" w:cs="Times New Roman" w:eastAsia="Times New Roman" w:hint="default"/>
        </w:rPr>
        <w:t>+</w:t>
      </w:r>
      <w:r>
        <w:rPr/>
        <w:t>项目组培训</w:t>
      </w:r>
      <w:r>
        <w:rPr>
          <w:rFonts w:ascii="Times New Roman" w:hAnsi="Times New Roman" w:cs="Times New Roman" w:eastAsia="Times New Roman" w:hint="default"/>
        </w:rPr>
        <w:t>+</w:t>
      </w:r>
      <w:r>
        <w:rPr/>
        <w:t>线上课程三部分组成，这一安排解决了一线员工地域分散和时 间不易集中问题，同时提升一线员工的参与度，实现培训资源合理配置。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0"/>
        <w:jc w:val="both"/>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15,685.60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1,624,308.00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3132"/>
        <w:jc w:val="center"/>
        <w:rPr>
          <w:b w:val="0"/>
          <w:bCs w:val="0"/>
        </w:rPr>
      </w:pPr>
      <w:bookmarkStart w:name="第十节公司治理" w:id="133"/>
      <w:bookmarkEnd w:id="133"/>
      <w:r>
        <w:rPr>
          <w:b w:val="0"/>
          <w:bCs w:val="0"/>
        </w:rPr>
      </w:r>
      <w:bookmarkStart w:name="_bookmark9" w:id="134"/>
      <w:bookmarkEnd w:id="134"/>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6"/>
        <w:jc w:val="left"/>
      </w:pPr>
      <w:r>
        <w:rPr>
          <w:spacing w:val="-4"/>
        </w:rPr>
        <w:t>报告期内，公司严格按照《公司法》、《证券法》、《上市公司治理准则》、《深圳证券交易所创业板股票上市规则》、</w:t>
      </w:r>
    </w:p>
    <w:p>
      <w:pPr>
        <w:pStyle w:val="BodyText"/>
        <w:spacing w:line="316" w:lineRule="auto" w:before="76"/>
        <w:ind w:right="986"/>
        <w:jc w:val="left"/>
      </w:pPr>
      <w:r>
        <w:rPr>
          <w:spacing w:val="-4"/>
        </w:rPr>
        <w:t>《深圳证券交易所创业板上市公司规范运作指引》等法律、法规和中国证监会有关法律法规等要求，结合本公司的具体情况，</w:t>
      </w:r>
      <w:r>
        <w:rPr>
          <w:spacing w:val="-44"/>
        </w:rPr>
        <w:t> </w:t>
      </w:r>
      <w:r>
        <w:rPr>
          <w:spacing w:val="-44"/>
        </w:rPr>
      </w:r>
      <w:r>
        <w:rPr/>
        <w:t>不断完善公司的法人治理结构，建立健全公司内部管理和控制制度，持续深入开展公司治理活动，促进公司规范运作。</w:t>
      </w:r>
    </w:p>
    <w:p>
      <w:pPr>
        <w:pStyle w:val="BodyText"/>
        <w:spacing w:line="300" w:lineRule="auto" w:before="19"/>
        <w:ind w:left="513" w:right="986"/>
        <w:jc w:val="left"/>
      </w:pPr>
      <w:r>
        <w:rPr>
          <w:rFonts w:ascii="Times New Roman" w:hAnsi="Times New Roman" w:cs="Times New Roman" w:eastAsia="Times New Roman" w:hint="default"/>
        </w:rPr>
        <w:t>1</w:t>
      </w:r>
      <w:r>
        <w:rPr/>
        <w:t>、关于股东与股东大会 </w:t>
      </w:r>
      <w:r>
        <w:rPr>
          <w:spacing w:val="-2"/>
        </w:rPr>
        <w:t>公司严格按照《公司法》、《证券法》、《公司章程》及《上市公司股东大会规则》等相关法律、法规和规范性文件的</w:t>
      </w:r>
    </w:p>
    <w:p>
      <w:pPr>
        <w:pStyle w:val="BodyText"/>
        <w:spacing w:line="319" w:lineRule="auto" w:before="31"/>
        <w:ind w:right="986"/>
        <w:jc w:val="left"/>
      </w:pPr>
      <w:r>
        <w:rPr>
          <w:spacing w:val="-2"/>
        </w:rPr>
        <w:t>要求召开股东大会，在股东大会召开前发出会议通知，聘请律师现场见证并对会议的召集、召开和决议的有效性发表法律意</w:t>
      </w:r>
      <w:r>
        <w:rPr>
          <w:spacing w:val="-63"/>
        </w:rPr>
        <w:t> </w:t>
      </w:r>
      <w:r>
        <w:rPr>
          <w:spacing w:val="-63"/>
        </w:rPr>
      </w:r>
      <w:r>
        <w:rPr/>
        <w:t>见，确保全体股东特别是中小股东合法行使权益。</w:t>
      </w:r>
    </w:p>
    <w:p>
      <w:pPr>
        <w:pStyle w:val="BodyText"/>
        <w:spacing w:line="300" w:lineRule="auto" w:before="17"/>
        <w:ind w:left="513" w:right="986"/>
        <w:jc w:val="left"/>
      </w:pPr>
      <w:r>
        <w:rPr>
          <w:rFonts w:ascii="Times New Roman" w:hAnsi="Times New Roman" w:cs="Times New Roman" w:eastAsia="Times New Roman" w:hint="default"/>
        </w:rPr>
        <w:t>2</w:t>
      </w:r>
      <w:r>
        <w:rPr/>
        <w:t>、关于董事与董事会 </w:t>
      </w:r>
      <w:r>
        <w:rPr>
          <w:spacing w:val="-2"/>
        </w:rPr>
        <w:t>公司董事会的人数、构成及选聘程序符合有关法律法规的规定，各位董事熟悉有关法律规，以认真负责、勤勉诚信的态</w:t>
      </w:r>
    </w:p>
    <w:p>
      <w:pPr>
        <w:pStyle w:val="BodyText"/>
        <w:spacing w:line="316" w:lineRule="auto" w:before="31"/>
        <w:ind w:right="986"/>
        <w:jc w:val="left"/>
      </w:pPr>
      <w:r>
        <w:rPr>
          <w:spacing w:val="-2"/>
        </w:rPr>
        <w:t>度出席董事会和股东大会，切实履行董事的职责和义务。董事会下设战略委员会、审计与风险控制委员会、提名委员会以及</w:t>
      </w:r>
      <w:r>
        <w:rPr>
          <w:spacing w:val="-65"/>
        </w:rPr>
        <w:t> </w:t>
      </w:r>
      <w:r>
        <w:rPr>
          <w:spacing w:val="-65"/>
        </w:rPr>
      </w:r>
      <w:r>
        <w:rPr/>
        <w:t>薪酬与考核委员会，各专门委员会各施其责，促进公司的规范运作。</w:t>
      </w:r>
    </w:p>
    <w:p>
      <w:pPr>
        <w:pStyle w:val="BodyText"/>
        <w:spacing w:line="300" w:lineRule="auto" w:before="19"/>
        <w:ind w:left="513" w:right="986"/>
        <w:jc w:val="left"/>
      </w:pPr>
      <w:r>
        <w:rPr>
          <w:rFonts w:ascii="Times New Roman" w:hAnsi="Times New Roman" w:cs="Times New Roman" w:eastAsia="Times New Roman" w:hint="default"/>
        </w:rPr>
        <w:t>3</w:t>
      </w:r>
      <w:r>
        <w:rPr/>
        <w:t>、关于监事与监事会 </w:t>
      </w:r>
      <w:r>
        <w:rPr>
          <w:spacing w:val="-2"/>
        </w:rPr>
        <w:t>公司监事会的构成和来源均符合有关法律法规的规定，由监事会主席召集并主持，所有监事均出席历次会议。各位监事</w:t>
      </w:r>
    </w:p>
    <w:p>
      <w:pPr>
        <w:pStyle w:val="BodyText"/>
        <w:spacing w:line="316" w:lineRule="auto" w:before="31"/>
        <w:ind w:right="1133"/>
        <w:jc w:val="left"/>
      </w:pPr>
      <w:r>
        <w:rPr>
          <w:spacing w:val="-2"/>
        </w:rPr>
        <w:t>能够按照《监事会议事规则》的要求，认真履行自己的职责，对公司的重大事项、关联交易、财务状况以及董事、高级管理</w:t>
      </w:r>
      <w:r>
        <w:rPr>
          <w:spacing w:val="-72"/>
        </w:rPr>
        <w:t> </w:t>
      </w:r>
      <w:r>
        <w:rPr>
          <w:spacing w:val="-72"/>
        </w:rPr>
      </w:r>
      <w:r>
        <w:rPr/>
        <w:t>人员履行职责的合法合规性进行监督和检查，维护公司及股东的合法权益。</w:t>
      </w:r>
    </w:p>
    <w:p>
      <w:pPr>
        <w:pStyle w:val="BodyText"/>
        <w:spacing w:line="300" w:lineRule="auto" w:before="19"/>
        <w:ind w:left="513" w:right="986"/>
        <w:jc w:val="left"/>
      </w:pPr>
      <w:r>
        <w:rPr>
          <w:rFonts w:ascii="Times New Roman" w:hAnsi="Times New Roman" w:cs="Times New Roman" w:eastAsia="Times New Roman" w:hint="default"/>
        </w:rPr>
        <w:t>4</w:t>
      </w:r>
      <w:r>
        <w:rPr/>
        <w:t>、关于公司与控股股东 </w:t>
      </w:r>
      <w:r>
        <w:rPr>
          <w:spacing w:val="-2"/>
        </w:rPr>
        <w:t>公司具有独立的业务经营能力及完备的运营体系，在业务、人员、资产、财务上均独立于控股股东。公司董事会、监事</w:t>
      </w:r>
    </w:p>
    <w:p>
      <w:pPr>
        <w:pStyle w:val="BodyText"/>
        <w:spacing w:line="316" w:lineRule="auto" w:before="32"/>
        <w:ind w:right="1131"/>
        <w:jc w:val="both"/>
      </w:pPr>
      <w:r>
        <w:rPr>
          <w:spacing w:val="-2"/>
        </w:rPr>
        <w:t>会和内部机构根据其议事规则或公司制度独立运作。公司控股股东能严格规范自己的行为，通过股东大会依法行使其权利并</w:t>
      </w:r>
      <w:r>
        <w:rPr>
          <w:spacing w:val="-64"/>
        </w:rPr>
        <w:t> </w:t>
      </w:r>
      <w:r>
        <w:rPr>
          <w:spacing w:val="-64"/>
        </w:rPr>
      </w:r>
      <w:r>
        <w:rPr>
          <w:spacing w:val="-2"/>
        </w:rPr>
        <w:t>承担义务，没有超越股东大会直接或间接干预公司经营活动。报告期内，公司没有为控股股东提供担保，亦不存在控股股东</w:t>
      </w:r>
      <w:r>
        <w:rPr>
          <w:spacing w:val="-64"/>
        </w:rPr>
        <w:t> </w:t>
      </w:r>
      <w:r>
        <w:rPr>
          <w:spacing w:val="-64"/>
        </w:rPr>
      </w:r>
      <w:r>
        <w:rPr/>
        <w:t>非经营性占用公司资金的行为。</w:t>
      </w:r>
    </w:p>
    <w:p>
      <w:pPr>
        <w:pStyle w:val="BodyText"/>
        <w:spacing w:line="300" w:lineRule="auto" w:before="19"/>
        <w:ind w:left="513" w:right="1133"/>
        <w:jc w:val="left"/>
      </w:pPr>
      <w:r>
        <w:rPr>
          <w:rFonts w:ascii="Times New Roman" w:hAnsi="Times New Roman" w:cs="Times New Roman" w:eastAsia="Times New Roman" w:hint="default"/>
        </w:rPr>
        <w:t>5</w:t>
      </w:r>
      <w:r>
        <w:rPr/>
        <w:t>、内部审计制度的建立与执行 </w:t>
      </w:r>
      <w:r>
        <w:rPr>
          <w:spacing w:val="-2"/>
        </w:rPr>
        <w:t>董事会下设审计与风险控制委员会，主要负责公司内部、外部审计的沟通、监督、会议组织和核查工作。审计与风险控</w:t>
      </w:r>
    </w:p>
    <w:p>
      <w:pPr>
        <w:pStyle w:val="BodyText"/>
        <w:spacing w:line="316" w:lineRule="auto" w:before="31"/>
        <w:ind w:right="986"/>
        <w:jc w:val="left"/>
      </w:pPr>
      <w:r>
        <w:rPr>
          <w:spacing w:val="-2"/>
        </w:rPr>
        <w:t>制委员会下设内审部为日常办事机构，内审部积极运作，按照上市公司的要求完善了部门职能和人员安排，内审部对公司内</w:t>
      </w:r>
      <w:r>
        <w:rPr>
          <w:spacing w:val="-66"/>
        </w:rPr>
        <w:t> </w:t>
      </w:r>
      <w:r>
        <w:rPr>
          <w:spacing w:val="-66"/>
        </w:rPr>
      </w:r>
      <w:r>
        <w:rPr/>
        <w:t>部控制制度的建立和公司财务信息的真实性和完整性等情况进行检查监督。</w:t>
      </w:r>
    </w:p>
    <w:p>
      <w:pPr>
        <w:pStyle w:val="BodyText"/>
        <w:spacing w:line="300" w:lineRule="auto" w:before="19"/>
        <w:ind w:left="513" w:right="986"/>
        <w:jc w:val="left"/>
      </w:pPr>
      <w:r>
        <w:rPr>
          <w:rFonts w:ascii="Times New Roman" w:hAnsi="Times New Roman" w:cs="Times New Roman" w:eastAsia="Times New Roman" w:hint="default"/>
        </w:rPr>
        <w:t>6</w:t>
      </w:r>
      <w:r>
        <w:rPr/>
        <w:t>、关于绩效评价与激励约束机制 </w:t>
      </w:r>
      <w:r>
        <w:rPr>
          <w:spacing w:val="-2"/>
        </w:rPr>
        <w:t>公司董事会下设的薪酬与考核委员会负责对公司的董事、监事、高管进行绩效考核，且已逐步完善和建立公正、透明的</w:t>
      </w:r>
    </w:p>
    <w:p>
      <w:pPr>
        <w:pStyle w:val="BodyText"/>
        <w:spacing w:line="316" w:lineRule="auto" w:before="31"/>
        <w:ind w:right="986"/>
        <w:jc w:val="left"/>
      </w:pPr>
      <w:r>
        <w:rPr>
          <w:spacing w:val="-4"/>
        </w:rPr>
        <w:t>绩效评价标准和激励约束机制。《公司章程》明确规定了高级管理人员的履职行为、权限和职责，高级管理人员的聘任公开、</w:t>
      </w:r>
      <w:r>
        <w:rPr>
          <w:spacing w:val="-42"/>
        </w:rPr>
        <w:t> </w:t>
      </w:r>
      <w:r>
        <w:rPr>
          <w:spacing w:val="-42"/>
        </w:rPr>
      </w:r>
      <w:r>
        <w:rPr/>
        <w:t>透明，符合法律、法规的规定，现有的考核及激励约束机制符合公司的发展现状。</w:t>
      </w:r>
    </w:p>
    <w:p>
      <w:pPr>
        <w:pStyle w:val="BodyText"/>
        <w:spacing w:line="300" w:lineRule="auto" w:before="19"/>
        <w:ind w:left="513" w:right="1133"/>
        <w:jc w:val="left"/>
      </w:pPr>
      <w:r>
        <w:rPr>
          <w:rFonts w:ascii="Times New Roman" w:hAnsi="Times New Roman" w:cs="Times New Roman" w:eastAsia="Times New Roman" w:hint="default"/>
        </w:rPr>
        <w:t>7</w:t>
      </w:r>
      <w:r>
        <w:rPr/>
        <w:t>、关于信息披露与透明度 </w:t>
      </w:r>
      <w:r>
        <w:rPr>
          <w:spacing w:val="-2"/>
        </w:rPr>
        <w:t>公司严格按照有关法律法规和《信息披露事务管理制度》的规定，加强信息披露事务管理，履行信息披露义务，并指定</w:t>
      </w:r>
    </w:p>
    <w:p>
      <w:pPr>
        <w:pStyle w:val="BodyText"/>
        <w:spacing w:line="309" w:lineRule="auto" w:before="31"/>
        <w:ind w:right="1189"/>
        <w:jc w:val="left"/>
      </w:pPr>
      <w:r>
        <w:rPr/>
        <w:t>《证券时报》、《证券日报》、《中国证券报》、《上海证券报》和中国证监会创业板指定信息披露网站（巨潮资讯网 </w:t>
      </w:r>
      <w:hyperlink r:id="rId15">
        <w:r>
          <w:rPr>
            <w:rFonts w:ascii="Times New Roman" w:hAnsi="Times New Roman" w:cs="Times New Roman" w:eastAsia="Times New Roman" w:hint="default"/>
          </w:rPr>
          <w:t>www.cninfo.com.cn</w:t>
        </w:r>
      </w:hyperlink>
      <w:r>
        <w:rPr/>
        <w:t>）为公司信息披露报纸和网站，真实、准确、及时、完整的披露信息，确保所有投资者公平获取公司信 息。</w:t>
      </w:r>
    </w:p>
    <w:p>
      <w:pPr>
        <w:pStyle w:val="BodyText"/>
        <w:spacing w:line="300" w:lineRule="auto" w:before="24"/>
        <w:ind w:left="513" w:right="1133"/>
        <w:jc w:val="left"/>
      </w:pPr>
      <w:r>
        <w:rPr>
          <w:rFonts w:ascii="Times New Roman" w:hAnsi="Times New Roman" w:cs="Times New Roman" w:eastAsia="Times New Roman" w:hint="default"/>
        </w:rPr>
        <w:t>8</w:t>
      </w:r>
      <w:r>
        <w:rPr/>
        <w:t>、关于投资者关系管理 </w:t>
      </w:r>
      <w:r>
        <w:rPr>
          <w:spacing w:val="-2"/>
        </w:rPr>
        <w:t>公司自上市以来，一直非常重视投资者关系管理工作，并制定了《投资者关系管理制度》，明确规定了投资者关系管理</w:t>
      </w:r>
    </w:p>
    <w:p>
      <w:pPr>
        <w:pStyle w:val="BodyText"/>
        <w:spacing w:line="316" w:lineRule="auto" w:before="31"/>
        <w:ind w:right="1133"/>
        <w:jc w:val="left"/>
      </w:pPr>
      <w:r>
        <w:rPr>
          <w:spacing w:val="-2"/>
        </w:rPr>
        <w:t>的基本原则、目的、投资者关系管理的工作对象、内容和方式等，以保证与投资者建立良好的互动关系，树立公司在资本市</w:t>
      </w:r>
      <w:r>
        <w:rPr>
          <w:spacing w:val="-67"/>
        </w:rPr>
        <w:t> </w:t>
      </w:r>
      <w:r>
        <w:rPr>
          <w:spacing w:val="-67"/>
        </w:rPr>
      </w:r>
      <w:r>
        <w:rPr/>
        <w:t>场的规范形象。报告期内，公司严格执行《投资者关系管理制度》，认真做好投资者关系管理工作。</w:t>
      </w:r>
    </w:p>
    <w:p>
      <w:pPr>
        <w:pStyle w:val="BodyText"/>
        <w:spacing w:line="240" w:lineRule="auto" w:before="19"/>
        <w:ind w:left="513" w:right="1133"/>
        <w:jc w:val="left"/>
      </w:pPr>
      <w:r>
        <w:rPr>
          <w:rFonts w:ascii="Times New Roman" w:hAnsi="Times New Roman" w:cs="Times New Roman" w:eastAsia="Times New Roman" w:hint="default"/>
        </w:rPr>
        <w:t>9</w:t>
      </w:r>
      <w:r>
        <w:rPr/>
        <w:t>、关于利益相关者</w:t>
      </w:r>
    </w:p>
    <w:p>
      <w:pPr>
        <w:spacing w:after="0" w:line="240" w:lineRule="auto"/>
        <w:jc w:val="left"/>
        <w:sectPr>
          <w:pgSz w:w="11910" w:h="16840"/>
          <w:pgMar w:header="852" w:footer="980" w:top="1300" w:bottom="1160" w:left="980" w:right="0"/>
        </w:sectPr>
      </w:pPr>
    </w:p>
    <w:p>
      <w:pPr>
        <w:pStyle w:val="BodyText"/>
        <w:spacing w:line="338" w:lineRule="auto" w:before="142"/>
        <w:ind w:right="1034"/>
        <w:jc w:val="left"/>
      </w:pPr>
      <w:r>
        <w:rPr/>
        <w:t>公司充分尊重和维护相关利益者的合法权益，积极与相关利益者合作，加强与各方的沟通和交流，实现社会、股东、公司、 员工等各方利益的协调平衡，推动公司持续、稳定、健康发展。 公司治理的实际状况与中国证监会发布的有关上市公司治理的规范性文件是否存在重大差异</w:t>
      </w:r>
    </w:p>
    <w:p>
      <w:pPr>
        <w:pStyle w:val="BodyText"/>
        <w:spacing w:line="340" w:lineRule="auto" w:before="41"/>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401"/>
        <w:jc w:val="left"/>
      </w:pPr>
      <w:r>
        <w:rPr/>
        <w:t>公司在业务、人员、资产、机构、财务等方面与控股股东之间相互独立，具有完整的业务体系及直接面向市场独立经 营的能力。</w:t>
      </w:r>
    </w:p>
    <w:p>
      <w:pPr>
        <w:pStyle w:val="BodyText"/>
        <w:spacing w:line="432" w:lineRule="exact" w:before="3"/>
        <w:ind w:left="554" w:right="1532"/>
        <w:jc w:val="left"/>
      </w:pPr>
      <w:r>
        <w:rPr>
          <w:rFonts w:ascii="Times New Roman" w:hAnsi="Times New Roman" w:cs="Times New Roman" w:eastAsia="Times New Roman" w:hint="default"/>
        </w:rPr>
        <w:t>1</w:t>
      </w:r>
      <w:r>
        <w:rPr/>
        <w:t>、业务独立情况 公司从事的主要业务是向以银行为主的金融机构提供包括咨询、软件产品、软件开发和实施、运营维护、系统集</w:t>
      </w:r>
    </w:p>
    <w:p>
      <w:pPr>
        <w:pStyle w:val="BodyText"/>
        <w:spacing w:line="316" w:lineRule="auto" w:before="15"/>
        <w:ind w:right="1554"/>
        <w:jc w:val="both"/>
      </w:pPr>
      <w:r>
        <w:rPr/>
        <w:t>成等信息化服务。公司拥有独立完整的业务体系，能够面向市场独立经营、独立核算和决策、独立承担责任与风险。</w:t>
      </w:r>
      <w:r>
        <w:rPr>
          <w:spacing w:val="-57"/>
        </w:rPr>
        <w:t> </w:t>
      </w:r>
      <w:r>
        <w:rPr>
          <w:spacing w:val="-57"/>
        </w:rPr>
      </w:r>
      <w:r>
        <w:rPr/>
        <w:t>公司的主要业务独立于控股股东、实际控制人及其控制的其他企业，不存在与公司控股股东、实际控制人及其控制的</w:t>
      </w:r>
      <w:r>
        <w:rPr>
          <w:spacing w:val="-61"/>
        </w:rPr>
        <w:t> </w:t>
      </w:r>
      <w:r>
        <w:rPr>
          <w:spacing w:val="-61"/>
        </w:rPr>
      </w:r>
      <w:r>
        <w:rPr/>
        <w:t>其他企业之间存在同业竞争的情形或者显失公平的关联交易。</w:t>
      </w:r>
    </w:p>
    <w:p>
      <w:pPr>
        <w:pStyle w:val="BodyText"/>
        <w:spacing w:line="432" w:lineRule="exact" w:before="3"/>
        <w:ind w:left="554" w:right="1532"/>
        <w:jc w:val="left"/>
      </w:pPr>
      <w:r>
        <w:rPr>
          <w:rFonts w:ascii="Times New Roman" w:hAnsi="Times New Roman" w:cs="Times New Roman" w:eastAsia="Times New Roman" w:hint="default"/>
        </w:rPr>
        <w:t>2</w:t>
      </w:r>
      <w:r>
        <w:rPr/>
        <w:t>、人员独立情况 公司董事、监事均严格按照《公司法》和《公司章程》的有关规定选举产生，高级管理人员均由董事会依职权聘</w:t>
      </w:r>
    </w:p>
    <w:p>
      <w:pPr>
        <w:pStyle w:val="BodyText"/>
        <w:spacing w:line="316" w:lineRule="auto" w:before="15"/>
        <w:ind w:right="1558"/>
        <w:jc w:val="both"/>
      </w:pPr>
      <w:r>
        <w:rPr/>
        <w:t>任，不存在控股股东或其他关联方干涉公司人事任免的情况。公司总经理、副总经理、财务总监、董事会秘书等高级</w:t>
      </w:r>
      <w:r>
        <w:rPr>
          <w:spacing w:val="-61"/>
        </w:rPr>
        <w:t> </w:t>
      </w:r>
      <w:r>
        <w:rPr>
          <w:spacing w:val="-61"/>
        </w:rPr>
      </w:r>
      <w:r>
        <w:rPr/>
        <w:t>管理人员均专职在公司工作并领取报酬，未在控股股东、实际控制人及其控制的其他企业中担任除董事、监事以外的</w:t>
      </w:r>
      <w:r>
        <w:rPr>
          <w:spacing w:val="-61"/>
        </w:rPr>
        <w:t> </w:t>
      </w:r>
      <w:r>
        <w:rPr>
          <w:spacing w:val="-61"/>
        </w:rPr>
      </w:r>
      <w:r>
        <w:rPr/>
        <w:t>任何其他职务，亦未在控股股东、实际控制人及其控制的其他企业中领薪。公司财务人员未在控股股东、实际控制人</w:t>
      </w:r>
      <w:r>
        <w:rPr>
          <w:spacing w:val="-61"/>
        </w:rPr>
        <w:t> </w:t>
      </w:r>
      <w:r>
        <w:rPr>
          <w:spacing w:val="-61"/>
        </w:rPr>
      </w:r>
      <w:r>
        <w:rPr/>
        <w:t>及其控制的其他企业中兼职。公司设立了专门的人力资源部，建立了独立的劳动人事及工资管理制度，不存在受控股</w:t>
      </w:r>
      <w:r>
        <w:rPr>
          <w:spacing w:val="-61"/>
        </w:rPr>
        <w:t> </w:t>
      </w:r>
      <w:r>
        <w:rPr>
          <w:spacing w:val="-61"/>
        </w:rPr>
      </w:r>
      <w:r>
        <w:rPr/>
        <w:t>股东干预的情况。员工的收入由公司独立核算和发放，并已按照国家和地方政府及社会保障部门的有关规定，为员工</w:t>
      </w:r>
      <w:r>
        <w:rPr>
          <w:spacing w:val="-61"/>
        </w:rPr>
        <w:t> </w:t>
      </w:r>
      <w:r>
        <w:rPr>
          <w:spacing w:val="-61"/>
        </w:rPr>
      </w:r>
      <w:r>
        <w:rPr/>
        <w:t>缴纳养老、医疗、工伤、失业和生育保险以及住房公积金。</w:t>
      </w:r>
    </w:p>
    <w:p>
      <w:pPr>
        <w:pStyle w:val="BodyText"/>
        <w:spacing w:line="432" w:lineRule="exact" w:before="3"/>
        <w:ind w:left="554" w:right="1532"/>
        <w:jc w:val="left"/>
      </w:pPr>
      <w:r>
        <w:rPr>
          <w:rFonts w:ascii="Times New Roman" w:hAnsi="Times New Roman" w:cs="Times New Roman" w:eastAsia="Times New Roman" w:hint="default"/>
        </w:rPr>
        <w:t>3</w:t>
      </w:r>
      <w:r>
        <w:rPr/>
        <w:t>、资产完整情况 公司拥有自身独立完整的经营资产，未被控股股东、实际控制人及其控制的其他企业占用或与其共用，公司亦不</w:t>
      </w:r>
    </w:p>
    <w:p>
      <w:pPr>
        <w:pStyle w:val="BodyText"/>
        <w:spacing w:line="240" w:lineRule="auto" w:before="15"/>
        <w:ind w:right="0"/>
        <w:jc w:val="both"/>
      </w:pPr>
      <w:r>
        <w:rPr/>
        <w:t>存在为控股股东、实际控制人及其控制的其他企业提供担保的情形。</w:t>
      </w:r>
    </w:p>
    <w:p>
      <w:pPr>
        <w:pStyle w:val="BodyText"/>
        <w:spacing w:line="420" w:lineRule="atLeast" w:before="25"/>
        <w:ind w:left="554" w:right="1133"/>
        <w:jc w:val="left"/>
      </w:pPr>
      <w:r>
        <w:rPr>
          <w:rFonts w:ascii="Times New Roman" w:hAnsi="Times New Roman" w:cs="Times New Roman" w:eastAsia="Times New Roman" w:hint="default"/>
        </w:rPr>
        <w:t>4</w:t>
      </w:r>
      <w:r>
        <w:rPr/>
        <w:t>、机构独立情况 公司设置了较为完善的组织机构，拥有完整的业务系统及配套部门。公司具有独立的经营和办公机构，独立于控股股</w:t>
      </w:r>
    </w:p>
    <w:p>
      <w:pPr>
        <w:pStyle w:val="BodyText"/>
        <w:spacing w:line="240" w:lineRule="auto" w:before="76"/>
        <w:ind w:right="0"/>
        <w:jc w:val="both"/>
      </w:pPr>
      <w:r>
        <w:rPr/>
        <w:t>东、实际控制人及其控制的其他企业，不存在机构混同的情况。</w:t>
      </w:r>
    </w:p>
    <w:p>
      <w:pPr>
        <w:spacing w:line="240" w:lineRule="auto" w:before="0"/>
        <w:rPr>
          <w:rFonts w:ascii="宋体" w:hAnsi="宋体" w:cs="宋体" w:eastAsia="宋体" w:hint="default"/>
          <w:sz w:val="15"/>
          <w:szCs w:val="15"/>
        </w:rPr>
      </w:pPr>
    </w:p>
    <w:p>
      <w:pPr>
        <w:pStyle w:val="BodyText"/>
        <w:spacing w:line="340" w:lineRule="auto"/>
        <w:ind w:left="441" w:right="1133" w:firstLine="112"/>
        <w:jc w:val="left"/>
      </w:pPr>
      <w:r>
        <w:rPr>
          <w:rFonts w:ascii="Times New Roman" w:hAnsi="Times New Roman" w:cs="Times New Roman" w:eastAsia="Times New Roman" w:hint="default"/>
        </w:rPr>
        <w:t>5</w:t>
      </w:r>
      <w:r>
        <w:rPr/>
        <w:t>、财务独立情况 </w:t>
      </w:r>
      <w:r>
        <w:rPr>
          <w:spacing w:val="-1"/>
        </w:rPr>
        <w:t>公司设立后已建立了一套独立、完整、规范的财务会计核算体系和对子公司的财务管理制度，并建立健全了相应的内部</w:t>
      </w:r>
    </w:p>
    <w:p>
      <w:pPr>
        <w:pStyle w:val="BodyText"/>
        <w:spacing w:line="316" w:lineRule="auto"/>
        <w:ind w:right="1133"/>
        <w:jc w:val="left"/>
      </w:pPr>
      <w:r>
        <w:rPr>
          <w:spacing w:val="-2"/>
        </w:rPr>
        <w:t>控制制度，独立作出财务决策。公司设立了独立的财务部门，配备了独立的财务人员；公司开设了独立的银行账户，拥有独</w:t>
      </w:r>
      <w:r>
        <w:rPr>
          <w:spacing w:val="-67"/>
        </w:rPr>
        <w:t> </w:t>
      </w:r>
      <w:r>
        <w:rPr>
          <w:spacing w:val="-67"/>
        </w:rPr>
      </w:r>
      <w:r>
        <w:rPr/>
        <w:t>立的银行账号，不存在与控股股东、实际控制人及其控制的其他企业共用银行账户的情形。</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7"/>
      <w:bookmarkEnd w:id="137"/>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852" w:footer="980" w:top="1300" w:bottom="1160" w:left="980" w:right="0"/>
        </w:sectPr>
      </w:pPr>
    </w:p>
    <w:p>
      <w:pPr>
        <w:pStyle w:val="Heading2"/>
        <w:spacing w:line="240" w:lineRule="auto" w:before="96"/>
        <w:ind w:right="1133"/>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24"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21">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公告编号</w:t>
            </w:r>
          </w:p>
          <w:p>
            <w:pPr>
              <w:pStyle w:val="TableParagraph"/>
              <w:spacing w:line="240" w:lineRule="auto" w:before="55"/>
              <w:ind w:left="24" w:right="0"/>
              <w:jc w:val="left"/>
              <w:rPr>
                <w:rFonts w:ascii="Times New Roman" w:hAnsi="Times New Roman" w:cs="Times New Roman" w:eastAsia="Times New Roman" w:hint="default"/>
                <w:sz w:val="18"/>
                <w:szCs w:val="18"/>
              </w:rPr>
            </w:pPr>
            <w:r>
              <w:rPr>
                <w:rFonts w:ascii="Times New Roman"/>
                <w:sz w:val="18"/>
              </w:rPr>
              <w:t>2019-032</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4"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21">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公告编号</w:t>
            </w:r>
          </w:p>
          <w:p>
            <w:pPr>
              <w:pStyle w:val="TableParagraph"/>
              <w:spacing w:line="240" w:lineRule="auto" w:before="55"/>
              <w:ind w:left="24" w:right="0"/>
              <w:jc w:val="left"/>
              <w:rPr>
                <w:rFonts w:ascii="Times New Roman" w:hAnsi="Times New Roman" w:cs="Times New Roman" w:eastAsia="Times New Roman" w:hint="default"/>
                <w:sz w:val="18"/>
                <w:szCs w:val="18"/>
              </w:rPr>
            </w:pPr>
            <w:r>
              <w:rPr>
                <w:rFonts w:ascii="Times New Roman"/>
                <w:sz w:val="18"/>
              </w:rPr>
              <w:t>2019-048</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24"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21">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公告编号</w:t>
            </w:r>
          </w:p>
          <w:p>
            <w:pPr>
              <w:pStyle w:val="TableParagraph"/>
              <w:spacing w:line="240" w:lineRule="auto" w:before="55"/>
              <w:ind w:left="24" w:right="0"/>
              <w:jc w:val="left"/>
              <w:rPr>
                <w:rFonts w:ascii="Times New Roman" w:hAnsi="Times New Roman" w:cs="Times New Roman" w:eastAsia="Times New Roman" w:hint="default"/>
                <w:sz w:val="18"/>
                <w:szCs w:val="18"/>
              </w:rPr>
            </w:pPr>
            <w:r>
              <w:rPr>
                <w:rFonts w:ascii="Times New Roman"/>
                <w:sz w:val="18"/>
              </w:rPr>
              <w:t>2019-065</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bookmarkStart w:name="2、表决权恢复的优先股股东请求召开临时股东大会" w:id="140"/>
      <w:bookmarkEnd w:id="1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雷家骕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3" w:right="0"/>
              <w:jc w:val="lef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封竞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3"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49"/>
        <w:ind w:right="8054"/>
        <w:jc w:val="left"/>
      </w:pPr>
      <w:r>
        <w:rPr/>
        <w:t>连续两次未亲自出席董事会的说明 不适用</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52" w:footer="980" w:top="1300" w:bottom="1160" w:left="980" w:right="0"/>
        </w:sectPr>
      </w:pPr>
    </w:p>
    <w:p>
      <w:pPr>
        <w:pStyle w:val="BodyText"/>
        <w:spacing w:line="240" w:lineRule="auto" w:before="142"/>
        <w:ind w:right="1133"/>
        <w:jc w:val="left"/>
      </w:pPr>
      <w:r>
        <w:rPr/>
        <w:t>报告期内独立董事对公司有关事项未提出异议。</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240" w:lineRule="auto" w:before="41"/>
        <w:ind w:right="1133"/>
        <w:jc w:val="left"/>
      </w:pPr>
      <w:r>
        <w:rPr/>
        <w:t>报告期内公司独立董事对需要发表独立意见的议案均发表了同意意见。</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34" w:firstLine="360"/>
        <w:jc w:val="left"/>
      </w:pPr>
      <w:r>
        <w:rPr/>
        <w:t>公司董事会下设战略委员会、审计与风险控制委员会、提名委员会以及薪酬与考核委员会四个专门委员会。报告期内， </w:t>
      </w:r>
      <w:r>
        <w:rPr>
          <w:spacing w:val="-2"/>
        </w:rPr>
        <w:t>公司董事会各专门委员会严格按照《公司章程》、《董事会议事规则》及各专门委员会工作细则合规运作，为公司变革和发</w:t>
      </w:r>
      <w:r>
        <w:rPr>
          <w:spacing w:val="-69"/>
        </w:rPr>
        <w:t> </w:t>
      </w:r>
      <w:r>
        <w:rPr>
          <w:spacing w:val="-69"/>
        </w:rPr>
      </w:r>
      <w:r>
        <w:rPr/>
        <w:t>展提供专业建议和意见。</w:t>
      </w:r>
      <w:r>
        <w:rPr>
          <w:rFonts w:ascii="Times New Roman" w:hAnsi="Times New Roman" w:cs="Times New Roman" w:eastAsia="Times New Roman" w:hint="default"/>
        </w:rPr>
        <w:t>2019</w:t>
      </w:r>
      <w:r>
        <w:rPr/>
        <w:t>年度，公司董事会各专门委员会履职情况如下：</w:t>
      </w:r>
    </w:p>
    <w:p>
      <w:pPr>
        <w:pStyle w:val="BodyText"/>
        <w:spacing w:line="338" w:lineRule="auto" w:before="38"/>
        <w:ind w:left="513" w:right="1123"/>
        <w:jc w:val="left"/>
      </w:pPr>
      <w:r>
        <w:rPr>
          <w:rFonts w:ascii="Times New Roman" w:hAnsi="Times New Roman" w:cs="Times New Roman" w:eastAsia="Times New Roman" w:hint="default"/>
        </w:rPr>
        <w:t>1</w:t>
      </w:r>
      <w:r>
        <w:rPr/>
        <w:t>、战略委员会履职情况 报告期内，公司共召开了</w:t>
      </w:r>
      <w:r>
        <w:rPr>
          <w:rFonts w:ascii="Times New Roman" w:hAnsi="Times New Roman" w:cs="Times New Roman" w:eastAsia="Times New Roman" w:hint="default"/>
        </w:rPr>
        <w:t>3</w:t>
      </w:r>
      <w:r>
        <w:rPr/>
        <w:t>次战略委员会会议，公司董事会战略委员会严格按照《董事会战略委员会议事规则》的相关</w:t>
      </w:r>
    </w:p>
    <w:p>
      <w:pPr>
        <w:pStyle w:val="BodyText"/>
        <w:spacing w:line="217" w:lineRule="exact"/>
        <w:ind w:right="986"/>
        <w:jc w:val="left"/>
      </w:pPr>
      <w:r>
        <w:rPr/>
        <w:t>要求，积极开展相关工作，认真履行职责，对公司长期发展战略和重大投资决策及其他影响公司发展的重大事项进行探讨研</w:t>
      </w:r>
    </w:p>
    <w:p>
      <w:pPr>
        <w:pStyle w:val="BodyText"/>
        <w:spacing w:line="350" w:lineRule="auto" w:before="76"/>
        <w:ind w:left="513" w:right="1123" w:hanging="361"/>
        <w:jc w:val="left"/>
      </w:pPr>
      <w:r>
        <w:rPr/>
        <w:t>究，促进相关事项决策的科学性、高效性，为公司实现快速、持续、健康的发展积极出谋划策。 </w:t>
      </w:r>
      <w:r>
        <w:rPr>
          <w:rFonts w:ascii="Times New Roman" w:hAnsi="Times New Roman" w:cs="Times New Roman" w:eastAsia="Times New Roman" w:hint="default"/>
        </w:rPr>
        <w:t>2</w:t>
      </w:r>
      <w:r>
        <w:rPr/>
        <w:t>、审计与风险控制委员会履职情况 报告期内，公司共召开了</w:t>
      </w:r>
      <w:r>
        <w:rPr>
          <w:rFonts w:ascii="Times New Roman" w:hAnsi="Times New Roman" w:cs="Times New Roman" w:eastAsia="Times New Roman" w:hint="default"/>
        </w:rPr>
        <w:t>4</w:t>
      </w:r>
      <w:r>
        <w:rPr/>
        <w:t>次审计与风险控制委员会会议，公司董事会审计与风险控制委员会严格按照《董事会审计与</w:t>
      </w:r>
    </w:p>
    <w:p>
      <w:pPr>
        <w:pStyle w:val="BodyText"/>
        <w:spacing w:line="207" w:lineRule="exact"/>
        <w:ind w:right="986"/>
        <w:jc w:val="left"/>
      </w:pPr>
      <w:r>
        <w:rPr/>
        <w:t>风险控制委员会议事规则》的相关要求，积极开展工作，认真履行职责，审议讨论了公司出具的定期报告财务报表、公司内</w:t>
      </w:r>
    </w:p>
    <w:p>
      <w:pPr>
        <w:pStyle w:val="BodyText"/>
        <w:spacing w:line="348" w:lineRule="auto" w:before="76"/>
        <w:ind w:left="513" w:right="986" w:hanging="361"/>
        <w:jc w:val="left"/>
      </w:pPr>
      <w:r>
        <w:rPr>
          <w:spacing w:val="-4"/>
        </w:rPr>
        <w:t>部审计工作情况、公司内部控制的建设完善等事项，发挥了审计监督的作用，进一步促进了公司的内部控制、经营管理水平。</w:t>
      </w:r>
      <w:r>
        <w:rPr>
          <w:spacing w:val="-45"/>
        </w:rPr>
        <w:t> </w:t>
      </w:r>
      <w:r>
        <w:rPr>
          <w:spacing w:val="-45"/>
        </w:rPr>
      </w:r>
      <w:r>
        <w:rPr>
          <w:rFonts w:ascii="Times New Roman" w:hAnsi="Times New Roman" w:cs="Times New Roman" w:eastAsia="Times New Roman" w:hint="default"/>
        </w:rPr>
        <w:t>3</w:t>
      </w:r>
      <w:r>
        <w:rPr/>
        <w:t>、提名委员会履职情况 报告期内，公司召开了</w:t>
      </w:r>
      <w:r>
        <w:rPr>
          <w:rFonts w:ascii="Times New Roman" w:hAnsi="Times New Roman" w:cs="Times New Roman" w:eastAsia="Times New Roman" w:hint="default"/>
        </w:rPr>
        <w:t>1</w:t>
      </w:r>
      <w:r>
        <w:rPr/>
        <w:t>次提名委员会会议，公司董事会提名委员会严格按照《董事会提名委员会议事规则》的相关要</w:t>
      </w:r>
    </w:p>
    <w:p>
      <w:pPr>
        <w:pStyle w:val="BodyText"/>
        <w:spacing w:line="209" w:lineRule="exact"/>
        <w:ind w:right="986"/>
        <w:jc w:val="left"/>
      </w:pPr>
      <w:r>
        <w:rPr/>
        <w:t>求，积极开展工作，认真履行职责，研究了独立董事的选择标准和程序，广泛搜寻合格的独立董事的人选，并向公司董事会</w:t>
      </w:r>
    </w:p>
    <w:p>
      <w:pPr>
        <w:pStyle w:val="BodyText"/>
        <w:spacing w:line="240" w:lineRule="auto" w:before="76"/>
        <w:ind w:right="1133"/>
        <w:jc w:val="left"/>
      </w:pPr>
      <w:r>
        <w:rPr/>
        <w:t>提出建议。</w:t>
      </w:r>
    </w:p>
    <w:p>
      <w:pPr>
        <w:pStyle w:val="BodyText"/>
        <w:spacing w:line="319" w:lineRule="auto" w:before="117"/>
        <w:ind w:right="1124" w:firstLine="360"/>
        <w:jc w:val="left"/>
      </w:pPr>
      <w:r>
        <w:rPr>
          <w:rFonts w:ascii="Times New Roman" w:hAnsi="Times New Roman" w:cs="Times New Roman" w:eastAsia="Times New Roman" w:hint="default"/>
        </w:rPr>
        <w:t>4</w:t>
      </w:r>
      <w:r>
        <w:rPr/>
        <w:t>、薪酬与考核委员会履职情况 报告期内，公司召开了</w:t>
      </w:r>
      <w:r>
        <w:rPr>
          <w:rFonts w:ascii="Times New Roman" w:hAnsi="Times New Roman" w:cs="Times New Roman" w:eastAsia="Times New Roman" w:hint="default"/>
        </w:rPr>
        <w:t>1</w:t>
      </w:r>
      <w:r>
        <w:rPr/>
        <w:t>次薪酬与考核委员会会议，公司董事会薪酬与考核委员会严格按照《董事会薪酬与考核委员会议事</w:t>
      </w:r>
      <w:r>
        <w:rPr>
          <w:spacing w:val="-84"/>
        </w:rPr>
        <w:t> </w:t>
      </w:r>
      <w:r>
        <w:rPr>
          <w:spacing w:val="-84"/>
        </w:rPr>
      </w:r>
      <w:r>
        <w:rPr>
          <w:spacing w:val="-2"/>
        </w:rPr>
        <w:t>规则》的相关要求，积极开展工作，认真履行职责，对公司董事、监事、高级管理人员的薪酬进行了审核，认为公司对上述</w:t>
      </w:r>
      <w:r>
        <w:rPr>
          <w:spacing w:val="-72"/>
        </w:rPr>
        <w:t> </w:t>
      </w:r>
      <w:r>
        <w:rPr>
          <w:spacing w:val="-72"/>
        </w:rPr>
      </w:r>
      <w:r>
        <w:rPr/>
        <w:t>人员的薪酬发放履行了相应决策程序，公司现行董事、高级管理人员的薪酬相对合理，符合公司发展现状。</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38" w:lineRule="auto" w:before="118"/>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8" w:firstLine="360"/>
        <w:jc w:val="both"/>
      </w:pPr>
      <w:r>
        <w:rPr>
          <w:spacing w:val="-2"/>
        </w:rPr>
        <w:t>公司目前对高级管理人员的聘任公开、透明，符合法律法规的规定；公司根据年度业务经营目标确定高级管理人员所分</w:t>
      </w:r>
      <w:r>
        <w:rPr/>
        <w:t> </w:t>
      </w:r>
      <w:r>
        <w:rPr>
          <w:spacing w:val="-2"/>
        </w:rPr>
        <w:t>管业务的绩效任务和目标，根据公司年度经营计划和高级管理人员分管工作的职责，进行综合考核，根据考核结果确定高级</w:t>
      </w:r>
      <w:r>
        <w:rPr>
          <w:spacing w:val="-61"/>
        </w:rPr>
        <w:t> </w:t>
      </w:r>
      <w:r>
        <w:rPr>
          <w:spacing w:val="-61"/>
        </w:rPr>
      </w:r>
      <w:r>
        <w:rPr/>
        <w:t>管理人员的年度薪酬水平。</w:t>
      </w:r>
    </w:p>
    <w:p>
      <w:pPr>
        <w:spacing w:after="0" w:line="316" w:lineRule="auto"/>
        <w:jc w:val="both"/>
        <w:sectPr>
          <w:pgSz w:w="11910" w:h="16840"/>
          <w:pgMar w:header="852" w:footer="980" w:top="1300" w:bottom="1160" w:left="980" w:right="0"/>
        </w:sectPr>
      </w:pPr>
    </w:p>
    <w:p>
      <w:pPr>
        <w:pStyle w:val="Heading2"/>
        <w:spacing w:line="240" w:lineRule="auto" w:before="96"/>
        <w:ind w:right="1133"/>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hyperlink r:id="rId15">
              <w:r>
                <w:rPr>
                  <w:rFonts w:ascii="Times New Roman"/>
                  <w:spacing w:val="-2"/>
                  <w:sz w:val="18"/>
                </w:rPr>
                <w:t>www.cninfo.com.cn</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77.08%</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93.92%</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94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4" w:lineRule="auto"/>
              <w:ind w:left="23" w:right="47"/>
              <w:jc w:val="both"/>
              <w:rPr>
                <w:rFonts w:ascii="宋体" w:hAnsi="宋体" w:cs="宋体" w:eastAsia="宋体" w:hint="default"/>
                <w:sz w:val="18"/>
                <w:szCs w:val="18"/>
              </w:rPr>
            </w:pPr>
            <w:r>
              <w:rPr>
                <w:rFonts w:ascii="宋体" w:hAnsi="宋体" w:cs="宋体" w:eastAsia="宋体" w:hint="default"/>
                <w:spacing w:val="-5"/>
                <w:sz w:val="18"/>
                <w:szCs w:val="18"/>
              </w:rPr>
              <w:t>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）董事、监事和高级管理人</w:t>
            </w:r>
            <w:r>
              <w:rPr>
                <w:rFonts w:ascii="宋体" w:hAnsi="宋体" w:cs="宋体" w:eastAsia="宋体" w:hint="default"/>
                <w:spacing w:val="-86"/>
                <w:sz w:val="18"/>
                <w:szCs w:val="18"/>
              </w:rPr>
              <w:t> </w:t>
            </w:r>
            <w:r>
              <w:rPr>
                <w:rFonts w:ascii="宋体" w:hAnsi="宋体" w:cs="宋体" w:eastAsia="宋体" w:hint="default"/>
                <w:spacing w:val="-5"/>
                <w:sz w:val="18"/>
                <w:szCs w:val="18"/>
              </w:rPr>
              <w:t>员舞弊；（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）外部审计发现当期财务报表</w:t>
            </w:r>
            <w:r>
              <w:rPr>
                <w:rFonts w:ascii="宋体" w:hAnsi="宋体" w:cs="宋体" w:eastAsia="宋体" w:hint="default"/>
                <w:spacing w:val="-86"/>
                <w:sz w:val="18"/>
                <w:szCs w:val="18"/>
              </w:rPr>
              <w:t> </w:t>
            </w:r>
            <w:r>
              <w:rPr>
                <w:rFonts w:ascii="宋体" w:hAnsi="宋体" w:cs="宋体" w:eastAsia="宋体" w:hint="default"/>
                <w:sz w:val="18"/>
                <w:szCs w:val="18"/>
              </w:rPr>
              <w:t>存在重大错报，而内部控制在运行过程中 </w:t>
            </w:r>
            <w:r>
              <w:rPr>
                <w:rFonts w:ascii="宋体" w:hAnsi="宋体" w:cs="宋体" w:eastAsia="宋体" w:hint="default"/>
                <w:spacing w:val="-5"/>
                <w:sz w:val="18"/>
                <w:szCs w:val="18"/>
              </w:rPr>
              <w:t>未能发现该错报；（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）内部审计机构对内</w:t>
            </w:r>
            <w:r>
              <w:rPr>
                <w:rFonts w:ascii="宋体" w:hAnsi="宋体" w:cs="宋体" w:eastAsia="宋体" w:hint="default"/>
                <w:spacing w:val="-86"/>
                <w:sz w:val="18"/>
                <w:szCs w:val="18"/>
              </w:rPr>
              <w:t> </w:t>
            </w:r>
            <w:r>
              <w:rPr>
                <w:rFonts w:ascii="宋体" w:hAnsi="宋体" w:cs="宋体" w:eastAsia="宋体" w:hint="default"/>
                <w:spacing w:val="-5"/>
                <w:sz w:val="18"/>
                <w:szCs w:val="18"/>
              </w:rPr>
              <w:t>部控制的监督无效；（</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）其他可能造成公</w:t>
            </w:r>
            <w:r>
              <w:rPr>
                <w:rFonts w:ascii="宋体" w:hAnsi="宋体" w:cs="宋体" w:eastAsia="宋体" w:hint="default"/>
                <w:spacing w:val="-86"/>
                <w:sz w:val="18"/>
                <w:szCs w:val="18"/>
              </w:rPr>
              <w:t> </w:t>
            </w:r>
            <w:r>
              <w:rPr>
                <w:rFonts w:ascii="宋体" w:hAnsi="宋体" w:cs="宋体" w:eastAsia="宋体" w:hint="default"/>
                <w:sz w:val="18"/>
                <w:szCs w:val="18"/>
              </w:rPr>
              <w:t>司财务报告被认定为无效情形的。</w:t>
            </w:r>
          </w:p>
        </w:tc>
        <w:tc>
          <w:tcPr>
            <w:tcW w:w="3053" w:type="dxa"/>
            <w:vMerge w:val="restart"/>
            <w:tcBorders>
              <w:top w:val="single" w:sz="4" w:space="0" w:color="000000"/>
              <w:left w:val="single" w:sz="4" w:space="0" w:color="000000"/>
              <w:right w:val="single" w:sz="4" w:space="0" w:color="000000"/>
            </w:tcBorders>
          </w:tcPr>
          <w:p>
            <w:pPr>
              <w:pStyle w:val="TableParagraph"/>
              <w:spacing w:line="302" w:lineRule="auto" w:before="49"/>
              <w:ind w:left="26"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）缺乏</w:t>
            </w:r>
            <w:r>
              <w:rPr>
                <w:rFonts w:ascii="Times New Roman" w:hAnsi="Times New Roman" w:cs="Times New Roman" w:eastAsia="Times New Roman" w:hint="default"/>
                <w:sz w:val="18"/>
                <w:szCs w:val="18"/>
              </w:rPr>
              <w:t>“</w:t>
            </w:r>
            <w:r>
              <w:rPr>
                <w:rFonts w:ascii="宋体" w:hAnsi="宋体" w:cs="宋体" w:eastAsia="宋体" w:hint="default"/>
                <w:sz w:val="18"/>
                <w:szCs w:val="18"/>
              </w:rPr>
              <w:t>三重一大</w:t>
            </w:r>
            <w:r>
              <w:rPr>
                <w:rFonts w:ascii="Times New Roman" w:hAnsi="Times New Roman" w:cs="Times New Roman" w:eastAsia="Times New Roman" w:hint="default"/>
                <w:sz w:val="18"/>
                <w:szCs w:val="18"/>
              </w:rPr>
              <w:t>”</w:t>
            </w:r>
            <w:r>
              <w:rPr>
                <w:rFonts w:ascii="宋体" w:hAnsi="宋体" w:cs="宋体" w:eastAsia="宋体" w:hint="default"/>
                <w:sz w:val="18"/>
                <w:szCs w:val="18"/>
              </w:rPr>
              <w:t>等重大集体决策 </w:t>
            </w:r>
            <w:r>
              <w:rPr>
                <w:rFonts w:ascii="宋体" w:hAnsi="宋体" w:cs="宋体" w:eastAsia="宋体" w:hint="default"/>
                <w:spacing w:val="-9"/>
                <w:sz w:val="18"/>
                <w:szCs w:val="18"/>
              </w:rPr>
              <w:t>程序；（</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）公司决策程序不科学导致重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大损失；（</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）严重违反法律法规；（</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w:t>
            </w:r>
            <w:r>
              <w:rPr>
                <w:rFonts w:ascii="宋体" w:hAnsi="宋体" w:cs="宋体" w:eastAsia="宋体" w:hint="default"/>
                <w:spacing w:val="-82"/>
                <w:sz w:val="18"/>
                <w:szCs w:val="18"/>
              </w:rPr>
              <w:t> </w:t>
            </w:r>
            <w:r>
              <w:rPr>
                <w:rFonts w:ascii="宋体" w:hAnsi="宋体" w:cs="宋体" w:eastAsia="宋体" w:hint="default"/>
                <w:spacing w:val="-11"/>
                <w:sz w:val="18"/>
                <w:szCs w:val="18"/>
              </w:rPr>
              <w:t>管理人员或技术人员大量流失；（</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）公</w:t>
            </w:r>
            <w:r>
              <w:rPr>
                <w:rFonts w:ascii="宋体" w:hAnsi="宋体" w:cs="宋体" w:eastAsia="宋体" w:hint="default"/>
                <w:spacing w:val="-82"/>
                <w:sz w:val="18"/>
                <w:szCs w:val="18"/>
              </w:rPr>
              <w:t> </w:t>
            </w:r>
            <w:r>
              <w:rPr>
                <w:rFonts w:ascii="宋体" w:hAnsi="宋体" w:cs="宋体" w:eastAsia="宋体" w:hint="default"/>
                <w:spacing w:val="-6"/>
                <w:sz w:val="18"/>
                <w:szCs w:val="18"/>
              </w:rPr>
              <w:t>司内部控制重大缺陷未得到整改；（</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重要业务缺乏制度控制或制度系统性 失效。</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94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785"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2" w:lineRule="exact" w:before="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营业收入总额的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。重要缺陷：资产总额</w:t>
            </w:r>
            <w:r>
              <w:rPr>
                <w:rFonts w:ascii="宋体" w:hAnsi="宋体" w:cs="宋体" w:eastAsia="宋体" w:hint="default"/>
                <w:sz w:val="18"/>
                <w:szCs w:val="18"/>
              </w:rPr>
              <w:t> 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或营业收入总 额</w:t>
            </w:r>
            <w:r>
              <w:rPr>
                <w:rFonts w:ascii="宋体" w:hAnsi="宋体" w:cs="宋体" w:eastAsia="宋体" w:hint="default"/>
                <w:spacing w:val="-55"/>
                <w:sz w:val="18"/>
                <w:szCs w:val="18"/>
              </w:rPr>
              <w:t> </w:t>
            </w:r>
            <w:r>
              <w:rPr>
                <w:rFonts w:ascii="Times New Roman" w:hAnsi="Times New Roman" w:cs="Times New Roman" w:eastAsia="Times New Roman" w:hint="default"/>
                <w:spacing w:val="-1"/>
                <w:w w:val="100"/>
                <w:sz w:val="18"/>
                <w:szCs w:val="18"/>
              </w:rPr>
              <w:t>1%≤</w:t>
            </w:r>
            <w:r>
              <w:rPr>
                <w:rFonts w:ascii="宋体" w:hAnsi="宋体" w:cs="宋体" w:eastAsia="宋体" w:hint="default"/>
                <w:spacing w:val="-1"/>
                <w:w w:val="100"/>
                <w:sz w:val="18"/>
                <w:szCs w:val="18"/>
              </w:rPr>
              <w:t>错报</w:t>
            </w:r>
            <w:r>
              <w:rPr>
                <w:rFonts w:ascii="Times New Roman" w:hAnsi="Times New Roman" w:cs="Times New Roman" w:eastAsia="Times New Roman" w:hint="default"/>
                <w:spacing w:val="-1"/>
                <w:w w:val="100"/>
                <w:sz w:val="18"/>
                <w:szCs w:val="18"/>
              </w:rPr>
              <w:t>&lt;</w:t>
            </w:r>
            <w:r>
              <w:rPr>
                <w:rFonts w:ascii="宋体" w:hAnsi="宋体" w:cs="宋体" w:eastAsia="宋体" w:hint="default"/>
                <w:spacing w:val="-1"/>
                <w:w w:val="100"/>
                <w:sz w:val="18"/>
                <w:szCs w:val="18"/>
              </w:rPr>
              <w:t>营业收入总额</w:t>
            </w:r>
            <w:r>
              <w:rPr>
                <w:rFonts w:ascii="宋体" w:hAnsi="宋体" w:cs="宋体" w:eastAsia="宋体" w:hint="default"/>
                <w:spacing w:val="-54"/>
                <w:w w:val="100"/>
                <w:sz w:val="18"/>
                <w:szCs w:val="18"/>
              </w:rPr>
              <w:t> </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。一般缺陷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且错报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 </w:t>
            </w:r>
            <w:r>
              <w:rPr>
                <w:rFonts w:ascii="Times New Roman" w:hAnsi="Times New Roman" w:cs="Times New Roman" w:eastAsia="Times New Roman" w:hint="default"/>
                <w:sz w:val="18"/>
                <w:szCs w:val="18"/>
              </w:rPr>
              <w:t>1%</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2"/>
              <w:ind w:left="26"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78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r>
        <w:rPr/>
        <w:pict>
          <v:group style="position:absolute;margin-left:382.869995pt;margin-top:-151.99437pt;width:152.1pt;height:59.3pt;mso-position-horizontal-relative:page;mso-position-vertical-relative:paragraph;z-index:-1227784" coordorigin="7657,-3040" coordsize="3042,1186">
            <v:group style="position:absolute;left:7669;top:-3028;width:2;height:394" coordorigin="7669,-3028" coordsize="2,394">
              <v:shape style="position:absolute;left:7669;top:-3028;width:2;height:394" coordorigin="7669,-3028" coordsize="0,394" path="m7669,-3028l7669,-2634e" filled="false" stroked="true" strokeweight="1.2pt" strokecolor="#ffffff">
                <v:path arrowok="t"/>
              </v:shape>
            </v:group>
            <v:group style="position:absolute;left:7657;top:-2634;width:3042;height:780" coordorigin="7657,-2634" coordsize="3042,780">
              <v:shape style="position:absolute;left:7657;top:-2634;width:3042;height:780" coordorigin="7657,-2634" coordsize="3042,780" path="m7657,-1854l10699,-1854,10699,-2634,7657,-2634,7657,-1854xe" filled="true" fillcolor="#ffffff" stroked="false">
                <v:path arrowok="t"/>
                <v:fill type="solid"/>
              </v:shape>
            </v:group>
            <v:group style="position:absolute;left:7681;top:-3028;width:2994;height:394" coordorigin="7681,-3028" coordsize="2994,394">
              <v:shape style="position:absolute;left:7681;top:-3028;width:2994;height:394" coordorigin="7681,-3028" coordsize="2994,394" path="m7681,-2634l10675,-2634,10675,-3028,7681,-3028,7681,-2634xe" filled="true" fillcolor="#ffffff" stroked="false">
                <v:path arrowok="t"/>
                <v:fill type="solid"/>
              </v:shape>
            </v:group>
            <w10:wrap type="none"/>
          </v:group>
        </w:pict>
      </w:r>
      <w:bookmarkStart w:name="十、内部控制审计报告或鉴证报告" w:id="151"/>
      <w:bookmarkEnd w:id="151"/>
      <w:r>
        <w:rPr/>
      </w:r>
      <w:r>
        <w:rPr>
          <w:rFonts w:ascii="宋体" w:hAnsi="宋体" w:cs="宋体" w:eastAsia="宋体" w:hint="default"/>
          <w:b/>
          <w:bCs/>
          <w:sz w:val="24"/>
          <w:szCs w:val="24"/>
        </w:rPr>
        <w:t>十、内部控制审计报告或鉴证报告</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面保持了与财务报表相关的有效的内部控制。本结论是在受到鉴证报告中指出的固有限制的条件下形成的。</w:t>
            </w:r>
          </w:p>
        </w:tc>
      </w:tr>
    </w:tbl>
    <w:p>
      <w:pPr>
        <w:spacing w:after="0" w:line="297"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hyperlink r:id="rId15">
              <w:r>
                <w:rPr>
                  <w:rFonts w:ascii="Times New Roman"/>
                  <w:spacing w:val="-2"/>
                  <w:sz w:val="18"/>
                </w:rPr>
                <w:t>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348" w:lineRule="auto" w:before="41"/>
        <w:ind w:right="39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会计师事务所出具的内部控制鉴证报告与董事会的自我评价报告意见不一致的原因说明 不适用</w:t>
      </w:r>
    </w:p>
    <w:p>
      <w:pPr>
        <w:spacing w:after="0" w:line="348" w:lineRule="auto"/>
        <w:jc w:val="left"/>
        <w:sectPr>
          <w:pgSz w:w="11910" w:h="16840"/>
          <w:pgMar w:header="852" w:footer="980" w:top="130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spacing w:line="240" w:lineRule="auto"/>
        <w:ind w:left="3045" w:right="1133"/>
        <w:jc w:val="left"/>
        <w:rPr>
          <w:b w:val="0"/>
          <w:bCs w:val="0"/>
        </w:rPr>
      </w:pPr>
      <w:bookmarkStart w:name="第十一节公司债券相关情况" w:id="152"/>
      <w:bookmarkEnd w:id="152"/>
      <w:r>
        <w:rPr>
          <w:b w:val="0"/>
          <w:bCs w:val="0"/>
        </w:rPr>
      </w:r>
      <w:bookmarkStart w:name="_bookmark10" w:id="153"/>
      <w:bookmarkEnd w:id="153"/>
      <w:r>
        <w:rPr>
          <w:b w:val="0"/>
          <w:bCs w:val="0"/>
        </w:rPr>
      </w:r>
      <w:r>
        <w:rPr/>
        <w:t>第十一节公司债券相关情况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211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852" w:footer="980" w:top="130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3138"/>
        <w:jc w:val="center"/>
        <w:rPr>
          <w:b w:val="0"/>
          <w:bCs w:val="0"/>
        </w:rPr>
      </w:pPr>
      <w:bookmarkStart w:name="第十二节财务报告" w:id="154"/>
      <w:bookmarkEnd w:id="154"/>
      <w:r>
        <w:rPr>
          <w:b w:val="0"/>
          <w:bCs w:val="0"/>
        </w:rPr>
      </w:r>
      <w:bookmarkStart w:name="_bookmark11" w:id="155"/>
      <w:bookmarkEnd w:id="155"/>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ZB10085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张金华、郭晓清</w:t>
            </w:r>
          </w:p>
        </w:tc>
      </w:tr>
    </w:tbl>
    <w:p>
      <w:pPr>
        <w:spacing w:line="357" w:lineRule="auto" w:before="49"/>
        <w:ind w:left="4432" w:right="5411"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审计报告</w:t>
      </w:r>
      <w:r>
        <w:rPr>
          <w:rFonts w:ascii="宋体" w:hAnsi="宋体" w:cs="宋体" w:eastAsia="宋体" w:hint="default"/>
          <w:sz w:val="18"/>
          <w:szCs w:val="18"/>
        </w:rPr>
      </w:r>
    </w:p>
    <w:p>
      <w:pPr>
        <w:spacing w:line="240" w:lineRule="auto" w:before="7"/>
        <w:rPr>
          <w:rFonts w:ascii="宋体" w:hAnsi="宋体" w:cs="宋体" w:eastAsia="宋体" w:hint="default"/>
          <w:b/>
          <w:bCs/>
          <w:sz w:val="19"/>
          <w:szCs w:val="19"/>
        </w:rPr>
      </w:pPr>
    </w:p>
    <w:p>
      <w:pPr>
        <w:pStyle w:val="BodyText"/>
        <w:spacing w:line="240" w:lineRule="auto" w:before="44"/>
        <w:ind w:left="0" w:right="1128"/>
        <w:jc w:val="right"/>
      </w:pPr>
      <w:r>
        <w:rPr>
          <w:spacing w:val="-1"/>
        </w:rPr>
        <w:t>信会师报字</w:t>
      </w:r>
      <w:r>
        <w:rPr>
          <w:rFonts w:ascii="Times New Roman" w:hAnsi="Times New Roman" w:cs="Times New Roman" w:eastAsia="Times New Roman" w:hint="default"/>
          <w:spacing w:val="-1"/>
        </w:rPr>
        <w:t>[2020]</w:t>
      </w:r>
      <w:r>
        <w:rPr>
          <w:spacing w:val="-1"/>
        </w:rPr>
        <w:t>第</w:t>
      </w:r>
      <w:r>
        <w:rPr>
          <w:rFonts w:ascii="Times New Roman" w:hAnsi="Times New Roman" w:cs="Times New Roman" w:eastAsia="Times New Roman" w:hint="default"/>
          <w:spacing w:val="-1"/>
        </w:rPr>
        <w:t>ZB10085</w:t>
      </w:r>
      <w:r>
        <w:rPr>
          <w:spacing w:val="-1"/>
        </w:rPr>
        <w:t>号</w:t>
      </w:r>
    </w:p>
    <w:p>
      <w:pPr>
        <w:spacing w:line="240" w:lineRule="auto" w:before="3"/>
        <w:rPr>
          <w:rFonts w:ascii="宋体" w:hAnsi="宋体" w:cs="宋体" w:eastAsia="宋体" w:hint="default"/>
          <w:sz w:val="25"/>
          <w:szCs w:val="25"/>
        </w:rPr>
      </w:pPr>
    </w:p>
    <w:p>
      <w:pPr>
        <w:pStyle w:val="Heading4"/>
        <w:spacing w:line="636" w:lineRule="auto" w:before="44"/>
        <w:ind w:right="7321" w:hanging="361"/>
        <w:jc w:val="left"/>
        <w:rPr>
          <w:b w:val="0"/>
          <w:bCs w:val="0"/>
        </w:rPr>
      </w:pPr>
      <w:r>
        <w:rPr/>
        <w:t>北京宇信科技集团股份有限公司全体股东：</w:t>
      </w:r>
      <w:r>
        <w:rPr>
          <w:w w:val="99"/>
        </w:rPr>
        <w:t> </w:t>
      </w:r>
      <w:r>
        <w:rPr/>
        <w:t>一、审计意见</w:t>
      </w:r>
      <w:r>
        <w:rPr>
          <w:b w:val="0"/>
          <w:bCs w:val="0"/>
        </w:rPr>
      </w:r>
    </w:p>
    <w:p>
      <w:pPr>
        <w:pStyle w:val="BodyText"/>
        <w:spacing w:line="300" w:lineRule="auto" w:before="91"/>
        <w:ind w:right="1128" w:firstLine="360"/>
        <w:jc w:val="both"/>
      </w:pPr>
      <w:r>
        <w:rPr>
          <w:spacing w:val="-2"/>
        </w:rPr>
        <w:t>我们审计了北京宇信科技集团股份有限公司（以下简称</w:t>
      </w:r>
      <w:r>
        <w:rPr>
          <w:rFonts w:ascii="Times New Roman" w:hAnsi="Times New Roman" w:cs="Times New Roman" w:eastAsia="Times New Roman" w:hint="default"/>
          <w:spacing w:val="-2"/>
        </w:rPr>
        <w:t>“</w:t>
      </w:r>
      <w:r>
        <w:rPr>
          <w:spacing w:val="-2"/>
        </w:rPr>
        <w:t>宇信科技</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w:t>
      </w:r>
      <w:r>
        <w:rPr/>
        <w:t> </w:t>
      </w:r>
      <w:r>
        <w:rPr>
          <w:spacing w:val="-2"/>
        </w:rPr>
        <w:t>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年度的合并及母公司利润表、合并及母公司现金流量表、合并及母公司所有者权益变动表以及相关财务报表</w:t>
      </w:r>
      <w:r>
        <w:rPr>
          <w:spacing w:val="-60"/>
        </w:rPr>
        <w:t> </w:t>
      </w:r>
      <w:r>
        <w:rPr>
          <w:spacing w:val="-60"/>
        </w:rPr>
      </w:r>
      <w:r>
        <w:rPr/>
        <w:t>附注。</w:t>
      </w:r>
    </w:p>
    <w:p>
      <w:pPr>
        <w:pStyle w:val="BodyText"/>
        <w:spacing w:line="300" w:lineRule="auto" w:before="31"/>
        <w:ind w:right="1128" w:firstLine="360"/>
        <w:jc w:val="both"/>
      </w:pPr>
      <w:r>
        <w:rPr>
          <w:spacing w:val="-2"/>
        </w:rPr>
        <w:t>我们认为，后附的财务报表在所有重大方面按照企业会计准则的规定编制，公允反映了宇信科技</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624" w:lineRule="exact" w:before="36"/>
        <w:ind w:left="513" w:right="1133"/>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213" w:lineRule="exact"/>
        <w:ind w:right="986"/>
        <w:jc w:val="left"/>
      </w:pPr>
      <w:r>
        <w:rPr/>
        <w:t>阐述了我们在这些准则下的责任。按照中国注册会计师职业道德守则，我们独立于宇信科技，并履行了职业道德方面的其他</w:t>
      </w:r>
    </w:p>
    <w:p>
      <w:pPr>
        <w:pStyle w:val="BodyText"/>
        <w:spacing w:line="636" w:lineRule="auto" w:before="76"/>
        <w:ind w:left="590" w:right="3914" w:hanging="438"/>
        <w:jc w:val="left"/>
        <w:rPr>
          <w:rFonts w:ascii="宋体" w:hAnsi="宋体" w:cs="宋体" w:eastAsia="宋体" w:hint="default"/>
        </w:rPr>
      </w:pPr>
      <w:r>
        <w:rPr/>
        <w:t>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6" w:lineRule="auto" w:before="92"/>
        <w:ind w:right="1044" w:firstLine="360"/>
        <w:jc w:val="both"/>
      </w:pPr>
      <w:r>
        <w:rPr>
          <w:spacing w:val="-2"/>
        </w:rPr>
        <w:t>关键审计事项是我们根据职业判断，认为对本期财务报表审计最为重要的事项。这些事项的应对以对财务报表整体进行</w:t>
      </w:r>
      <w:r>
        <w:rPr/>
        <w:t> </w:t>
      </w:r>
      <w:r>
        <w:rPr>
          <w:spacing w:val="-4"/>
        </w:rPr>
        <w:t>审计并形成审计意见为背景，我们不对这些事项单独发表意见。我们确定下列事项是需要在审计报告中沟通的关键审计事项。</w:t>
      </w:r>
    </w:p>
    <w:p>
      <w:pPr>
        <w:spacing w:line="240" w:lineRule="auto" w:before="9"/>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4820"/>
        <w:gridCol w:w="4820"/>
      </w:tblGrid>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29"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6"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（一）</w:t>
            </w:r>
            <w:r>
              <w:rPr>
                <w:rFonts w:ascii="宋体" w:hAnsi="宋体" w:cs="宋体" w:eastAsia="宋体" w:hint="default"/>
                <w:sz w:val="18"/>
                <w:szCs w:val="18"/>
              </w:rPr>
              <w:t>收入确认</w:t>
            </w:r>
          </w:p>
        </w:tc>
      </w:tr>
      <w:tr>
        <w:trPr>
          <w:trHeight w:val="972"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0"/>
              <w:jc w:val="both"/>
              <w:rPr>
                <w:rFonts w:ascii="宋体" w:hAnsi="宋体" w:cs="宋体" w:eastAsia="宋体" w:hint="default"/>
                <w:sz w:val="18"/>
                <w:szCs w:val="18"/>
              </w:rPr>
            </w:pPr>
            <w:r>
              <w:rPr>
                <w:rFonts w:ascii="宋体" w:hAnsi="宋体" w:cs="宋体" w:eastAsia="宋体" w:hint="default"/>
                <w:spacing w:val="-5"/>
                <w:w w:val="100"/>
                <w:sz w:val="18"/>
                <w:szCs w:val="18"/>
              </w:rPr>
              <w:t>收入确认的会计政策详情及分析请参阅财务报表附注</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五、</w:t>
            </w:r>
            <w:r>
              <w:rPr>
                <w:rFonts w:ascii="Times New Roman" w:hAnsi="Times New Roman" w:cs="Times New Roman" w:eastAsia="Times New Roman" w:hint="default"/>
                <w:spacing w:val="-5"/>
                <w:w w:val="100"/>
                <w:sz w:val="18"/>
                <w:szCs w:val="18"/>
              </w:rPr>
              <w:t>25</w:t>
            </w:r>
            <w:r>
              <w:rPr>
                <w:rFonts w:ascii="宋体" w:hAnsi="宋体" w:cs="宋体" w:eastAsia="宋体" w:hint="default"/>
                <w:spacing w:val="-5"/>
                <w:w w:val="100"/>
                <w:sz w:val="18"/>
                <w:szCs w:val="18"/>
              </w:rPr>
              <w:t>、</w:t>
            </w:r>
            <w:r>
              <w:rPr>
                <w:rFonts w:ascii="宋体" w:hAnsi="宋体" w:cs="宋体" w:eastAsia="宋体" w:hint="default"/>
                <w:spacing w:val="-68"/>
                <w:w w:val="100"/>
                <w:sz w:val="18"/>
                <w:szCs w:val="18"/>
              </w:rPr>
              <w:t> </w:t>
            </w:r>
            <w:r>
              <w:rPr>
                <w:rFonts w:ascii="宋体" w:hAnsi="宋体" w:cs="宋体" w:eastAsia="宋体" w:hint="default"/>
                <w:spacing w:val="-4"/>
                <w:sz w:val="18"/>
                <w:szCs w:val="18"/>
              </w:rPr>
              <w:t>收入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所述的会计政策及</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七、</w:t>
            </w:r>
            <w:r>
              <w:rPr>
                <w:rFonts w:ascii="Times New Roman" w:hAnsi="Times New Roman" w:cs="Times New Roman" w:eastAsia="Times New Roman" w:hint="default"/>
                <w:spacing w:val="-4"/>
                <w:sz w:val="18"/>
                <w:szCs w:val="18"/>
              </w:rPr>
              <w:t>33</w:t>
            </w:r>
            <w:r>
              <w:rPr>
                <w:rFonts w:ascii="宋体" w:hAnsi="宋体" w:cs="宋体" w:eastAsia="宋体" w:hint="default"/>
                <w:spacing w:val="-4"/>
                <w:sz w:val="18"/>
                <w:szCs w:val="18"/>
              </w:rPr>
              <w:t>、营业收入和营业成本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年度，宇信科技营业收入为</w:t>
            </w:r>
            <w:r>
              <w:rPr>
                <w:rFonts w:ascii="Times New Roman" w:hAnsi="Times New Roman" w:cs="Times New Roman" w:eastAsia="Times New Roman" w:hint="default"/>
                <w:sz w:val="18"/>
                <w:szCs w:val="18"/>
              </w:rPr>
              <w:t>265,172.68</w:t>
            </w:r>
            <w:r>
              <w:rPr>
                <w:rFonts w:ascii="宋体" w:hAnsi="宋体" w:cs="宋体" w:eastAsia="宋体" w:hint="default"/>
                <w:sz w:val="18"/>
                <w:szCs w:val="18"/>
              </w:rPr>
              <w:t>万元。</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我们对收入确认关键审计事项执行的主要审计程序包括：</w:t>
            </w:r>
          </w:p>
          <w:p>
            <w:pPr>
              <w:pStyle w:val="TableParagraph"/>
              <w:spacing w:line="300" w:lineRule="auto" w:before="76"/>
              <w:ind w:left="4" w:right="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）了解和评价管理层与收入确认相关的关键内部控制的设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计和运行有效性。</w:t>
            </w:r>
          </w:p>
        </w:tc>
      </w:tr>
    </w:tbl>
    <w:p>
      <w:pPr>
        <w:spacing w:after="0" w:line="30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050"/>
        <w:jc w:val="right"/>
      </w:pPr>
      <w:r>
        <w:rPr/>
        <w:pict>
          <v:shape style="position:absolute;margin-left:56.279999pt;margin-top:-139.828278pt;width:483.1pt;height:505.3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0"/>
                    <w:gridCol w:w="4820"/>
                  </w:tblGrid>
                  <w:tr>
                    <w:trPr>
                      <w:trHeight w:val="315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20"/>
                          <w:jc w:val="left"/>
                          <w:rPr>
                            <w:rFonts w:ascii="宋体" w:hAnsi="宋体" w:cs="宋体" w:eastAsia="宋体" w:hint="default"/>
                            <w:sz w:val="18"/>
                            <w:szCs w:val="18"/>
                          </w:rPr>
                        </w:pPr>
                        <w:r>
                          <w:rPr>
                            <w:rFonts w:ascii="宋体" w:hAnsi="宋体" w:cs="宋体" w:eastAsia="宋体" w:hint="default"/>
                            <w:spacing w:val="-3"/>
                            <w:sz w:val="18"/>
                            <w:szCs w:val="18"/>
                          </w:rPr>
                          <w:t>宇信科技主营业务按业务类型划分为软件开发及服务、系统集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成销售及服务、运营收入和其他主营业务四大类。 </w:t>
                        </w:r>
                        <w:r>
                          <w:rPr>
                            <w:rFonts w:ascii="宋体" w:hAnsi="宋体" w:cs="宋体" w:eastAsia="宋体" w:hint="default"/>
                            <w:spacing w:val="-3"/>
                            <w:sz w:val="18"/>
                            <w:szCs w:val="18"/>
                          </w:rPr>
                          <w:t>由于营业收入是宇信科技的关键业绩指标之一，从而存在管理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层为了达到特定目标或期望而操纵收入确认时点的固有风险，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我们将宇信科技收入确认识别为关键审计事项。</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）选取样本检查销售合同，分析识别与风险和报酬转移相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关的合同条款与条件，评价收入确认时点是否符合企业会计准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则的要求。</w:t>
                        </w:r>
                      </w:p>
                      <w:p>
                        <w:pPr>
                          <w:pStyle w:val="TableParagraph"/>
                          <w:spacing w:line="309" w:lineRule="auto" w:before="24"/>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）对本年记录的收入交易选取样本，核对销售合同、验收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报告或工作量确认单等支持性文件，评价相关收入确认是否符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合宇信科技收入确认的会计政策。</w:t>
                        </w:r>
                      </w:p>
                      <w:p>
                        <w:pPr>
                          <w:pStyle w:val="TableParagraph"/>
                          <w:spacing w:line="309" w:lineRule="auto" w:before="24"/>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）就资产负债表日前后记录的收入交易，选取样本，核对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验收报告或工作量确认单等支持性文件，以评价收入是否被记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录于恰当的会计期间。</w:t>
                        </w:r>
                      </w:p>
                      <w:p>
                        <w:pPr>
                          <w:pStyle w:val="TableParagraph"/>
                          <w:spacing w:line="240" w:lineRule="auto" w:before="24"/>
                          <w:ind w:left="4"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）结合对应收账款的审计，选择主要客户函证本期销售额</w:t>
                        </w:r>
                      </w:p>
                    </w:tc>
                  </w:tr>
                  <w:tr>
                    <w:trPr>
                      <w:trHeight w:val="346"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（二）</w:t>
                        </w:r>
                        <w:r>
                          <w:rPr>
                            <w:rFonts w:ascii="宋体" w:hAnsi="宋体" w:cs="宋体" w:eastAsia="宋体" w:hint="default"/>
                            <w:sz w:val="18"/>
                            <w:szCs w:val="18"/>
                          </w:rPr>
                          <w:t>应收账款的减值</w:t>
                        </w:r>
                      </w:p>
                    </w:tc>
                  </w:tr>
                  <w:tr>
                    <w:trPr>
                      <w:trHeight w:val="6589"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0"/>
                          <w:ind w:left="4" w:right="-3"/>
                          <w:jc w:val="both"/>
                          <w:rPr>
                            <w:rFonts w:ascii="宋体" w:hAnsi="宋体" w:cs="宋体" w:eastAsia="宋体" w:hint="default"/>
                            <w:sz w:val="18"/>
                            <w:szCs w:val="18"/>
                          </w:rPr>
                        </w:pPr>
                        <w:r>
                          <w:rPr>
                            <w:rFonts w:ascii="宋体" w:hAnsi="宋体" w:cs="宋体" w:eastAsia="宋体" w:hint="default"/>
                            <w:sz w:val="18"/>
                            <w:szCs w:val="18"/>
                          </w:rPr>
                          <w:t>请参阅财务报表附注</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、金融资产减值的测试方法及会</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1"/>
                            <w:sz w:val="18"/>
                            <w:szCs w:val="18"/>
                          </w:rPr>
                          <w:t>计处理方法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所述的会计政策及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七、</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、应收账款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日，宇信科技的应收账款账面余额为</w:t>
                        </w:r>
                        <w:r>
                          <w:rPr>
                            <w:rFonts w:ascii="Times New Roman" w:hAnsi="Times New Roman" w:cs="Times New Roman" w:eastAsia="Times New Roman" w:hint="default"/>
                            <w:spacing w:val="-2"/>
                            <w:sz w:val="18"/>
                            <w:szCs w:val="18"/>
                          </w:rPr>
                          <w:t>82,268.20</w:t>
                        </w:r>
                        <w:r>
                          <w:rPr>
                            <w:rFonts w:ascii="宋体" w:hAnsi="宋体" w:cs="宋体" w:eastAsia="宋体" w:hint="default"/>
                            <w:spacing w:val="-2"/>
                            <w:sz w:val="18"/>
                            <w:szCs w:val="18"/>
                          </w:rPr>
                          <w:t>万元，坏账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准备为</w:t>
                        </w:r>
                        <w:r>
                          <w:rPr>
                            <w:rFonts w:ascii="Times New Roman" w:hAnsi="Times New Roman" w:cs="Times New Roman" w:eastAsia="Times New Roman" w:hint="default"/>
                            <w:sz w:val="18"/>
                            <w:szCs w:val="18"/>
                          </w:rPr>
                          <w:t>5,285.54</w:t>
                        </w:r>
                        <w:r>
                          <w:rPr>
                            <w:rFonts w:ascii="宋体" w:hAnsi="宋体" w:cs="宋体" w:eastAsia="宋体" w:hint="default"/>
                            <w:sz w:val="18"/>
                            <w:szCs w:val="18"/>
                          </w:rPr>
                          <w:t>万元，账面价值为</w:t>
                        </w:r>
                        <w:r>
                          <w:rPr>
                            <w:rFonts w:ascii="Times New Roman" w:hAnsi="Times New Roman" w:cs="Times New Roman" w:eastAsia="Times New Roman" w:hint="default"/>
                            <w:sz w:val="18"/>
                            <w:szCs w:val="18"/>
                          </w:rPr>
                          <w:t>76,982.66</w:t>
                        </w:r>
                        <w:r>
                          <w:rPr>
                            <w:rFonts w:ascii="宋体" w:hAnsi="宋体" w:cs="宋体" w:eastAsia="宋体" w:hint="default"/>
                            <w:sz w:val="18"/>
                            <w:szCs w:val="18"/>
                          </w:rPr>
                          <w:t>万元，占期末资产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总额的</w:t>
                        </w:r>
                        <w:r>
                          <w:rPr>
                            <w:rFonts w:ascii="Times New Roman" w:hAnsi="Times New Roman" w:cs="Times New Roman" w:eastAsia="Times New Roman" w:hint="default"/>
                            <w:spacing w:val="-3"/>
                            <w:sz w:val="18"/>
                            <w:szCs w:val="18"/>
                          </w:rPr>
                          <w:t>19.37%</w:t>
                        </w:r>
                        <w:r>
                          <w:rPr>
                            <w:rFonts w:ascii="宋体" w:hAnsi="宋体" w:cs="宋体" w:eastAsia="宋体" w:hint="default"/>
                            <w:spacing w:val="-3"/>
                            <w:sz w:val="18"/>
                            <w:szCs w:val="18"/>
                          </w:rPr>
                          <w:t>。若应收账款不能按期收回或无法收回而发生坏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账对财务报表影响较为重大，为此我们将应收账款的减值识别</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为关键审计事项。</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2" w:firstLine="360"/>
                          <w:jc w:val="both"/>
                          <w:rPr>
                            <w:rFonts w:ascii="宋体" w:hAnsi="宋体" w:cs="宋体" w:eastAsia="宋体" w:hint="default"/>
                            <w:sz w:val="18"/>
                            <w:szCs w:val="18"/>
                          </w:rPr>
                        </w:pPr>
                        <w:r>
                          <w:rPr>
                            <w:rFonts w:ascii="宋体" w:hAnsi="宋体" w:cs="宋体" w:eastAsia="宋体" w:hint="default"/>
                            <w:spacing w:val="4"/>
                            <w:sz w:val="18"/>
                            <w:szCs w:val="18"/>
                          </w:rPr>
                          <w:t>我们对应收账款的减值关键审计事项执行的主要审计程</w:t>
                        </w:r>
                        <w:r>
                          <w:rPr>
                            <w:rFonts w:ascii="宋体" w:hAnsi="宋体" w:cs="宋体" w:eastAsia="宋体" w:hint="default"/>
                            <w:sz w:val="18"/>
                            <w:szCs w:val="18"/>
                          </w:rPr>
                          <w:t> 序包括：</w:t>
                        </w:r>
                      </w:p>
                      <w:p>
                        <w:pPr>
                          <w:pStyle w:val="TableParagraph"/>
                          <w:spacing w:line="300" w:lineRule="auto" w:before="17"/>
                          <w:ind w:left="4" w:right="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）了解、评估并测试管理层对应收账款减值并计提坏 账准备相关的内部控制。</w:t>
                        </w:r>
                      </w:p>
                      <w:p>
                        <w:pPr>
                          <w:pStyle w:val="TableParagraph"/>
                          <w:spacing w:line="309" w:lineRule="auto" w:before="31"/>
                          <w:ind w:left="4" w:right="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）复核管理层用来计算预期信用损失率的历史信用损 </w:t>
                        </w:r>
                        <w:r>
                          <w:rPr>
                            <w:rFonts w:ascii="宋体" w:hAnsi="宋体" w:cs="宋体" w:eastAsia="宋体" w:hint="default"/>
                            <w:spacing w:val="-3"/>
                            <w:sz w:val="18"/>
                            <w:szCs w:val="18"/>
                          </w:rPr>
                          <w:t>失经验数据及前瞻性关键假设的合理性，从而评估管理层对应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收账款的信用风险评估和组合识别的合理性。</w:t>
                        </w:r>
                      </w:p>
                      <w:p>
                        <w:pPr>
                          <w:pStyle w:val="TableParagraph"/>
                          <w:spacing w:line="312" w:lineRule="auto" w:before="24"/>
                          <w:ind w:left="4" w:right="-4"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）分析应收账款坏账准备会计估计的合理性，比较宇 </w:t>
                        </w:r>
                        <w:r>
                          <w:rPr>
                            <w:rFonts w:ascii="宋体" w:hAnsi="宋体" w:cs="宋体" w:eastAsia="宋体" w:hint="default"/>
                            <w:spacing w:val="4"/>
                            <w:sz w:val="18"/>
                            <w:szCs w:val="18"/>
                          </w:rPr>
                          <w:t>信科技资产负债表日坏账准备金额与应收账款余额之间的比</w:t>
                        </w:r>
                        <w:r>
                          <w:rPr>
                            <w:rFonts w:ascii="宋体" w:hAnsi="宋体" w:cs="宋体" w:eastAsia="宋体" w:hint="default"/>
                            <w:spacing w:val="4"/>
                            <w:sz w:val="18"/>
                            <w:szCs w:val="18"/>
                          </w:rPr>
                          <w:t> </w:t>
                        </w:r>
                        <w:r>
                          <w:rPr>
                            <w:rFonts w:ascii="宋体" w:hAnsi="宋体" w:cs="宋体" w:eastAsia="宋体" w:hint="default"/>
                            <w:spacing w:val="-3"/>
                            <w:sz w:val="18"/>
                            <w:szCs w:val="18"/>
                          </w:rPr>
                          <w:t>率，比较前期坏账准备计提数和实际发生数，分析坏账准备计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提的充分性。</w:t>
                        </w:r>
                      </w:p>
                      <w:p>
                        <w:pPr>
                          <w:pStyle w:val="TableParagraph"/>
                          <w:spacing w:line="300" w:lineRule="auto" w:before="22"/>
                          <w:ind w:left="4" w:right="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）对管理层编制的应收账款的账龄组合明细表准确性 进行测试。</w:t>
                        </w:r>
                      </w:p>
                      <w:p>
                        <w:pPr>
                          <w:pStyle w:val="TableParagraph"/>
                          <w:spacing w:line="300" w:lineRule="auto" w:before="31"/>
                          <w:ind w:left="4" w:right="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）获取宇信科技应收账款坏账准备计提表，按预期信 用损失模型重新计算坏账准备计提金额的准确性。</w:t>
                        </w:r>
                      </w:p>
                      <w:p>
                        <w:pPr>
                          <w:pStyle w:val="TableParagraph"/>
                          <w:spacing w:line="307" w:lineRule="auto" w:before="31"/>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）分析宇信科技应收账款的账龄和客户信誉情况，检查与 应收账款余额相关的销售合同、销售发票、验收报告</w:t>
                        </w:r>
                        <w:r>
                          <w:rPr>
                            <w:rFonts w:ascii="Times New Roman" w:hAnsi="Times New Roman" w:cs="Times New Roman" w:eastAsia="Times New Roman" w:hint="default"/>
                            <w:sz w:val="18"/>
                            <w:szCs w:val="18"/>
                          </w:rPr>
                          <w:t>/</w:t>
                        </w:r>
                        <w:r>
                          <w:rPr>
                            <w:rFonts w:ascii="宋体" w:hAnsi="宋体" w:cs="宋体" w:eastAsia="宋体" w:hint="default"/>
                            <w:sz w:val="18"/>
                            <w:szCs w:val="18"/>
                          </w:rPr>
                          <w:t>工作量 </w:t>
                        </w:r>
                        <w:r>
                          <w:rPr>
                            <w:rFonts w:ascii="宋体" w:hAnsi="宋体" w:cs="宋体" w:eastAsia="宋体" w:hint="default"/>
                            <w:spacing w:val="-3"/>
                            <w:sz w:val="18"/>
                            <w:szCs w:val="18"/>
                          </w:rPr>
                          <w:t>确认单，并检查期后回款情况，评价应收账款坏账准备计提及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其对应阶段评价的合理性。</w:t>
                        </w:r>
                      </w:p>
                      <w:p>
                        <w:pPr>
                          <w:pStyle w:val="TableParagraph"/>
                          <w:spacing w:line="300" w:lineRule="auto" w:before="26"/>
                          <w:ind w:left="4" w:right="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）实施函证程序，将函证结果与管理层记录的金额进 行核对。</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4"/>
        <w:spacing w:line="240" w:lineRule="auto" w:before="44"/>
        <w:ind w:right="1133"/>
        <w:jc w:val="left"/>
        <w:rPr>
          <w:b w:val="0"/>
          <w:bCs w:val="0"/>
        </w:rPr>
      </w:pPr>
      <w:r>
        <w:rPr/>
        <w:t>四、其他信息</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53"/>
        <w:ind w:right="986" w:firstLine="360"/>
        <w:jc w:val="left"/>
      </w:pPr>
      <w:r>
        <w:rPr>
          <w:spacing w:val="-2"/>
        </w:rPr>
        <w:t>宇信科技管理层（以下简称管理层）对其他信息负责。其他信息包括宇信科技</w:t>
      </w:r>
      <w:r>
        <w:rPr>
          <w:rFonts w:ascii="Times New Roman" w:hAnsi="Times New Roman" w:cs="Times New Roman" w:eastAsia="Times New Roman" w:hint="default"/>
          <w:spacing w:val="-2"/>
        </w:rPr>
        <w:t>2019</w:t>
      </w:r>
      <w:r>
        <w:rPr>
          <w:spacing w:val="-2"/>
        </w:rPr>
        <w:t>年年度报告中涵盖的信息，但不包括</w:t>
      </w:r>
      <w:r>
        <w:rPr/>
        <w:t> 财务报表和我们的审计报告。</w:t>
      </w:r>
    </w:p>
    <w:p>
      <w:pPr>
        <w:pStyle w:val="BodyText"/>
        <w:spacing w:line="316" w:lineRule="auto" w:before="31"/>
        <w:ind w:left="513" w:right="986"/>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986"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8"/>
        <w:ind w:right="1133"/>
        <w:jc w:val="left"/>
      </w:pPr>
      <w:r>
        <w:rPr/>
        <w:t>报告。</w:t>
      </w:r>
    </w:p>
    <w:p>
      <w:pPr>
        <w:spacing w:after="0" w:line="240" w:lineRule="auto"/>
        <w:jc w:val="left"/>
        <w:sectPr>
          <w:pgSz w:w="11910" w:h="16840"/>
          <w:pgMar w:header="852" w:footer="980" w:top="1300" w:bottom="1160" w:left="980" w:right="0"/>
        </w:sectPr>
      </w:pPr>
    </w:p>
    <w:p>
      <w:pPr>
        <w:pStyle w:val="Heading4"/>
        <w:spacing w:line="240" w:lineRule="auto" w:before="142"/>
        <w:ind w:right="1133"/>
        <w:jc w:val="left"/>
        <w:rPr>
          <w:b w:val="0"/>
          <w:bCs w:val="0"/>
        </w:rPr>
      </w:pPr>
      <w:r>
        <w:rPr/>
        <w:t>五、管理层和治理层对财务报表的责任</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53"/>
        <w:ind w:right="1133" w:firstLine="360"/>
        <w:jc w:val="both"/>
      </w:pPr>
      <w:r>
        <w:rPr>
          <w:spacing w:val="-2"/>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316" w:lineRule="auto" w:before="19"/>
        <w:ind w:right="1134" w:firstLine="360"/>
        <w:jc w:val="both"/>
      </w:pPr>
      <w:r>
        <w:rPr>
          <w:spacing w:val="-2"/>
        </w:rPr>
        <w:t>在编制财务报表时，管理层负责评估宇信科技的持续经营能力，披露与持续经营相关的事项（如适用），并运用持续经</w:t>
      </w:r>
      <w:r>
        <w:rPr/>
        <w:t> 营假设，除非计划进行清算、终止运营或别无其他现实的选择。</w:t>
      </w:r>
    </w:p>
    <w:p>
      <w:pPr>
        <w:spacing w:line="636" w:lineRule="auto" w:before="19"/>
        <w:ind w:left="590" w:right="6973" w:hanging="77"/>
        <w:jc w:val="left"/>
        <w:rPr>
          <w:rFonts w:ascii="宋体" w:hAnsi="宋体" w:cs="宋体" w:eastAsia="宋体" w:hint="default"/>
          <w:sz w:val="18"/>
          <w:szCs w:val="18"/>
        </w:rPr>
      </w:pPr>
      <w:r>
        <w:rPr>
          <w:rFonts w:ascii="宋体" w:hAnsi="宋体" w:cs="宋体" w:eastAsia="宋体" w:hint="default"/>
          <w:sz w:val="18"/>
          <w:szCs w:val="18"/>
        </w:rPr>
        <w:t>治理层负责监督宇信科技的财务报告过程。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91"/>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7"/>
        <w:ind w:left="513" w:right="1133"/>
        <w:jc w:val="left"/>
      </w:pPr>
      <w:r>
        <w:rPr/>
        <w:t>在按照审计准则执行审计工作的过程中，我们运用职业判断，并保持职业怀疑。同时，我们也执行以下工作：</w:t>
      </w:r>
    </w:p>
    <w:p>
      <w:pPr>
        <w:pStyle w:val="BodyText"/>
        <w:spacing w:line="309" w:lineRule="auto" w:before="76"/>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513" w:right="1133"/>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2"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）对管理层使用持续经营假设的恰当性得出结论。同时，根据获取的审计证据，就可能导致对宇信科技持续经营能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于截至审计报告日可获得的信息。然而，未来的事项或情况可能导致宇信科技不能持续经营。</w:t>
      </w:r>
    </w:p>
    <w:p>
      <w:pPr>
        <w:pStyle w:val="BodyText"/>
        <w:spacing w:line="240" w:lineRule="auto" w:before="23"/>
        <w:ind w:left="513" w:right="1133"/>
        <w:jc w:val="left"/>
      </w:pPr>
      <w:r>
        <w:rPr/>
        <w:t>（</w:t>
      </w:r>
      <w:r>
        <w:rPr>
          <w:rFonts w:ascii="Times New Roman" w:hAnsi="Times New Roman" w:cs="Times New Roman" w:eastAsia="Times New Roman" w:hint="default"/>
        </w:rPr>
        <w:t>5</w:t>
      </w:r>
      <w:r>
        <w:rPr/>
        <w:t>）评价财务报表的总体列报（包括披露）、结构和内容，并评价财务报表是否公允反映相关交易和事项。</w:t>
      </w:r>
    </w:p>
    <w:p>
      <w:pPr>
        <w:pStyle w:val="BodyText"/>
        <w:spacing w:line="300" w:lineRule="auto" w:before="63"/>
        <w:ind w:right="1132" w:firstLine="360"/>
        <w:jc w:val="both"/>
      </w:pPr>
      <w:r>
        <w:rPr/>
        <w:t>（</w:t>
      </w:r>
      <w:r>
        <w:rPr>
          <w:rFonts w:ascii="Times New Roman" w:hAnsi="Times New Roman" w:cs="Times New Roman" w:eastAsia="Times New Roman" w:hint="default"/>
        </w:rPr>
        <w:t>6</w:t>
      </w:r>
      <w:r>
        <w:rPr/>
        <w:t>）就宇信科技中实体或业务活动的财务信息获取充分、适当的审计证据，以对财务报表发表审计意见。我们负责指 导、监督和执行集团审计，并对审计意见承担全部责任。</w:t>
      </w:r>
    </w:p>
    <w:p>
      <w:pPr>
        <w:pStyle w:val="BodyText"/>
        <w:spacing w:line="316" w:lineRule="auto" w:before="31"/>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12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2"/>
        </w:rPr>
        <w:t> </w:t>
      </w:r>
      <w:r>
        <w:rPr>
          <w:spacing w:val="-62"/>
        </w:rPr>
      </w:r>
      <w:r>
        <w:rPr/>
        <w:t>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Heading4"/>
        <w:tabs>
          <w:tab w:pos="1986" w:val="left" w:leader="none"/>
        </w:tabs>
        <w:spacing w:line="240" w:lineRule="auto"/>
        <w:ind w:left="330" w:right="1133"/>
        <w:jc w:val="left"/>
        <w:rPr>
          <w:b w:val="0"/>
          <w:bCs w:val="0"/>
        </w:rPr>
      </w:pPr>
      <w:r>
        <w:rPr>
          <w:w w:val="95"/>
        </w:rPr>
        <w:t>立信会计师事务所</w:t>
        <w:tab/>
      </w:r>
      <w:r>
        <w:rPr/>
        <w:t>中国注册会计师：（项目合伙人）</w:t>
      </w:r>
      <w:r>
        <w:rPr>
          <w:b w:val="0"/>
          <w:bCs w:val="0"/>
        </w:rPr>
      </w:r>
    </w:p>
    <w:p>
      <w:pPr>
        <w:spacing w:before="76"/>
        <w:ind w:left="330" w:right="1133" w:firstLine="0"/>
        <w:jc w:val="left"/>
        <w:rPr>
          <w:rFonts w:ascii="宋体" w:hAnsi="宋体" w:cs="宋体" w:eastAsia="宋体" w:hint="default"/>
          <w:sz w:val="18"/>
          <w:szCs w:val="18"/>
        </w:rPr>
      </w:pPr>
      <w:r>
        <w:rPr>
          <w:rFonts w:ascii="宋体" w:hAnsi="宋体" w:cs="宋体" w:eastAsia="宋体" w:hint="default"/>
          <w:b/>
          <w:bCs/>
          <w:sz w:val="18"/>
          <w:szCs w:val="18"/>
        </w:rPr>
        <w:t>（特殊普通合伙）</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spacing w:before="0"/>
        <w:ind w:left="279" w:right="5411" w:firstLine="0"/>
        <w:jc w:val="center"/>
        <w:rPr>
          <w:rFonts w:ascii="宋体" w:hAnsi="宋体" w:cs="宋体" w:eastAsia="宋体" w:hint="default"/>
          <w:sz w:val="18"/>
          <w:szCs w:val="18"/>
        </w:rPr>
      </w:pPr>
      <w:r>
        <w:rPr>
          <w:rFonts w:ascii="宋体" w:hAnsi="宋体" w:cs="宋体" w:eastAsia="宋体" w:hint="default"/>
          <w:b/>
          <w:bCs/>
          <w:sz w:val="18"/>
          <w:szCs w:val="18"/>
        </w:rPr>
        <w:t>中国注册会计师：</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tabs>
          <w:tab w:pos="2245" w:val="left" w:leader="none"/>
        </w:tabs>
        <w:spacing w:before="0"/>
        <w:ind w:left="537" w:right="1133" w:firstLine="0"/>
        <w:jc w:val="left"/>
        <w:rPr>
          <w:rFonts w:ascii="宋体" w:hAnsi="宋体" w:cs="宋体" w:eastAsia="宋体" w:hint="default"/>
          <w:sz w:val="18"/>
          <w:szCs w:val="18"/>
        </w:rPr>
      </w:pPr>
      <w:r>
        <w:rPr>
          <w:rFonts w:ascii="宋体" w:hAnsi="宋体" w:cs="宋体" w:eastAsia="宋体" w:hint="default"/>
          <w:b/>
          <w:bCs/>
          <w:sz w:val="18"/>
          <w:szCs w:val="18"/>
        </w:rPr>
        <w:t>中国</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上海</w:t>
        <w:tab/>
      </w:r>
      <w:r>
        <w:rPr>
          <w:rFonts w:ascii="Times New Roman" w:hAnsi="Times New Roman" w:cs="Times New Roman" w:eastAsia="Times New Roman" w:hint="default"/>
          <w:b/>
          <w:bCs/>
          <w:sz w:val="18"/>
          <w:szCs w:val="18"/>
        </w:rPr>
        <w:t>2020</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30</w:t>
      </w:r>
      <w:r>
        <w:rPr>
          <w:rFonts w:ascii="宋体" w:hAnsi="宋体" w:cs="宋体" w:eastAsia="宋体" w:hint="default"/>
          <w:b/>
          <w:bCs/>
          <w:sz w:val="18"/>
          <w:szCs w:val="18"/>
        </w:rPr>
        <w:t>日</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5"/>
        <w:ind w:left="152" w:right="1133" w:firstLine="0"/>
        <w:jc w:val="left"/>
        <w:rPr>
          <w:rFonts w:ascii="宋体" w:hAnsi="宋体" w:cs="宋体" w:eastAsia="宋体" w:hint="default"/>
          <w:sz w:val="24"/>
          <w:szCs w:val="24"/>
        </w:rPr>
      </w:pPr>
      <w:bookmarkStart w:name="二、财务报表" w:id="157"/>
      <w:bookmarkEnd w:id="157"/>
      <w:r>
        <w:rPr/>
      </w: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1、合并资产负债表" w:id="158"/>
      <w:bookmarkEnd w:id="15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80" w:top="1300" w:bottom="1160" w:left="980" w:right="0"/>
        </w:sectPr>
      </w:pPr>
    </w:p>
    <w:p>
      <w:pPr>
        <w:pStyle w:val="BodyText"/>
        <w:spacing w:line="240" w:lineRule="auto" w:before="44"/>
        <w:ind w:right="-20"/>
        <w:jc w:val="left"/>
      </w:pPr>
      <w:r>
        <w:rPr/>
        <w:t>编制单位：北京宇信科技集团股份有限公司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700" w:left="980" w:right="0"/>
          <w:cols w:num="3" w:equalWidth="0">
            <w:col w:w="3573" w:space="50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1,017,639,287.34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950,427,760.45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7,283,068.49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769,826,622.04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607,018,060.38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54,111,202.87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44,926,956.60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14,476,762.44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20,301,140.01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147,785.00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532,195,342.36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483,020,819.73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8,894,841.28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70,096,972.61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2,404,427,126.82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2,175,791,709.78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14,888,888.89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457,597,633.97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335,439,745.23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129,280,609.22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5,142,444.49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19,423,904.29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10,802,928.45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110,431,955.35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130,589,643.20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539,022,850.10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303,525,726.67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222,611,016.66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227,233,881.42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9,796,239.34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9,796,239.34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4,120,853.88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1,537,969.60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14,423,237.23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10,108,420.34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57,223,496.91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24,089,767.86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1,569,074,241.44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1,068,013,211.00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3,973,501,368.26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3,243,804,920.78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729,061,655.83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508,583,632.42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19,062,510.00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184,903,206.51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215,635,634.65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265,501,567.24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211,960,029.70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283,395,881.24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218,079,282.50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55,209,955.15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65,821,313.52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26,857,877.75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30,166,324.71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2,133,656.93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100,000,008.00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1,663,992,661.72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1,250,246,217.50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401,712,191.71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270,269,468.63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53,662.41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401,765,854.12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270,269,468.63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2,065,758,515.84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1,520,515,686.13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400,010,000.00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646,346,152.18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646,346,152.18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-13,185,029.48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67,660,491.28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40,045,948.43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745,388,479.89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577,885,864.73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1,846,220,093.87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1,664,287,965.34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61,522,758.55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59,001,269.31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1,907,742,852.42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1,723,289,234.65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3,973,501,368.26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3,243,804,920.78</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1223"/>
        <w:jc w:val="right"/>
      </w:pPr>
      <w:r>
        <w:rPr/>
        <w:t>法定代表人：洪卫东</w:t>
        <w:tab/>
      </w:r>
      <w:r>
        <w:rPr>
          <w:spacing w:val="-1"/>
        </w:rPr>
        <w:t>主管会计工作负责人：戴士平</w:t>
        <w:tab/>
      </w:r>
      <w:r>
        <w:rPr/>
        <w:t>会计机构负责人：梁文芳</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382,930,214.55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539,042,434.91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7,283,068.49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736,208,244.04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616,390,853.39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51,942,582.26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42,490,196.82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216,936,471.42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477,411,831.01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586,330,451.74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514,014,160.04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1,981,631,032.50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2,239,349,476.17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4,888,888.89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1,034,195,403.29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779,001,798.81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5,142,444.49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33,206,219.87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40,316,868.97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3,084,507.63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4,072,875.11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114,563.11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5,503,563.95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3,911,999.66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1,081,246,702.34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832,192,431.44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3,062,877,734.84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3,071,541,907.61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19,062,510.00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561,835,823.10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747,085,453.83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249,810,226.21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202,611,549.36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124,119,254.74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98,922,908.35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47,908,943.66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53,323,995.01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44,238,336.06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89,892,450.87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1,446,975,093.77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1,651,836,357.42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53,662.41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53,662.41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1,447,028,756.18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1,651,836,357.42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400,010,000.00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400,010,000.00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602,548,533.93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602,548,533.93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67,660,491.28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40,045,948.43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545,629,953.45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377,101,067.83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1,615,848,978.66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1,419,705,550.19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3,062,877,734.84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3,071,541,907.61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2,651,726,752.49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2,140,560,716.62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2,651,726,752.49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2,140,560,716.62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2,395,777,215.25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1,978,762,643.18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1,723,640,101.23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1,439,760,212.84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14,333,540.71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14,569,828.18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125,623,106.53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108,477,764.15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232,122,447.38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206,935,603.37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274,504,659.83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184,132,951.14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25,553,359.57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24,886,283.50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27,326,781.35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26,326,296.85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2,900,672.33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1,623,234.01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26,587,050.13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19,369,670.82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22,212,309.01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46,029,742.04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r>
        <w:rPr/>
        <w:pict>
          <v:group style="position:absolute;margin-left:211.009995pt;margin-top:143.359985pt;width:158.9pt;height:20.65pt;mso-position-horizontal-relative:page;mso-position-vertical-relative:page;z-index:-1227736" coordorigin="4220,2867" coordsize="3178,413">
            <v:group style="position:absolute;left:4231;top:2878;width:2;height:392" coordorigin="4231,2878" coordsize="2,392">
              <v:shape style="position:absolute;left:4231;top:2878;width:2;height:392" coordorigin="4231,2878" coordsize="0,392" path="m4231,2878l4231,3269e" filled="false" stroked="true" strokeweight="1.08pt" strokecolor="#ffffff">
                <v:path arrowok="t"/>
              </v:shape>
            </v:group>
            <v:group style="position:absolute;left:4242;top:2878;width:3157;height:392" coordorigin="4242,2878" coordsize="3157,392">
              <v:shape style="position:absolute;left:4242;top:2878;width:3157;height:392" coordorigin="4242,2878" coordsize="3157,392" path="m4242,3269l7398,3269,7398,2878,4242,2878,4242,3269xe" filled="true" fillcolor="#ffffff" stroked="false">
                <v:path arrowok="t"/>
                <v:fill type="solid"/>
              </v:shape>
            </v:group>
            <w10:wrap type="none"/>
          </v:group>
        </w:pict>
      </w:r>
      <w:r>
        <w:rPr/>
        <w:pict>
          <v:group style="position:absolute;margin-left:211.009995pt;margin-top:402.349976pt;width:158.9pt;height:20.65pt;mso-position-horizontal-relative:page;mso-position-vertical-relative:page;z-index:-1227712" coordorigin="4220,8047" coordsize="3178,413">
            <v:group style="position:absolute;left:4231;top:8058;width:2;height:392" coordorigin="4231,8058" coordsize="2,392">
              <v:shape style="position:absolute;left:4231;top:8058;width:2;height:392" coordorigin="4231,8058" coordsize="0,392" path="m4231,8058l4231,8449e" filled="false" stroked="true" strokeweight="1.08pt" strokecolor="#ffffff">
                <v:path arrowok="t"/>
              </v:shape>
            </v:group>
            <v:group style="position:absolute;left:4242;top:8058;width:3157;height:392" coordorigin="4242,8058" coordsize="3157,392">
              <v:shape style="position:absolute;left:4242;top:8058;width:3157;height:392" coordorigin="4242,8058" coordsize="3157,392" path="m4242,8449l7398,8449,7398,8058,4242,8058,4242,8449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24,071,171.62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36,410,571.04</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1,430,666.67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-681,061.31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-15,355,746.29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-1,298,434.27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-12,068,618.50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-157,877.67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63,930.35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287,255,776.84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215,192,798.15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2,045,595.68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8,306.67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229,229.88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6,585,528.40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289,072,142.64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208,615,576.42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15,817,693.22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11,254,521.59</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2055" w:right="0"/>
              <w:jc w:val="left"/>
              <w:rPr>
                <w:rFonts w:ascii="Times New Roman" w:hAnsi="Times New Roman" w:cs="Times New Roman" w:eastAsia="Times New Roman" w:hint="default"/>
                <w:sz w:val="18"/>
                <w:szCs w:val="18"/>
              </w:rPr>
            </w:pPr>
            <w:r>
              <w:rPr>
                <w:rFonts w:ascii="Times New Roman"/>
                <w:sz w:val="18"/>
              </w:rPr>
              <w:t>273,254,449.42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197,361,054.83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273,254,449.42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197,361,054.83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274,181,197.42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195,617,892.13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-926,748.00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1,743,162.70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-7,744,714.94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-7,744,714.94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-4,525,738.40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-4,525,738.40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-3,218,976.54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-3,218,976.54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265,509,734.48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197,361,054.83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266,436,482.48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195,617,892.13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-926,748.00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1,743,162.70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0.53</w:t>
            </w:r>
          </w:p>
        </w:tc>
      </w:tr>
    </w:tbl>
    <w:p>
      <w:pPr>
        <w:pStyle w:val="BodyText"/>
        <w:tabs>
          <w:tab w:pos="3578" w:val="left" w:leader="none"/>
          <w:tab w:pos="7721" w:val="left" w:leader="none"/>
        </w:tabs>
        <w:spacing w:line="588" w:lineRule="auto" w:before="49"/>
        <w:ind w:right="1223"/>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法定代表人：洪卫东</w:t>
        <w:tab/>
      </w:r>
      <w:r>
        <w:rPr>
          <w:spacing w:val="-1"/>
        </w:rPr>
        <w:t>主管会计工作负责人：戴士平</w:t>
        <w:tab/>
      </w:r>
      <w:r>
        <w:rPr/>
        <w:t>会计机构负责人：梁文芳</w:t>
      </w:r>
    </w:p>
    <w:p>
      <w:pPr>
        <w:spacing w:after="0" w:line="588" w:lineRule="auto"/>
        <w:jc w:val="left"/>
        <w:sectPr>
          <w:pgSz w:w="11910" w:h="16840"/>
          <w:pgMar w:header="852" w:footer="980" w:top="1300" w:bottom="1160" w:left="980" w:right="0"/>
        </w:sectPr>
      </w:pPr>
    </w:p>
    <w:p>
      <w:pPr>
        <w:pStyle w:val="Heading3"/>
        <w:spacing w:line="240" w:lineRule="auto" w:before="122"/>
        <w:ind w:right="1133"/>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2,490,468,411.20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1,876,895,576.44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1,831,737,343.12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1,395,109,455.10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5,347,560.89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5,965,175.85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62,115,626.10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57,792,144.64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116,558,609.08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109,162,487.50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178,873,349.31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124,311,644.75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17,300,218.69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19,522,603.39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18,697,810.41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19,631,550.00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1,957,188.09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607,151.37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13,806,445.00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2,952,526.80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14,677,004.06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20,052,250.62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8,919,554.48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10,568,867.65</w:t>
            </w: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-681,061.31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-15,525,642.93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-16,373,665.52</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-100,780.11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50,616.23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290,711,668.72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171,713,793.34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2,001,046.85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6,893.53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206,831.55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2,577,428.54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292,505,884.02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169,143,258.33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17,456,372.41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10,448,999.40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275,049,511.61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158,694,258.93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275,049,511.61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158,694,258.93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275,049,511.61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158,694,258.93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80" w:header="852"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2,703,856,966.23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2,202,973,915.16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2,322,847.84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1,256,712.53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57,992,270.35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70,175,332.20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2,764,172,084.42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2,274,405,959.89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673,768,551.10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545,728,223.81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1,599,065,883.90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1,256,203,717.18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135,893,352.73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112,241,103.78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174,923,547.09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189,322,246.40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2,583,651,334.82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2,103,495,291.17</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80" w:header="852" w:top="1300" w:bottom="1160" w:left="980" w:right="0"/>
          <w:pgNumType w:start="101"/>
        </w:sectPr>
      </w:pPr>
    </w:p>
    <w:p>
      <w:pPr>
        <w:spacing w:line="240" w:lineRule="auto" w:before="8"/>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180,520,749.60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170,910,668.72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109,811,300.00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3,546,506.94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14,443,120.27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2,918,857.41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218,591.81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206,678.20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4,905,100.38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704,865,000.00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829,338,012.08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296,177,142.93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275,769,214.34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187,370,877.20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356,665,659.60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4,839,822.25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305,050,000.00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1,279,234,873.94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497,260,699.45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-449,896,861.86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-201,083,556.52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305,987,550.00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2,503,950.00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970,553,966.07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563,002,282.79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975,553,966.07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868,989,832.79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524,434,450.68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597,796,076.01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122,424,338.57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39,260,374.54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597,397.27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4,104,224.00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2,934,855.00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9,703,686.79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649,793,644.25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646,760,137.34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325,760,321.82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222,229,695.45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-307,612.41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941,351.27</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56,076,597.15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192,998,158.92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950,312,604.62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757,314,445.70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1,006,389,201.77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950,312,604.62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2,505,396,446.84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1,865,026,142.87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2,278,020.26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1,256,353.55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494,343,830.80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535,714,115.21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3,002,018,297.90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2,401,996,611.63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1,301,257,246.95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773,900,823.40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521,185,802.44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426,366,847.16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57,186,140.80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38,133,802.87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925,791,117.59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896,910,873.79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2,805,420,307.78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2,135,312,347.22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196,597,990.12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266,684,264.41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9,507,183.39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9,357,449.58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6,233,141.54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150,446.32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99,365.17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642,507,895.90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145,839,690.10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6,011,230.39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16,279,122.76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268,874,050.00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15,006,050.00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845,885,280.39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236,785,172.76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-203,377,384.49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-90,945,482.66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303,483,600.00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703,483,600.00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458,046,569.92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526,305,400.00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100,653,140.49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23,326,150.00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9,208,586.79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560,401,010.41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558,840,136.79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-160,401,010.41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144,643,463.21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-167,180,289.76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320,382,579.66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539,027,334.91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218,644,755.25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371,847,045.15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539,027,334.91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646,34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6,152.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18</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577,88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5,864.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1,664,</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287,96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5.34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59,001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45"/>
              <w:ind w:left="75" w:right="0"/>
              <w:jc w:val="center"/>
              <w:rPr>
                <w:rFonts w:ascii="Times New Roman" w:hAnsi="Times New Roman" w:cs="Times New Roman" w:eastAsia="Times New Roman" w:hint="default"/>
                <w:sz w:val="18"/>
                <w:szCs w:val="18"/>
              </w:rPr>
            </w:pPr>
            <w:r>
              <w:rPr>
                <w:rFonts w:ascii="Times New Roman"/>
                <w:sz w:val="18"/>
              </w:rPr>
              <w:t>1,723,</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289,23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4.65</w:t>
            </w:r>
          </w:p>
        </w:tc>
      </w:tr>
      <w:tr>
        <w:trPr>
          <w:trHeight w:val="704"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-5,440,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314.54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109,59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1.69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986,32</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5.17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-4,344,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397.68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-4,344,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397.68</w:t>
            </w: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646,34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6,152.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-5,440,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314.54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40,155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578,87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2,189.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1,659,</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943,56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7.66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59,001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1,718,</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944,83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6.97</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-7,744,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714.94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166,51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6,289.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186,27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6,526.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2,521,</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489.24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188,79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8,015.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45</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-7,744,</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714.94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274,18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1,197.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266,43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6,482.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-926,7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48.00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265,50</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9,734.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48</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-157,9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56.27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-157,9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56.27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4,069,</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001.27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3,911,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045.00</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-157,9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56.27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-157,9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56.27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-930,9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98.73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-1,088,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955.00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27,504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-107,5</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06,951</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.16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-620,7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64.03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-80,62</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2,764.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4,951.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-620,7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64.03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-80,62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2,764.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03</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646,34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6,152.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-13,18</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5,029.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48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67,660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,491.2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745,38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8,479.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1,846,</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220,09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3.87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61,522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1,907,</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742,85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2.42</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3"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0"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single" w:sz="4" w:space="0" w:color="FFFFFF"/>
              <w:right w:val="single" w:sz="4" w:space="0" w:color="000000"/>
            </w:tcBorders>
            <w:shd w:val="clear" w:color="auto" w:fill="D2D2D2"/>
          </w:tcPr>
          <w:p>
            <w:pPr/>
          </w:p>
        </w:tc>
        <w:tc>
          <w:tcPr>
            <w:tcW w:w="7065" w:type="dxa"/>
            <w:gridSpan w:val="13"/>
            <w:vMerge/>
            <w:tcBorders>
              <w:left w:val="single" w:sz="4" w:space="0" w:color="000000"/>
              <w:bottom w:val="single" w:sz="4" w:space="0" w:color="FFFFFF"/>
              <w:right w:val="single" w:sz="4" w:space="0" w:color="000000"/>
            </w:tcBorders>
            <w:shd w:val="clear" w:color="auto" w:fill="D2D2D2"/>
          </w:tcPr>
          <w:p>
            <w:pPr/>
          </w:p>
        </w:tc>
        <w:tc>
          <w:tcPr>
            <w:tcW w:w="641" w:type="dxa"/>
            <w:vMerge/>
            <w:tcBorders>
              <w:left w:val="single" w:sz="4" w:space="0" w:color="000000"/>
              <w:bottom w:val="single" w:sz="4" w:space="0" w:color="FFFFFF"/>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FFFFFF"/>
              <w:left w:val="single" w:sz="4" w:space="0" w:color="000000"/>
              <w:right w:val="single" w:sz="4" w:space="0" w:color="000000"/>
            </w:tcBorders>
            <w:shd w:val="clear" w:color="auto" w:fill="D2D2D2"/>
          </w:tcPr>
          <w:p>
            <w:pPr/>
          </w:p>
        </w:tc>
        <w:tc>
          <w:tcPr>
            <w:tcW w:w="139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FFFFFF"/>
              <w:left w:val="single" w:sz="4" w:space="0" w:color="000000"/>
              <w:right w:val="single" w:sz="4" w:space="0" w:color="000000"/>
            </w:tcBorders>
            <w:shd w:val="clear" w:color="auto" w:fill="D2D2D2"/>
          </w:tcPr>
          <w:p>
            <w:pPr/>
          </w:p>
        </w:tc>
        <w:tc>
          <w:tcPr>
            <w:tcW w:w="569" w:type="dxa"/>
            <w:vMerge w:val="restart"/>
            <w:tcBorders>
              <w:top w:val="single" w:sz="4" w:space="0" w:color="FFFFFF"/>
              <w:left w:val="single" w:sz="4" w:space="0" w:color="000000"/>
              <w:right w:val="single" w:sz="4" w:space="0" w:color="000000"/>
            </w:tcBorders>
            <w:shd w:val="clear" w:color="auto" w:fill="D2D2D2"/>
          </w:tcPr>
          <w:p>
            <w:pPr/>
          </w:p>
        </w:tc>
        <w:tc>
          <w:tcPr>
            <w:tcW w:w="64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49"/>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4"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397,84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3,523.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18" w:space="0" w:color="D2D2D2"/>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vMerge w:val="restart"/>
            <w:tcBorders>
              <w:top w:val="single" w:sz="18" w:space="0" w:color="D2D2D2"/>
              <w:left w:val="single" w:sz="4" w:space="0" w:color="000000"/>
              <w:right w:val="single" w:sz="4" w:space="0" w:color="000000"/>
            </w:tcBorders>
          </w:tcPr>
          <w:p>
            <w:pPr/>
          </w:p>
        </w:tc>
        <w:tc>
          <w:tcPr>
            <w:tcW w:w="588" w:type="dxa"/>
            <w:vMerge w:val="restart"/>
            <w:tcBorders>
              <w:top w:val="single" w:sz="18" w:space="0" w:color="D2D2D2"/>
              <w:left w:val="single" w:sz="4" w:space="0" w:color="000000"/>
              <w:right w:val="single" w:sz="4" w:space="0" w:color="000000"/>
            </w:tcBorders>
          </w:tcPr>
          <w:p>
            <w:pPr>
              <w:pStyle w:val="TableParagraph"/>
              <w:spacing w:line="240" w:lineRule="auto" w:before="73"/>
              <w:ind w:left="62" w:right="0"/>
              <w:jc w:val="left"/>
              <w:rPr>
                <w:rFonts w:ascii="Times New Roman" w:hAnsi="Times New Roman" w:cs="Times New Roman" w:eastAsia="Times New Roman" w:hint="default"/>
                <w:sz w:val="18"/>
                <w:szCs w:val="18"/>
              </w:rPr>
            </w:pPr>
            <w:r>
              <w:rPr>
                <w:rFonts w:ascii="Times New Roman"/>
                <w:sz w:val="18"/>
              </w:rPr>
              <w:t>398,13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7,398.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49</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1,180,</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157,44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4.31</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58,234,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254.16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397,84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3,523.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398,13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7,398.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1,180,</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157,44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4.31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58,234,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254.16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40,01</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248,50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2,628.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15,869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,425.8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179,74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8,466.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484,13</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0,521.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767,015</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484,897</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,536.18</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195,61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7,892.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195,61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7,892.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1,743,1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62.70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197,361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,054.83</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40,01</w:t>
            </w:r>
          </w:p>
          <w:p>
            <w:pPr>
              <w:pStyle w:val="TableParagraph"/>
              <w:spacing w:line="240" w:lineRule="auto" w:before="103"/>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248,50</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2,628.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288,51</w:t>
            </w:r>
          </w:p>
          <w:p>
            <w:pPr>
              <w:pStyle w:val="TableParagraph"/>
              <w:spacing w:line="240" w:lineRule="auto" w:before="103"/>
              <w:ind w:left="84" w:right="0"/>
              <w:jc w:val="left"/>
              <w:rPr>
                <w:rFonts w:ascii="Times New Roman" w:hAnsi="Times New Roman" w:cs="Times New Roman" w:eastAsia="Times New Roman" w:hint="default"/>
                <w:sz w:val="18"/>
                <w:szCs w:val="18"/>
              </w:rPr>
            </w:pPr>
            <w:r>
              <w:rPr>
                <w:rFonts w:ascii="Times New Roman"/>
                <w:sz w:val="18"/>
              </w:rPr>
              <w:t>2,628.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3,128,0</w:t>
            </w:r>
          </w:p>
          <w:p>
            <w:pPr>
              <w:pStyle w:val="TableParagraph"/>
              <w:spacing w:line="240" w:lineRule="auto" w:before="103"/>
              <w:ind w:left="188" w:right="0"/>
              <w:jc w:val="center"/>
              <w:rPr>
                <w:rFonts w:ascii="Times New Roman" w:hAnsi="Times New Roman" w:cs="Times New Roman" w:eastAsia="Times New Roman" w:hint="default"/>
                <w:sz w:val="18"/>
                <w:szCs w:val="18"/>
              </w:rPr>
            </w:pPr>
            <w:r>
              <w:rPr>
                <w:rFonts w:ascii="Times New Roman"/>
                <w:sz w:val="18"/>
              </w:rPr>
              <w:t>76.45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291,640</w:t>
            </w:r>
          </w:p>
          <w:p>
            <w:pPr>
              <w:pStyle w:val="TableParagraph"/>
              <w:spacing w:line="240" w:lineRule="auto" w:before="103"/>
              <w:ind w:left="81" w:right="0"/>
              <w:jc w:val="left"/>
              <w:rPr>
                <w:rFonts w:ascii="Times New Roman" w:hAnsi="Times New Roman" w:cs="Times New Roman" w:eastAsia="Times New Roman" w:hint="default"/>
                <w:sz w:val="18"/>
                <w:szCs w:val="18"/>
              </w:rPr>
            </w:pPr>
            <w:r>
              <w:rPr>
                <w:rFonts w:ascii="Times New Roman"/>
                <w:sz w:val="18"/>
              </w:rPr>
              <w:t>,705.35</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40,01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248,36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6,600.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288,37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6,600.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2,503,9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290,880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,550.00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217,44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5.76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217,44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5.76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122,313</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.24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339,759</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-81,41</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6.86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center"/>
              <w:rPr>
                <w:rFonts w:ascii="Times New Roman" w:hAnsi="Times New Roman" w:cs="Times New Roman" w:eastAsia="Times New Roman" w:hint="default"/>
                <w:sz w:val="18"/>
                <w:szCs w:val="18"/>
              </w:rPr>
            </w:pPr>
            <w:r>
              <w:rPr>
                <w:rFonts w:ascii="Times New Roman"/>
                <w:sz w:val="18"/>
              </w:rPr>
              <w:t>-81,41</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6.86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501,813</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.21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420,396</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.35</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-15,86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9,425.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-4,104,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224.00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-4,104,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224.00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15,869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,425.8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-15,86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9,425.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-4,104,</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224.00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-4,104,</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224.00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646,34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6,152.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577,88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5,864.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1,664,</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287,96</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5.34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59,001,</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269.31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89,234.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8"/>
        <w:gridCol w:w="725"/>
        <w:gridCol w:w="727"/>
        <w:gridCol w:w="727"/>
        <w:gridCol w:w="615"/>
        <w:gridCol w:w="710"/>
        <w:gridCol w:w="862"/>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9"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400,01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602,548,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533.93</w:t>
            </w:r>
          </w:p>
        </w:tc>
        <w:tc>
          <w:tcPr>
            <w:tcW w:w="728" w:type="dxa"/>
            <w:vMerge w:val="restart"/>
            <w:tcBorders>
              <w:top w:val="single" w:sz="18" w:space="0" w:color="D2D2D2"/>
              <w:left w:val="single" w:sz="4" w:space="0" w:color="000000"/>
              <w:right w:val="single" w:sz="4" w:space="0" w:color="000000"/>
            </w:tcBorders>
          </w:tcPr>
          <w:p>
            <w:pPr/>
          </w:p>
        </w:tc>
        <w:tc>
          <w:tcPr>
            <w:tcW w:w="725"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40,045,9</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48.43</w:t>
            </w:r>
          </w:p>
        </w:tc>
        <w:tc>
          <w:tcPr>
            <w:tcW w:w="615"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377,10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1,067.8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1,419,705,</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550.19</w:t>
            </w:r>
          </w:p>
        </w:tc>
      </w:tr>
      <w:tr>
        <w:trPr>
          <w:trHeight w:val="706"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109,591.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986,32</w:t>
            </w:r>
          </w:p>
          <w:p>
            <w:pPr>
              <w:pStyle w:val="TableParagraph"/>
              <w:spacing w:line="240" w:lineRule="auto" w:before="102"/>
              <w:ind w:left="247" w:right="0"/>
              <w:jc w:val="center"/>
              <w:rPr>
                <w:rFonts w:ascii="Times New Roman" w:hAnsi="Times New Roman" w:cs="Times New Roman" w:eastAsia="Times New Roman" w:hint="default"/>
                <w:sz w:val="18"/>
                <w:szCs w:val="18"/>
              </w:rPr>
            </w:pPr>
            <w:r>
              <w:rPr>
                <w:rFonts w:ascii="Times New Roman"/>
                <w:sz w:val="18"/>
              </w:rPr>
              <w:t>5.17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1,095,916.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86</w:t>
            </w: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602,548,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533.93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40,155,5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40.12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7,393.0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1,420,801,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467.05</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27,504,9</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51.16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2,560.4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195,047,51</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1.61</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9,511.6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275,049,51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1.61</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27,504,9</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51.16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6,951.1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-80,002,00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27,504,9</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51.16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-27,504</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,951.16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-80,002</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-80,002,00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602,548,</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533.93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67,660,4</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91.28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545,62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9,953.4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1,615,848,</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978.66</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398"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354,181</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,933.93</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24,176,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522.54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234,276,2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34.79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972,634,69</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1.26</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354,181</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,933.93</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24,176,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522.54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234,276,2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34.79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972,634,69</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1.26</w:t>
            </w:r>
          </w:p>
        </w:tc>
      </w:tr>
      <w:tr>
        <w:trPr>
          <w:trHeight w:val="704"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7"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248,366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15,869,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425.89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142,824,8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33.04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447,070,85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8.93</w:t>
            </w: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158,694,2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58.93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158,694,25</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8.93</w:t>
            </w:r>
          </w:p>
        </w:tc>
      </w:tr>
    </w:tbl>
    <w:p>
      <w:pPr>
        <w:spacing w:after="0" w:line="240" w:lineRule="auto"/>
        <w:jc w:val="left"/>
        <w:rPr>
          <w:rFonts w:ascii="Times New Roman" w:hAnsi="Times New Roman" w:cs="Times New Roman" w:eastAsia="Times New Roman" w:hint="default"/>
          <w:sz w:val="18"/>
          <w:szCs w:val="18"/>
        </w:rPr>
        <w:sectPr>
          <w:footerReference w:type="default" r:id="rId24"/>
          <w:pgSz w:w="11910" w:h="16840"/>
          <w:pgMar w:footer="980" w:header="852" w:top="1300" w:bottom="1160" w:left="980" w:right="0"/>
          <w:pgNumType w:start="11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248,366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288,376,60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248,366</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,600.00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288,376,60</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15,869,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425.89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-15,869,4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25.89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15,869,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425.89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-15,869,4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25.89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20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400,01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602,548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,533.93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40,045,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948.43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377,101,0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67.83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1,419,705,5</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50.19</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left="212" w:right="2028"/>
        <w:jc w:val="left"/>
        <w:rPr>
          <w:b w:val="0"/>
          <w:bCs w:val="0"/>
        </w:rPr>
      </w:pPr>
      <w:bookmarkStart w:name="三、公司基本情况" w:id="166"/>
      <w:bookmarkEnd w:id="166"/>
      <w:r>
        <w:rPr>
          <w:b w:val="0"/>
          <w:bCs w:val="0"/>
        </w:rPr>
      </w: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212" w:right="1131" w:firstLine="360"/>
        <w:jc w:val="both"/>
      </w:pPr>
      <w:r>
        <w:rPr/>
        <w:t>北京宇信科技集团股份有限公司（以下简称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日经北京市工商行政管理局批准，由 </w:t>
      </w:r>
      <w:r>
        <w:rPr>
          <w:spacing w:val="-2"/>
        </w:rPr>
        <w:t>北京宇信易诚科技有限公司整体变更设立的股份有限公司。公司统一社会信用代码：</w:t>
      </w:r>
      <w:r>
        <w:rPr>
          <w:rFonts w:ascii="Times New Roman" w:hAnsi="Times New Roman" w:cs="Times New Roman" w:eastAsia="Times New Roman" w:hint="default"/>
          <w:spacing w:val="-2"/>
        </w:rPr>
        <w:t>911101087921006070</w:t>
      </w:r>
      <w:r>
        <w:rPr>
          <w:spacing w:val="-2"/>
        </w:rPr>
        <w:t>。法定代表人：洪</w:t>
      </w:r>
      <w:r>
        <w:rPr>
          <w:spacing w:val="-53"/>
        </w:rPr>
        <w:t> </w:t>
      </w:r>
      <w:r>
        <w:rPr>
          <w:spacing w:val="-53"/>
        </w:rPr>
      </w:r>
      <w:r>
        <w:rPr/>
        <w:t>卫东。</w:t>
      </w:r>
    </w:p>
    <w:p>
      <w:pPr>
        <w:pStyle w:val="BodyText"/>
        <w:spacing w:line="300" w:lineRule="auto" w:before="32"/>
        <w:ind w:left="212" w:right="1130" w:firstLine="360"/>
        <w:jc w:val="both"/>
      </w:pPr>
      <w:r>
        <w:rPr>
          <w:spacing w:val="-4"/>
        </w:rPr>
        <w:t>经中国证券监督管理委员会《关于核准北京宇信科技集团股份有限公司首次公开发行股票的批复》（证监许可</w:t>
      </w:r>
      <w:r>
        <w:rPr>
          <w:rFonts w:ascii="Times New Roman" w:hAnsi="Times New Roman" w:cs="Times New Roman" w:eastAsia="Times New Roman" w:hint="default"/>
          <w:spacing w:val="-4"/>
        </w:rPr>
        <w:t>[2018]1615</w:t>
      </w:r>
      <w:r>
        <w:rPr>
          <w:rFonts w:ascii="Times New Roman" w:hAnsi="Times New Roman" w:cs="Times New Roman" w:eastAsia="Times New Roman" w:hint="default"/>
        </w:rPr>
        <w:t> </w:t>
      </w:r>
      <w:r>
        <w:rPr/>
        <w:t>号文），核准本公司向社会公开发行人民币普通股股票</w:t>
      </w:r>
      <w:r>
        <w:rPr>
          <w:rFonts w:ascii="Times New Roman" w:hAnsi="Times New Roman" w:cs="Times New Roman" w:eastAsia="Times New Roman" w:hint="default"/>
        </w:rPr>
        <w:t>4,001.00</w:t>
      </w:r>
      <w:r>
        <w:rPr/>
        <w:t>万股。截至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日，公司实际已向社会公开发行人 民币普通股</w:t>
      </w:r>
      <w:r>
        <w:rPr>
          <w:rFonts w:ascii="Times New Roman" w:hAnsi="Times New Roman" w:cs="Times New Roman" w:eastAsia="Times New Roman" w:hint="default"/>
        </w:rPr>
        <w:t>4,001.00</w:t>
      </w:r>
      <w:r>
        <w:rPr/>
        <w:t>万股，募集资金总额人民币</w:t>
      </w:r>
      <w:r>
        <w:rPr>
          <w:rFonts w:ascii="Times New Roman" w:hAnsi="Times New Roman" w:cs="Times New Roman" w:eastAsia="Times New Roman" w:hint="default"/>
        </w:rPr>
        <w:t>334,483,600.00</w:t>
      </w:r>
      <w:r>
        <w:rPr/>
        <w:t>元。</w:t>
      </w:r>
    </w:p>
    <w:p>
      <w:pPr>
        <w:pStyle w:val="BodyText"/>
        <w:spacing w:line="300" w:lineRule="auto" w:before="13"/>
        <w:ind w:left="573" w:right="2028"/>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日止，本公司股本为</w:t>
      </w:r>
      <w:r>
        <w:rPr>
          <w:rFonts w:ascii="Times New Roman" w:hAnsi="Times New Roman" w:cs="Times New Roman" w:eastAsia="Times New Roman" w:hint="default"/>
        </w:rPr>
        <w:t>400,010,000.00</w:t>
      </w:r>
      <w:r>
        <w:rPr/>
        <w:t>元。 注册地：北京市海淀区高梁桥斜街</w:t>
      </w:r>
      <w:r>
        <w:rPr>
          <w:rFonts w:ascii="Times New Roman" w:hAnsi="Times New Roman" w:cs="Times New Roman" w:eastAsia="Times New Roman" w:hint="default"/>
        </w:rPr>
        <w:t>42</w:t>
      </w:r>
      <w:r>
        <w:rPr/>
        <w:t>号院</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5</w:t>
      </w:r>
      <w:r>
        <w:rPr/>
        <w:t>层</w:t>
      </w:r>
      <w:r>
        <w:rPr>
          <w:rFonts w:ascii="Times New Roman" w:hAnsi="Times New Roman" w:cs="Times New Roman" w:eastAsia="Times New Roman" w:hint="default"/>
        </w:rPr>
        <w:t>1-519</w:t>
      </w:r>
      <w:r>
        <w:rPr/>
        <w:t>，总部地址：北京市朝阳区酒仙桥路</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A2</w:t>
      </w:r>
      <w:r>
        <w:rPr/>
        <w:t>号</w:t>
      </w:r>
      <w:r>
        <w:rPr>
          <w:rFonts w:ascii="Times New Roman" w:hAnsi="Times New Roman" w:cs="Times New Roman" w:eastAsia="Times New Roman" w:hint="default"/>
        </w:rPr>
        <w:t>5</w:t>
      </w:r>
      <w:r>
        <w:rPr/>
        <w:t>层。</w:t>
      </w:r>
    </w:p>
    <w:p>
      <w:pPr>
        <w:pStyle w:val="BodyText"/>
        <w:spacing w:line="316" w:lineRule="auto" w:before="13"/>
        <w:ind w:left="212" w:right="1041" w:firstLine="360"/>
        <w:jc w:val="both"/>
      </w:pPr>
      <w:r>
        <w:rPr>
          <w:spacing w:val="-4"/>
        </w:rPr>
        <w:t>本公司经营范围：研究、开发计算机软件、硬件及互联网技术；提供技术咨询、技术服务、技术转让、计算机技术培训；</w:t>
      </w:r>
      <w:r>
        <w:rPr/>
        <w:t> 销售自行开发的产品。（依法须经批准的项目，经相关部门批准后依批准的内容开展经营活动。）</w:t>
      </w:r>
    </w:p>
    <w:p>
      <w:pPr>
        <w:pStyle w:val="BodyText"/>
        <w:spacing w:line="328" w:lineRule="auto" w:before="19"/>
        <w:ind w:left="573" w:right="5173"/>
        <w:jc w:val="left"/>
      </w:pPr>
      <w:r>
        <w:rPr/>
        <w:t>本公司的实际控制人为洪卫东。 本财务报表业经公司全体董事于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日批准报出。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tbl>
      <w:tblPr>
        <w:tblW w:w="0" w:type="auto"/>
        <w:jc w:val="left"/>
        <w:tblInd w:w="100" w:type="dxa"/>
        <w:tblLayout w:type="fixed"/>
        <w:tblCellMar>
          <w:top w:w="0" w:type="dxa"/>
          <w:left w:w="0" w:type="dxa"/>
          <w:bottom w:w="0" w:type="dxa"/>
          <w:right w:w="0" w:type="dxa"/>
        </w:tblCellMar>
        <w:tblLook w:val="01E0"/>
      </w:tblPr>
      <w:tblGrid>
        <w:gridCol w:w="5977"/>
      </w:tblGrid>
      <w:tr>
        <w:trPr>
          <w:trHeight w:val="322" w:hRule="exact"/>
        </w:trPr>
        <w:tc>
          <w:tcPr>
            <w:tcW w:w="5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r>
      <w:tr>
        <w:trPr>
          <w:trHeight w:val="322" w:hRule="exact"/>
        </w:trPr>
        <w:tc>
          <w:tcPr>
            <w:tcW w:w="5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北京宇信鸿泰科技发展有限公司</w:t>
            </w:r>
          </w:p>
        </w:tc>
      </w:tr>
      <w:tr>
        <w:trPr>
          <w:trHeight w:val="343" w:hRule="exact"/>
        </w:trPr>
        <w:tc>
          <w:tcPr>
            <w:tcW w:w="597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r>
      <w:tr>
        <w:trPr>
          <w:trHeight w:val="338"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北京宇信易初科技有限公司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广州宇信易诚信息科技有限公司</w:t>
            </w:r>
          </w:p>
        </w:tc>
      </w:tr>
      <w:tr>
        <w:trPr>
          <w:trHeight w:val="338"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北京宇信金地科技有限公司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无锡宇信易诚科技有限公司</w:t>
            </w:r>
          </w:p>
        </w:tc>
      </w:tr>
      <w:tr>
        <w:trPr>
          <w:trHeight w:val="338"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无锡宇信易诚培训有限公司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r>
      <w:tr>
        <w:trPr>
          <w:trHeight w:val="338"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珠海宇信鸿泰科技有限公司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珠海宇信易诚科技有限公司</w:t>
            </w:r>
          </w:p>
        </w:tc>
      </w:tr>
      <w:tr>
        <w:trPr>
          <w:trHeight w:val="339"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北京优迪信息技术有限公司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北京宇信鸿泰信息技术有限公司（原名北京宇信易诚信息技术有限公司）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天津宇信易诚科技有限公司</w:t>
            </w:r>
          </w:p>
        </w:tc>
      </w:tr>
      <w:tr>
        <w:trPr>
          <w:trHeight w:val="338"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北京宇信鸿泰软件技术有限公司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上海宇信易诚软件技术有限公司</w:t>
            </w:r>
          </w:p>
        </w:tc>
      </w:tr>
      <w:tr>
        <w:trPr>
          <w:trHeight w:val="338"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厦门宇诚科技有限公司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北京宇信征信有限公司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r>
      <w:tr>
        <w:trPr>
          <w:trHeight w:val="338"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湖南宇信鸿泰资产管理有限责任公司</w:t>
            </w:r>
          </w:p>
        </w:tc>
      </w:tr>
    </w:tbl>
    <w:p>
      <w:pPr>
        <w:spacing w:after="0" w:line="240" w:lineRule="auto"/>
        <w:jc w:val="left"/>
        <w:rPr>
          <w:rFonts w:ascii="宋体" w:hAnsi="宋体" w:cs="宋体" w:eastAsia="宋体" w:hint="default"/>
          <w:sz w:val="18"/>
          <w:szCs w:val="18"/>
        </w:rPr>
        <w:sectPr>
          <w:pgSz w:w="11910" w:h="16840"/>
          <w:pgMar w:header="852" w:footer="980" w:top="1300" w:bottom="1160" w:left="920" w:right="0"/>
        </w:sectPr>
      </w:pPr>
    </w:p>
    <w:p>
      <w:pPr>
        <w:spacing w:line="240" w:lineRule="auto" w:before="4"/>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5977"/>
      </w:tblGrid>
      <w:tr>
        <w:trPr>
          <w:trHeight w:val="339" w:hRule="exact"/>
        </w:trPr>
        <w:tc>
          <w:tcPr>
            <w:tcW w:w="5977" w:type="dxa"/>
            <w:tcBorders>
              <w:top w:val="nil" w:sz="6" w:space="0" w:color="auto"/>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长沙宇信鸿泰信息科技有限公司</w:t>
            </w:r>
          </w:p>
        </w:tc>
      </w:tr>
      <w:tr>
        <w:trPr>
          <w:trHeight w:val="339"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厦门市宇信鸿泰科技有限公司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北京宇信企慧信息技术有限公司</w:t>
            </w:r>
          </w:p>
        </w:tc>
      </w:tr>
      <w:tr>
        <w:trPr>
          <w:trHeight w:val="338"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宇信金服科技有限公司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西安宇信融汇网络有限公司</w:t>
            </w:r>
          </w:p>
        </w:tc>
      </w:tr>
      <w:tr>
        <w:trPr>
          <w:trHeight w:val="338"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宇信鸿泰科技（香港）有限公司（以下简称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香港宇信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6" w:hRule="exact"/>
        </w:trPr>
        <w:tc>
          <w:tcPr>
            <w:tcW w:w="59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YUSYSTECHNOLOGIESPTE.LTD.</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新加坡宇信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49"/>
        <w:ind w:left="573" w:right="2028"/>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38"/>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left="212" w:right="2028"/>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2028"/>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212" w:right="1131"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6"/>
        </w:rPr>
        <w:t> </w:t>
      </w:r>
      <w:r>
        <w:rPr>
          <w:spacing w:val="-46"/>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left="212" w:right="2028"/>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2028"/>
        <w:jc w:val="left"/>
      </w:pPr>
      <w:r>
        <w:rPr/>
        <w:t>公司自报告期末起</w:t>
      </w:r>
      <w:r>
        <w:rPr>
          <w:rFonts w:ascii="Times New Roman" w:hAnsi="Times New Roman" w:cs="Times New Roman" w:eastAsia="Times New Roman" w:hint="default"/>
        </w:rPr>
        <w:t>12</w:t>
      </w:r>
      <w:r>
        <w:rPr/>
        <w:t>个月的持续经营能力强，不存在导致对持续经营能力产生重大怀疑的因素。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2"/>
        <w:spacing w:line="240" w:lineRule="auto"/>
        <w:ind w:left="212" w:right="2028"/>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73" w:right="1233" w:hanging="361"/>
        <w:jc w:val="left"/>
      </w:pPr>
      <w:r>
        <w:rPr/>
        <w:t>具体会计政策和会计估计提示： 以下披露内容已涵盖了本公司根据实际生产经营特点制定的具体会计政策和会计估计。详见本附注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25</w:t>
      </w:r>
      <w:r>
        <w:rPr/>
        <w:t>收入</w:t>
      </w:r>
      <w:r>
        <w:rPr>
          <w:rFonts w:ascii="Times New Roman" w:hAnsi="Times New Roman" w:cs="Times New Roman" w:eastAsia="Times New Roman" w:hint="default"/>
        </w:rPr>
        <w:t>”</w:t>
      </w:r>
      <w:r>
        <w:rPr/>
        <w:t>等。</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3"/>
        <w:spacing w:line="240" w:lineRule="auto"/>
        <w:ind w:left="212" w:right="2028"/>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212" w:right="1129" w:firstLine="360"/>
        <w:jc w:val="both"/>
      </w:pPr>
      <w:r>
        <w:rPr>
          <w:spacing w:val="-2"/>
        </w:rPr>
        <w:t>本财务报表符合财政部颁布的企业会计准则的要求，真实、完整地反映了本公司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日的合并及母公司财务状</w:t>
      </w:r>
      <w:r>
        <w:rPr/>
        <w:t> 况以及</w:t>
      </w:r>
      <w:r>
        <w:rPr>
          <w:rFonts w:ascii="Times New Roman" w:hAnsi="Times New Roman" w:cs="Times New Roman" w:eastAsia="Times New Roman" w:hint="default"/>
        </w:rPr>
        <w:t>2019</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left="212" w:right="2028"/>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2028"/>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after="0" w:line="240" w:lineRule="auto"/>
        <w:jc w:val="left"/>
        <w:sectPr>
          <w:pgSz w:w="11910" w:h="16840"/>
          <w:pgMar w:header="852" w:footer="980" w:top="1300" w:bottom="1160" w:left="920" w:right="0"/>
        </w:sectPr>
      </w:pPr>
    </w:p>
    <w:p>
      <w:pPr>
        <w:pStyle w:val="Heading3"/>
        <w:spacing w:line="240" w:lineRule="auto" w:before="122"/>
        <w:ind w:right="1133"/>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t>本公司营业周期为</w:t>
      </w:r>
      <w:r>
        <w:rPr>
          <w:rFonts w:ascii="Times New Roman" w:hAnsi="Times New Roman" w:cs="Times New Roman" w:eastAsia="Times New Roman" w:hint="default"/>
        </w:rPr>
        <w:t>12</w:t>
      </w:r>
      <w:r>
        <w:rPr/>
        <w:t>个月。</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本公司采用人民币为记账本位币。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33"/>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42" w:firstLine="360"/>
        <w:jc w:val="both"/>
      </w:pPr>
      <w:r>
        <w:rPr>
          <w:spacing w:val="-2"/>
        </w:rPr>
        <w:t>同一控制下企业合并：合并方在企业合并中取得的资产和负债，按照合并日被合并方资产、负债（包括最终控制方收购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pStyle w:val="BodyText"/>
        <w:spacing w:line="316" w:lineRule="auto" w:before="17"/>
        <w:ind w:right="986" w:firstLine="360"/>
        <w:jc w:val="left"/>
      </w:pPr>
      <w:r>
        <w:rPr>
          <w:spacing w:val="-2"/>
        </w:rPr>
        <w:t>非同一控制下企业合并：购买方在购买日对作为企业合并对价付出的资产、发生或承担的负债按照公允价值计量，公允</w:t>
      </w:r>
      <w:r>
        <w:rPr/>
        <w:t> </w:t>
      </w:r>
      <w:r>
        <w:rPr>
          <w:spacing w:val="-2"/>
        </w:rPr>
        <w:t>价值与其账面价值的差额，计入当期损益。合并成本大于合并中取得的被购买方可辨认净资产公允价值份额的差额，确认为</w:t>
      </w:r>
      <w:r>
        <w:rPr>
          <w:spacing w:val="-63"/>
        </w:rPr>
        <w:t> </w:t>
      </w:r>
      <w:r>
        <w:rPr>
          <w:spacing w:val="-63"/>
        </w:rPr>
      </w:r>
      <w:r>
        <w:rPr/>
        <w:t>商誉；合并成本小于合并中取得的被购买方可辨认净资产公允价值份额的差额，计入当期损益。</w:t>
      </w:r>
      <w:r>
        <w:rPr/>
        <w:t> </w:t>
      </w:r>
      <w:r>
        <w:rPr>
          <w:spacing w:val="-2"/>
        </w:rPr>
        <w:t>为企业合并发生的直接相关费用于发生时计入当期损益；为企业合并而发行权益性证券或债务性证券的交易费用，计入权益</w:t>
      </w:r>
      <w:r>
        <w:rPr>
          <w:spacing w:val="-64"/>
        </w:rPr>
        <w:t> </w:t>
      </w:r>
      <w:r>
        <w:rPr>
          <w:spacing w:val="-64"/>
        </w:rPr>
      </w:r>
      <w:r>
        <w:rPr/>
        <w:t>性证券或债务性证券的初始确认金额。</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tabs>
          <w:tab w:pos="993" w:val="left" w:leader="none"/>
        </w:tabs>
        <w:spacing w:line="300" w:lineRule="auto"/>
        <w:ind w:left="513" w:right="3931"/>
        <w:jc w:val="left"/>
      </w:pPr>
      <w:r>
        <w:rPr>
          <w:rFonts w:ascii="Times New Roman" w:hAnsi="Times New Roman" w:cs="Times New Roman" w:eastAsia="Times New Roman" w:hint="default"/>
        </w:rPr>
        <w:t>1</w:t>
      </w:r>
      <w:r>
        <w:rPr/>
        <w:t>、</w:t>
        <w:tab/>
        <w:t>合并范围 合并财务报表的合并范围以控制为基础确定，合并范围包括本公司及全部子公司。</w:t>
      </w:r>
    </w:p>
    <w:p>
      <w:pPr>
        <w:spacing w:line="240" w:lineRule="auto" w:before="4"/>
        <w:rPr>
          <w:rFonts w:ascii="宋体" w:hAnsi="宋体" w:cs="宋体" w:eastAsia="宋体" w:hint="default"/>
          <w:sz w:val="26"/>
          <w:szCs w:val="26"/>
        </w:rPr>
      </w:pPr>
    </w:p>
    <w:p>
      <w:pPr>
        <w:pStyle w:val="BodyText"/>
        <w:tabs>
          <w:tab w:pos="993" w:val="left" w:leader="none"/>
        </w:tabs>
        <w:spacing w:line="300" w:lineRule="auto"/>
        <w:ind w:left="513" w:right="1133"/>
        <w:jc w:val="left"/>
      </w:pPr>
      <w:r>
        <w:rPr>
          <w:rFonts w:ascii="Times New Roman" w:hAnsi="Times New Roman" w:cs="Times New Roman" w:eastAsia="Times New Roman" w:hint="default"/>
        </w:rPr>
        <w:t>2</w:t>
      </w:r>
      <w:r>
        <w:rPr/>
        <w:t>、</w:t>
        <w:tab/>
        <w:t>合并程序 </w:t>
      </w:r>
      <w:r>
        <w:rPr>
          <w:spacing w:val="-2"/>
        </w:rPr>
        <w:t>本公司以自身和各子公司的财务报表为基础，根据其他有关资料，编制合并财务报表。本公司编制合并财务报表，将整</w:t>
      </w:r>
    </w:p>
    <w:p>
      <w:pPr>
        <w:pStyle w:val="BodyText"/>
        <w:spacing w:line="316" w:lineRule="auto" w:before="31"/>
        <w:ind w:right="986"/>
        <w:jc w:val="left"/>
      </w:pPr>
      <w:r>
        <w:rPr>
          <w:spacing w:val="-2"/>
        </w:rPr>
        <w:t>个企业集团视为一个会计主体，依据相关企业会计准则的确认、计量和列报要求，按照统一的会计政策，反映本企业集团整</w:t>
      </w:r>
      <w:r>
        <w:rPr>
          <w:spacing w:val="-62"/>
        </w:rPr>
        <w:t> </w:t>
      </w:r>
      <w:r>
        <w:rPr>
          <w:spacing w:val="-62"/>
        </w:rPr>
      </w:r>
      <w:r>
        <w:rPr/>
        <w:t>体财务状况、经营成果和现金流量。</w:t>
      </w:r>
    </w:p>
    <w:p>
      <w:pPr>
        <w:pStyle w:val="BodyText"/>
        <w:spacing w:line="316" w:lineRule="auto" w:before="19"/>
        <w:ind w:right="986"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9" w:lineRule="auto" w:before="19"/>
        <w:ind w:right="113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00" w:lineRule="auto" w:before="17"/>
        <w:ind w:left="513" w:right="986"/>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1"/>
        <w:ind w:right="986"/>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spacing w:after="0" w:line="316" w:lineRule="auto"/>
        <w:jc w:val="both"/>
        <w:sectPr>
          <w:pgSz w:w="11910" w:h="16840"/>
          <w:pgMar w:header="852" w:footer="980" w:top="1300" w:bottom="1160" w:left="980" w:right="0"/>
        </w:sectPr>
      </w:pPr>
    </w:p>
    <w:p>
      <w:pPr>
        <w:pStyle w:val="BodyText"/>
        <w:spacing w:line="319" w:lineRule="auto" w:before="142"/>
        <w:ind w:right="113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7"/>
        <w:ind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2"/>
        </w:rPr>
        <w:t> </w:t>
      </w:r>
      <w:r>
        <w:rPr>
          <w:spacing w:val="-62"/>
        </w:rPr>
      </w:r>
      <w:r>
        <w:rPr/>
        <w:t>而产生的其他综合收益除外。</w:t>
      </w:r>
    </w:p>
    <w:p>
      <w:pPr>
        <w:pStyle w:val="BodyText"/>
        <w:spacing w:line="240" w:lineRule="auto" w:before="19"/>
        <w:ind w:left="513" w:right="1133"/>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513" w:right="1133"/>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9" w:lineRule="auto" w:before="19"/>
        <w:ind w:left="513" w:right="986"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7"/>
        <w:ind w:right="103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3"/>
        </w:rPr>
        <w:t> </w:t>
      </w:r>
      <w:r>
        <w:rPr>
          <w:spacing w:val="-63"/>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9"/>
        <w:ind w:left="513" w:right="1133"/>
        <w:jc w:val="left"/>
      </w:pPr>
      <w:r>
        <w:rPr/>
        <w:t>因其他投资方对子公司增资而导致本公司持股比例下降从而丧失控制权的，按照上述原则进行会计处理。</w:t>
      </w:r>
    </w:p>
    <w:p>
      <w:pPr>
        <w:pStyle w:val="BodyText"/>
        <w:spacing w:line="316" w:lineRule="auto" w:before="76"/>
        <w:ind w:left="513" w:right="986"/>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9" w:lineRule="auto" w:before="19"/>
        <w:ind w:left="513" w:right="355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7"/>
        <w:ind w:right="113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9"/>
        <w:ind w:right="1132" w:firstLine="288"/>
        <w:jc w:val="both"/>
      </w:pPr>
      <w:r>
        <w:rPr>
          <w:spacing w:val="-1"/>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513" w:right="986"/>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986"/>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12" w:lineRule="auto" w:before="19"/>
        <w:ind w:right="986" w:firstLine="36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w:t>
      </w:r>
      <w:r>
        <w:rPr>
          <w:spacing w:val="-11"/>
        </w:rPr>
        <w:t> </w:t>
      </w:r>
      <w:r>
        <w:rPr>
          <w:spacing w:val="-11"/>
        </w:rPr>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1133"/>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3013"/>
        <w:jc w:val="left"/>
      </w:pPr>
      <w:r>
        <w:rPr/>
        <w:t>合营安排分为共同经营和合营企业。 当本公司是合营安排的合营方，享有该安排相关资产且承担该安排相关负债时，为共同经营。</w:t>
      </w:r>
    </w:p>
    <w:p>
      <w:pPr>
        <w:spacing w:after="0" w:line="316" w:lineRule="auto"/>
        <w:jc w:val="left"/>
        <w:sectPr>
          <w:pgSz w:w="11910" w:h="16840"/>
          <w:pgMar w:header="852" w:footer="980" w:top="1300" w:bottom="1160" w:left="980" w:right="0"/>
        </w:sectPr>
      </w:pPr>
    </w:p>
    <w:p>
      <w:pPr>
        <w:pStyle w:val="BodyText"/>
        <w:spacing w:line="240" w:lineRule="auto" w:before="142"/>
        <w:ind w:left="513" w:right="1133"/>
        <w:jc w:val="left"/>
      </w:pPr>
      <w:r>
        <w:rPr/>
        <w:t>本公司确认与共同经营中利益份额相关的下列项目，并按照相关企业会计准则的规定进行会计处理：</w:t>
      </w:r>
    </w:p>
    <w:p>
      <w:pPr>
        <w:pStyle w:val="BodyText"/>
        <w:spacing w:line="240" w:lineRule="auto" w:before="77"/>
        <w:ind w:left="513" w:right="113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3" w:right="113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513" w:right="4363"/>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both"/>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tabs>
          <w:tab w:pos="993" w:val="left" w:leader="none"/>
        </w:tabs>
        <w:spacing w:line="300" w:lineRule="auto"/>
        <w:ind w:left="513" w:right="3931"/>
        <w:jc w:val="left"/>
      </w:pPr>
      <w:r>
        <w:rPr>
          <w:rFonts w:ascii="Times New Roman" w:hAnsi="Times New Roman" w:cs="Times New Roman" w:eastAsia="Times New Roman" w:hint="default"/>
        </w:rPr>
        <w:t>1</w:t>
      </w:r>
      <w:r>
        <w:rPr/>
        <w:t>、</w:t>
        <w:tab/>
        <w:t>外币业务 外币业务采用交易发生日的即期汇率作为折算汇率将外币金额折合成人民币记账。</w:t>
      </w:r>
    </w:p>
    <w:p>
      <w:pPr>
        <w:pStyle w:val="BodyText"/>
        <w:spacing w:line="316" w:lineRule="auto" w:before="31"/>
        <w:ind w:right="1132" w:firstLine="360"/>
        <w:jc w:val="both"/>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spacing w:line="240" w:lineRule="auto" w:before="4"/>
        <w:rPr>
          <w:rFonts w:ascii="宋体" w:hAnsi="宋体" w:cs="宋体" w:eastAsia="宋体" w:hint="default"/>
          <w:sz w:val="25"/>
          <w:szCs w:val="25"/>
        </w:rPr>
      </w:pPr>
    </w:p>
    <w:p>
      <w:pPr>
        <w:pStyle w:val="BodyText"/>
        <w:tabs>
          <w:tab w:pos="993" w:val="left" w:leader="none"/>
        </w:tabs>
        <w:spacing w:line="300" w:lineRule="auto"/>
        <w:ind w:left="513" w:right="1133"/>
        <w:jc w:val="left"/>
      </w:pPr>
      <w:r>
        <w:rPr>
          <w:rFonts w:ascii="Times New Roman" w:hAnsi="Times New Roman" w:cs="Times New Roman" w:eastAsia="Times New Roman" w:hint="default"/>
        </w:rPr>
        <w:t>2</w:t>
      </w:r>
      <w:r>
        <w:rPr/>
        <w:t>、</w:t>
        <w:tab/>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left="513" w:right="2113" w:hanging="361"/>
        <w:jc w:val="left"/>
      </w:pPr>
      <w:r>
        <w:rPr/>
        <w:t>目采用发生时的即期汇率折算。利润表中的收入和费用项目，采用交易发生期间的平均汇率折算。 处置境外经营时，将与该境外经营相关的外币财务报表折算差额，自所有者权益项目转入处置当期损益。</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tabs>
          <w:tab w:pos="993" w:val="left" w:leader="none"/>
        </w:tabs>
        <w:spacing w:line="309" w:lineRule="auto"/>
        <w:ind w:left="513" w:right="6631"/>
        <w:jc w:val="left"/>
      </w:pPr>
      <w:r>
        <w:rPr/>
        <w:t>金融工具包括金融资产、金融负债和权益工具。 </w:t>
      </w:r>
      <w:r>
        <w:rPr>
          <w:rFonts w:ascii="Times New Roman" w:hAnsi="Times New Roman" w:cs="Times New Roman" w:eastAsia="Times New Roman" w:hint="default"/>
        </w:rPr>
        <w:t>1</w:t>
      </w:r>
      <w:r>
        <w:rPr/>
        <w:t>、</w:t>
        <w:tab/>
        <w:t>金融工具的分类 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316" w:lineRule="auto" w:before="5"/>
        <w:ind w:right="1132" w:firstLine="360"/>
        <w:jc w:val="both"/>
      </w:pPr>
      <w:r>
        <w:rPr>
          <w:spacing w:val="-2"/>
        </w:rPr>
        <w:t>根据本公司管理金融资产的业务模式和金融资产的合同现金流量特征，金融资产于初始确认时分类为：以摊余成本计量</w:t>
      </w:r>
      <w:r>
        <w:rPr/>
        <w:t> </w:t>
      </w:r>
      <w:r>
        <w:rPr>
          <w:spacing w:val="-2"/>
        </w:rPr>
        <w:t>的金融资产、以公允价值计量且其变动计入其他综合收益的金融资产（债务工具）和以公允价值计量且其变动计入当期损益</w:t>
      </w:r>
      <w:r>
        <w:rPr>
          <w:spacing w:val="-66"/>
        </w:rPr>
        <w:t> </w:t>
      </w:r>
      <w:r>
        <w:rPr>
          <w:spacing w:val="-66"/>
        </w:rPr>
      </w:r>
      <w:r>
        <w:rPr/>
        <w:t>的金融资产。</w:t>
      </w:r>
    </w:p>
    <w:p>
      <w:pPr>
        <w:pStyle w:val="BodyText"/>
        <w:spacing w:line="319" w:lineRule="auto" w:before="19"/>
        <w:ind w:right="1132" w:firstLine="360"/>
        <w:jc w:val="both"/>
      </w:pPr>
      <w:r>
        <w:rPr>
          <w:spacing w:val="-2"/>
        </w:rPr>
        <w:t>业务模式是以收取合同现金流量为目标且合同现金流量仅为对本金和以未偿付本金金额为基础的利息的支付的，分类为</w:t>
      </w:r>
      <w:r>
        <w:rPr/>
        <w:t> </w:t>
      </w:r>
      <w:r>
        <w:rPr>
          <w:spacing w:val="-2"/>
        </w:rPr>
        <w:t>以摊余成本计量的金融资产；业务模式既以收取合同现金流量又以出售该金融资产为目标且合同现金流量仅为对本金和以未</w:t>
      </w:r>
      <w:r>
        <w:rPr>
          <w:spacing w:val="-64"/>
        </w:rPr>
        <w:t> </w:t>
      </w:r>
      <w:r>
        <w:rPr>
          <w:spacing w:val="-64"/>
        </w:rPr>
      </w:r>
      <w:r>
        <w:rPr>
          <w:spacing w:val="-2"/>
        </w:rPr>
        <w:t>偿付本金金额为基础的利息的支付的，分类为以公允价值计量且其变动计入其他综合收益的金融资产（债务工具）；除此之</w:t>
      </w:r>
      <w:r>
        <w:rPr>
          <w:spacing w:val="-66"/>
        </w:rPr>
        <w:t> </w:t>
      </w:r>
      <w:r>
        <w:rPr>
          <w:spacing w:val="-66"/>
        </w:rPr>
      </w:r>
      <w:r>
        <w:rPr/>
        <w:t>外的其他金融资产，分类为以公允价值计量且其变动计入当期损益的金融资产。</w:t>
      </w:r>
    </w:p>
    <w:p>
      <w:pPr>
        <w:pStyle w:val="BodyText"/>
        <w:spacing w:line="316" w:lineRule="auto" w:before="17"/>
        <w:ind w:right="1131" w:firstLine="360"/>
        <w:jc w:val="both"/>
      </w:pPr>
      <w:r>
        <w:rPr>
          <w:spacing w:val="-2"/>
        </w:rPr>
        <w:t>对于非交易性权益工具投资，本公司在初始确认时确定是否将其指定为以公允价值计量且其变动计入其他综合收益的金</w:t>
      </w:r>
      <w:r>
        <w:rPr/>
        <w:t> </w:t>
      </w:r>
      <w:r>
        <w:rPr>
          <w:spacing w:val="-2"/>
        </w:rPr>
        <w:t>融资产（权益工具）。在初始确认时，为了能够消除或显著减少会计错配，可以将金融资产指定为以公允价值计量且其变动</w:t>
      </w:r>
      <w:r>
        <w:rPr>
          <w:spacing w:val="-65"/>
        </w:rPr>
        <w:t> </w:t>
      </w:r>
      <w:r>
        <w:rPr>
          <w:spacing w:val="-65"/>
        </w:rPr>
      </w:r>
      <w:r>
        <w:rPr>
          <w:spacing w:val="-2"/>
        </w:rPr>
        <w:t>计入当期损益的金融资产，按照上述条件，本公司指定的这类金融资产主要包括对北京京北阳光投资中心（有限合伙）的股</w:t>
      </w:r>
      <w:r>
        <w:rPr>
          <w:spacing w:val="-64"/>
        </w:rPr>
        <w:t> </w:t>
      </w:r>
      <w:r>
        <w:rPr>
          <w:spacing w:val="-64"/>
        </w:rPr>
      </w:r>
      <w:r>
        <w:rPr/>
        <w:t>权投资。</w:t>
      </w:r>
    </w:p>
    <w:p>
      <w:pPr>
        <w:pStyle w:val="BodyText"/>
        <w:spacing w:line="624" w:lineRule="exact" w:before="42"/>
        <w:ind w:left="513" w:right="1393"/>
        <w:jc w:val="left"/>
      </w:pPr>
      <w:r>
        <w:rPr/>
        <w:t>金融负债于初始确认时分类为：以公允价值计量且其变动计入当期损益的金融负债和以摊余成本计量的金融负债。 符合以下条件之一的金融负债可在初始计量时指定为以公允价值计量且其变动计入当期损益的金融负债：</w:t>
      </w:r>
    </w:p>
    <w:p>
      <w:pPr>
        <w:spacing w:after="0" w:line="624" w:lineRule="exact"/>
        <w:jc w:val="left"/>
        <w:sectPr>
          <w:pgSz w:w="11910" w:h="16840"/>
          <w:pgMar w:header="852" w:footer="980" w:top="1300" w:bottom="1160" w:left="980" w:right="0"/>
        </w:sectPr>
      </w:pPr>
    </w:p>
    <w:p>
      <w:pPr>
        <w:pStyle w:val="BodyText"/>
        <w:spacing w:line="240" w:lineRule="auto" w:before="142"/>
        <w:ind w:left="513" w:right="1133"/>
        <w:jc w:val="left"/>
      </w:pPr>
      <w:r>
        <w:rPr>
          <w:rFonts w:ascii="Times New Roman" w:hAnsi="Times New Roman" w:cs="Times New Roman" w:eastAsia="Times New Roman" w:hint="default"/>
        </w:rPr>
        <w:t>1</w:t>
      </w:r>
      <w:r>
        <w:rPr/>
        <w:t>）该项指定能够消除或显著减少会计错配。</w:t>
      </w:r>
    </w:p>
    <w:p>
      <w:pPr>
        <w:pStyle w:val="BodyText"/>
        <w:spacing w:line="300" w:lineRule="auto" w:before="63"/>
        <w:ind w:right="1124" w:firstLine="360"/>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）根据正式书面文件载明的企业风险管理或投资策略，以公允价值为基础对金融负债组合或金融资产和金融负债组合 进行管理和业绩评价，并在企业内部以此为基础向关键管理人员报告。</w:t>
      </w:r>
    </w:p>
    <w:p>
      <w:pPr>
        <w:pStyle w:val="BodyText"/>
        <w:spacing w:line="300" w:lineRule="auto" w:before="31"/>
        <w:ind w:left="513" w:right="6253"/>
        <w:jc w:val="left"/>
      </w:pPr>
      <w:r>
        <w:rPr>
          <w:rFonts w:ascii="Times New Roman" w:hAnsi="Times New Roman" w:cs="Times New Roman" w:eastAsia="Times New Roman" w:hint="default"/>
        </w:rPr>
        <w:t>3</w:t>
      </w:r>
      <w:r>
        <w:rPr/>
        <w:t>）该金融负债包含需单独分拆的嵌入衍生工具。 按照上述条件，本公司目前无指定的这类金融负债。</w:t>
      </w:r>
    </w:p>
    <w:p>
      <w:pPr>
        <w:spacing w:line="240" w:lineRule="auto" w:before="3"/>
        <w:rPr>
          <w:rFonts w:ascii="宋体" w:hAnsi="宋体" w:cs="宋体" w:eastAsia="宋体" w:hint="default"/>
          <w:sz w:val="26"/>
          <w:szCs w:val="26"/>
        </w:rPr>
      </w:pPr>
    </w:p>
    <w:p>
      <w:pPr>
        <w:pStyle w:val="BodyText"/>
        <w:spacing w:line="300" w:lineRule="auto"/>
        <w:ind w:left="513" w:right="986"/>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 </w:t>
      </w:r>
      <w:r>
        <w:rPr>
          <w:spacing w:val="-2"/>
        </w:rPr>
        <w:t>金融资产和金融负债于初始确认时分类为：以公允价值计量且其变动计入当期损益的金融资产或金融负债，包括交易性</w:t>
      </w:r>
    </w:p>
    <w:p>
      <w:pPr>
        <w:pStyle w:val="BodyText"/>
        <w:spacing w:line="316" w:lineRule="auto" w:before="31"/>
        <w:ind w:right="986"/>
        <w:jc w:val="left"/>
      </w:pPr>
      <w:r>
        <w:rPr>
          <w:spacing w:val="-2"/>
        </w:rPr>
        <w:t>金融资产或金融负债和直接指定为以公允价值计量且其变动计入当期损益的金融资产或金融负债；持有至到期投资；应收款</w:t>
      </w:r>
      <w:r>
        <w:rPr>
          <w:spacing w:val="-63"/>
        </w:rPr>
        <w:t> </w:t>
      </w:r>
      <w:r>
        <w:rPr>
          <w:spacing w:val="-63"/>
        </w:rPr>
      </w:r>
      <w:r>
        <w:rPr/>
        <w:t>项；可供出售金融资产；其他金融负债等。</w:t>
      </w:r>
    </w:p>
    <w:p>
      <w:pPr>
        <w:spacing w:line="240" w:lineRule="auto" w:before="4"/>
        <w:rPr>
          <w:rFonts w:ascii="宋体" w:hAnsi="宋体" w:cs="宋体" w:eastAsia="宋体" w:hint="default"/>
          <w:sz w:val="25"/>
          <w:szCs w:val="25"/>
        </w:rPr>
      </w:pPr>
    </w:p>
    <w:p>
      <w:pPr>
        <w:pStyle w:val="BodyText"/>
        <w:tabs>
          <w:tab w:pos="993" w:val="left" w:leader="none"/>
        </w:tabs>
        <w:spacing w:line="300" w:lineRule="auto"/>
        <w:ind w:left="513" w:right="7411"/>
        <w:jc w:val="left"/>
      </w:pPr>
      <w:r>
        <w:rPr>
          <w:rFonts w:ascii="Times New Roman" w:hAnsi="Times New Roman" w:cs="Times New Roman" w:eastAsia="Times New Roman" w:hint="default"/>
        </w:rPr>
        <w:t>2</w:t>
      </w:r>
      <w:r>
        <w:rPr/>
        <w:t>、</w:t>
        <w:tab/>
        <w:t>金融工具的确认依据和计量方法 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300" w:lineRule="auto" w:before="13"/>
        <w:ind w:left="513" w:right="986"/>
        <w:jc w:val="left"/>
      </w:pPr>
      <w:r>
        <w:rPr/>
        <w:t>（</w:t>
      </w:r>
      <w:r>
        <w:rPr>
          <w:rFonts w:ascii="Times New Roman" w:hAnsi="Times New Roman" w:cs="Times New Roman" w:eastAsia="Times New Roman" w:hint="default"/>
        </w:rPr>
        <w:t>1</w:t>
      </w:r>
      <w:r>
        <w:rPr/>
        <w:t>）以摊余成本计量的金融资产 </w:t>
      </w:r>
      <w:r>
        <w:rPr>
          <w:spacing w:val="-2"/>
        </w:rPr>
        <w:t>以摊余成本计量的金融资产包括应收票据、应收账款、其他应收款等，按公允价值进行初始计量，相关交易费用计入初</w:t>
      </w:r>
    </w:p>
    <w:p>
      <w:pPr>
        <w:pStyle w:val="BodyText"/>
        <w:spacing w:line="316" w:lineRule="auto" w:before="31"/>
        <w:ind w:right="986"/>
        <w:jc w:val="left"/>
      </w:pPr>
      <w:r>
        <w:rPr>
          <w:spacing w:val="-2"/>
        </w:rPr>
        <w:t>始确认金额；不包含重大融资成分的应收账款以及本公司决定不考虑不超过一年的融资成分的应收账款，以合同交易价格进</w:t>
      </w:r>
      <w:r>
        <w:rPr>
          <w:spacing w:val="-64"/>
        </w:rPr>
        <w:t> </w:t>
      </w:r>
      <w:r>
        <w:rPr>
          <w:spacing w:val="-64"/>
        </w:rPr>
      </w:r>
      <w:r>
        <w:rPr/>
        <w:t>行初始计量。</w:t>
      </w:r>
    </w:p>
    <w:p>
      <w:pPr>
        <w:pStyle w:val="BodyText"/>
        <w:spacing w:line="240" w:lineRule="auto" w:before="19"/>
        <w:ind w:left="513" w:right="1133"/>
        <w:jc w:val="left"/>
      </w:pPr>
      <w:r>
        <w:rPr/>
        <w:t>收回或处置时，将取得的价款与该金融资产账面价值之间的差额计入当期损益。</w:t>
      </w:r>
    </w:p>
    <w:p>
      <w:pPr>
        <w:spacing w:line="240" w:lineRule="auto" w:before="0"/>
        <w:rPr>
          <w:rFonts w:ascii="宋体" w:hAnsi="宋体" w:cs="宋体" w:eastAsia="宋体" w:hint="default"/>
          <w:sz w:val="18"/>
          <w:szCs w:val="18"/>
        </w:rPr>
      </w:pPr>
    </w:p>
    <w:p>
      <w:pPr>
        <w:pStyle w:val="BodyText"/>
        <w:spacing w:line="300" w:lineRule="auto" w:before="153"/>
        <w:ind w:left="513" w:right="986"/>
        <w:jc w:val="left"/>
      </w:pPr>
      <w:r>
        <w:rPr/>
        <w:t>（</w:t>
      </w:r>
      <w:r>
        <w:rPr>
          <w:rFonts w:ascii="Times New Roman" w:hAnsi="Times New Roman" w:cs="Times New Roman" w:eastAsia="Times New Roman" w:hint="default"/>
        </w:rPr>
        <w:t>2</w:t>
      </w:r>
      <w:r>
        <w:rPr/>
        <w:t>）以公允价值计量且其变动计入其他综合收益的金融资产（权益工具） </w:t>
      </w:r>
      <w:r>
        <w:rPr>
          <w:spacing w:val="-2"/>
        </w:rPr>
        <w:t>以公允价值计量且其变动计入其他综合收益的金融资产（权益工具）包括其他权益工具投资等，按公允价值进行初始计</w:t>
      </w:r>
    </w:p>
    <w:p>
      <w:pPr>
        <w:pStyle w:val="BodyText"/>
        <w:spacing w:line="316" w:lineRule="auto" w:before="31"/>
        <w:ind w:right="986"/>
        <w:jc w:val="left"/>
      </w:pPr>
      <w:r>
        <w:rPr>
          <w:spacing w:val="-2"/>
        </w:rPr>
        <w:t>量，相关交易费用计入初始确认金额。该金融资产按公允价值进行后续计量，公允价值变动计入其他综合收益。取得的股利</w:t>
      </w:r>
      <w:r>
        <w:rPr>
          <w:spacing w:val="-65"/>
        </w:rPr>
        <w:t> </w:t>
      </w:r>
      <w:r>
        <w:rPr>
          <w:spacing w:val="-65"/>
        </w:rPr>
      </w:r>
      <w:r>
        <w:rPr/>
        <w:t>计入当期损益。</w:t>
      </w:r>
    </w:p>
    <w:p>
      <w:pPr>
        <w:pStyle w:val="BodyText"/>
        <w:spacing w:line="240" w:lineRule="auto" w:before="19"/>
        <w:ind w:left="513" w:right="1133"/>
        <w:jc w:val="left"/>
      </w:pPr>
      <w:r>
        <w:rPr/>
        <w:t>终止确认时，之前计入其他综合收益的累计利得或损失从其他综合收益中转出，计入留存收益。</w:t>
      </w:r>
    </w:p>
    <w:p>
      <w:pPr>
        <w:spacing w:line="240" w:lineRule="auto" w:before="0"/>
        <w:rPr>
          <w:rFonts w:ascii="宋体" w:hAnsi="宋体" w:cs="宋体" w:eastAsia="宋体" w:hint="default"/>
          <w:sz w:val="18"/>
          <w:szCs w:val="18"/>
        </w:rPr>
      </w:pPr>
    </w:p>
    <w:p>
      <w:pPr>
        <w:pStyle w:val="BodyText"/>
        <w:spacing w:line="300" w:lineRule="auto" w:before="153"/>
        <w:ind w:left="513" w:right="986"/>
        <w:jc w:val="left"/>
      </w:pPr>
      <w:r>
        <w:rPr/>
        <w:t>（</w:t>
      </w:r>
      <w:r>
        <w:rPr>
          <w:rFonts w:ascii="Times New Roman" w:hAnsi="Times New Roman" w:cs="Times New Roman" w:eastAsia="Times New Roman" w:hint="default"/>
        </w:rPr>
        <w:t>3</w:t>
      </w:r>
      <w:r>
        <w:rPr/>
        <w:t>）以公允价值计量且其变动计入当期损益的金融资产 </w:t>
      </w:r>
      <w:r>
        <w:rPr>
          <w:spacing w:val="-2"/>
        </w:rPr>
        <w:t>以公允价值计量且其变动计入当期损益的金融资产包括交易性金融资产、其他非流动金融资产等，按公允价值进行初始</w:t>
      </w:r>
    </w:p>
    <w:p>
      <w:pPr>
        <w:pStyle w:val="BodyText"/>
        <w:spacing w:line="240" w:lineRule="auto" w:before="31"/>
        <w:ind w:right="1133"/>
        <w:jc w:val="left"/>
      </w:pPr>
      <w:r>
        <w:rPr/>
        <w:t>计量，相关交易费用计入当期损益。该金融资产按公允价值进行后续计量，公允价值变动计入当期损益。</w:t>
      </w:r>
    </w:p>
    <w:p>
      <w:pPr>
        <w:spacing w:line="240" w:lineRule="auto" w:before="0"/>
        <w:rPr>
          <w:rFonts w:ascii="宋体" w:hAnsi="宋体" w:cs="宋体" w:eastAsia="宋体" w:hint="default"/>
          <w:sz w:val="18"/>
          <w:szCs w:val="18"/>
        </w:rPr>
      </w:pPr>
    </w:p>
    <w:p>
      <w:pPr>
        <w:pStyle w:val="BodyText"/>
        <w:spacing w:line="300" w:lineRule="auto" w:before="153"/>
        <w:ind w:left="513" w:right="1033"/>
        <w:jc w:val="left"/>
      </w:pPr>
      <w:r>
        <w:rPr/>
        <w:t>（</w:t>
      </w:r>
      <w:r>
        <w:rPr>
          <w:rFonts w:ascii="Times New Roman" w:hAnsi="Times New Roman" w:cs="Times New Roman" w:eastAsia="Times New Roman" w:hint="default"/>
        </w:rPr>
        <w:t>4</w:t>
      </w:r>
      <w:r>
        <w:rPr/>
        <w:t>）以摊余成本计量的金融负债 以摊余成本计量的金融负债包括短期借款、应付票据、应付账款、其他应付款、长期借款，按公允价值进行初始计量，</w:t>
      </w:r>
    </w:p>
    <w:p>
      <w:pPr>
        <w:pStyle w:val="BodyText"/>
        <w:spacing w:line="316" w:lineRule="auto" w:before="31"/>
        <w:ind w:left="513" w:right="4273" w:hanging="361"/>
        <w:jc w:val="left"/>
      </w:pPr>
      <w:r>
        <w:rPr/>
        <w:t>相关交易费用计入初始确认金额。 持有期间采用实际利率法计算的利息计入当期损益。 终止确认时，将支付的对价与该金融负债账面价值之间的差额计入当期损益。</w:t>
      </w:r>
    </w:p>
    <w:p>
      <w:pPr>
        <w:spacing w:line="240" w:lineRule="auto" w:before="4"/>
        <w:rPr>
          <w:rFonts w:ascii="宋体" w:hAnsi="宋体" w:cs="宋体" w:eastAsia="宋体" w:hint="default"/>
          <w:sz w:val="25"/>
          <w:szCs w:val="25"/>
        </w:rPr>
      </w:pPr>
    </w:p>
    <w:p>
      <w:pPr>
        <w:pStyle w:val="BodyText"/>
        <w:spacing w:line="240" w:lineRule="auto"/>
        <w:ind w:left="513"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p>
    <w:p>
      <w:pPr>
        <w:pStyle w:val="BodyText"/>
        <w:spacing w:line="300" w:lineRule="auto" w:before="63"/>
        <w:ind w:left="513" w:right="986"/>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31"/>
        <w:ind w:left="513" w:right="283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00" w:lineRule="auto" w:before="19"/>
        <w:ind w:left="513" w:right="986"/>
        <w:jc w:val="left"/>
      </w:pPr>
      <w:r>
        <w:rPr/>
        <w:t>（</w:t>
      </w:r>
      <w:r>
        <w:rPr>
          <w:rFonts w:ascii="Times New Roman" w:hAnsi="Times New Roman" w:cs="Times New Roman" w:eastAsia="Times New Roman" w:hint="default"/>
        </w:rPr>
        <w:t>2</w:t>
      </w:r>
      <w:r>
        <w:rPr/>
        <w:t>）应收款项 </w:t>
      </w:r>
      <w:r>
        <w:rPr>
          <w:spacing w:val="-2"/>
        </w:rPr>
        <w:t>公司对外销售商品或提供劳务形成的应收债权，以及公司持有的其他企业的不包括在活跃市场上有报价的债务工具的债</w:t>
      </w:r>
    </w:p>
    <w:p>
      <w:pPr>
        <w:pStyle w:val="BodyText"/>
        <w:spacing w:line="240" w:lineRule="auto" w:before="31"/>
        <w:ind w:right="986"/>
        <w:jc w:val="left"/>
      </w:pPr>
      <w:r>
        <w:rPr/>
        <w:t>权，包括应收账款、其他应收款等，以向购货方应收的合同或协议价款作为初始确认金额；具有融资性质的，按其现值进行</w:t>
      </w:r>
    </w:p>
    <w:p>
      <w:pPr>
        <w:spacing w:after="0" w:line="240" w:lineRule="auto"/>
        <w:jc w:val="left"/>
        <w:sectPr>
          <w:pgSz w:w="11910" w:h="16840"/>
          <w:pgMar w:header="852" w:footer="980" w:top="1300" w:bottom="1160" w:left="980" w:right="0"/>
        </w:sectPr>
      </w:pPr>
    </w:p>
    <w:p>
      <w:pPr>
        <w:pStyle w:val="BodyText"/>
        <w:spacing w:line="240" w:lineRule="auto" w:before="142"/>
        <w:ind w:right="1133"/>
        <w:jc w:val="left"/>
      </w:pPr>
      <w:r>
        <w:rPr/>
        <w:t>初始确认。</w:t>
      </w:r>
    </w:p>
    <w:p>
      <w:pPr>
        <w:pStyle w:val="BodyText"/>
        <w:spacing w:line="240" w:lineRule="auto" w:before="77"/>
        <w:ind w:left="513" w:right="1133"/>
        <w:jc w:val="left"/>
      </w:pPr>
      <w:r>
        <w:rPr/>
        <w:t>收回或处置时，将取得的价款与该应收款项账面价值之间的差额计入当期损益。</w:t>
      </w:r>
    </w:p>
    <w:p>
      <w:pPr>
        <w:pStyle w:val="BodyText"/>
        <w:spacing w:line="300" w:lineRule="auto" w:before="76"/>
        <w:ind w:left="513" w:right="986"/>
        <w:jc w:val="left"/>
      </w:pPr>
      <w:r>
        <w:rPr/>
        <w:t>（</w:t>
      </w:r>
      <w:r>
        <w:rPr>
          <w:rFonts w:ascii="Times New Roman" w:hAnsi="Times New Roman" w:cs="Times New Roman" w:eastAsia="Times New Roman" w:hint="default"/>
        </w:rPr>
        <w:t>3</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31"/>
        <w:ind w:left="513" w:right="1033" w:hanging="361"/>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986"/>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right="986"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00" w:lineRule="auto" w:before="19"/>
        <w:ind w:left="513" w:right="3733"/>
        <w:jc w:val="left"/>
      </w:pPr>
      <w:r>
        <w:rPr/>
        <w:t>（</w:t>
      </w:r>
      <w:r>
        <w:rPr>
          <w:rFonts w:ascii="Times New Roman" w:hAnsi="Times New Roman" w:cs="Times New Roman" w:eastAsia="Times New Roman" w:hint="default"/>
        </w:rPr>
        <w:t>4</w:t>
      </w:r>
      <w:r>
        <w:rPr/>
        <w:t>）其他金融负债 按其公允价值和相关交易费用之和作为初始确认金额。采用摊余成本进行后续计量。</w:t>
      </w:r>
    </w:p>
    <w:p>
      <w:pPr>
        <w:spacing w:line="240" w:lineRule="auto" w:before="4"/>
        <w:rPr>
          <w:rFonts w:ascii="宋体" w:hAnsi="宋体" w:cs="宋体" w:eastAsia="宋体" w:hint="default"/>
          <w:sz w:val="26"/>
          <w:szCs w:val="26"/>
        </w:rPr>
      </w:pPr>
    </w:p>
    <w:p>
      <w:pPr>
        <w:pStyle w:val="BodyText"/>
        <w:tabs>
          <w:tab w:pos="993" w:val="left" w:leader="none"/>
        </w:tabs>
        <w:spacing w:line="300" w:lineRule="auto"/>
        <w:ind w:left="513" w:right="1130"/>
        <w:jc w:val="left"/>
      </w:pPr>
      <w:r>
        <w:rPr>
          <w:rFonts w:ascii="Times New Roman" w:hAnsi="Times New Roman" w:cs="Times New Roman" w:eastAsia="Times New Roman" w:hint="default"/>
        </w:rPr>
        <w:t>3</w:t>
      </w:r>
      <w:r>
        <w:rPr/>
        <w:t>、</w:t>
        <w:tab/>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6" w:lineRule="auto" w:before="31"/>
        <w:ind w:left="513" w:right="986" w:hanging="361"/>
        <w:jc w:val="left"/>
      </w:pPr>
      <w:r>
        <w:rPr/>
        <w:t>保留了金融资产所有权上几乎所有的风险和报酬的，则不终止确认该金融资产。 在判断金融资产转移是否满足上述金融资产终止确认条件时，采用实质重于形式的原则。 </w:t>
      </w:r>
      <w:r>
        <w:rPr>
          <w:spacing w:val="-2"/>
        </w:rPr>
        <w:t>公司将金融资产转移区分为金融资产整体转移和部分转移。金融资产整体转移满足终止确认条件的，将下列两项金额的</w:t>
      </w:r>
    </w:p>
    <w:p>
      <w:pPr>
        <w:pStyle w:val="BodyText"/>
        <w:spacing w:line="240" w:lineRule="auto" w:before="19"/>
        <w:ind w:right="1133"/>
        <w:jc w:val="left"/>
      </w:pPr>
      <w:r>
        <w:rPr/>
        <w:t>差额计入当期损益：</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）因转移而收到的对价，与原直接计入所有者权益的公允价值变动累计额（涉及转移的金融资产为以公允价值计量 且其变动计入其他综合收益的金融资产（债务工具）、可供出售金融资产的情形）之和。</w:t>
      </w:r>
    </w:p>
    <w:p>
      <w:pPr>
        <w:spacing w:line="240" w:lineRule="auto" w:before="3"/>
        <w:rPr>
          <w:rFonts w:ascii="宋体" w:hAnsi="宋体" w:cs="宋体" w:eastAsia="宋体" w:hint="default"/>
          <w:sz w:val="26"/>
          <w:szCs w:val="26"/>
        </w:rPr>
      </w:pPr>
    </w:p>
    <w:p>
      <w:pPr>
        <w:pStyle w:val="BodyText"/>
        <w:spacing w:line="319" w:lineRule="auto"/>
        <w:ind w:right="103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7"/>
        <w:ind w:left="513" w:right="1133"/>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金融资产为以公允价值计量且其变动计入其他综合收益的金融资产（债务工具）、可供出售金融资产的情形）之和。</w:t>
      </w:r>
    </w:p>
    <w:p>
      <w:pPr>
        <w:pStyle w:val="BodyText"/>
        <w:spacing w:line="240" w:lineRule="auto" w:before="31"/>
        <w:ind w:left="513" w:right="1133"/>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BodyText"/>
        <w:tabs>
          <w:tab w:pos="993" w:val="left" w:leader="none"/>
        </w:tabs>
        <w:spacing w:line="300" w:lineRule="auto" w:before="153"/>
        <w:ind w:left="513" w:right="1128"/>
        <w:jc w:val="left"/>
      </w:pPr>
      <w:r>
        <w:rPr>
          <w:rFonts w:ascii="Times New Roman" w:hAnsi="Times New Roman" w:cs="Times New Roman" w:eastAsia="Times New Roman" w:hint="default"/>
        </w:rPr>
        <w:t>4</w:t>
      </w:r>
      <w:r>
        <w:rPr/>
        <w:t>、</w:t>
        <w:tab/>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31"/>
        <w:ind w:right="986"/>
        <w:jc w:val="left"/>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9" w:lineRule="auto" w:before="19"/>
        <w:ind w:right="986"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7"/>
        <w:ind w:right="986"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103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240" w:lineRule="auto" w:before="4"/>
        <w:rPr>
          <w:rFonts w:ascii="宋体" w:hAnsi="宋体" w:cs="宋体" w:eastAsia="宋体" w:hint="default"/>
          <w:sz w:val="25"/>
          <w:szCs w:val="25"/>
        </w:rPr>
      </w:pPr>
    </w:p>
    <w:p>
      <w:pPr>
        <w:pStyle w:val="BodyText"/>
        <w:tabs>
          <w:tab w:pos="993" w:val="left" w:leader="none"/>
        </w:tabs>
        <w:spacing w:line="300" w:lineRule="auto"/>
        <w:ind w:right="1130" w:firstLine="360"/>
        <w:jc w:val="left"/>
      </w:pPr>
      <w:r>
        <w:rPr>
          <w:rFonts w:ascii="Times New Roman" w:hAnsi="Times New Roman" w:cs="Times New Roman" w:eastAsia="Times New Roman" w:hint="default"/>
        </w:rPr>
        <w:t>5</w:t>
      </w:r>
      <w:r>
        <w:rPr/>
        <w:t>、</w:t>
        <w:tab/>
        <w:t>金融资产和金融负债的公允价值的确定方法 </w:t>
      </w:r>
      <w:r>
        <w:rPr>
          <w:spacing w:val="-2"/>
        </w:rPr>
        <w:t>存在活跃市场的金融工具，以活跃市场中的报价确定其公允价值。不存在活跃市场的金融工具，采用估值技术确定其公允价</w:t>
      </w:r>
    </w:p>
    <w:p>
      <w:pPr>
        <w:spacing w:after="0" w:line="300" w:lineRule="auto"/>
        <w:jc w:val="left"/>
        <w:sectPr>
          <w:pgSz w:w="11910" w:h="16840"/>
          <w:pgMar w:header="852" w:footer="980" w:top="1300" w:bottom="1160" w:left="980" w:right="0"/>
        </w:sectPr>
      </w:pPr>
    </w:p>
    <w:p>
      <w:pPr>
        <w:pStyle w:val="BodyText"/>
        <w:spacing w:line="319" w:lineRule="auto" w:before="142"/>
        <w:ind w:right="1131"/>
        <w:jc w:val="both"/>
      </w:pP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2"/>
        </w:rPr>
        <w:t> </w:t>
      </w:r>
      <w:r>
        <w:rPr>
          <w:spacing w:val="-62"/>
        </w:rPr>
      </w:r>
      <w:r>
        <w:rPr/>
        <w:t>法取得或取得不切实可行的情况下，才使用不可观察输入值。</w:t>
      </w:r>
    </w:p>
    <w:p>
      <w:pPr>
        <w:spacing w:line="240" w:lineRule="auto" w:before="2"/>
        <w:rPr>
          <w:rFonts w:ascii="宋体" w:hAnsi="宋体" w:cs="宋体" w:eastAsia="宋体" w:hint="default"/>
          <w:sz w:val="25"/>
          <w:szCs w:val="25"/>
        </w:rPr>
      </w:pPr>
    </w:p>
    <w:p>
      <w:pPr>
        <w:pStyle w:val="BodyText"/>
        <w:tabs>
          <w:tab w:pos="993" w:val="left" w:leader="none"/>
        </w:tabs>
        <w:spacing w:line="300" w:lineRule="auto"/>
        <w:ind w:left="513" w:right="6691"/>
        <w:jc w:val="left"/>
      </w:pPr>
      <w:r>
        <w:rPr>
          <w:rFonts w:ascii="Times New Roman" w:hAnsi="Times New Roman" w:cs="Times New Roman" w:eastAsia="Times New Roman" w:hint="default"/>
        </w:rPr>
        <w:t>6</w:t>
      </w:r>
      <w:r>
        <w:rPr/>
        <w:t>、</w:t>
        <w:tab/>
        <w:t>金融资产减值的测试方法及会计处理方法 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316" w:lineRule="auto" w:before="13"/>
        <w:ind w:right="1132" w:firstLine="360"/>
        <w:jc w:val="both"/>
      </w:pPr>
      <w:r>
        <w:rPr>
          <w:spacing w:val="-2"/>
        </w:rPr>
        <w:t>本公司考虑所有合理且有依据的信息，包括前瞻性信息，以单项或组合的方式对以摊余成本计量的金融资产和以公允价</w:t>
      </w:r>
      <w:r>
        <w:rPr/>
        <w:t> </w:t>
      </w:r>
      <w:r>
        <w:rPr>
          <w:spacing w:val="-2"/>
        </w:rPr>
        <w:t>值计量且其变动计入其他综合收益的金融资产（债务工具）的预期信用损失进行估计。预期信用损失的计量取决于金融资产</w:t>
      </w:r>
      <w:r>
        <w:rPr>
          <w:spacing w:val="-65"/>
        </w:rPr>
        <w:t> </w:t>
      </w:r>
      <w:r>
        <w:rPr>
          <w:spacing w:val="-65"/>
        </w:rPr>
      </w:r>
      <w:r>
        <w:rPr/>
        <w:t>自初始确认后是否发生信用风险显著增加。</w:t>
      </w:r>
    </w:p>
    <w:p>
      <w:pPr>
        <w:pStyle w:val="BodyText"/>
        <w:spacing w:line="309" w:lineRule="auto" w:before="19"/>
        <w:ind w:right="1131" w:firstLine="360"/>
        <w:jc w:val="both"/>
      </w:pPr>
      <w:r>
        <w:rPr>
          <w:spacing w:val="-2"/>
        </w:rPr>
        <w:t>如果该金融工具的信用风险自初始确认后已显著增加，本公司按照相当于该金融工具整个存续期内预期信用损失的金额</w:t>
      </w:r>
      <w:r>
        <w:rPr/>
        <w:t> </w:t>
      </w:r>
      <w:r>
        <w:rPr>
          <w:spacing w:val="-2"/>
        </w:rPr>
        <w:t>计量其损失准备；如果该金融工具的信用风险自初始确认后并未显著增加，本公司按照相当于该金融工具未来</w:t>
      </w:r>
      <w:r>
        <w:rPr>
          <w:rFonts w:ascii="Times New Roman" w:hAnsi="Times New Roman" w:cs="Times New Roman" w:eastAsia="Times New Roman" w:hint="default"/>
          <w:spacing w:val="-2"/>
        </w:rPr>
        <w:t>12</w:t>
      </w:r>
      <w:r>
        <w:rPr>
          <w:spacing w:val="-2"/>
        </w:rPr>
        <w:t>个月内预期</w:t>
      </w:r>
      <w:r>
        <w:rPr>
          <w:spacing w:val="-62"/>
        </w:rPr>
        <w:t> </w:t>
      </w:r>
      <w:r>
        <w:rPr>
          <w:spacing w:val="-62"/>
        </w:rPr>
      </w:r>
      <w:r>
        <w:rPr/>
        <w:t>信用损失的金额计量其损失准备。由此形成的损失准备的增加或转回金额，作为减值损失或利得计入当期损益。</w:t>
      </w:r>
    </w:p>
    <w:p>
      <w:pPr>
        <w:pStyle w:val="BodyText"/>
        <w:spacing w:line="300" w:lineRule="auto" w:before="25"/>
        <w:ind w:right="1132" w:firstLine="360"/>
        <w:jc w:val="both"/>
      </w:pPr>
      <w:r>
        <w:rPr>
          <w:spacing w:val="-2"/>
        </w:rPr>
        <w:t>通常逾期超过</w:t>
      </w:r>
      <w:r>
        <w:rPr>
          <w:rFonts w:ascii="Times New Roman" w:hAnsi="Times New Roman" w:cs="Times New Roman" w:eastAsia="Times New Roman" w:hint="default"/>
          <w:spacing w:val="-2"/>
        </w:rPr>
        <w:t>90</w:t>
      </w:r>
      <w:r>
        <w:rPr>
          <w:spacing w:val="-2"/>
        </w:rPr>
        <w:t>日，本公司即认为该金融工具的信用风险已显著增加，除非有确凿证据证明该金融工具的信用风险自初</w:t>
      </w:r>
      <w:r>
        <w:rPr/>
        <w:t> 始确认后并未显著增加。</w:t>
      </w:r>
    </w:p>
    <w:p>
      <w:pPr>
        <w:pStyle w:val="BodyText"/>
        <w:spacing w:line="316" w:lineRule="auto" w:before="31"/>
        <w:ind w:right="1394" w:firstLine="360"/>
        <w:jc w:val="left"/>
      </w:pPr>
      <w:r>
        <w:rPr/>
        <w:t>如果金融工具于资产负债表日的信用风险较低，本公司即认为该金融工具的信用风险自初始确认后并未显著增加。 如果有客观证据表明某项金融资产已经发生信用减值，则本公司在单项基础上对该金融资产计提减值准备。</w:t>
      </w:r>
    </w:p>
    <w:p>
      <w:pPr>
        <w:pStyle w:val="BodyText"/>
        <w:spacing w:line="316" w:lineRule="auto" w:before="19"/>
        <w:ind w:left="513" w:right="986" w:hanging="72"/>
        <w:jc w:val="left"/>
      </w:pPr>
      <w:r>
        <w:rPr/>
        <w:t>公司按照类似信用风险特征对金融资产进行组合，分组的标准包括逾期天数以及账龄等。 </w:t>
      </w:r>
      <w:r>
        <w:rPr>
          <w:spacing w:val="-4"/>
        </w:rPr>
        <w:t>对于应收账款，无论是否包含重大融资成分，本公司始终按照相当于整个存续期内预期信用损失的金额计量其损失准备。</w:t>
      </w:r>
      <w:r>
        <w:rPr/>
        <w:t> </w:t>
      </w:r>
      <w:r>
        <w:rPr>
          <w:spacing w:val="-2"/>
        </w:rPr>
        <w:t>对于租赁应收款、公司通过销售商品或提供劳务形成的长期应收款，本公司选择始终按照相当于整个存续期内预期信用</w:t>
      </w:r>
    </w:p>
    <w:p>
      <w:pPr>
        <w:pStyle w:val="BodyText"/>
        <w:spacing w:line="316" w:lineRule="auto" w:before="19"/>
        <w:ind w:left="513" w:right="986" w:hanging="361"/>
        <w:jc w:val="left"/>
      </w:pPr>
      <w:r>
        <w:rPr/>
        <w:t>损失的金额计量其损失准备。 </w:t>
      </w:r>
      <w:r>
        <w:rPr>
          <w:spacing w:val="-2"/>
        </w:rPr>
        <w:t>对于包含重大融资成分的应收账款、租赁应收款和通过销售商品提供劳务形成的长期应收款，公司采用一般金融资产的</w:t>
      </w:r>
    </w:p>
    <w:p>
      <w:pPr>
        <w:pStyle w:val="BodyText"/>
        <w:spacing w:line="300" w:lineRule="auto" w:before="19"/>
        <w:ind w:right="1131"/>
        <w:jc w:val="both"/>
      </w:pPr>
      <w:r>
        <w:rPr>
          <w:spacing w:val="-2"/>
        </w:rPr>
        <w:t>减值方法，即按照自初始确认后信用风险是否已显著增加分别按照相当于未来</w:t>
      </w:r>
      <w:r>
        <w:rPr>
          <w:rFonts w:ascii="Times New Roman" w:hAnsi="Times New Roman" w:cs="Times New Roman" w:eastAsia="Times New Roman" w:hint="default"/>
          <w:spacing w:val="-2"/>
        </w:rPr>
        <w:t>12</w:t>
      </w:r>
      <w:r>
        <w:rPr>
          <w:spacing w:val="-2"/>
        </w:rPr>
        <w:t>个月的预期信用损失（阶段一）或整个存续</w:t>
      </w:r>
      <w:r>
        <w:rPr>
          <w:spacing w:val="-64"/>
        </w:rPr>
        <w:t> </w:t>
      </w:r>
      <w:r>
        <w:rPr>
          <w:spacing w:val="-64"/>
        </w:rPr>
      </w:r>
      <w:r>
        <w:rPr/>
        <w:t>期的预期信用损失（阶段二和阶段三）计量损失准备。</w:t>
      </w:r>
    </w:p>
    <w:p>
      <w:pPr>
        <w:spacing w:line="240" w:lineRule="auto" w:before="4"/>
        <w:rPr>
          <w:rFonts w:ascii="宋体" w:hAnsi="宋体" w:cs="宋体" w:eastAsia="宋体" w:hint="default"/>
          <w:sz w:val="26"/>
          <w:szCs w:val="26"/>
        </w:rPr>
      </w:pPr>
    </w:p>
    <w:p>
      <w:pPr>
        <w:pStyle w:val="BodyText"/>
        <w:spacing w:line="300" w:lineRule="auto"/>
        <w:ind w:left="513" w:right="986"/>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 </w:t>
      </w:r>
      <w:r>
        <w:rPr>
          <w:spacing w:val="-2"/>
        </w:rPr>
        <w:t>除以公允价值计量且其变动计入当期损益的金融资产外，本公司于资产负债表日对金融资产的账面价值进行检查，如果</w:t>
      </w:r>
    </w:p>
    <w:p>
      <w:pPr>
        <w:pStyle w:val="BodyText"/>
        <w:spacing w:line="240" w:lineRule="auto" w:before="31"/>
        <w:ind w:right="1133"/>
        <w:jc w:val="left"/>
      </w:pPr>
      <w:r>
        <w:rPr/>
        <w:t>有客观证据表明某项金融资产发生减值的，计提减值准备。</w:t>
      </w:r>
    </w:p>
    <w:p>
      <w:pPr>
        <w:pStyle w:val="BodyText"/>
        <w:spacing w:line="300" w:lineRule="auto" w:before="76"/>
        <w:ind w:left="513" w:right="986"/>
        <w:jc w:val="left"/>
      </w:pPr>
      <w:r>
        <w:rPr/>
        <w:t>（</w:t>
      </w:r>
      <w:r>
        <w:rPr>
          <w:rFonts w:ascii="Times New Roman" w:hAnsi="Times New Roman" w:cs="Times New Roman" w:eastAsia="Times New Roman" w:hint="default"/>
        </w:rPr>
        <w:t>1</w:t>
      </w:r>
      <w:r>
        <w:rPr/>
        <w:t>）可供出售金融资产的减值准备： </w:t>
      </w:r>
      <w:r>
        <w:rPr>
          <w:spacing w:val="-2"/>
        </w:rPr>
        <w:t>期末如果可供出售权益工具投资的公允价值发生严重下降，或在综合考虑各种相关因素后，预期这种下降趋势属于非暂</w:t>
      </w:r>
    </w:p>
    <w:p>
      <w:pPr>
        <w:pStyle w:val="BodyText"/>
        <w:spacing w:line="316" w:lineRule="auto" w:before="31"/>
        <w:ind w:left="513" w:right="986" w:hanging="361"/>
        <w:jc w:val="left"/>
      </w:pPr>
      <w:r>
        <w:rPr/>
        <w:t>时性的，就认定其已发生减值，将原直接计入所有者权益的公允价值下降形成的累计损失一并转出，确认减值损失。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513" w:right="5713" w:hanging="361"/>
        <w:jc w:val="left"/>
      </w:pPr>
      <w:r>
        <w:rPr/>
        <w:t>事项有关的，原确认的减值损失予以转回，计入当期损益。 可供出售权益工具投资发生的减值损失，不通过损益转回。</w:t>
      </w:r>
    </w:p>
    <w:p>
      <w:pPr>
        <w:spacing w:line="240" w:lineRule="auto" w:before="12"/>
        <w:rPr>
          <w:rFonts w:ascii="宋体" w:hAnsi="宋体" w:cs="宋体" w:eastAsia="宋体" w:hint="default"/>
          <w:sz w:val="21"/>
          <w:szCs w:val="21"/>
        </w:rPr>
      </w:pPr>
    </w:p>
    <w:p>
      <w:pPr>
        <w:pStyle w:val="BodyText"/>
        <w:spacing w:line="240" w:lineRule="auto" w:before="44"/>
        <w:ind w:left="513" w:right="1133"/>
        <w:jc w:val="left"/>
      </w:pPr>
      <w:r>
        <w:rPr/>
        <w:t>（</w:t>
      </w:r>
      <w:r>
        <w:rPr>
          <w:rFonts w:ascii="Times New Roman" w:hAnsi="Times New Roman" w:cs="Times New Roman" w:eastAsia="Times New Roman" w:hint="default"/>
        </w:rPr>
        <w:t>2</w:t>
      </w:r>
      <w:r>
        <w:rPr/>
        <w:t>）应收款项坏账准备：</w:t>
      </w:r>
    </w:p>
    <w:p>
      <w:pPr>
        <w:pStyle w:val="BodyText"/>
        <w:spacing w:line="240" w:lineRule="auto" w:before="63"/>
        <w:ind w:left="513" w:right="986"/>
        <w:jc w:val="left"/>
      </w:pPr>
      <w:r>
        <w:rPr/>
        <w:t>①单项金额重大并单独计提坏账准备的应收款项：单笔应收账款余额在</w:t>
      </w:r>
      <w:r>
        <w:rPr>
          <w:rFonts w:ascii="Times New Roman" w:hAnsi="Times New Roman" w:cs="Times New Roman" w:eastAsia="Times New Roman" w:hint="default"/>
        </w:rPr>
        <w:t>500</w:t>
      </w:r>
      <w:r>
        <w:rPr/>
        <w:t>万元以上，单笔其他应收款余额在</w:t>
      </w:r>
      <w:r>
        <w:rPr>
          <w:rFonts w:ascii="Times New Roman" w:hAnsi="Times New Roman" w:cs="Times New Roman" w:eastAsia="Times New Roman" w:hint="default"/>
        </w:rPr>
        <w:t>300</w:t>
      </w:r>
      <w:r>
        <w:rPr/>
        <w:t>万元以</w:t>
      </w:r>
    </w:p>
    <w:p>
      <w:pPr>
        <w:pStyle w:val="BodyText"/>
        <w:spacing w:line="240" w:lineRule="auto" w:before="63"/>
        <w:ind w:right="1133"/>
        <w:jc w:val="left"/>
      </w:pPr>
      <w:r>
        <w:rPr/>
        <w:t>上。</w:t>
      </w:r>
    </w:p>
    <w:p>
      <w:pPr>
        <w:pStyle w:val="BodyText"/>
        <w:spacing w:line="316" w:lineRule="auto" w:before="76"/>
        <w:ind w:left="513" w:right="1033"/>
        <w:jc w:val="left"/>
      </w:pPr>
      <w:r>
        <w:rPr/>
        <w:t>单项金额重大并单独计提坏账准备的计提方法： 单独进行减值测试，如有客观证据表明其已发生减值，按预计未来现金流量现值低于其账面价值的差额计提坏账准备，</w:t>
      </w:r>
    </w:p>
    <w:p>
      <w:pPr>
        <w:pStyle w:val="BodyText"/>
        <w:spacing w:line="240" w:lineRule="auto" w:before="19"/>
        <w:ind w:right="1133"/>
        <w:jc w:val="left"/>
      </w:pPr>
      <w:r>
        <w:rPr/>
        <w:t>计入当期损益。单独测试未发生减值的应收款项，将其归入相应组合计提坏账准备。</w:t>
      </w:r>
    </w:p>
    <w:p>
      <w:pPr>
        <w:pStyle w:val="BodyText"/>
        <w:spacing w:line="240" w:lineRule="auto" w:before="76"/>
        <w:ind w:left="441" w:right="1133"/>
        <w:jc w:val="left"/>
      </w:pPr>
      <w:r>
        <w:rPr/>
        <w:t>②按信用风险特征组合计提坏账准备应收款项：</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85"/>
        <w:gridCol w:w="6771"/>
      </w:tblGrid>
      <w:tr>
        <w:trPr>
          <w:trHeight w:val="343" w:hRule="exact"/>
        </w:trPr>
        <w:tc>
          <w:tcPr>
            <w:tcW w:w="9856" w:type="dxa"/>
            <w:gridSpan w:val="2"/>
            <w:tcBorders>
              <w:top w:val="single" w:sz="4"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p>
        </w:tc>
      </w:tr>
      <w:tr>
        <w:trPr>
          <w:trHeight w:val="338"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6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金额非重大的应收款项与经单独测试后未减值的应收款项</w:t>
            </w:r>
          </w:p>
        </w:tc>
      </w:tr>
      <w:tr>
        <w:trPr>
          <w:trHeight w:val="338"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6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如果某项应收款项的可收回性与其他各项应收款项存在明显的差别</w:t>
            </w:r>
            <w:r>
              <w:rPr>
                <w:rFonts w:ascii="宋体" w:hAnsi="宋体" w:cs="宋体" w:eastAsia="宋体" w:hint="default"/>
                <w:spacing w:val="-92"/>
                <w:sz w:val="18"/>
                <w:szCs w:val="18"/>
              </w:rPr>
              <w:t>，</w:t>
            </w:r>
            <w:r>
              <w:rPr>
                <w:rFonts w:ascii="宋体" w:hAnsi="宋体" w:cs="宋体" w:eastAsia="宋体" w:hint="default"/>
                <w:sz w:val="18"/>
                <w:szCs w:val="18"/>
              </w:rPr>
              <w:t>导致该项应收款项</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1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085"/>
        <w:gridCol w:w="6771"/>
      </w:tblGrid>
      <w:tr>
        <w:trPr>
          <w:trHeight w:val="651" w:hRule="exact"/>
        </w:trPr>
        <w:tc>
          <w:tcPr>
            <w:tcW w:w="3085" w:type="dxa"/>
            <w:tcBorders>
              <w:top w:val="nil" w:sz="6" w:space="0" w:color="auto"/>
              <w:left w:val="single" w:sz="4" w:space="0" w:color="000000"/>
              <w:bottom w:val="single" w:sz="10" w:space="0" w:color="000000"/>
              <w:right w:val="single" w:sz="6" w:space="0" w:color="000000"/>
            </w:tcBorders>
          </w:tcPr>
          <w:p>
            <w:pPr/>
          </w:p>
        </w:tc>
        <w:tc>
          <w:tcPr>
            <w:tcW w:w="6771" w:type="dxa"/>
            <w:tcBorders>
              <w:top w:val="nil" w:sz="6" w:space="0" w:color="auto"/>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pacing w:val="2"/>
                <w:sz w:val="18"/>
                <w:szCs w:val="18"/>
              </w:rPr>
              <w:t>如果按照与其他应收款项同样的方法计提坏账准备，将无法真实地反映其可收回金额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的，可对该项应收款项作为个别认定组合计提坏账准备。</w:t>
            </w:r>
          </w:p>
        </w:tc>
      </w:tr>
      <w:tr>
        <w:trPr>
          <w:trHeight w:val="343" w:hRule="exact"/>
        </w:trPr>
        <w:tc>
          <w:tcPr>
            <w:tcW w:w="9856" w:type="dxa"/>
            <w:gridSpan w:val="2"/>
            <w:tcBorders>
              <w:top w:val="single" w:sz="6"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341" w:hRule="exact"/>
        </w:trPr>
        <w:tc>
          <w:tcPr>
            <w:tcW w:w="3085" w:type="dxa"/>
            <w:tcBorders>
              <w:top w:val="single" w:sz="10"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677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38"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6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pStyle w:val="BodyText"/>
        <w:spacing w:line="240" w:lineRule="auto" w:before="49"/>
        <w:ind w:left="513" w:right="1133"/>
        <w:jc w:val="left"/>
      </w:pPr>
      <w:r>
        <w:rPr/>
        <w:t>组合中，采用账龄分析法组合计提坏账准备的：</w:t>
      </w:r>
    </w:p>
    <w:p>
      <w:pPr>
        <w:spacing w:line="240" w:lineRule="auto" w:before="7"/>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62"/>
        <w:gridCol w:w="1860"/>
        <w:gridCol w:w="2060"/>
      </w:tblGrid>
      <w:tr>
        <w:trPr>
          <w:trHeight w:val="336" w:hRule="exact"/>
        </w:trPr>
        <w:tc>
          <w:tcPr>
            <w:tcW w:w="2862" w:type="dxa"/>
            <w:tcBorders>
              <w:top w:val="single" w:sz="4"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60"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060"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50" w:hRule="exact"/>
        </w:trPr>
        <w:tc>
          <w:tcPr>
            <w:tcW w:w="28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3</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3</w:t>
            </w:r>
          </w:p>
        </w:tc>
      </w:tr>
      <w:tr>
        <w:trPr>
          <w:trHeight w:val="348" w:hRule="exact"/>
        </w:trPr>
        <w:tc>
          <w:tcPr>
            <w:tcW w:w="28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w:t>
            </w:r>
          </w:p>
        </w:tc>
      </w:tr>
      <w:tr>
        <w:trPr>
          <w:trHeight w:val="348" w:hRule="exact"/>
        </w:trPr>
        <w:tc>
          <w:tcPr>
            <w:tcW w:w="28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w:t>
            </w:r>
          </w:p>
        </w:tc>
      </w:tr>
      <w:tr>
        <w:trPr>
          <w:trHeight w:val="346" w:hRule="exact"/>
        </w:trPr>
        <w:tc>
          <w:tcPr>
            <w:tcW w:w="28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年（含</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w:t>
            </w:r>
          </w:p>
        </w:tc>
      </w:tr>
      <w:tr>
        <w:trPr>
          <w:trHeight w:val="349" w:hRule="exact"/>
        </w:trPr>
        <w:tc>
          <w:tcPr>
            <w:tcW w:w="28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年（含</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70</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70</w:t>
            </w:r>
          </w:p>
        </w:tc>
      </w:tr>
      <w:tr>
        <w:trPr>
          <w:trHeight w:val="348" w:hRule="exact"/>
        </w:trPr>
        <w:tc>
          <w:tcPr>
            <w:tcW w:w="28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57" w:lineRule="auto" w:before="49"/>
        <w:ind w:left="513" w:right="986"/>
        <w:jc w:val="left"/>
      </w:pPr>
      <w:r>
        <w:rPr/>
        <w:t>③单项金额不重大但单独计提坏账准备的应收款项： </w:t>
      </w:r>
      <w:r>
        <w:rPr>
          <w:spacing w:val="-2"/>
        </w:rPr>
        <w:t>公司对于账龄时间较长且存在客观证据表明发生了减值的单项金额不重大的应收款项，根据预计未来现金流量现值低于</w:t>
      </w:r>
    </w:p>
    <w:p>
      <w:pPr>
        <w:pStyle w:val="BodyText"/>
        <w:spacing w:line="224" w:lineRule="exact"/>
        <w:ind w:right="0"/>
        <w:jc w:val="both"/>
      </w:pPr>
      <w:r>
        <w:rPr/>
        <w:t>其账面价值的差额，确认减值损失，计提坏账准备。</w:t>
      </w:r>
    </w:p>
    <w:p>
      <w:pPr>
        <w:pStyle w:val="BodyText"/>
        <w:spacing w:line="316" w:lineRule="auto" w:before="117"/>
        <w:ind w:right="1130" w:firstLine="360"/>
        <w:jc w:val="both"/>
      </w:pPr>
      <w:r>
        <w:rPr>
          <w:spacing w:val="-2"/>
        </w:rPr>
        <w:t>④公司对除应收账款和其他应收款外的应收款项，结合本公司的实际情况，确定预计损失率为零，对于个别信用风险特</w:t>
      </w:r>
      <w:r>
        <w:rPr/>
        <w:t> 征明显不同的，单独分析确定预计损失率。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both"/>
        <w:rPr>
          <w:b w:val="0"/>
          <w:bCs w:val="0"/>
        </w:rPr>
      </w:pPr>
      <w:bookmarkStart w:name="11、存货" w:id="181"/>
      <w:bookmarkEnd w:id="181"/>
      <w:r>
        <w:rPr>
          <w:b w:val="0"/>
          <w:bCs w:val="0"/>
        </w:rPr>
      </w:r>
      <w:r>
        <w:rPr>
          <w:rFonts w:ascii="Times New Roman" w:hAnsi="Times New Roman" w:cs="Times New Roman" w:eastAsia="Times New Roman" w:hint="default"/>
        </w:rPr>
        <w:t>11</w:t>
      </w:r>
      <w:r>
        <w:rPr/>
        <w:t>、存货</w:t>
      </w:r>
      <w:r>
        <w:rPr>
          <w:b w:val="0"/>
          <w:bCs w:val="0"/>
        </w:rPr>
      </w:r>
    </w:p>
    <w:p>
      <w:pPr>
        <w:spacing w:line="240" w:lineRule="auto" w:before="5"/>
        <w:rPr>
          <w:rFonts w:ascii="宋体" w:hAnsi="宋体" w:cs="宋体" w:eastAsia="宋体" w:hint="default"/>
          <w:b/>
          <w:bCs/>
          <w:sz w:val="26"/>
          <w:szCs w:val="26"/>
        </w:rPr>
      </w:pPr>
    </w:p>
    <w:p>
      <w:pPr>
        <w:pStyle w:val="BodyText"/>
        <w:tabs>
          <w:tab w:pos="993" w:val="left" w:leader="none"/>
        </w:tabs>
        <w:spacing w:line="338" w:lineRule="auto"/>
        <w:ind w:left="513" w:right="1129"/>
        <w:jc w:val="left"/>
      </w:pPr>
      <w:r>
        <w:rPr>
          <w:rFonts w:ascii="Times New Roman" w:hAnsi="Times New Roman" w:cs="Times New Roman" w:eastAsia="Times New Roman" w:hint="default"/>
        </w:rPr>
        <w:t>1</w:t>
      </w:r>
      <w:r>
        <w:rPr/>
        <w:t>、</w:t>
        <w:tab/>
        <w:t>存货的分类 </w:t>
      </w:r>
      <w:r>
        <w:rPr>
          <w:spacing w:val="-2"/>
        </w:rPr>
        <w:t>存货分类为：原材料、低值易耗品、在产品、产成品、库存商品、发出商品、项目成本等。项目成本是公司在履行合同</w:t>
      </w:r>
    </w:p>
    <w:p>
      <w:pPr>
        <w:pStyle w:val="BodyText"/>
        <w:spacing w:line="240" w:lineRule="auto" w:before="2"/>
        <w:ind w:right="0"/>
        <w:jc w:val="both"/>
      </w:pPr>
      <w:r>
        <w:rPr/>
        <w:t>过程中，尚未达到收入确认时点前发生的相关项目成本支出。</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tabs>
          <w:tab w:pos="993" w:val="left" w:leader="none"/>
        </w:tabs>
        <w:spacing w:line="338" w:lineRule="auto"/>
        <w:ind w:left="513" w:right="2311"/>
        <w:jc w:val="left"/>
      </w:pPr>
      <w:r>
        <w:rPr>
          <w:rFonts w:ascii="Times New Roman" w:hAnsi="Times New Roman" w:cs="Times New Roman" w:eastAsia="Times New Roman" w:hint="default"/>
        </w:rPr>
        <w:t>2</w:t>
      </w:r>
      <w:r>
        <w:rPr/>
        <w:t>、</w:t>
        <w:tab/>
        <w:t>发出存货的计价方法 原材料及产成品发出时按加权平均法计价，系统集成业务和外购的库存商品发出时按个别计价法计价。</w:t>
      </w:r>
    </w:p>
    <w:p>
      <w:pPr>
        <w:spacing w:line="240" w:lineRule="auto" w:before="0"/>
        <w:rPr>
          <w:rFonts w:ascii="宋体" w:hAnsi="宋体" w:cs="宋体" w:eastAsia="宋体" w:hint="default"/>
          <w:sz w:val="18"/>
          <w:szCs w:val="18"/>
        </w:rPr>
      </w:pPr>
    </w:p>
    <w:p>
      <w:pPr>
        <w:pStyle w:val="BodyText"/>
        <w:tabs>
          <w:tab w:pos="993" w:val="left" w:leader="none"/>
        </w:tabs>
        <w:spacing w:line="338" w:lineRule="auto" w:before="160"/>
        <w:ind w:left="513" w:right="1130"/>
        <w:jc w:val="left"/>
      </w:pPr>
      <w:r>
        <w:rPr>
          <w:rFonts w:ascii="Times New Roman" w:hAnsi="Times New Roman" w:cs="Times New Roman" w:eastAsia="Times New Roman" w:hint="default"/>
        </w:rPr>
        <w:t>3</w:t>
      </w:r>
      <w:r>
        <w:rPr/>
        <w:t>、</w:t>
        <w:tab/>
        <w:t>不同类别存货可变现净值的确定依据 </w:t>
      </w:r>
      <w:r>
        <w:rPr>
          <w:spacing w:val="-2"/>
        </w:rPr>
        <w:t>产成品、库存商品和用于出售的材料等直接用于出售的商品存货，在正常生产经营过程中，以该存货的估计售价减去估</w:t>
      </w:r>
    </w:p>
    <w:p>
      <w:pPr>
        <w:pStyle w:val="BodyText"/>
        <w:spacing w:line="319" w:lineRule="auto" w:before="2"/>
        <w:ind w:right="1130"/>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58"/>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57" w:lineRule="auto" w:before="59"/>
        <w:ind w:left="513" w:right="157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after="0" w:line="357" w:lineRule="auto"/>
        <w:jc w:val="left"/>
        <w:sectPr>
          <w:footerReference w:type="default" r:id="rId25"/>
          <w:pgSz w:w="11910" w:h="16840"/>
          <w:pgMar w:footer="980" w:header="852" w:top="1300" w:bottom="1160" w:left="980" w:right="0"/>
          <w:pgNumType w:start="120"/>
        </w:sectPr>
      </w:pPr>
    </w:p>
    <w:p>
      <w:pPr>
        <w:pStyle w:val="BodyText"/>
        <w:tabs>
          <w:tab w:pos="993" w:val="left" w:leader="none"/>
        </w:tabs>
        <w:spacing w:line="340" w:lineRule="auto" w:before="142"/>
        <w:ind w:left="513" w:right="8671"/>
        <w:jc w:val="left"/>
      </w:pPr>
      <w:r>
        <w:rPr>
          <w:rFonts w:ascii="Times New Roman" w:hAnsi="Times New Roman" w:cs="Times New Roman" w:eastAsia="Times New Roman" w:hint="default"/>
        </w:rPr>
        <w:t>4</w:t>
      </w:r>
      <w:r>
        <w:rPr/>
        <w:t>、</w:t>
        <w:tab/>
        <w:t>存货的盘存制度 采用永续盘存制。</w:t>
      </w:r>
    </w:p>
    <w:p>
      <w:pPr>
        <w:spacing w:line="240" w:lineRule="auto" w:before="0"/>
        <w:rPr>
          <w:rFonts w:ascii="宋体" w:hAnsi="宋体" w:cs="宋体" w:eastAsia="宋体" w:hint="default"/>
          <w:sz w:val="18"/>
          <w:szCs w:val="18"/>
        </w:rPr>
      </w:pPr>
    </w:p>
    <w:p>
      <w:pPr>
        <w:pStyle w:val="BodyText"/>
        <w:tabs>
          <w:tab w:pos="993" w:val="left" w:leader="none"/>
        </w:tabs>
        <w:spacing w:line="240" w:lineRule="auto" w:before="156"/>
        <w:ind w:left="513" w:right="1133"/>
        <w:jc w:val="left"/>
      </w:pPr>
      <w:r>
        <w:rPr>
          <w:rFonts w:ascii="Times New Roman" w:hAnsi="Times New Roman" w:cs="Times New Roman" w:eastAsia="Times New Roman" w:hint="default"/>
        </w:rPr>
        <w:t>5</w:t>
      </w:r>
      <w:r>
        <w:rPr/>
        <w:t>、</w:t>
        <w:tab/>
        <w:t>低值易耗品和包装物的摊销方法</w:t>
      </w:r>
    </w:p>
    <w:p>
      <w:pPr>
        <w:pStyle w:val="BodyText"/>
        <w:spacing w:line="240" w:lineRule="auto" w:before="103"/>
        <w:ind w:left="513" w:right="1133"/>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01"/>
        <w:ind w:left="441" w:right="1133"/>
        <w:jc w:val="left"/>
      </w:pPr>
      <w:r>
        <w:rPr/>
        <w:t>（</w:t>
      </w:r>
      <w:r>
        <w:rPr>
          <w:rFonts w:ascii="Times New Roman" w:hAnsi="Times New Roman" w:cs="Times New Roman" w:eastAsia="Times New Roman" w:hint="default"/>
        </w:rPr>
        <w:t>2</w:t>
      </w:r>
      <w:r>
        <w:rPr/>
        <w:t>）包装物采用一次转销法。</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2、持有待售资产" w:id="182"/>
      <w:bookmarkEnd w:id="182"/>
      <w:r>
        <w:rPr>
          <w:b w:val="0"/>
          <w:bCs w:val="0"/>
        </w:rPr>
      </w:r>
      <w:r>
        <w:rPr>
          <w:rFonts w:ascii="Times New Roman" w:hAnsi="Times New Roman" w:cs="Times New Roman" w:eastAsia="Times New Roman" w:hint="default"/>
        </w:rPr>
        <w:t>12</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本公司将同时满足下列条件的非流动资产或处置组划分为持有待售类别：</w:t>
      </w:r>
    </w:p>
    <w:p>
      <w:pPr>
        <w:pStyle w:val="BodyText"/>
        <w:spacing w:line="240" w:lineRule="auto" w:before="117"/>
        <w:ind w:left="513" w:right="11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102"/>
        <w:ind w:right="1124" w:firstLine="36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1133"/>
        <w:jc w:val="left"/>
        <w:rPr>
          <w:b w:val="0"/>
          <w:bCs w:val="0"/>
        </w:rPr>
      </w:pPr>
      <w:bookmarkStart w:name="13、长期股权投资" w:id="183"/>
      <w:bookmarkEnd w:id="183"/>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tabs>
          <w:tab w:pos="993" w:val="left" w:leader="none"/>
        </w:tabs>
        <w:spacing w:line="340" w:lineRule="auto"/>
        <w:ind w:left="513" w:right="1131"/>
        <w:jc w:val="left"/>
      </w:pPr>
      <w:r>
        <w:rPr>
          <w:rFonts w:ascii="Times New Roman" w:hAnsi="Times New Roman" w:cs="Times New Roman" w:eastAsia="Times New Roman" w:hint="default"/>
        </w:rPr>
        <w:t>1</w:t>
      </w:r>
      <w:r>
        <w:rPr/>
        <w:t>、</w:t>
        <w:tab/>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1"/>
        <w:ind w:right="986"/>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59"/>
        <w:ind w:right="986" w:firstLine="360"/>
        <w:jc w:val="left"/>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tabs>
          <w:tab w:pos="993" w:val="left" w:leader="none"/>
        </w:tabs>
        <w:spacing w:line="240" w:lineRule="auto"/>
        <w:ind w:left="513" w:right="1133"/>
        <w:jc w:val="left"/>
      </w:pPr>
      <w:r>
        <w:rPr>
          <w:rFonts w:ascii="Times New Roman" w:hAnsi="Times New Roman" w:cs="Times New Roman" w:eastAsia="Times New Roman" w:hint="default"/>
        </w:rPr>
        <w:t>2</w:t>
      </w:r>
      <w:r>
        <w:rPr/>
        <w:t>、</w:t>
        <w:tab/>
        <w:t>初始投资成本的确定</w:t>
      </w:r>
    </w:p>
    <w:p>
      <w:pPr>
        <w:pStyle w:val="BodyText"/>
        <w:spacing w:line="338" w:lineRule="auto" w:before="103"/>
        <w:ind w:left="513" w:right="986"/>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2"/>
        <w:ind w:right="986"/>
        <w:jc w:val="left"/>
      </w:pPr>
      <w:r>
        <w:rPr>
          <w:spacing w:val="-2"/>
        </w:rPr>
        <w:t>合并日按照取得被合并方所有者权益在最终控制方合并财务报表中的账面价值的份额作为长期股权投资的初始投资成本。因</w:t>
      </w:r>
      <w:r>
        <w:rPr>
          <w:spacing w:val="-63"/>
        </w:rPr>
        <w:t> </w:t>
      </w:r>
      <w:r>
        <w:rPr>
          <w:spacing w:val="-63"/>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9" w:lineRule="auto" w:before="59"/>
        <w:ind w:right="1131"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52" w:lineRule="auto" w:before="58"/>
        <w:ind w:left="513" w:right="986"/>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在非货币性资产交换具有商业实质，且换入资产或换出资产的公允价值能够可靠计量时，以公允价值为基础计量。如换</w:t>
      </w:r>
    </w:p>
    <w:p>
      <w:pPr>
        <w:pStyle w:val="BodyText"/>
        <w:spacing w:line="316" w:lineRule="auto"/>
        <w:ind w:right="1130"/>
        <w:jc w:val="both"/>
      </w:pPr>
      <w:r>
        <w:rPr>
          <w:spacing w:val="-2"/>
        </w:rPr>
        <w:t>入资产和换出资产的公允价值均能可靠计量的，对于换入的长期股权投资，以换出资产的公允价值和应支付的相关税费作为</w:t>
      </w:r>
      <w:r>
        <w:rPr>
          <w:spacing w:val="-63"/>
        </w:rPr>
        <w:t> </w:t>
      </w:r>
      <w:r>
        <w:rPr>
          <w:spacing w:val="-63"/>
        </w:rPr>
      </w:r>
      <w:r>
        <w:rPr>
          <w:spacing w:val="-2"/>
        </w:rPr>
        <w:t>换入的长期股权投资的初始投资成本，除非有确凿证据表明换入资产的公允价值更加可靠。非货币性资产交换不具有商业实</w:t>
      </w:r>
      <w:r>
        <w:rPr>
          <w:spacing w:val="-64"/>
        </w:rPr>
        <w:t> </w:t>
      </w:r>
      <w:r>
        <w:rPr>
          <w:spacing w:val="-64"/>
        </w:rPr>
      </w:r>
      <w:r>
        <w:rPr>
          <w:spacing w:val="-2"/>
        </w:rPr>
        <w:t>质，或换入资产和换出资产的公允价值均不能可靠计量的，对于换入的长期股权投资，以换出资产的账面价值和应支付的相</w:t>
      </w:r>
    </w:p>
    <w:p>
      <w:pPr>
        <w:spacing w:after="0" w:line="316" w:lineRule="auto"/>
        <w:jc w:val="both"/>
        <w:sectPr>
          <w:pgSz w:w="11910" w:h="16840"/>
          <w:pgMar w:header="852" w:footer="980" w:top="1300" w:bottom="1160" w:left="980" w:right="0"/>
        </w:sectPr>
      </w:pPr>
    </w:p>
    <w:p>
      <w:pPr>
        <w:pStyle w:val="BodyText"/>
        <w:spacing w:line="360" w:lineRule="auto" w:before="142"/>
        <w:ind w:left="513" w:right="1213" w:hanging="361"/>
        <w:jc w:val="left"/>
      </w:pPr>
      <w:r>
        <w:rPr/>
        <w:t>关税费作为换入长期股权投资的初始投资成本。 通过债务重组取得的长期股权投资，以所放弃债权的公允价值和可直接归属于该资产的税金等其他成本确定其入账价</w:t>
      </w:r>
    </w:p>
    <w:p>
      <w:pPr>
        <w:pStyle w:val="BodyText"/>
        <w:spacing w:line="222" w:lineRule="exact"/>
        <w:ind w:right="1133"/>
        <w:jc w:val="left"/>
      </w:pPr>
      <w:r>
        <w:rPr/>
        <w:t>值，并将所放弃债权的公允价值与账面价值之间的差额，计入当期损益。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tabs>
          <w:tab w:pos="993" w:val="left" w:leader="none"/>
        </w:tabs>
        <w:spacing w:line="240" w:lineRule="auto"/>
        <w:ind w:left="513" w:right="1133"/>
        <w:jc w:val="left"/>
      </w:pPr>
      <w:r>
        <w:rPr>
          <w:rFonts w:ascii="Times New Roman" w:hAnsi="Times New Roman" w:cs="Times New Roman" w:eastAsia="Times New Roman" w:hint="default"/>
        </w:rPr>
        <w:t>3</w:t>
      </w:r>
      <w:r>
        <w:rPr/>
        <w:t>、</w:t>
        <w:tab/>
        <w:t>后续计量及损益确认方法</w:t>
      </w:r>
    </w:p>
    <w:p>
      <w:pPr>
        <w:pStyle w:val="BodyText"/>
        <w:spacing w:line="338" w:lineRule="auto" w:before="103"/>
        <w:ind w:left="513" w:right="986"/>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2"/>
        <w:ind w:right="1133"/>
        <w:jc w:val="left"/>
      </w:pPr>
      <w:r>
        <w:rPr/>
        <w:t>金股利或利润外，公司按照享有被投资单位宣告发放的现金股利或利润确认当期投资收益。</w:t>
      </w:r>
    </w:p>
    <w:p>
      <w:pPr>
        <w:pStyle w:val="BodyText"/>
        <w:spacing w:line="340" w:lineRule="auto" w:before="117"/>
        <w:ind w:left="513" w:right="986"/>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9" w:lineRule="auto" w:before="1"/>
        <w:ind w:right="986"/>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55"/>
        <w:ind w:right="113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59"/>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59"/>
        <w:ind w:right="113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spacing w:val="-2"/>
        </w:rPr>
        <w:t>企业之间发生投出或出售资产的交易，该资产构成业务的，按照本附注</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5</w:t>
      </w:r>
      <w:r>
        <w:rPr>
          <w:spacing w:val="-2"/>
        </w:rPr>
        <w:t>同一控制下和非同一控制下企业合并的会计处</w:t>
      </w:r>
      <w:r>
        <w:rPr>
          <w:spacing w:val="-51"/>
        </w:rPr>
        <w:t> </w:t>
      </w:r>
      <w:r>
        <w:rPr/>
        <w:t>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41"/>
        <w:ind w:right="103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40" w:lineRule="auto" w:before="59"/>
        <w:ind w:left="513" w:right="463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9"/>
        <w:ind w:right="1131"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60"/>
        <w:ind w:right="103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r>
        <w:rPr/>
        <w:t>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59"/>
        <w:ind w:right="1130"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3"/>
        </w:rPr>
        <w:t> </w:t>
      </w:r>
      <w:r>
        <w:rPr>
          <w:spacing w:val="-63"/>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spacing w:after="0" w:line="316" w:lineRule="auto"/>
        <w:jc w:val="both"/>
        <w:sectPr>
          <w:pgSz w:w="11910" w:h="16840"/>
          <w:pgMar w:header="852" w:footer="980" w:top="1300" w:bottom="1160" w:left="980" w:right="0"/>
        </w:sectPr>
      </w:pPr>
    </w:p>
    <w:p>
      <w:pPr>
        <w:pStyle w:val="BodyText"/>
        <w:spacing w:line="319" w:lineRule="auto" w:before="142"/>
        <w:ind w:right="1133"/>
        <w:jc w:val="both"/>
      </w:pP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14、投资性房地产" w:id="184"/>
      <w:bookmarkEnd w:id="184"/>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6" w:lineRule="auto" w:before="29"/>
        <w:ind w:left="265" w:right="1131" w:firstLine="216"/>
        <w:jc w:val="both"/>
      </w:pPr>
      <w:r>
        <w:rPr>
          <w:spacing w:val="-1"/>
        </w:rPr>
        <w:t>投资性房地产是指为赚取租金或资本增值，或两者兼有而持有的房地产，包括已出租的土地使用权、持有并准备增值后</w:t>
      </w:r>
      <w:r>
        <w:rPr/>
        <w:t> </w:t>
      </w:r>
      <w:r>
        <w:rPr>
          <w:spacing w:val="-1"/>
        </w:rPr>
        <w:t>转让的土地使用权、已出租的建筑物（含自行建造或开发活动完成后用于出租的建筑物以及正在建造或开发过程中将来用</w:t>
      </w:r>
      <w:r>
        <w:rPr>
          <w:spacing w:val="-53"/>
        </w:rPr>
        <w:t> </w:t>
      </w:r>
      <w:r>
        <w:rPr>
          <w:spacing w:val="-53"/>
        </w:rPr>
      </w:r>
      <w:r>
        <w:rPr/>
        <w:t>于出租的建筑物）。</w:t>
      </w:r>
    </w:p>
    <w:p>
      <w:pPr>
        <w:pStyle w:val="BodyText"/>
        <w:spacing w:line="357" w:lineRule="auto" w:before="60"/>
        <w:ind w:left="513" w:right="986" w:hanging="72"/>
        <w:jc w:val="left"/>
      </w:pPr>
      <w:r>
        <w:rPr/>
        <w:t>本公司对现有投资性房地产采用成本模式计量。 </w:t>
      </w:r>
      <w:r>
        <w:rPr>
          <w:spacing w:val="-2"/>
        </w:rPr>
        <w:t>对按照成本模式计量的投资性房地产－出租用建筑物采用与本公司固定资产相同的折旧政策，出租用土地使用权按与无</w:t>
      </w:r>
    </w:p>
    <w:p>
      <w:pPr>
        <w:pStyle w:val="BodyText"/>
        <w:spacing w:line="224" w:lineRule="exact"/>
        <w:ind w:right="1133"/>
        <w:jc w:val="left"/>
      </w:pPr>
      <w:r>
        <w:rPr/>
        <w:t>形资产相同的摊销政策执行。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3"/>
        <w:spacing w:line="240" w:lineRule="auto"/>
        <w:ind w:right="1133"/>
        <w:jc w:val="left"/>
        <w:rPr>
          <w:b w:val="0"/>
          <w:bCs w:val="0"/>
        </w:rPr>
      </w:pPr>
      <w:bookmarkStart w:name="15、固定资产" w:id="185"/>
      <w:bookmarkEnd w:id="185"/>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确认条件"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9" w:lineRule="auto"/>
        <w:ind w:right="986" w:firstLine="362"/>
        <w:jc w:val="left"/>
      </w:pPr>
      <w:r>
        <w:rPr>
          <w:spacing w:val="-2"/>
        </w:rPr>
        <w:t>固定资产指为生产商品、提供劳务、出租或经营管理而持有，并且使用寿命超过一个会计年度的有形资产。固定资产在</w:t>
      </w:r>
      <w:r>
        <w:rPr/>
        <w:t> </w:t>
      </w:r>
      <w:r>
        <w:rPr>
          <w:spacing w:val="-7"/>
        </w:rPr>
        <w:t>同时满足下列条件时予以确认：（</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）该固定资产的成本能够可靠地计量。</w:t>
      </w:r>
    </w:p>
    <w:p>
      <w:pPr>
        <w:spacing w:line="240" w:lineRule="auto" w:before="2"/>
        <w:rPr>
          <w:rFonts w:ascii="宋体" w:hAnsi="宋体" w:cs="宋体" w:eastAsia="宋体" w:hint="default"/>
          <w:sz w:val="21"/>
          <w:szCs w:val="21"/>
        </w:rPr>
      </w:pPr>
    </w:p>
    <w:p>
      <w:pPr>
        <w:pStyle w:val="Heading3"/>
        <w:spacing w:line="240" w:lineRule="auto"/>
        <w:ind w:right="1133"/>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2.38%-4.75%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19.00%-31.67%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9.50%-19.00%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19.00%-31.67%</w:t>
            </w:r>
          </w:p>
        </w:tc>
      </w:tr>
    </w:tbl>
    <w:p>
      <w:pPr>
        <w:pStyle w:val="BodyText"/>
        <w:spacing w:line="316" w:lineRule="auto" w:before="8"/>
        <w:ind w:right="986" w:firstLine="365"/>
        <w:jc w:val="left"/>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pStyle w:val="Heading3"/>
        <w:spacing w:line="240" w:lineRule="auto"/>
        <w:ind w:right="1133"/>
        <w:jc w:val="left"/>
        <w:rPr>
          <w:b w:val="0"/>
          <w:bCs w:val="0"/>
        </w:rPr>
      </w:pPr>
      <w:bookmarkStart w:name="16、在建工程" w:id="188"/>
      <w:bookmarkEnd w:id="188"/>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p>
    <w:p>
      <w:pPr>
        <w:spacing w:after="0" w:line="316" w:lineRule="auto"/>
        <w:jc w:val="left"/>
        <w:sectPr>
          <w:pgSz w:w="11910" w:h="16840"/>
          <w:pgMar w:header="852" w:footer="980" w:top="1300" w:bottom="1160" w:left="980" w:right="0"/>
        </w:sectPr>
      </w:pPr>
    </w:p>
    <w:p>
      <w:pPr>
        <w:pStyle w:val="BodyText"/>
        <w:spacing w:line="319" w:lineRule="auto" w:before="142"/>
        <w:ind w:right="986"/>
        <w:jc w:val="left"/>
      </w:pPr>
      <w:r>
        <w:rPr>
          <w:spacing w:val="-2"/>
        </w:rPr>
        <w:t>成本等，按估计的价值转入固定资产，并按本公司固定资产折旧政策计提固定资产的折旧，待办理竣工决算后，再按实际成</w:t>
      </w:r>
      <w:r>
        <w:rPr>
          <w:spacing w:val="-63"/>
        </w:rPr>
        <w:t> </w:t>
      </w:r>
      <w:r>
        <w:rPr>
          <w:spacing w:val="-63"/>
        </w:rPr>
      </w:r>
      <w:r>
        <w:rPr/>
        <w:t>本调整原来的暂估价值，但不调整原已计提的折旧额。</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17、借款费用" w:id="189"/>
      <w:bookmarkEnd w:id="189"/>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4"/>
        <w:rPr>
          <w:rFonts w:ascii="宋体" w:hAnsi="宋体" w:cs="宋体" w:eastAsia="宋体" w:hint="default"/>
          <w:b/>
          <w:bCs/>
          <w:sz w:val="26"/>
          <w:szCs w:val="26"/>
        </w:rPr>
      </w:pPr>
    </w:p>
    <w:p>
      <w:pPr>
        <w:pStyle w:val="BodyText"/>
        <w:tabs>
          <w:tab w:pos="993" w:val="left" w:leader="none"/>
        </w:tabs>
        <w:spacing w:line="348" w:lineRule="auto"/>
        <w:ind w:left="513" w:right="1133"/>
        <w:jc w:val="left"/>
      </w:pPr>
      <w:r>
        <w:rPr>
          <w:rFonts w:ascii="Times New Roman" w:hAnsi="Times New Roman" w:cs="Times New Roman" w:eastAsia="Times New Roman" w:hint="default"/>
        </w:rPr>
        <w:t>1</w:t>
      </w:r>
      <w:r>
        <w:rPr/>
        <w:t>、</w:t>
        <w:tab/>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60" w:lineRule="auto"/>
        <w:ind w:left="513" w:right="1213" w:hanging="361"/>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222" w:lineRule="exact"/>
        <w:ind w:right="1133"/>
        <w:jc w:val="left"/>
      </w:pPr>
      <w:r>
        <w:rPr/>
        <w:t>产、投资性房地产和存货等资产。</w:t>
      </w:r>
    </w:p>
    <w:p>
      <w:pPr>
        <w:pStyle w:val="BodyText"/>
        <w:spacing w:line="240" w:lineRule="auto" w:before="115"/>
        <w:ind w:left="513" w:right="1133"/>
        <w:jc w:val="left"/>
      </w:pPr>
      <w:r>
        <w:rPr/>
        <w:t>借款费用同时满足下列条件时开始资本化：</w:t>
      </w:r>
    </w:p>
    <w:p>
      <w:pPr>
        <w:pStyle w:val="BodyText"/>
        <w:spacing w:line="300" w:lineRule="auto" w:before="118"/>
        <w:ind w:right="1124"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72"/>
        <w:ind w:left="513" w:right="1133"/>
        <w:jc w:val="left"/>
      </w:pPr>
      <w:r>
        <w:rPr/>
        <w:t>（</w:t>
      </w:r>
      <w:r>
        <w:rPr>
          <w:rFonts w:ascii="Times New Roman" w:hAnsi="Times New Roman" w:cs="Times New Roman" w:eastAsia="Times New Roman" w:hint="default"/>
        </w:rPr>
        <w:t>2</w:t>
      </w:r>
      <w:r>
        <w:rPr/>
        <w:t>）借款费用已经发生；</w:t>
      </w:r>
    </w:p>
    <w:p>
      <w:pPr>
        <w:pStyle w:val="BodyText"/>
        <w:spacing w:line="240" w:lineRule="auto" w:before="101"/>
        <w:ind w:left="513" w:right="113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tabs>
          <w:tab w:pos="993" w:val="left" w:leader="none"/>
        </w:tabs>
        <w:spacing w:line="352" w:lineRule="auto"/>
        <w:ind w:left="513" w:right="1132"/>
        <w:jc w:val="left"/>
      </w:pPr>
      <w:r>
        <w:rPr>
          <w:rFonts w:ascii="Times New Roman" w:hAnsi="Times New Roman" w:cs="Times New Roman" w:eastAsia="Times New Roman" w:hint="default"/>
        </w:rPr>
        <w:t>2</w:t>
      </w:r>
      <w:r>
        <w:rPr/>
        <w:t>、</w:t>
        <w:tab/>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28" w:lineRule="exact"/>
        <w:ind w:right="1133"/>
        <w:jc w:val="left"/>
      </w:pPr>
      <w:r>
        <w:rPr/>
        <w:t>款费用资本化。</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tabs>
          <w:tab w:pos="993" w:val="left" w:leader="none"/>
        </w:tabs>
        <w:spacing w:line="338" w:lineRule="auto"/>
        <w:ind w:left="513" w:right="1043"/>
        <w:jc w:val="left"/>
      </w:pPr>
      <w:r>
        <w:rPr>
          <w:rFonts w:ascii="Times New Roman" w:hAnsi="Times New Roman" w:cs="Times New Roman" w:eastAsia="Times New Roman" w:hint="default"/>
        </w:rPr>
        <w:t>3</w:t>
      </w:r>
      <w:r>
        <w:rPr/>
        <w:t>、</w:t>
        <w:tab/>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217" w:lineRule="exact"/>
        <w:ind w:right="986"/>
        <w:jc w:val="left"/>
      </w:pPr>
      <w:r>
        <w:rPr/>
        <w:t>该项中断如是所购建或生产的符合资本化条件的资产达到预定可使用状态或者可销售状态必要的程序</w:t>
      </w:r>
      <w:r>
        <w:rPr>
          <w:spacing w:val="-82"/>
        </w:rPr>
        <w:t>，</w:t>
      </w:r>
      <w:r>
        <w:rPr/>
        <w:t>则借款费用继续资本</w:t>
      </w:r>
    </w:p>
    <w:p>
      <w:pPr>
        <w:pStyle w:val="BodyText"/>
        <w:spacing w:line="240" w:lineRule="auto" w:before="76"/>
        <w:ind w:right="1133"/>
        <w:jc w:val="left"/>
      </w:pPr>
      <w:r>
        <w:rPr/>
        <w:t>化。在中断期间发生的借款费用确认为当期损益，直至资产的购建或者生产活动重新开始后借款费用继续资本化。</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tabs>
          <w:tab w:pos="993" w:val="left" w:leader="none"/>
        </w:tabs>
        <w:spacing w:line="338" w:lineRule="auto"/>
        <w:ind w:left="513" w:right="1132"/>
        <w:jc w:val="left"/>
      </w:pPr>
      <w:r>
        <w:rPr>
          <w:rFonts w:ascii="Times New Roman" w:hAnsi="Times New Roman" w:cs="Times New Roman" w:eastAsia="Times New Roman" w:hint="default"/>
        </w:rPr>
        <w:t>4</w:t>
      </w:r>
      <w:r>
        <w:rPr/>
        <w:t>、</w:t>
        <w:tab/>
        <w:t>借款费用资本化率、资本化金额的计算方法 </w:t>
      </w:r>
      <w:r>
        <w:rPr>
          <w:spacing w:val="-2"/>
        </w:rPr>
        <w:t>对于为购建或者生产符合资本化条件的资产而借入的专门借款，以专门借款当期实际发生的借款费用，减去尚未动用的</w:t>
      </w:r>
    </w:p>
    <w:p>
      <w:pPr>
        <w:pStyle w:val="BodyText"/>
        <w:spacing w:line="360" w:lineRule="auto" w:before="2"/>
        <w:ind w:left="513" w:right="986"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223" w:lineRule="exact"/>
        <w:ind w:right="986"/>
        <w:jc w:val="left"/>
      </w:pPr>
      <w:r>
        <w:rPr/>
        <w:t>均数乘以所占用一般借款的资本化率，计算确定一般借款应予资本化的借款费用金额。资本化率根据一般借款加权平均利率</w:t>
      </w:r>
    </w:p>
    <w:p>
      <w:pPr>
        <w:pStyle w:val="BodyText"/>
        <w:spacing w:line="240" w:lineRule="auto" w:before="76"/>
        <w:ind w:right="1133"/>
        <w:jc w:val="left"/>
      </w:pPr>
      <w:r>
        <w:rPr/>
        <w:t>计算确定。</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8、无形资产" w:id="190"/>
      <w:bookmarkEnd w:id="190"/>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计价方法、使用寿命、减值测试"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tabs>
          <w:tab w:pos="993" w:val="left" w:leader="none"/>
        </w:tabs>
        <w:spacing w:line="240" w:lineRule="auto"/>
        <w:ind w:left="513" w:right="1133"/>
        <w:jc w:val="left"/>
      </w:pPr>
      <w:r>
        <w:rPr>
          <w:rFonts w:ascii="Times New Roman" w:hAnsi="Times New Roman" w:cs="Times New Roman" w:eastAsia="Times New Roman" w:hint="default"/>
        </w:rPr>
        <w:t>1</w:t>
      </w:r>
      <w:r>
        <w:rPr/>
        <w:t>、</w:t>
        <w:tab/>
        <w:t>无形资产的计价方法</w:t>
      </w:r>
    </w:p>
    <w:p>
      <w:pPr>
        <w:pStyle w:val="BodyText"/>
        <w:spacing w:line="240" w:lineRule="auto" w:before="103"/>
        <w:ind w:left="513" w:right="1133"/>
        <w:jc w:val="left"/>
      </w:pPr>
      <w:r>
        <w:rPr/>
        <w:t>（</w:t>
      </w:r>
      <w:r>
        <w:rPr>
          <w:rFonts w:ascii="Times New Roman" w:hAnsi="Times New Roman" w:cs="Times New Roman" w:eastAsia="Times New Roman" w:hint="default"/>
        </w:rPr>
        <w:t>1</w:t>
      </w:r>
      <w:r>
        <w:rPr/>
        <w:t>）公司取得无形资产时按成本进行初始计量；</w:t>
      </w:r>
    </w:p>
    <w:p>
      <w:pPr>
        <w:spacing w:after="0" w:line="240" w:lineRule="auto"/>
        <w:jc w:val="left"/>
        <w:sectPr>
          <w:pgSz w:w="11910" w:h="16840"/>
          <w:pgMar w:header="852" w:footer="980" w:top="1300" w:bottom="1160" w:left="980" w:right="0"/>
        </w:sectPr>
      </w:pPr>
    </w:p>
    <w:p>
      <w:pPr>
        <w:pStyle w:val="BodyText"/>
        <w:spacing w:line="319" w:lineRule="auto" w:before="142"/>
        <w:ind w:right="1130" w:firstLine="360"/>
        <w:jc w:val="both"/>
      </w:pPr>
      <w:r>
        <w:rPr>
          <w:spacing w:val="-2"/>
        </w:rPr>
        <w:t>外购无形资产的成本，包括购买价款、相关税费以及直接归属于使该项资产达到预定用途所发生的其他支出。购买无形</w:t>
      </w:r>
      <w:r>
        <w:rPr/>
        <w:t> 资产的价款超过正常信用条件延期支付，实质上具有融资性质的，无形资产的成本以购买价款的现值为基础确定。</w:t>
      </w:r>
    </w:p>
    <w:p>
      <w:pPr>
        <w:pStyle w:val="BodyText"/>
        <w:spacing w:line="316" w:lineRule="auto" w:before="58"/>
        <w:ind w:right="1132" w:firstLine="360"/>
        <w:jc w:val="both"/>
      </w:pPr>
      <w:r>
        <w:rPr>
          <w:spacing w:val="-2"/>
        </w:rPr>
        <w:t>债务重组取得债务人用以抵债的无形资产，以所放弃债权的公允价值和可直接归属于使该资产达到预定用途所发生的税</w:t>
      </w:r>
      <w:r>
        <w:rPr/>
        <w:t> 金等其他成本确定其入账价值，并将所放弃债权的公允价值与账面价值之间的差额，计入当期损益。</w:t>
      </w:r>
    </w:p>
    <w:p>
      <w:pPr>
        <w:pStyle w:val="BodyText"/>
        <w:spacing w:line="316" w:lineRule="auto" w:before="57"/>
        <w:ind w:right="1130" w:firstLine="360"/>
        <w:jc w:val="both"/>
      </w:pPr>
      <w:r>
        <w:rPr>
          <w:spacing w:val="-2"/>
        </w:rPr>
        <w:t>在非货币性资产交换具有商业实质，且换入资产或换出资产的公允价值能够可靠计量时，以公允价值为基础计量。如换</w:t>
      </w:r>
      <w:r>
        <w:rPr/>
        <w:t> </w:t>
      </w:r>
      <w:r>
        <w:rPr>
          <w:spacing w:val="-2"/>
        </w:rPr>
        <w:t>入资产和换出资产的公允价值均能可靠计量的，对于换入的无形资产，以换出资产的公允价值和应支付的相关税费作为换入</w:t>
      </w:r>
      <w:r>
        <w:rPr>
          <w:spacing w:val="-64"/>
        </w:rPr>
        <w:t> </w:t>
      </w:r>
      <w:r>
        <w:rPr>
          <w:spacing w:val="-64"/>
        </w:rPr>
      </w:r>
      <w:r>
        <w:rPr>
          <w:spacing w:val="-2"/>
        </w:rPr>
        <w:t>的无形资产的初始投资成本，除非有确凿证据表明换入资产的公允价值更加可靠。非货币性资产交换不具有商业实质，或换</w:t>
      </w:r>
      <w:r>
        <w:rPr>
          <w:spacing w:val="-63"/>
        </w:rPr>
        <w:t> </w:t>
      </w:r>
      <w:r>
        <w:rPr>
          <w:spacing w:val="-63"/>
        </w:rPr>
      </w:r>
      <w:r>
        <w:rPr>
          <w:spacing w:val="-2"/>
        </w:rPr>
        <w:t>入资产和换出资产的公允价值均不能可靠计量的，对于换入的无形资产，以换出资产的账面价值和应支付的相关税费作为换</w:t>
      </w:r>
      <w:r>
        <w:rPr>
          <w:spacing w:val="-64"/>
        </w:rPr>
        <w:t> </w:t>
      </w:r>
      <w:r>
        <w:rPr>
          <w:spacing w:val="-64"/>
        </w:rPr>
      </w:r>
      <w:r>
        <w:rPr/>
        <w:t>入无形资产的初始投资成本。</w:t>
      </w:r>
    </w:p>
    <w:p>
      <w:pPr>
        <w:pStyle w:val="BodyText"/>
        <w:spacing w:line="340" w:lineRule="auto" w:before="59"/>
        <w:ind w:left="513" w:right="715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9" w:lineRule="auto" w:before="39"/>
        <w:ind w:right="986"/>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pStyle w:val="BodyText"/>
        <w:tabs>
          <w:tab w:pos="993" w:val="left" w:leader="none"/>
        </w:tabs>
        <w:spacing w:line="240" w:lineRule="auto" w:before="58"/>
        <w:ind w:left="513" w:right="1133"/>
        <w:jc w:val="left"/>
      </w:pPr>
      <w:r>
        <w:rPr>
          <w:rFonts w:ascii="Times New Roman" w:hAnsi="Times New Roman" w:cs="Times New Roman" w:eastAsia="Times New Roman" w:hint="default"/>
        </w:rPr>
        <w:t>2</w:t>
      </w:r>
      <w:r>
        <w:rPr/>
        <w:t>、</w:t>
        <w:tab/>
        <w:t>使用寿命有限的无形资产的使用寿命估计情况</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188"/>
        <w:gridCol w:w="2168"/>
        <w:gridCol w:w="1519"/>
      </w:tblGrid>
      <w:tr>
        <w:trPr>
          <w:trHeight w:val="346"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9"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使用权证列示的剩余期限</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权证登记年限</w:t>
            </w:r>
          </w:p>
        </w:tc>
      </w:tr>
      <w:tr>
        <w:trPr>
          <w:trHeight w:val="346"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预计受益年限</w:t>
            </w:r>
          </w:p>
        </w:tc>
      </w:tr>
    </w:tbl>
    <w:p>
      <w:pPr>
        <w:pStyle w:val="BodyText"/>
        <w:tabs>
          <w:tab w:pos="993" w:val="left" w:leader="none"/>
        </w:tabs>
        <w:spacing w:line="338" w:lineRule="auto" w:before="49"/>
        <w:ind w:left="513" w:right="4171"/>
        <w:jc w:val="left"/>
      </w:pPr>
      <w:r>
        <w:rPr>
          <w:rFonts w:ascii="Times New Roman" w:hAnsi="Times New Roman" w:cs="Times New Roman" w:eastAsia="Times New Roman" w:hint="default"/>
        </w:rPr>
        <w:t>3</w:t>
      </w:r>
      <w:r>
        <w:rPr/>
        <w:t>、</w:t>
        <w:tab/>
        <w:t>使用寿命不确定的无形资产的判断依据以及对其使用寿命进行复核的程序 截至资产负债表日，本公司没有使用寿命不确定的无形资产。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tabs>
          <w:tab w:pos="993" w:val="left" w:leader="none"/>
        </w:tabs>
        <w:spacing w:line="350" w:lineRule="auto"/>
        <w:ind w:left="513" w:right="2671"/>
        <w:jc w:val="left"/>
      </w:pPr>
      <w:r>
        <w:rPr>
          <w:rFonts w:ascii="Times New Roman" w:hAnsi="Times New Roman" w:cs="Times New Roman" w:eastAsia="Times New Roman" w:hint="default"/>
        </w:rPr>
        <w:t>1</w:t>
      </w:r>
      <w:r>
        <w:rPr/>
        <w:t>、</w:t>
        <w:tab/>
        <w:t>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32"/>
        <w:ind w:right="986"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pStyle w:val="BodyText"/>
        <w:tabs>
          <w:tab w:pos="993" w:val="left" w:leader="none"/>
        </w:tabs>
        <w:spacing w:line="340" w:lineRule="auto" w:before="60"/>
        <w:ind w:left="513" w:right="4471"/>
        <w:jc w:val="left"/>
      </w:pPr>
      <w:r>
        <w:rPr>
          <w:rFonts w:ascii="Times New Roman" w:hAnsi="Times New Roman" w:cs="Times New Roman" w:eastAsia="Times New Roman" w:hint="default"/>
        </w:rPr>
        <w:t>2</w:t>
      </w:r>
      <w:r>
        <w:rPr/>
        <w:t>、</w:t>
        <w:tab/>
        <w:t>开发阶段支出资本化的具体条件 内部研究开发项目开发阶段的支出，同时满足下列条件时确认为无形资产：</w:t>
      </w:r>
    </w:p>
    <w:p>
      <w:pPr>
        <w:pStyle w:val="BodyText"/>
        <w:spacing w:line="240" w:lineRule="auto" w:before="39"/>
        <w:ind w:left="513" w:right="11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3"/>
        <w:ind w:left="513" w:right="113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103"/>
        <w:ind w:right="1124"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69"/>
        <w:ind w:left="513" w:right="113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240" w:lineRule="auto" w:before="103"/>
        <w:ind w:left="513" w:right="1133"/>
        <w:jc w:val="left"/>
      </w:pPr>
      <w:r>
        <w:rPr/>
        <w:t>（</w:t>
      </w:r>
      <w:r>
        <w:rPr>
          <w:rFonts w:ascii="Times New Roman" w:hAnsi="Times New Roman" w:cs="Times New Roman" w:eastAsia="Times New Roman" w:hint="default"/>
        </w:rPr>
        <w:t>5</w:t>
      </w:r>
      <w:r>
        <w:rPr/>
        <w:t>）归属于该无形资产开发阶段的支出能够可靠地计量。</w:t>
      </w:r>
    </w:p>
    <w:p>
      <w:pPr>
        <w:spacing w:after="0" w:line="240" w:lineRule="auto"/>
        <w:jc w:val="left"/>
        <w:sectPr>
          <w:pgSz w:w="11910" w:h="16840"/>
          <w:pgMar w:header="852" w:footer="980" w:top="1300" w:bottom="1160" w:left="980" w:right="0"/>
        </w:sectPr>
      </w:pPr>
    </w:p>
    <w:p>
      <w:pPr>
        <w:pStyle w:val="BodyText"/>
        <w:spacing w:line="240" w:lineRule="auto" w:before="142"/>
        <w:ind w:right="1133"/>
        <w:jc w:val="left"/>
      </w:pPr>
      <w:r>
        <w:rPr/>
        <w:t>开发阶段的支出，若不满足上列条件的，于发生时计入当期损益。研究阶段的支出，在发生时计入当期损益。</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9、长期资产减值" w:id="193"/>
      <w:bookmarkEnd w:id="193"/>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3"/>
        </w:rPr>
        <w:t> </w:t>
      </w:r>
      <w:r>
        <w:rPr>
          <w:spacing w:val="-63"/>
        </w:rPr>
      </w:r>
      <w:r>
        <w:rPr/>
        <w:t>备并计入减值损失。可收回金额为资产的公允价值减去处置费用后的净额与资产预计未来现金流量的现值两者之间的较高 </w:t>
      </w:r>
      <w:r>
        <w:rPr>
          <w:spacing w:val="-2"/>
        </w:rPr>
        <w:t>者。资产减值准备按单项资产为基础计算并确认，如果难以对单项资产的可收回金额进行估计的，以该资产所属的资产组确</w:t>
      </w:r>
      <w:r>
        <w:rPr>
          <w:spacing w:val="-63"/>
        </w:rPr>
        <w:t> </w:t>
      </w:r>
      <w:r>
        <w:rPr>
          <w:spacing w:val="-63"/>
        </w:rPr>
      </w:r>
      <w:r>
        <w:rPr/>
        <w:t>定资产组的可收回金额。资产组是能够独立产生现金流入的最小资产组合。</w:t>
      </w:r>
    </w:p>
    <w:p>
      <w:pPr>
        <w:pStyle w:val="BodyText"/>
        <w:spacing w:line="360" w:lineRule="auto" w:before="57"/>
        <w:ind w:left="513" w:right="1033"/>
        <w:jc w:val="left"/>
      </w:pPr>
      <w:r>
        <w:rPr/>
        <w:t>商誉、使用寿命不确定的无形资产、尚未达到可使用状态的无形资产至少在每年年度终了进行减值测试。 本公司进行商誉减值测试，对于因企业合并形成的商誉的账面价值，自购买日起按照合理的方法分摊至相关的资产组；</w:t>
      </w:r>
    </w:p>
    <w:p>
      <w:pPr>
        <w:pStyle w:val="BodyText"/>
        <w:spacing w:line="222" w:lineRule="exact"/>
        <w:ind w:right="986"/>
        <w:jc w:val="left"/>
      </w:pPr>
      <w:r>
        <w:rPr/>
        <w:t>难以分摊至相关的资产组的，将其分摊至相关的资产组组合。本公司在分摊商誉的账面价值时，根据相关资产组或资产组组</w:t>
      </w:r>
    </w:p>
    <w:p>
      <w:pPr>
        <w:pStyle w:val="BodyText"/>
        <w:spacing w:line="360" w:lineRule="auto" w:before="77"/>
        <w:ind w:left="513" w:right="1033" w:hanging="361"/>
        <w:jc w:val="left"/>
      </w:pPr>
      <w:r>
        <w:rPr/>
        <w:t>合能够从企业合并的协同效应中获得的相对受益情况进行分摊，在此基础上进行商誉减值测试。 在对包含商誉的相关资产组或者资产组组合进行减值测试时，如与商誉相关的资产组或者资产组组合存在减值迹象的，</w:t>
      </w:r>
    </w:p>
    <w:p>
      <w:pPr>
        <w:pStyle w:val="BodyText"/>
        <w:spacing w:line="222" w:lineRule="exact"/>
        <w:ind w:right="986"/>
        <w:jc w:val="left"/>
      </w:pPr>
      <w:r>
        <w:rPr>
          <w:spacing w:val="-4"/>
        </w:rPr>
        <w:t>先对不包含商誉的资产组或者资产组组合进行减值测试，计算可收回金额，并与相关账面价值相比较，确认相应的减值损失。</w:t>
      </w:r>
    </w:p>
    <w:p>
      <w:pPr>
        <w:pStyle w:val="BodyText"/>
        <w:spacing w:line="316" w:lineRule="auto" w:before="76"/>
        <w:ind w:right="1034"/>
        <w:jc w:val="left"/>
      </w:pP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pStyle w:val="BodyText"/>
        <w:spacing w:line="240" w:lineRule="auto" w:before="57"/>
        <w:ind w:left="513" w:right="1133"/>
        <w:jc w:val="left"/>
      </w:pPr>
      <w:r>
        <w:rPr/>
        <w:t>上述资产减值损失一经确认，在以后会计期间不予转回。</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0、长期待摊费用" w:id="194"/>
      <w:bookmarkEnd w:id="194"/>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长期待摊费用为已经发生但应由本期和以后各期负担的分摊期限在一年以上的各项费用。本公司长期待摊费用包括经营</w:t>
      </w:r>
      <w:r>
        <w:rPr/>
        <w:t> 租赁方式租入办公用房装修款等。</w:t>
      </w:r>
    </w:p>
    <w:p>
      <w:pPr>
        <w:pStyle w:val="BodyText"/>
        <w:tabs>
          <w:tab w:pos="993" w:val="left" w:leader="none"/>
        </w:tabs>
        <w:spacing w:line="340" w:lineRule="auto" w:before="57"/>
        <w:ind w:left="513" w:right="7531"/>
        <w:jc w:val="left"/>
      </w:pPr>
      <w:r>
        <w:rPr>
          <w:rFonts w:ascii="Times New Roman" w:hAnsi="Times New Roman" w:cs="Times New Roman" w:eastAsia="Times New Roman" w:hint="default"/>
        </w:rPr>
        <w:t>1</w:t>
      </w:r>
      <w:r>
        <w:rPr/>
        <w:t>、</w:t>
        <w:tab/>
        <w:t>摊销方法 长期待摊费用在受益期内平均摊销。</w:t>
      </w:r>
    </w:p>
    <w:p>
      <w:pPr>
        <w:spacing w:line="240" w:lineRule="auto" w:before="0"/>
        <w:rPr>
          <w:rFonts w:ascii="宋体" w:hAnsi="宋体" w:cs="宋体" w:eastAsia="宋体" w:hint="default"/>
          <w:sz w:val="18"/>
          <w:szCs w:val="18"/>
        </w:rPr>
      </w:pPr>
    </w:p>
    <w:p>
      <w:pPr>
        <w:pStyle w:val="BodyText"/>
        <w:tabs>
          <w:tab w:pos="993" w:val="left" w:leader="none"/>
        </w:tabs>
        <w:spacing w:line="240" w:lineRule="auto" w:before="156"/>
        <w:ind w:left="513" w:right="1133"/>
        <w:jc w:val="left"/>
      </w:pPr>
      <w:r>
        <w:rPr>
          <w:rFonts w:ascii="Times New Roman" w:hAnsi="Times New Roman" w:cs="Times New Roman" w:eastAsia="Times New Roman" w:hint="default"/>
        </w:rPr>
        <w:t>2</w:t>
      </w:r>
      <w:r>
        <w:rPr/>
        <w:t>、</w:t>
        <w:tab/>
        <w:t>摊销年限</w:t>
      </w:r>
    </w:p>
    <w:p>
      <w:pPr>
        <w:pStyle w:val="BodyText"/>
        <w:spacing w:line="240" w:lineRule="auto" w:before="103"/>
        <w:ind w:left="513" w:right="1133"/>
        <w:jc w:val="left"/>
      </w:pPr>
      <w:r>
        <w:rPr/>
        <w:t>（</w:t>
      </w:r>
      <w:r>
        <w:rPr>
          <w:rFonts w:ascii="Times New Roman" w:hAnsi="Times New Roman" w:cs="Times New Roman" w:eastAsia="Times New Roman" w:hint="default"/>
        </w:rPr>
        <w:t>1</w:t>
      </w:r>
      <w:r>
        <w:rPr/>
        <w:t>）经营租赁方式租入的固定资产改良支出，按最佳预期经济利益实现方式合理摊销；</w:t>
      </w:r>
    </w:p>
    <w:p>
      <w:pPr>
        <w:pStyle w:val="BodyText"/>
        <w:spacing w:line="240" w:lineRule="auto" w:before="103"/>
        <w:ind w:left="441" w:right="1133"/>
        <w:jc w:val="left"/>
      </w:pPr>
      <w:r>
        <w:rPr/>
        <w:t>（</w:t>
      </w:r>
      <w:r>
        <w:rPr>
          <w:rFonts w:ascii="Times New Roman" w:hAnsi="Times New Roman" w:cs="Times New Roman" w:eastAsia="Times New Roman" w:hint="default"/>
        </w:rPr>
        <w:t>2</w:t>
      </w:r>
      <w:r>
        <w:rPr/>
        <w:t>）其他长期待摊费用按预计受益年限但不超过五年的期限内平均摊销。</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1、职工薪酬" w:id="195"/>
      <w:bookmarkEnd w:id="195"/>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短期薪酬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357" w:lineRule="auto"/>
        <w:ind w:left="513" w:right="986"/>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224" w:lineRule="exact"/>
        <w:ind w:right="1133"/>
        <w:jc w:val="left"/>
      </w:pPr>
      <w:r>
        <w:rPr/>
        <w:t>的会计期间，根据规定的计提基础和计提比例计算确定相应的职工薪酬金额。</w:t>
      </w:r>
    </w:p>
    <w:p>
      <w:pPr>
        <w:pStyle w:val="BodyText"/>
        <w:spacing w:line="240" w:lineRule="auto" w:before="117"/>
        <w:ind w:left="441" w:right="1133"/>
        <w:jc w:val="left"/>
      </w:pPr>
      <w:r>
        <w:rPr/>
        <w:t>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1133"/>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w:t>
      </w:r>
      <w:r>
        <w:rPr>
          <w:rFonts w:ascii="Times New Roman" w:hAnsi="Times New Roman" w:cs="Times New Roman" w:eastAsia="Times New Roman" w:hint="default"/>
        </w:rPr>
        <w:t>1</w:t>
      </w:r>
      <w:r>
        <w:rPr/>
        <w:t>）设定提存计划</w:t>
      </w:r>
    </w:p>
    <w:p>
      <w:pPr>
        <w:spacing w:after="0" w:line="240" w:lineRule="auto"/>
        <w:jc w:val="left"/>
        <w:sectPr>
          <w:pgSz w:w="11910" w:h="16840"/>
          <w:pgMar w:header="852" w:footer="980" w:top="1300" w:bottom="1160" w:left="980" w:right="0"/>
        </w:sectPr>
      </w:pPr>
    </w:p>
    <w:p>
      <w:pPr>
        <w:pStyle w:val="BodyText"/>
        <w:spacing w:line="319" w:lineRule="auto" w:before="142"/>
        <w:ind w:right="986" w:firstLine="360"/>
        <w:jc w:val="left"/>
      </w:pPr>
      <w:r>
        <w:rPr>
          <w:spacing w:val="-2"/>
        </w:rPr>
        <w:t>本公司按当地政府的相关规定为职工缴纳基本养老保险和失业保险，在职工为本公司提供服务的会计期间，按以当地规</w:t>
      </w:r>
      <w:r>
        <w:rPr/>
        <w:t> 定的缴纳基数和比例计算应缴纳金额，确认为负债，并计入当期损益或相关资产成本。</w:t>
      </w:r>
    </w:p>
    <w:p>
      <w:pPr>
        <w:pStyle w:val="BodyText"/>
        <w:spacing w:line="338" w:lineRule="auto" w:before="58"/>
        <w:ind w:left="513" w:right="8413"/>
        <w:jc w:val="left"/>
      </w:pPr>
      <w:r>
        <w:rPr/>
        <w:t>（</w:t>
      </w:r>
      <w:r>
        <w:rPr>
          <w:rFonts w:ascii="Times New Roman" w:hAnsi="Times New Roman" w:cs="Times New Roman" w:eastAsia="Times New Roman" w:hint="default"/>
        </w:rPr>
        <w:t>2</w:t>
      </w:r>
      <w:r>
        <w:rPr/>
        <w:t>）设定受益计划 本公司无设定受益计划。</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2、预计负债" w:id="199"/>
      <w:bookmarkEnd w:id="199"/>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2"/>
        <w:rPr>
          <w:rFonts w:ascii="宋体" w:hAnsi="宋体" w:cs="宋体" w:eastAsia="宋体" w:hint="default"/>
          <w:b/>
          <w:bCs/>
          <w:sz w:val="26"/>
          <w:szCs w:val="26"/>
        </w:rPr>
      </w:pPr>
    </w:p>
    <w:p>
      <w:pPr>
        <w:pStyle w:val="BodyText"/>
        <w:tabs>
          <w:tab w:pos="993" w:val="left" w:leader="none"/>
        </w:tabs>
        <w:spacing w:line="340" w:lineRule="auto"/>
        <w:ind w:left="513" w:right="1591"/>
        <w:jc w:val="left"/>
      </w:pPr>
      <w:r>
        <w:rPr>
          <w:rFonts w:ascii="Times New Roman" w:hAnsi="Times New Roman" w:cs="Times New Roman" w:eastAsia="Times New Roman" w:hint="default"/>
        </w:rPr>
        <w:t>1</w:t>
      </w:r>
      <w:r>
        <w:rPr/>
        <w:t>、</w:t>
        <w:tab/>
        <w:t>预计负债的确认标准 与诉讼、债务担保、亏损合同、重组事项等或有事项相关的义务同时满足下列条件时，本公司确认为预计负债：</w:t>
      </w:r>
    </w:p>
    <w:p>
      <w:pPr>
        <w:pStyle w:val="BodyText"/>
        <w:spacing w:line="240" w:lineRule="auto" w:before="41"/>
        <w:ind w:left="513" w:right="1133"/>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03"/>
        <w:ind w:left="513" w:right="1133"/>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tabs>
          <w:tab w:pos="993" w:val="left" w:leader="none"/>
        </w:tabs>
        <w:spacing w:line="340" w:lineRule="auto"/>
        <w:ind w:left="513" w:right="4291"/>
        <w:jc w:val="left"/>
      </w:pPr>
      <w:r>
        <w:rPr>
          <w:rFonts w:ascii="Times New Roman" w:hAnsi="Times New Roman" w:cs="Times New Roman" w:eastAsia="Times New Roman" w:hint="default"/>
        </w:rPr>
        <w:t>2</w:t>
      </w:r>
      <w:r>
        <w:rPr/>
        <w:t>、</w:t>
        <w:tab/>
        <w:t>各类预计负债的计量方法 本公司预计负债按履行相关现时义务所需的支出的最佳估计数进行初始计量。</w:t>
      </w:r>
    </w:p>
    <w:p>
      <w:pPr>
        <w:pStyle w:val="BodyText"/>
        <w:spacing w:line="316" w:lineRule="auto" w:before="41"/>
        <w:ind w:right="986"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60" w:lineRule="auto" w:before="57"/>
        <w:ind w:left="513" w:right="986"/>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222" w:lineRule="exact"/>
        <w:ind w:right="0"/>
        <w:jc w:val="both"/>
      </w:pPr>
      <w:r>
        <w:rPr/>
        <w:t>即上下限金额的平均数确定。</w:t>
      </w:r>
    </w:p>
    <w:p>
      <w:pPr>
        <w:pStyle w:val="BodyText"/>
        <w:spacing w:line="316" w:lineRule="auto" w:before="117"/>
        <w:ind w:right="1130"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316" w:lineRule="auto" w:before="57"/>
        <w:ind w:right="1034"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3、股份支付" w:id="200"/>
      <w:bookmarkEnd w:id="200"/>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86" w:firstLine="360"/>
        <w:jc w:val="left"/>
      </w:pPr>
      <w:r>
        <w:rPr>
          <w:spacing w:val="-2"/>
        </w:rPr>
        <w:t>本公司的股份支付是为了获取职工或其他方提供服务而授予权益工具或者承担以权益工具为基础确定的负债的交易。本</w:t>
      </w:r>
      <w:r>
        <w:rPr/>
        <w:t> 公司的股份支付分为以权益结算的股份支付和以现金结算的股份支付。</w:t>
      </w:r>
    </w:p>
    <w:p>
      <w:pPr>
        <w:pStyle w:val="BodyText"/>
        <w:tabs>
          <w:tab w:pos="993" w:val="left" w:leader="none"/>
        </w:tabs>
        <w:spacing w:line="338" w:lineRule="auto" w:before="58"/>
        <w:ind w:left="513" w:right="1132"/>
        <w:jc w:val="left"/>
      </w:pPr>
      <w:r>
        <w:rPr>
          <w:rFonts w:ascii="Times New Roman" w:hAnsi="Times New Roman" w:cs="Times New Roman" w:eastAsia="Times New Roman" w:hint="default"/>
        </w:rPr>
        <w:t>1</w:t>
      </w:r>
      <w:r>
        <w:rPr/>
        <w:t>、</w:t>
        <w:tab/>
        <w:t>以权益结算的股份支付及权益工具 </w:t>
      </w:r>
      <w:r>
        <w:rPr>
          <w:spacing w:val="-2"/>
        </w:rPr>
        <w:t>以权益结算的股份支付换取职工提供服务的，以授予职工权益工具的公允价值计量。本公司以限制性股票进行股份支付</w:t>
      </w:r>
    </w:p>
    <w:p>
      <w:pPr>
        <w:pStyle w:val="BodyText"/>
        <w:spacing w:line="316" w:lineRule="auto" w:before="2"/>
        <w:ind w:right="1130"/>
        <w:jc w:val="both"/>
      </w:pPr>
      <w:r>
        <w:rPr>
          <w:spacing w:val="-2"/>
        </w:rPr>
        <w:t>的，职工出资认购股票，股票在达到解锁条件并解锁前不得上市流通或转让；如果最终股权激励计划规定的解锁条件未能达</w:t>
      </w:r>
      <w:r>
        <w:rPr>
          <w:spacing w:val="-65"/>
        </w:rPr>
        <w:t> </w:t>
      </w:r>
      <w:r>
        <w:rPr>
          <w:spacing w:val="-65"/>
        </w:rPr>
      </w:r>
      <w:r>
        <w:rPr>
          <w:spacing w:val="-2"/>
        </w:rPr>
        <w:t>到，则本公司按照事先约定的价格回购股票。本公司取得职工认购限制性股票支付的款项时，按照取得的认股款确认股本和</w:t>
      </w:r>
      <w:r>
        <w:rPr>
          <w:spacing w:val="-63"/>
        </w:rPr>
        <w:t> </w:t>
      </w:r>
      <w:r>
        <w:rPr>
          <w:spacing w:val="-63"/>
        </w:rPr>
      </w:r>
      <w:r>
        <w:rPr>
          <w:spacing w:val="-2"/>
        </w:rPr>
        <w:t>资本公积（股本溢价），同时就回购义务全额确认一项负债并确认库存股。在等待期内每个资产负债表日，本公司根据最新</w:t>
      </w:r>
      <w:r>
        <w:rPr>
          <w:spacing w:val="-65"/>
        </w:rPr>
        <w:t> </w:t>
      </w:r>
      <w:r>
        <w:rPr>
          <w:spacing w:val="-65"/>
        </w:rPr>
      </w:r>
      <w:r>
        <w:rPr/>
        <w:t>取得的可行权职工人数变动</w:t>
      </w:r>
      <w:r>
        <w:rPr>
          <w:spacing w:val="-18"/>
        </w:rPr>
        <w:t> </w:t>
      </w:r>
      <w:r>
        <w:rPr/>
        <w:t>、是否达到规定业绩条件等后续信息对可行权权益工具数量作出最佳估计，以此为基础，按照</w:t>
      </w:r>
      <w:r>
        <w:rPr/>
        <w:t> </w:t>
      </w:r>
      <w:r>
        <w:rPr>
          <w:spacing w:val="-2"/>
        </w:rPr>
        <w:t>授予日的公允价值，将当期取得的服务计入相关成本或费用，相应增加资本公积。在可行权日之后不再对已确认的相关成本</w:t>
      </w:r>
      <w:r>
        <w:rPr>
          <w:spacing w:val="-66"/>
        </w:rPr>
        <w:t> </w:t>
      </w:r>
      <w:r>
        <w:rPr>
          <w:spacing w:val="-66"/>
        </w:rPr>
      </w:r>
      <w:r>
        <w:rPr>
          <w:spacing w:val="-2"/>
        </w:rPr>
        <w:t>或费用和所有者权益总额进行调整。但授予后立即可行权的，在授予日按照公允价值计入相关成本或费用，相应增加资本公</w:t>
      </w:r>
    </w:p>
    <w:p>
      <w:pPr>
        <w:spacing w:after="0" w:line="316" w:lineRule="auto"/>
        <w:jc w:val="both"/>
        <w:sectPr>
          <w:pgSz w:w="11910" w:h="16840"/>
          <w:pgMar w:header="852" w:footer="980" w:top="1300" w:bottom="1160" w:left="980" w:right="0"/>
        </w:sectPr>
      </w:pPr>
    </w:p>
    <w:p>
      <w:pPr>
        <w:pStyle w:val="BodyText"/>
        <w:spacing w:line="240" w:lineRule="auto" w:before="142"/>
        <w:ind w:right="1133"/>
        <w:jc w:val="left"/>
      </w:pPr>
      <w:r>
        <w:rPr/>
        <w:t>积。</w:t>
      </w:r>
    </w:p>
    <w:p>
      <w:pPr>
        <w:pStyle w:val="BodyText"/>
        <w:spacing w:line="240" w:lineRule="auto" w:before="117"/>
        <w:ind w:left="513" w:right="986"/>
        <w:jc w:val="left"/>
      </w:pPr>
      <w:r>
        <w:rPr/>
        <w:t>对于最终未能行权的股份支付，不确认成本或费用，除非行权条件是市场条件或非可行权条件，此时无论是否满足市场</w:t>
      </w:r>
    </w:p>
    <w:p>
      <w:pPr>
        <w:pStyle w:val="BodyText"/>
        <w:spacing w:line="357" w:lineRule="auto" w:before="76"/>
        <w:ind w:left="513" w:right="986" w:hanging="361"/>
        <w:jc w:val="left"/>
      </w:pPr>
      <w:r>
        <w:rPr/>
        <w:t>条件或非可行权条件，只要满足所有可行权条件中的非市场条件，即视为可行权。 </w:t>
      </w:r>
      <w:r>
        <w:rPr>
          <w:spacing w:val="-2"/>
        </w:rPr>
        <w:t>如果修改了以权益结算的股份支付的条款，至少按照未修改条款的情况确认取得的服务。此外，任何增加所授予权益工</w:t>
      </w:r>
    </w:p>
    <w:p>
      <w:pPr>
        <w:pStyle w:val="BodyText"/>
        <w:spacing w:line="224" w:lineRule="exact"/>
        <w:ind w:right="0"/>
        <w:jc w:val="both"/>
      </w:pPr>
      <w:r>
        <w:rPr/>
        <w:t>具公允价值的修改，或在修改日对职工有利的变更，均确认取得服务的增加。</w:t>
      </w:r>
    </w:p>
    <w:p>
      <w:pPr>
        <w:pStyle w:val="BodyText"/>
        <w:spacing w:line="316" w:lineRule="auto" w:before="117"/>
        <w:ind w:right="986" w:firstLine="360"/>
        <w:jc w:val="left"/>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4"/>
        </w:rPr>
        <w:t> </w:t>
      </w:r>
      <w:r>
        <w:rPr>
          <w:spacing w:val="-64"/>
        </w:rPr>
      </w:r>
      <w:r>
        <w:rPr/>
        <w:t>益工具授予日认定所授予的新权益工具是用于替代被取消的权益工具的，则以与处理原权益工具条款和条件修改相同的方 式，对所授予的替代权益工具进行处理。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tabs>
          <w:tab w:pos="993" w:val="left" w:leader="none"/>
        </w:tabs>
        <w:spacing w:line="340" w:lineRule="auto"/>
        <w:ind w:left="441" w:right="1133" w:firstLine="72"/>
        <w:jc w:val="left"/>
      </w:pPr>
      <w:r>
        <w:rPr>
          <w:rFonts w:ascii="Times New Roman" w:hAnsi="Times New Roman" w:cs="Times New Roman" w:eastAsia="Times New Roman" w:hint="default"/>
        </w:rPr>
        <w:t>2</w:t>
      </w:r>
      <w:r>
        <w:rPr/>
        <w:t>、</w:t>
        <w:tab/>
        <w:t>以现金结算的股份支付及权益工具 </w:t>
      </w:r>
      <w:r>
        <w:rPr>
          <w:spacing w:val="-1"/>
        </w:rPr>
        <w:t>以现金结算的股份支付，按照本公司承担的以股份或其他权益工具为基础计算确定的负债的公允价值计量。初始按照授</w:t>
      </w:r>
    </w:p>
    <w:p>
      <w:pPr>
        <w:pStyle w:val="BodyText"/>
        <w:spacing w:line="316" w:lineRule="auto" w:before="1"/>
        <w:ind w:right="1129"/>
        <w:jc w:val="both"/>
      </w:pPr>
      <w:r>
        <w:rPr>
          <w:spacing w:val="-2"/>
        </w:rPr>
        <w:t>予日的公允价值计量，并考虑授予权益工具的条款和条件。授予后立即可行权的，在授予日以承担负债的公允价值计入成本</w:t>
      </w:r>
      <w:r>
        <w:rPr>
          <w:spacing w:val="-62"/>
        </w:rPr>
        <w:t> </w:t>
      </w:r>
      <w:r>
        <w:rPr>
          <w:spacing w:val="-62"/>
        </w:rPr>
      </w:r>
      <w:r>
        <w:rPr>
          <w:spacing w:val="-2"/>
        </w:rPr>
        <w:t>或费用，相应增加负债；完成等待期内的服务或达到规定业绩条件才可行权的，在等待期内以对可行权情况的最佳估计为基</w:t>
      </w:r>
      <w:r>
        <w:rPr>
          <w:spacing w:val="-66"/>
        </w:rPr>
        <w:t> </w:t>
      </w:r>
      <w:r>
        <w:rPr>
          <w:spacing w:val="-66"/>
        </w:rPr>
      </w:r>
      <w:r>
        <w:rPr>
          <w:spacing w:val="-2"/>
        </w:rPr>
        <w:t>础，按照承担负债的公允价值，将当期取得的服务计入相关成本或费用，增加相应负债。在相关负债结算前的每个资产负债</w:t>
      </w:r>
      <w:r>
        <w:rPr>
          <w:spacing w:val="-64"/>
        </w:rPr>
        <w:t> </w:t>
      </w:r>
      <w:r>
        <w:rPr>
          <w:spacing w:val="-64"/>
        </w:rPr>
      </w:r>
      <w:r>
        <w:rPr/>
        <w:t>表日以及结算日，对负债的公允价值重新计量，其变动计入当期损益。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4、优先股、永续债等其他金融工具" w:id="201"/>
      <w:bookmarkEnd w:id="201"/>
      <w:r>
        <w:rPr>
          <w:b w:val="0"/>
          <w:bCs w:val="0"/>
        </w:rPr>
      </w:r>
      <w:r>
        <w:rPr>
          <w:rFonts w:ascii="Times New Roman" w:hAnsi="Times New Roman" w:cs="Times New Roman" w:eastAsia="Times New Roman" w:hint="default"/>
        </w:rPr>
        <w:t>24</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64" w:firstLine="360"/>
        <w:jc w:val="left"/>
      </w:pPr>
      <w:r>
        <w:rPr/>
        <w:t>本公司根据所发行优先股</w:t>
      </w:r>
      <w:r>
        <w:rPr>
          <w:rFonts w:ascii="Times New Roman" w:hAnsi="Times New Roman" w:cs="Times New Roman" w:eastAsia="Times New Roman" w:hint="default"/>
        </w:rPr>
        <w:t>/</w:t>
      </w:r>
      <w:r>
        <w:rPr/>
        <w:t>永续债的合同条款及其所反映的经济实质而非仅以法律形式，在初始确认时将其分类为金融 资产、金融负债或权益工具。</w:t>
      </w:r>
    </w:p>
    <w:p>
      <w:pPr>
        <w:pStyle w:val="BodyText"/>
        <w:spacing w:line="300" w:lineRule="auto" w:before="70"/>
        <w:ind w:right="1164" w:firstLine="360"/>
        <w:jc w:val="left"/>
      </w:pPr>
      <w:r>
        <w:rPr/>
        <w:t>本公司发行的永续债</w:t>
      </w:r>
      <w:r>
        <w:rPr>
          <w:rFonts w:ascii="Times New Roman" w:hAnsi="Times New Roman" w:cs="Times New Roman" w:eastAsia="Times New Roman" w:hint="default"/>
        </w:rPr>
        <w:t>/</w:t>
      </w:r>
      <w:r>
        <w:rPr/>
        <w:t>优先股等金融工具满足以下条件之一，在初始确认时将该金融工具整体或其组成部分分类为金融 负债：</w:t>
      </w:r>
    </w:p>
    <w:p>
      <w:pPr>
        <w:pStyle w:val="BodyText"/>
        <w:spacing w:line="240" w:lineRule="auto" w:before="72"/>
        <w:ind w:left="513" w:right="1133"/>
        <w:jc w:val="left"/>
      </w:pPr>
      <w:r>
        <w:rPr/>
        <w:t>（</w:t>
      </w:r>
      <w:r>
        <w:rPr>
          <w:rFonts w:ascii="Times New Roman" w:hAnsi="Times New Roman" w:cs="Times New Roman" w:eastAsia="Times New Roman" w:hint="default"/>
        </w:rPr>
        <w:t>1</w:t>
      </w:r>
      <w:r>
        <w:rPr/>
        <w:t>）存在本公司不能无条件地避免以交付现金或其他金融资产履行的合同义务；</w:t>
      </w:r>
    </w:p>
    <w:p>
      <w:pPr>
        <w:pStyle w:val="BodyText"/>
        <w:spacing w:line="240" w:lineRule="auto" w:before="103"/>
        <w:ind w:left="513" w:right="1133"/>
        <w:jc w:val="left"/>
      </w:pPr>
      <w:r>
        <w:rPr/>
        <w:t>（</w:t>
      </w:r>
      <w:r>
        <w:rPr>
          <w:rFonts w:ascii="Times New Roman" w:hAnsi="Times New Roman" w:cs="Times New Roman" w:eastAsia="Times New Roman" w:hint="default"/>
        </w:rPr>
        <w:t>2</w:t>
      </w:r>
      <w:r>
        <w:rPr/>
        <w:t>）包含交付可变数量的自身权益工具进行结算的合同义务；</w:t>
      </w:r>
    </w:p>
    <w:p>
      <w:pPr>
        <w:pStyle w:val="BodyText"/>
        <w:spacing w:line="300" w:lineRule="auto" w:before="101"/>
        <w:ind w:right="1124" w:firstLine="360"/>
        <w:jc w:val="left"/>
      </w:pPr>
      <w:r>
        <w:rPr/>
        <w:t>（</w:t>
      </w:r>
      <w:r>
        <w:rPr>
          <w:rFonts w:ascii="Times New Roman" w:hAnsi="Times New Roman" w:cs="Times New Roman" w:eastAsia="Times New Roman" w:hint="default"/>
        </w:rPr>
        <w:t>3</w:t>
      </w:r>
      <w:r>
        <w:rPr/>
        <w:t>）包含以自身权益进行结算的衍生工具（例如转股权等），且该衍生工具不以固定数量的自身权益工具交换固定金 额的现金或其他金融资产进行结算；</w:t>
      </w:r>
    </w:p>
    <w:p>
      <w:pPr>
        <w:pStyle w:val="BodyText"/>
        <w:spacing w:line="240" w:lineRule="auto" w:before="72"/>
        <w:ind w:left="513" w:right="1133"/>
        <w:jc w:val="left"/>
      </w:pPr>
      <w:r>
        <w:rPr/>
        <w:t>（</w:t>
      </w:r>
      <w:r>
        <w:rPr>
          <w:rFonts w:ascii="Times New Roman" w:hAnsi="Times New Roman" w:cs="Times New Roman" w:eastAsia="Times New Roman" w:hint="default"/>
        </w:rPr>
        <w:t>4</w:t>
      </w:r>
      <w:r>
        <w:rPr/>
        <w:t>）存在间接地形成合同义务的合同条款；</w:t>
      </w:r>
    </w:p>
    <w:p>
      <w:pPr>
        <w:pStyle w:val="BodyText"/>
        <w:spacing w:line="338" w:lineRule="auto" w:before="103"/>
        <w:ind w:left="513" w:right="1036"/>
        <w:jc w:val="left"/>
      </w:pPr>
      <w:r>
        <w:rPr/>
        <w:t>（</w:t>
      </w:r>
      <w:r>
        <w:rPr>
          <w:rFonts w:ascii="Times New Roman" w:hAnsi="Times New Roman" w:cs="Times New Roman" w:eastAsia="Times New Roman" w:hint="default"/>
        </w:rPr>
        <w:t>5</w:t>
      </w:r>
      <w:r>
        <w:rPr/>
        <w:t>）发行方清算时永续债与发行方发行的普通债券和其他债务处于相同清偿顺序的。 </w:t>
      </w:r>
      <w:r>
        <w:rPr>
          <w:spacing w:val="-1"/>
        </w:rPr>
        <w:t>不满足上述任何一项条件的永续债</w:t>
      </w:r>
      <w:r>
        <w:rPr>
          <w:rFonts w:ascii="Times New Roman" w:hAnsi="Times New Roman" w:cs="Times New Roman" w:eastAsia="Times New Roman" w:hint="default"/>
          <w:spacing w:val="-1"/>
        </w:rPr>
        <w:t>/</w:t>
      </w:r>
      <w:r>
        <w:rPr>
          <w:spacing w:val="-1"/>
        </w:rPr>
        <w:t>优先股等金融工具，在初始确认时将该金融工具整体或其组成部分分类为权益工具。</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25、收入" w:id="202"/>
      <w:bookmarkEnd w:id="202"/>
      <w:r>
        <w:rPr>
          <w:b w:val="0"/>
          <w:bCs w:val="0"/>
        </w:rPr>
      </w: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tabs>
          <w:tab w:pos="993" w:val="left" w:leader="none"/>
        </w:tabs>
        <w:spacing w:line="240" w:lineRule="auto" w:before="102"/>
        <w:ind w:left="513" w:right="1133"/>
        <w:jc w:val="left"/>
      </w:pPr>
      <w:r>
        <w:rPr>
          <w:rFonts w:ascii="Times New Roman" w:hAnsi="Times New Roman" w:cs="Times New Roman" w:eastAsia="Times New Roman" w:hint="default"/>
        </w:rPr>
        <w:t>1</w:t>
      </w:r>
      <w:r>
        <w:rPr/>
        <w:t>、</w:t>
        <w:tab/>
        <w:t>销售商品收入确认的一般原则</w:t>
      </w:r>
    </w:p>
    <w:p>
      <w:pPr>
        <w:pStyle w:val="BodyText"/>
        <w:spacing w:line="240" w:lineRule="auto" w:before="103"/>
        <w:ind w:left="513" w:right="1133"/>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103"/>
        <w:ind w:left="513" w:right="1133"/>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101"/>
        <w:ind w:left="513" w:right="1133"/>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103"/>
        <w:ind w:left="513" w:right="1133"/>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103"/>
        <w:ind w:left="513" w:right="1133"/>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tabs>
          <w:tab w:pos="993" w:val="left" w:leader="none"/>
        </w:tabs>
        <w:spacing w:line="240" w:lineRule="auto"/>
        <w:ind w:left="513" w:right="1133"/>
        <w:jc w:val="left"/>
      </w:pPr>
      <w:r>
        <w:rPr>
          <w:rFonts w:ascii="Times New Roman" w:hAnsi="Times New Roman" w:cs="Times New Roman" w:eastAsia="Times New Roman" w:hint="default"/>
        </w:rPr>
        <w:t>2</w:t>
      </w:r>
      <w:r>
        <w:rPr/>
        <w:t>、</w:t>
        <w:tab/>
        <w:t>具体原则</w:t>
      </w:r>
    </w:p>
    <w:p>
      <w:pPr>
        <w:spacing w:after="0" w:line="240" w:lineRule="auto"/>
        <w:jc w:val="left"/>
        <w:sectPr>
          <w:pgSz w:w="11910" w:h="16840"/>
          <w:pgMar w:header="852" w:footer="980" w:top="1300" w:bottom="1160" w:left="980" w:right="0"/>
        </w:sectPr>
      </w:pPr>
    </w:p>
    <w:p>
      <w:pPr>
        <w:pStyle w:val="BodyText"/>
        <w:spacing w:line="319" w:lineRule="auto" w:before="142"/>
        <w:ind w:right="986" w:firstLine="360"/>
        <w:jc w:val="left"/>
      </w:pPr>
      <w:r>
        <w:rPr>
          <w:spacing w:val="-2"/>
        </w:rPr>
        <w:t>公司的主营业务按业务类型划分为软件开发及服务、系统集成销售及服务、运营收入和其他主营业务四大类。软件开发</w:t>
      </w:r>
      <w:r>
        <w:rPr/>
        <w:t> 及服务包括定制化软件开发、人员外包及运维服务、自有软硬件产品销售。</w:t>
      </w:r>
    </w:p>
    <w:p>
      <w:pPr>
        <w:pStyle w:val="BodyText"/>
        <w:spacing w:line="300" w:lineRule="auto" w:before="58"/>
        <w:ind w:right="1124" w:firstLine="360"/>
        <w:jc w:val="left"/>
      </w:pPr>
      <w:r>
        <w:rPr/>
        <w:t>（</w:t>
      </w:r>
      <w:r>
        <w:rPr>
          <w:rFonts w:ascii="Times New Roman" w:hAnsi="Times New Roman" w:cs="Times New Roman" w:eastAsia="Times New Roman" w:hint="default"/>
        </w:rPr>
        <w:t>1</w:t>
      </w:r>
      <w:r>
        <w:rPr/>
        <w:t>）定制化软件开发为按照客户需求提供的软件开发或升级服务，公司需对开发成果负责，成果交付时需客户进行验 收。公司在软件系统上线运行并通过客户验收后按合同约定金额确认收入。</w:t>
      </w:r>
    </w:p>
    <w:p>
      <w:pPr>
        <w:pStyle w:val="BodyText"/>
        <w:spacing w:line="312" w:lineRule="auto" w:before="70"/>
        <w:ind w:right="1034" w:firstLine="360"/>
        <w:jc w:val="left"/>
      </w:pPr>
      <w:r>
        <w:rPr/>
        <w:t>（</w:t>
      </w:r>
      <w:r>
        <w:rPr>
          <w:rFonts w:ascii="Times New Roman" w:hAnsi="Times New Roman" w:cs="Times New Roman" w:eastAsia="Times New Roman" w:hint="default"/>
        </w:rPr>
        <w:t>2</w:t>
      </w:r>
      <w:r>
        <w:rPr/>
        <w:t>）人员外包及运维服务包括按照客户需求派出人员实施驻场或场外技术开发或服务和系统运行维护等服务。人员外 </w:t>
      </w:r>
      <w:r>
        <w:rPr>
          <w:spacing w:val="-2"/>
        </w:rPr>
        <w:t>包模式下，由客户定期对公司派出项目人员进行考核并确认工作量，公司无需对最终开发或服务成果负责，公司在取得客户</w:t>
      </w:r>
      <w:r>
        <w:rPr>
          <w:spacing w:val="-62"/>
        </w:rPr>
        <w:t> </w:t>
      </w:r>
      <w:r>
        <w:rPr>
          <w:spacing w:val="-62"/>
        </w:rPr>
      </w:r>
      <w:r>
        <w:rPr/>
        <w:t>出具的工作量确认单后，按照客户确认的工作量及合同约定人月（或人天）单价计算确认收入。按期提供的系统运维服务， 根据相关合同约定的服务期间按期确认收入。</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）自有软硬件产品销售在产品交付并经客户验收后按照合同约定金额确认收入。</w:t>
      </w:r>
    </w:p>
    <w:p>
      <w:pPr>
        <w:pStyle w:val="BodyText"/>
        <w:spacing w:line="312" w:lineRule="auto" w:before="103"/>
        <w:ind w:right="1130" w:firstLine="360"/>
        <w:jc w:val="both"/>
      </w:pPr>
      <w:r>
        <w:rPr/>
        <w:t>（</w:t>
      </w:r>
      <w:r>
        <w:rPr>
          <w:rFonts w:ascii="Times New Roman" w:hAnsi="Times New Roman" w:cs="Times New Roman" w:eastAsia="Times New Roman" w:hint="default"/>
        </w:rPr>
        <w:t>4</w:t>
      </w:r>
      <w:r>
        <w:rPr/>
        <w:t>）系统集成销售及服务收入如无需安装、调试的，以设备（产品）交付客户，经客户签收后确认收入；需要安装、 </w:t>
      </w:r>
      <w:r>
        <w:rPr>
          <w:spacing w:val="-2"/>
        </w:rPr>
        <w:t>调试的，按照合同约定，在设备安装、调试完毕交付客户，经客户验收合格后确认收入；如合同金额中包含后期维护或升级</w:t>
      </w:r>
      <w:r>
        <w:rPr>
          <w:spacing w:val="-66"/>
        </w:rPr>
        <w:t> </w:t>
      </w:r>
      <w:r>
        <w:rPr>
          <w:spacing w:val="-66"/>
        </w:rPr>
      </w:r>
      <w:r>
        <w:rPr>
          <w:spacing w:val="-2"/>
        </w:rPr>
        <w:t>的，以扣除维护或升级费用的金额计算。提供后期维护或升级服务收入则按约定提供的期限，参照运维收入确认方法进行确</w:t>
      </w:r>
      <w:r>
        <w:rPr>
          <w:spacing w:val="-63"/>
        </w:rPr>
        <w:t> </w:t>
      </w:r>
      <w:r>
        <w:rPr>
          <w:spacing w:val="-63"/>
        </w:rPr>
      </w:r>
      <w:r>
        <w:rPr/>
        <w:t>认。</w:t>
      </w:r>
    </w:p>
    <w:p>
      <w:pPr>
        <w:pStyle w:val="BodyText"/>
        <w:spacing w:line="309" w:lineRule="auto" w:before="61"/>
        <w:ind w:right="1133" w:firstLine="360"/>
        <w:jc w:val="both"/>
      </w:pPr>
      <w:r>
        <w:rPr/>
        <w:t>（</w:t>
      </w:r>
      <w:r>
        <w:rPr>
          <w:rFonts w:ascii="Times New Roman" w:hAnsi="Times New Roman" w:cs="Times New Roman" w:eastAsia="Times New Roman" w:hint="default"/>
        </w:rPr>
        <w:t>5</w:t>
      </w:r>
      <w:r>
        <w:rPr/>
        <w:t>）运营收入包括使用公司的软件平台或设备为客户提供软件维护、更新和日常运营服务，按照客户与终端客户的交 </w:t>
      </w:r>
      <w:r>
        <w:rPr>
          <w:spacing w:val="-2"/>
        </w:rPr>
        <w:t>易量的一定比例来收取服务费。客户定期对运营服务进行考核并提供根据交易量计算的服务费结算清单，公司在取得客户出</w:t>
      </w:r>
      <w:r>
        <w:rPr>
          <w:spacing w:val="-64"/>
        </w:rPr>
        <w:t> </w:t>
      </w:r>
      <w:r>
        <w:rPr>
          <w:spacing w:val="-64"/>
        </w:rPr>
      </w:r>
      <w:r>
        <w:rPr/>
        <w:t>具的运营服务费结算清单后按照运营服务费结算金额确认收入。</w:t>
      </w:r>
    </w:p>
    <w:p>
      <w:pPr>
        <w:pStyle w:val="BodyText"/>
        <w:spacing w:line="300" w:lineRule="auto" w:before="65"/>
        <w:ind w:right="1139" w:firstLine="288"/>
        <w:jc w:val="both"/>
      </w:pPr>
      <w:r>
        <w:rPr/>
        <w:t>（</w:t>
      </w:r>
      <w:r>
        <w:rPr>
          <w:rFonts w:ascii="Times New Roman" w:hAnsi="Times New Roman" w:cs="Times New Roman" w:eastAsia="Times New Roman" w:hint="default"/>
        </w:rPr>
        <w:t>6</w:t>
      </w:r>
      <w:r>
        <w:rPr/>
        <w:t>）公司其他主营业务主要包括为银行收单业务提供的营销及运维服务等，为银行收单业务提供的营销及运维服务按 照所合作银行各期确认的服务费结算金额确认收入。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1133"/>
        <w:jc w:val="left"/>
        <w:rPr>
          <w:b w:val="0"/>
          <w:bCs w:val="0"/>
        </w:rPr>
      </w:pPr>
      <w:bookmarkStart w:name="26、政府补助" w:id="203"/>
      <w:bookmarkEnd w:id="203"/>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2"/>
          <w:szCs w:val="22"/>
        </w:rPr>
      </w:pPr>
    </w:p>
    <w:p>
      <w:pPr>
        <w:pStyle w:val="BodyText"/>
        <w:tabs>
          <w:tab w:pos="993" w:val="left" w:leader="none"/>
        </w:tabs>
        <w:spacing w:line="340" w:lineRule="auto" w:before="44"/>
        <w:ind w:left="513" w:right="1132"/>
        <w:jc w:val="left"/>
      </w:pPr>
      <w:r>
        <w:rPr>
          <w:rFonts w:ascii="Times New Roman" w:hAnsi="Times New Roman" w:cs="Times New Roman" w:eastAsia="Times New Roman" w:hint="default"/>
        </w:rPr>
        <w:t>1</w:t>
      </w:r>
      <w:r>
        <w:rPr/>
        <w:t>、</w:t>
        <w:tab/>
        <w:t>类型 </w:t>
      </w:r>
      <w:r>
        <w:rPr>
          <w:spacing w:val="-2"/>
        </w:rPr>
        <w:t>政府补助，是本公司从政府无偿取得的货币性资产与非货币性资产。分为与资产相关的政府补助和与收益相关的政府补</w:t>
      </w:r>
    </w:p>
    <w:p>
      <w:pPr>
        <w:pStyle w:val="BodyText"/>
        <w:spacing w:line="240" w:lineRule="auto" w:before="1"/>
        <w:ind w:right="1133"/>
        <w:jc w:val="left"/>
      </w:pPr>
      <w:r>
        <w:rPr/>
        <w:t>助。</w:t>
      </w:r>
    </w:p>
    <w:p>
      <w:pPr>
        <w:pStyle w:val="BodyText"/>
        <w:spacing w:line="240" w:lineRule="auto" w:before="117"/>
        <w:ind w:left="513" w:right="986"/>
        <w:jc w:val="left"/>
      </w:pPr>
      <w:r>
        <w:rPr>
          <w:spacing w:val="-4"/>
        </w:rPr>
        <w:t>与资产相关的政府补助，是指本公司取得的、用于购建或以其他方式形成长期资产的政府补助。与收益相关的政府补助，</w:t>
      </w:r>
    </w:p>
    <w:p>
      <w:pPr>
        <w:pStyle w:val="BodyText"/>
        <w:spacing w:line="240" w:lineRule="auto" w:before="76"/>
        <w:ind w:right="1133"/>
        <w:jc w:val="left"/>
      </w:pPr>
      <w:r>
        <w:rPr/>
        <w:t>是指除与资产相关的政府补助之外的政府补助。</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57" w:lineRule="auto"/>
        <w:ind w:left="513" w:right="986"/>
        <w:jc w:val="left"/>
      </w:pPr>
      <w:r>
        <w:rPr/>
        <w:t>本公司将政府补助划分为与资产相关的具体标准为：企业取得的用于购建或以其他方式形成长期资产的政府补助。 本公司将政府补助划分为与收益相关的具体标准为：除与资产相关的政府补助之外的政府补助。 </w:t>
      </w:r>
      <w:r>
        <w:rPr>
          <w:spacing w:val="-2"/>
        </w:rPr>
        <w:t>对于政府文件中未明确规定补助对象的，本公司将该政府补助划分为与资产相关或与收益相关的判断依据为：是否用于</w:t>
      </w:r>
    </w:p>
    <w:p>
      <w:pPr>
        <w:pStyle w:val="BodyText"/>
        <w:spacing w:line="224" w:lineRule="exact"/>
        <w:ind w:right="1133"/>
        <w:jc w:val="left"/>
      </w:pPr>
      <w:r>
        <w:rPr/>
        <w:t>购建或以其他方式形成长期资产。</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BodyText"/>
        <w:tabs>
          <w:tab w:pos="993" w:val="left" w:leader="none"/>
        </w:tabs>
        <w:spacing w:line="338" w:lineRule="auto"/>
        <w:ind w:left="513" w:right="1132"/>
        <w:jc w:val="left"/>
      </w:pPr>
      <w:r>
        <w:rPr>
          <w:rFonts w:ascii="Times New Roman" w:hAnsi="Times New Roman" w:cs="Times New Roman" w:eastAsia="Times New Roman" w:hint="default"/>
        </w:rPr>
        <w:t>2</w:t>
      </w:r>
      <w:r>
        <w:rPr/>
        <w:t>、</w:t>
        <w:tab/>
        <w:t>确认时点 </w:t>
      </w:r>
      <w:r>
        <w:rPr>
          <w:spacing w:val="-2"/>
        </w:rPr>
        <w:t>除按照固定的定额标准取得且有相关文件明确规定的政府补助外，按照实际收到的时间进行确认；对于按照固定的定额</w:t>
      </w:r>
    </w:p>
    <w:p>
      <w:pPr>
        <w:pStyle w:val="BodyText"/>
        <w:spacing w:line="240" w:lineRule="auto" w:before="2"/>
        <w:ind w:right="1133"/>
        <w:jc w:val="left"/>
      </w:pPr>
      <w:r>
        <w:rPr/>
        <w:t>标准取得且有相关文件明确规定的政府补助，期末按照文件规定及固定定额标准计算的应收金额进行确认。</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tabs>
          <w:tab w:pos="993" w:val="left" w:leader="none"/>
        </w:tabs>
        <w:spacing w:line="340" w:lineRule="auto"/>
        <w:ind w:left="513" w:right="1132"/>
        <w:jc w:val="left"/>
      </w:pPr>
      <w:r>
        <w:rPr>
          <w:rFonts w:ascii="Times New Roman" w:hAnsi="Times New Roman" w:cs="Times New Roman" w:eastAsia="Times New Roman" w:hint="default"/>
        </w:rPr>
        <w:t>3</w:t>
      </w:r>
      <w:r>
        <w:rPr/>
        <w:t>、</w:t>
        <w:tab/>
        <w:t>会计处理 </w:t>
      </w:r>
      <w:r>
        <w:rPr>
          <w:spacing w:val="-2"/>
        </w:rPr>
        <w:t>与资产相关的政府补助，冲减相关资产账面价值或确认为递延收益。确认为递延收益的，在相关资产使用寿命内按照合</w:t>
      </w:r>
    </w:p>
    <w:p>
      <w:pPr>
        <w:pStyle w:val="BodyText"/>
        <w:spacing w:line="360" w:lineRule="auto" w:before="1"/>
        <w:ind w:left="513" w:right="986" w:hanging="361"/>
        <w:jc w:val="left"/>
      </w:pPr>
      <w:r>
        <w:rPr>
          <w:spacing w:val="-7"/>
        </w:rPr>
        <w:t>理、系统的方法分期计入当期损益（与本公司日常活动相关的，计入其他收益；与本公司日常活动无关的，计入营业外收入）；</w:t>
      </w:r>
      <w:r>
        <w:rPr>
          <w:spacing w:val="-48"/>
        </w:rPr>
        <w:t> </w:t>
      </w:r>
      <w:r>
        <w:rPr>
          <w:spacing w:val="-48"/>
        </w:rPr>
      </w:r>
      <w:r>
        <w:rPr>
          <w:spacing w:val="-2"/>
        </w:rPr>
        <w:t>与收益相关的政府补助，用于补偿本公司以后期间的相关成本费用或损失的，确认为递延收益，并在确认相关成本费用</w:t>
      </w:r>
    </w:p>
    <w:p>
      <w:pPr>
        <w:pStyle w:val="BodyText"/>
        <w:spacing w:line="222" w:lineRule="exact"/>
        <w:ind w:right="986"/>
        <w:jc w:val="left"/>
      </w:pPr>
      <w:r>
        <w:rPr/>
        <w:t>或损失的期间，计入当期损益（与本公司日常活动相关的，计入其他收益；与本公司日常活动无关的，计入营业外收入）或</w:t>
      </w:r>
    </w:p>
    <w:p>
      <w:pPr>
        <w:spacing w:after="0" w:line="222" w:lineRule="exact"/>
        <w:jc w:val="left"/>
        <w:sectPr>
          <w:pgSz w:w="11910" w:h="16840"/>
          <w:pgMar w:header="852" w:footer="980" w:top="1300" w:bottom="1160" w:left="980" w:right="0"/>
        </w:sectPr>
      </w:pPr>
    </w:p>
    <w:p>
      <w:pPr>
        <w:pStyle w:val="BodyText"/>
        <w:spacing w:line="319" w:lineRule="auto" w:before="142"/>
        <w:ind w:right="986"/>
        <w:jc w:val="left"/>
      </w:pPr>
      <w:r>
        <w:rPr>
          <w:spacing w:val="-4"/>
        </w:rPr>
        <w:t>冲减相关成本费用或损失；用于补偿本公司已发生的相关成本费用或损失的，直接计入当期损益（与本公司日常活动相关的，</w:t>
      </w:r>
      <w:r>
        <w:rPr>
          <w:spacing w:val="-44"/>
        </w:rPr>
        <w:t> </w:t>
      </w:r>
      <w:r>
        <w:rPr>
          <w:spacing w:val="-44"/>
        </w:rPr>
      </w:r>
      <w:r>
        <w:rPr/>
        <w:t>计入其他收益；与本公司日常活动无关的，计入营业外收入）或冲减相关成本费用或损失。</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left="513" w:right="1133"/>
        <w:jc w:val="left"/>
      </w:pPr>
      <w:r>
        <w:rPr/>
        <w:t>本公司取得的政策性优惠贷款贴息，区分以下两种情况，分别进行会计处理：</w:t>
      </w:r>
    </w:p>
    <w:p>
      <w:pPr>
        <w:pStyle w:val="BodyText"/>
        <w:spacing w:line="300" w:lineRule="auto" w:before="117"/>
        <w:ind w:right="1139" w:firstLine="360"/>
        <w:jc w:val="both"/>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BodyText"/>
        <w:spacing w:line="240" w:lineRule="auto" w:before="72"/>
        <w:ind w:left="441" w:right="1133"/>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bookmarkStart w:name="27、递延所得税资产/递延所得税负债" w:id="204"/>
      <w:bookmarkEnd w:id="204"/>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86" w:firstLine="360"/>
        <w:jc w:val="left"/>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3"/>
        </w:rPr>
        <w:t> </w:t>
      </w:r>
      <w:r>
        <w:rPr>
          <w:spacing w:val="-63"/>
        </w:rPr>
      </w:r>
      <w:r>
        <w:rPr/>
        <w:t>限，确认相应的递延所得税资产。</w:t>
      </w:r>
    </w:p>
    <w:p>
      <w:pPr>
        <w:pStyle w:val="BodyText"/>
        <w:spacing w:line="360" w:lineRule="auto" w:before="58"/>
        <w:ind w:left="513" w:right="986"/>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222" w:lineRule="exact"/>
        <w:ind w:right="0"/>
        <w:jc w:val="both"/>
      </w:pPr>
      <w:r>
        <w:rPr/>
        <w:t>润也不影响应纳税所得额（或可抵扣亏损）的其他交易或事项。</w:t>
      </w:r>
    </w:p>
    <w:p>
      <w:pPr>
        <w:pStyle w:val="BodyText"/>
        <w:spacing w:line="316" w:lineRule="auto" w:before="115"/>
        <w:ind w:right="1131" w:firstLine="360"/>
        <w:jc w:val="both"/>
      </w:pPr>
      <w:r>
        <w:rPr>
          <w:spacing w:val="-2"/>
        </w:rPr>
        <w:t>当拥有以净额结算的法定权利，且意图以净额结算或取得资产、清偿负债同时进行时，当期所得税资产及当期所得税负</w:t>
      </w:r>
      <w:r>
        <w:rPr/>
        <w:t> 债以抵销后的净额列报。</w:t>
      </w:r>
    </w:p>
    <w:p>
      <w:pPr>
        <w:pStyle w:val="BodyText"/>
        <w:spacing w:line="316" w:lineRule="auto" w:before="59"/>
        <w:ind w:right="1130"/>
        <w:jc w:val="both"/>
      </w:pPr>
      <w:r>
        <w:rPr>
          <w:spacing w:val="-2"/>
        </w:rPr>
        <w:t>当拥有以净额结算当期所得税资产及当期所得税负债的法定权利，且递延所得税资产及递延所得税负债是与同一税收征管部</w:t>
      </w:r>
      <w:r>
        <w:rPr>
          <w:spacing w:val="-63"/>
        </w:rPr>
        <w:t> </w:t>
      </w:r>
      <w:r>
        <w:rPr>
          <w:spacing w:val="-63"/>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3"/>
        </w:rPr>
        <w:t> </w:t>
      </w:r>
      <w:r>
        <w:rPr>
          <w:spacing w:val="-63"/>
        </w:rPr>
      </w:r>
      <w:r>
        <w:rPr/>
        <w:t>所得税负债以抵销后的净额列报。</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28、租赁" w:id="205"/>
      <w:bookmarkEnd w:id="205"/>
      <w:r>
        <w:rPr>
          <w:b w:val="0"/>
          <w:bCs w:val="0"/>
        </w:rPr>
      </w:r>
      <w:r>
        <w:rPr>
          <w:rFonts w:ascii="Times New Roman" w:hAnsi="Times New Roman" w:cs="Times New Roman" w:eastAsia="Times New Roman" w:hint="default"/>
        </w:rPr>
        <w:t>28</w:t>
      </w:r>
      <w:r>
        <w:rPr/>
        <w:t>、租赁</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经营租赁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00" w:lineRule="auto"/>
        <w:ind w:right="1139" w:firstLine="360"/>
        <w:jc w:val="both"/>
      </w:pP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 与租赁交易相关的初始直接费用，计入当期费用。</w:t>
      </w:r>
    </w:p>
    <w:p>
      <w:pPr>
        <w:pStyle w:val="BodyText"/>
        <w:spacing w:line="316" w:lineRule="auto" w:before="72"/>
        <w:ind w:right="113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09" w:lineRule="auto" w:before="57"/>
        <w:ind w:right="1133" w:firstLine="360"/>
        <w:jc w:val="both"/>
      </w:pP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 </w:t>
      </w:r>
      <w:r>
        <w:rPr>
          <w:spacing w:val="-2"/>
        </w:rPr>
        <w:t>支付的与租赁交易相关的初始直接费用，计入当期费用；如金额较大的，则予以资本化，在整个租赁期间内按照与租赁相关</w:t>
      </w:r>
      <w:r>
        <w:rPr>
          <w:spacing w:val="-66"/>
        </w:rPr>
        <w:t> </w:t>
      </w:r>
      <w:r>
        <w:rPr>
          <w:spacing w:val="-66"/>
        </w:rPr>
      </w:r>
      <w:r>
        <w:rPr/>
        <w:t>收入确认相同的基础分期计入当期收益。</w:t>
      </w:r>
    </w:p>
    <w:p>
      <w:pPr>
        <w:pStyle w:val="BodyText"/>
        <w:spacing w:line="316" w:lineRule="auto" w:before="65"/>
        <w:ind w:right="986"/>
        <w:jc w:val="left"/>
      </w:pP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both"/>
        <w:rPr>
          <w:b w:val="0"/>
          <w:bCs w:val="0"/>
        </w:rPr>
      </w:pPr>
      <w:bookmarkStart w:name="（2）融资租赁的会计处理方法" w:id="207"/>
      <w:bookmarkEnd w:id="20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30" w:firstLine="360"/>
        <w:jc w:val="both"/>
      </w:pP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 </w:t>
      </w:r>
      <w:r>
        <w:rPr>
          <w:spacing w:val="-2"/>
        </w:rPr>
        <w:t>价值，将最低租赁付款额作为长期应付款的入账价值，其差额作为未确认的融资费用。公司采用实际利率法对未确认的融资</w:t>
      </w:r>
      <w:r>
        <w:rPr>
          <w:spacing w:val="-63"/>
        </w:rPr>
        <w:t> </w:t>
      </w:r>
      <w:r>
        <w:rPr>
          <w:spacing w:val="-63"/>
        </w:rPr>
      </w:r>
      <w:r>
        <w:rPr/>
        <w:t>费用，在资产租赁期间内摊销，计入财务费用。公司发生的初始直接费用，计入租入资产价值。</w:t>
      </w:r>
    </w:p>
    <w:p>
      <w:pPr>
        <w:spacing w:after="0" w:line="309" w:lineRule="auto"/>
        <w:jc w:val="both"/>
        <w:sectPr>
          <w:pgSz w:w="11910" w:h="16840"/>
          <w:pgMar w:header="852" w:footer="980" w:top="1300" w:bottom="1160" w:left="980" w:right="0"/>
        </w:sectPr>
      </w:pPr>
    </w:p>
    <w:p>
      <w:pPr>
        <w:pStyle w:val="BodyText"/>
        <w:spacing w:line="309" w:lineRule="auto" w:before="142"/>
        <w:ind w:right="1133" w:firstLine="288"/>
        <w:jc w:val="both"/>
      </w:pP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Heading3"/>
        <w:spacing w:line="240" w:lineRule="auto"/>
        <w:ind w:right="1133"/>
        <w:jc w:val="left"/>
        <w:rPr>
          <w:b w:val="0"/>
          <w:bCs w:val="0"/>
        </w:rPr>
      </w:pPr>
      <w:bookmarkStart w:name="29、重要会计政策和会计估计变更" w:id="208"/>
      <w:bookmarkEnd w:id="208"/>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重要会计政策变更"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根据财政部分发布的《关于修订印发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年度一般企业财务报表格式的通 </w:t>
            </w:r>
            <w:r>
              <w:rPr>
                <w:rFonts w:ascii="宋体" w:hAnsi="宋体" w:cs="宋体" w:eastAsia="宋体" w:hint="default"/>
                <w:spacing w:val="-8"/>
                <w:sz w:val="18"/>
                <w:szCs w:val="18"/>
              </w:rPr>
              <w:t>知》（财会（</w:t>
            </w:r>
            <w:r>
              <w:rPr>
                <w:rFonts w:ascii="Times New Roman" w:hAnsi="Times New Roman" w:cs="Times New Roman" w:eastAsia="Times New Roman" w:hint="default"/>
                <w:spacing w:val="-8"/>
                <w:sz w:val="18"/>
                <w:szCs w:val="18"/>
              </w:rPr>
              <w:t>2019</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6</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号）和《关于修订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印发合并财务报表格式（</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版）的通 </w:t>
            </w:r>
            <w:r>
              <w:rPr>
                <w:rFonts w:ascii="宋体" w:hAnsi="宋体" w:cs="宋体" w:eastAsia="宋体" w:hint="default"/>
                <w:spacing w:val="-10"/>
                <w:sz w:val="18"/>
                <w:szCs w:val="18"/>
              </w:rPr>
              <w:t>知》（财会（</w:t>
            </w:r>
            <w:r>
              <w:rPr>
                <w:rFonts w:ascii="Times New Roman" w:hAnsi="Times New Roman" w:cs="Times New Roman" w:eastAsia="Times New Roman" w:hint="default"/>
                <w:spacing w:val="-10"/>
                <w:sz w:val="18"/>
                <w:szCs w:val="18"/>
              </w:rPr>
              <w:t>2019</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号）文件，本公司</w:t>
            </w:r>
            <w:r>
              <w:rPr>
                <w:rFonts w:ascii="宋体" w:hAnsi="宋体" w:cs="宋体" w:eastAsia="宋体" w:hint="default"/>
                <w:sz w:val="18"/>
                <w:szCs w:val="18"/>
              </w:rPr>
              <w:t> 对财务报表格式进行相应调整。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w:t>
            </w:r>
            <w:r>
              <w:rPr>
                <w:rFonts w:ascii="宋体" w:hAnsi="宋体" w:cs="宋体" w:eastAsia="宋体" w:hint="default"/>
                <w:sz w:val="18"/>
                <w:szCs w:val="18"/>
              </w:rPr>
              <w:t>第二届董事会第十次会议</w:t>
            </w:r>
            <w:r>
              <w:rPr>
                <w:rFonts w:ascii="Times New Roman" w:hAnsi="Times New Roman" w:cs="Times New Roman" w:eastAsia="Times New Roman" w:hint="default"/>
                <w:sz w:val="18"/>
                <w:szCs w:val="18"/>
              </w:rPr>
              <w:t>”</w:t>
            </w:r>
            <w:r>
              <w:rPr>
                <w:rFonts w:ascii="宋体" w:hAnsi="宋体" w:cs="宋体" w:eastAsia="宋体" w:hint="default"/>
                <w:sz w:val="18"/>
                <w:szCs w:val="18"/>
              </w:rPr>
              <w:t>审批</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年度修订了《企业会计准</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金融工具确认</w:t>
            </w:r>
            <w:r>
              <w:rPr>
                <w:rFonts w:ascii="宋体" w:hAnsi="宋体" w:cs="宋体" w:eastAsia="宋体" w:hint="default"/>
                <w:spacing w:val="-3"/>
                <w:sz w:val="18"/>
                <w:szCs w:val="18"/>
              </w:rPr>
              <w:t>和</w:t>
            </w:r>
            <w:r>
              <w:rPr>
                <w:rFonts w:ascii="宋体" w:hAnsi="宋体" w:cs="宋体" w:eastAsia="宋体" w:hint="default"/>
                <w:sz w:val="18"/>
                <w:szCs w:val="18"/>
              </w:rPr>
              <w:t>计量</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移</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计》和《企业会计准则第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工具列报</w:t>
            </w:r>
            <w:r>
              <w:rPr>
                <w:rFonts w:ascii="宋体" w:hAnsi="宋体" w:cs="宋体" w:eastAsia="宋体" w:hint="default"/>
                <w:spacing w:val="-92"/>
                <w:sz w:val="18"/>
                <w:szCs w:val="18"/>
              </w:rPr>
              <w:t>》</w:t>
            </w:r>
            <w:r>
              <w:rPr>
                <w:rFonts w:ascii="宋体" w:hAnsi="宋体" w:cs="宋体" w:eastAsia="宋体" w:hint="default"/>
                <w:sz w:val="18"/>
                <w:szCs w:val="18"/>
              </w:rPr>
              <w:t>，要求境内上市公</w:t>
            </w:r>
            <w:r>
              <w:rPr>
                <w:rFonts w:ascii="宋体" w:hAnsi="宋体" w:cs="宋体" w:eastAsia="宋体" w:hint="default"/>
                <w:spacing w:val="2"/>
                <w:sz w:val="18"/>
                <w:szCs w:val="18"/>
              </w:rPr>
              <w:t>司</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日起开始执行。</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w:t>
            </w:r>
            <w:r>
              <w:rPr>
                <w:rFonts w:ascii="宋体" w:hAnsi="宋体" w:cs="宋体" w:eastAsia="宋体" w:hint="default"/>
                <w:sz w:val="18"/>
                <w:szCs w:val="18"/>
              </w:rPr>
              <w:t>第二届董事会第九次会议</w:t>
            </w:r>
            <w:r>
              <w:rPr>
                <w:rFonts w:ascii="Times New Roman" w:hAnsi="Times New Roman" w:cs="Times New Roman" w:eastAsia="Times New Roman" w:hint="default"/>
                <w:sz w:val="18"/>
                <w:szCs w:val="18"/>
              </w:rPr>
              <w:t>”</w:t>
            </w:r>
            <w:r>
              <w:rPr>
                <w:rFonts w:ascii="宋体" w:hAnsi="宋体" w:cs="宋体" w:eastAsia="宋体" w:hint="default"/>
                <w:sz w:val="18"/>
                <w:szCs w:val="18"/>
              </w:rPr>
              <w:t>审批</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8"/>
        <w:ind w:right="1124"/>
        <w:jc w:val="left"/>
      </w:pPr>
      <w:r>
        <w:rPr/>
        <w:t>（</w:t>
      </w:r>
      <w:r>
        <w:rPr>
          <w:rFonts w:ascii="Times New Roman" w:hAnsi="Times New Roman" w:cs="Times New Roman" w:eastAsia="Times New Roman" w:hint="default"/>
        </w:rPr>
        <w:t>1</w:t>
      </w:r>
      <w:r>
        <w:rPr/>
        <w:t>）执行《财政部关于修订印发</w:t>
      </w:r>
      <w:r>
        <w:rPr>
          <w:rFonts w:ascii="Times New Roman" w:hAnsi="Times New Roman" w:cs="Times New Roman" w:eastAsia="Times New Roman" w:hint="default"/>
        </w:rPr>
        <w:t>2019</w:t>
      </w:r>
      <w:r>
        <w:rPr/>
        <w:t>年度一般企业财务报表格式的通知》和《关于修订印发合并财务报表格式（</w:t>
      </w:r>
      <w:r>
        <w:rPr>
          <w:rFonts w:ascii="Times New Roman" w:hAnsi="Times New Roman" w:cs="Times New Roman" w:eastAsia="Times New Roman" w:hint="default"/>
        </w:rPr>
        <w:t>2019</w:t>
      </w:r>
      <w:r>
        <w:rPr/>
        <w:t>版）</w:t>
      </w:r>
      <w:r>
        <w:rPr>
          <w:spacing w:val="-85"/>
        </w:rPr>
        <w:t> </w:t>
      </w:r>
      <w:r>
        <w:rPr/>
        <w:t>的通知》</w:t>
      </w:r>
    </w:p>
    <w:p>
      <w:pPr>
        <w:pStyle w:val="BodyText"/>
        <w:spacing w:line="240" w:lineRule="auto" w:before="31"/>
        <w:ind w:left="513" w:right="986"/>
        <w:jc w:val="left"/>
      </w:pPr>
      <w:r>
        <w:rPr/>
        <w:t>财政部分别于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spacing w:val="-3"/>
        </w:rPr>
        <w:t> </w:t>
      </w:r>
      <w:r>
        <w:rPr/>
        <w:t>发布了《关于修订印发</w:t>
      </w:r>
      <w:r>
        <w:rPr>
          <w:rFonts w:ascii="Times New Roman" w:hAnsi="Times New Roman" w:cs="Times New Roman" w:eastAsia="Times New Roman" w:hint="default"/>
        </w:rPr>
        <w:t>2019</w:t>
      </w:r>
      <w:r>
        <w:rPr/>
        <w:t>年度一般企业财务报表格式的通知》（财会</w:t>
      </w:r>
    </w:p>
    <w:p>
      <w:pPr>
        <w:pStyle w:val="BodyText"/>
        <w:spacing w:line="300" w:lineRule="auto" w:before="63"/>
        <w:ind w:right="1124"/>
        <w:jc w:val="left"/>
      </w:pPr>
      <w:r>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号）和《关于修订印发合并财务报表格式（</w:t>
      </w:r>
      <w:r>
        <w:rPr>
          <w:rFonts w:ascii="Times New Roman" w:hAnsi="Times New Roman" w:cs="Times New Roman" w:eastAsia="Times New Roman" w:hint="default"/>
        </w:rPr>
        <w:t>2019</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号），对一般企业财务报表格式 进行了修订。</w:t>
      </w:r>
      <w:r>
        <w:rPr>
          <w:spacing w:val="-18"/>
        </w:rPr>
        <w:t> </w:t>
      </w:r>
      <w:r>
        <w:rPr/>
        <w:t>本公司执行上述规定的主要影响如下：</w:t>
      </w:r>
    </w:p>
    <w:tbl>
      <w:tblPr>
        <w:tblW w:w="0" w:type="auto"/>
        <w:jc w:val="left"/>
        <w:tblInd w:w="145" w:type="dxa"/>
        <w:tblLayout w:type="fixed"/>
        <w:tblCellMar>
          <w:top w:w="0" w:type="dxa"/>
          <w:left w:w="0" w:type="dxa"/>
          <w:bottom w:w="0" w:type="dxa"/>
          <w:right w:w="0" w:type="dxa"/>
        </w:tblCellMar>
        <w:tblLook w:val="01E0"/>
      </w:tblPr>
      <w:tblGrid>
        <w:gridCol w:w="2694"/>
        <w:gridCol w:w="2784"/>
        <w:gridCol w:w="3029"/>
      </w:tblGrid>
      <w:tr>
        <w:trPr>
          <w:trHeight w:val="348" w:hRule="exact"/>
        </w:trPr>
        <w:tc>
          <w:tcPr>
            <w:tcW w:w="269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581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727"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6" w:hRule="exact"/>
        </w:trPr>
        <w:tc>
          <w:tcPr>
            <w:tcW w:w="2694" w:type="dxa"/>
            <w:vMerge/>
            <w:tcBorders>
              <w:left w:val="single" w:sz="6" w:space="0" w:color="000000"/>
              <w:bottom w:val="single" w:sz="6" w:space="0" w:color="000000"/>
              <w:right w:val="single" w:sz="6" w:space="0" w:color="000000"/>
            </w:tcBorders>
            <w:shd w:val="clear" w:color="auto" w:fill="D9D9D9"/>
          </w:tcPr>
          <w:p>
            <w:pPr/>
          </w:p>
        </w:tc>
        <w:tc>
          <w:tcPr>
            <w:tcW w:w="2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0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533"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）资产负债表中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w:t>
            </w:r>
            <w:r>
              <w:rPr>
                <w:rFonts w:ascii="宋体" w:hAnsi="宋体" w:cs="宋体" w:eastAsia="宋体" w:hint="default"/>
                <w:spacing w:val="-82"/>
                <w:sz w:val="18"/>
                <w:szCs w:val="18"/>
              </w:rPr>
              <w:t> </w:t>
            </w:r>
            <w:r>
              <w:rPr>
                <w:rFonts w:ascii="宋体" w:hAnsi="宋体" w:cs="宋体" w:eastAsia="宋体" w:hint="default"/>
                <w:spacing w:val="-6"/>
                <w:w w:val="100"/>
                <w:sz w:val="18"/>
                <w:szCs w:val="18"/>
              </w:rPr>
              <w:t>账款</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列示；</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应付票据及应付账款</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33"/>
                <w:w w:val="100"/>
                <w:sz w:val="18"/>
                <w:szCs w:val="18"/>
              </w:rPr>
              <w:t> </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w:t>
            </w:r>
            <w:r>
              <w:rPr>
                <w:rFonts w:ascii="宋体" w:hAnsi="宋体" w:cs="宋体" w:eastAsia="宋体" w:hint="default"/>
                <w:spacing w:val="-82"/>
                <w:sz w:val="18"/>
                <w:szCs w:val="18"/>
              </w:rPr>
              <w:t> </w:t>
            </w:r>
            <w:r>
              <w:rPr>
                <w:rFonts w:ascii="宋体" w:hAnsi="宋体" w:cs="宋体" w:eastAsia="宋体" w:hint="default"/>
                <w:sz w:val="18"/>
                <w:szCs w:val="18"/>
              </w:rPr>
              <w:t>示；比较数据相应调整。</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w:t>
            </w:r>
            <w:r>
              <w:rPr>
                <w:rFonts w:ascii="宋体" w:hAnsi="宋体" w:cs="宋体" w:eastAsia="宋体" w:hint="default"/>
                <w:spacing w:val="-87"/>
                <w:sz w:val="18"/>
                <w:szCs w:val="18"/>
              </w:rPr>
              <w:t> </w:t>
            </w:r>
            <w:r>
              <w:rPr>
                <w:rFonts w:ascii="宋体" w:hAnsi="宋体" w:cs="宋体" w:eastAsia="宋体" w:hint="default"/>
                <w:sz w:val="18"/>
                <w:szCs w:val="18"/>
              </w:rPr>
              <w:t>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r>
              <w:rPr>
                <w:rFonts w:ascii="宋体" w:hAnsi="宋体" w:cs="宋体" w:eastAsia="宋体" w:hint="default"/>
                <w:spacing w:val="-68"/>
                <w:sz w:val="18"/>
                <w:szCs w:val="18"/>
              </w:rPr>
              <w:t> </w:t>
            </w:r>
            <w:r>
              <w:rPr>
                <w:rFonts w:ascii="宋体" w:hAnsi="宋体" w:cs="宋体" w:eastAsia="宋体" w:hint="default"/>
                <w:sz w:val="18"/>
                <w:szCs w:val="18"/>
              </w:rPr>
              <w:t>年年末无余额，</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 末余额</w:t>
            </w:r>
            <w:r>
              <w:rPr>
                <w:rFonts w:ascii="Times New Roman" w:hAnsi="Times New Roman" w:cs="Times New Roman" w:eastAsia="Times New Roman" w:hint="default"/>
                <w:sz w:val="18"/>
                <w:szCs w:val="18"/>
              </w:rPr>
              <w:t>607,018,060.38</w:t>
            </w:r>
            <w:r>
              <w:rPr>
                <w:rFonts w:ascii="宋体" w:hAnsi="宋体" w:cs="宋体" w:eastAsia="宋体" w:hint="default"/>
                <w:sz w:val="18"/>
                <w:szCs w:val="18"/>
              </w:rPr>
              <w:t>元；</w:t>
            </w:r>
          </w:p>
          <w:p>
            <w:pPr>
              <w:pStyle w:val="TableParagraph"/>
              <w:spacing w:line="300" w:lineRule="auto" w:before="13"/>
              <w:ind w:left="2"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w:t>
            </w:r>
            <w:r>
              <w:rPr>
                <w:rFonts w:ascii="宋体" w:hAnsi="宋体" w:cs="宋体" w:eastAsia="宋体" w:hint="default"/>
                <w:spacing w:val="-87"/>
                <w:sz w:val="18"/>
                <w:szCs w:val="18"/>
              </w:rPr>
              <w:t> </w:t>
            </w:r>
            <w:r>
              <w:rPr>
                <w:rFonts w:ascii="宋体" w:hAnsi="宋体" w:cs="宋体" w:eastAsia="宋体" w:hint="default"/>
                <w:sz w:val="18"/>
                <w:szCs w:val="18"/>
              </w:rPr>
              <w:t>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r>
              <w:rPr>
                <w:rFonts w:ascii="宋体" w:hAnsi="宋体" w:cs="宋体" w:eastAsia="宋体" w:hint="default"/>
                <w:spacing w:val="-68"/>
                <w:sz w:val="18"/>
                <w:szCs w:val="18"/>
              </w:rPr>
              <w:t> </w:t>
            </w:r>
            <w:r>
              <w:rPr>
                <w:rFonts w:ascii="宋体" w:hAnsi="宋体" w:cs="宋体" w:eastAsia="宋体" w:hint="default"/>
                <w:sz w:val="18"/>
                <w:szCs w:val="18"/>
              </w:rPr>
              <w:t>年年末无余额，</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 末余额</w:t>
            </w:r>
            <w:r>
              <w:rPr>
                <w:rFonts w:ascii="Times New Roman" w:hAnsi="Times New Roman" w:cs="Times New Roman" w:eastAsia="Times New Roman" w:hint="default"/>
                <w:sz w:val="18"/>
                <w:szCs w:val="18"/>
              </w:rPr>
              <w:t>215,635,634.65</w:t>
            </w:r>
            <w:r>
              <w:rPr>
                <w:rFonts w:ascii="宋体" w:hAnsi="宋体" w:cs="宋体" w:eastAsia="宋体" w:hint="default"/>
                <w:sz w:val="18"/>
                <w:szCs w:val="18"/>
              </w:rPr>
              <w:t>元。</w:t>
            </w:r>
          </w:p>
        </w:tc>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拆分为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w:t>
            </w:r>
            <w:r>
              <w:rPr>
                <w:rFonts w:ascii="宋体" w:hAnsi="宋体" w:cs="宋体" w:eastAsia="宋体" w:hint="default"/>
                <w:spacing w:val="-78"/>
                <w:sz w:val="18"/>
                <w:szCs w:val="18"/>
              </w:rPr>
              <w:t> </w:t>
            </w:r>
            <w:r>
              <w:rPr>
                <w:rFonts w:ascii="宋体" w:hAnsi="宋体" w:cs="宋体" w:eastAsia="宋体" w:hint="default"/>
                <w:spacing w:val="4"/>
                <w:sz w:val="18"/>
                <w:szCs w:val="18"/>
              </w:rPr>
              <w:t>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上年年</w:t>
            </w:r>
            <w:r>
              <w:rPr>
                <w:rFonts w:ascii="宋体" w:hAnsi="宋体" w:cs="宋体" w:eastAsia="宋体" w:hint="default"/>
                <w:spacing w:val="-85"/>
                <w:sz w:val="18"/>
                <w:szCs w:val="18"/>
              </w:rPr>
              <w:t> </w:t>
            </w:r>
            <w:r>
              <w:rPr>
                <w:rFonts w:ascii="宋体" w:hAnsi="宋体" w:cs="宋体" w:eastAsia="宋体" w:hint="default"/>
                <w:spacing w:val="3"/>
                <w:sz w:val="18"/>
                <w:szCs w:val="18"/>
              </w:rPr>
              <w:t>末无余额，</w:t>
            </w:r>
            <w:r>
              <w:rPr>
                <w:rFonts w:ascii="宋体" w:hAnsi="宋体" w:cs="宋体" w:eastAsia="宋体" w:hint="default"/>
                <w:spacing w:val="-5"/>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上年年末余额</w:t>
            </w:r>
            <w:r>
              <w:rPr>
                <w:rFonts w:ascii="宋体" w:hAnsi="宋体" w:cs="宋体" w:eastAsia="宋体" w:hint="default"/>
                <w:sz w:val="18"/>
                <w:szCs w:val="18"/>
              </w:rPr>
              <w:t> </w:t>
            </w:r>
            <w:r>
              <w:rPr>
                <w:rFonts w:ascii="Times New Roman" w:hAnsi="Times New Roman" w:cs="Times New Roman" w:eastAsia="Times New Roman" w:hint="default"/>
                <w:sz w:val="18"/>
                <w:szCs w:val="18"/>
              </w:rPr>
              <w:t>616,390,853.39</w:t>
            </w:r>
            <w:r>
              <w:rPr>
                <w:rFonts w:ascii="宋体" w:hAnsi="宋体" w:cs="宋体" w:eastAsia="宋体" w:hint="default"/>
                <w:sz w:val="18"/>
                <w:szCs w:val="18"/>
              </w:rPr>
              <w:t>元；</w:t>
            </w:r>
          </w:p>
          <w:p>
            <w:pPr>
              <w:pStyle w:val="TableParagraph"/>
              <w:spacing w:line="300" w:lineRule="auto" w:before="13"/>
              <w:ind w:left="4" w:right="-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拆分为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w:t>
            </w:r>
            <w:r>
              <w:rPr>
                <w:rFonts w:ascii="宋体" w:hAnsi="宋体" w:cs="宋体" w:eastAsia="宋体" w:hint="default"/>
                <w:spacing w:val="-78"/>
                <w:sz w:val="18"/>
                <w:szCs w:val="18"/>
              </w:rPr>
              <w:t> </w:t>
            </w:r>
            <w:r>
              <w:rPr>
                <w:rFonts w:ascii="宋体" w:hAnsi="宋体" w:cs="宋体" w:eastAsia="宋体" w:hint="default"/>
                <w:spacing w:val="4"/>
                <w:sz w:val="18"/>
                <w:szCs w:val="18"/>
              </w:rPr>
              <w:t>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上年年</w:t>
            </w:r>
            <w:r>
              <w:rPr>
                <w:rFonts w:ascii="宋体" w:hAnsi="宋体" w:cs="宋体" w:eastAsia="宋体" w:hint="default"/>
                <w:spacing w:val="-85"/>
                <w:sz w:val="18"/>
                <w:szCs w:val="18"/>
              </w:rPr>
              <w:t> </w:t>
            </w:r>
            <w:r>
              <w:rPr>
                <w:rFonts w:ascii="宋体" w:hAnsi="宋体" w:cs="宋体" w:eastAsia="宋体" w:hint="default"/>
                <w:spacing w:val="2"/>
                <w:sz w:val="18"/>
                <w:szCs w:val="18"/>
              </w:rPr>
              <w:t>末余额</w:t>
            </w:r>
            <w:r>
              <w:rPr>
                <w:rFonts w:ascii="Times New Roman" w:hAnsi="Times New Roman" w:cs="Times New Roman" w:eastAsia="Times New Roman" w:hint="default"/>
                <w:spacing w:val="2"/>
                <w:sz w:val="18"/>
                <w:szCs w:val="18"/>
              </w:rPr>
              <w:t>60,000,000.00</w:t>
            </w:r>
            <w:r>
              <w:rPr>
                <w:rFonts w:ascii="宋体" w:hAnsi="宋体" w:cs="宋体" w:eastAsia="宋体" w:hint="default"/>
                <w:spacing w:val="2"/>
                <w:sz w:val="18"/>
                <w:szCs w:val="18"/>
              </w:rPr>
              <w:t>元，</w:t>
            </w:r>
            <w:r>
              <w:rPr>
                <w:rFonts w:ascii="宋体" w:hAnsi="宋体" w:cs="宋体" w:eastAsia="宋体" w:hint="default"/>
                <w:spacing w:val="13"/>
                <w:sz w:val="18"/>
                <w:szCs w:val="18"/>
              </w:rPr>
              <w:t> </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应付账款</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747,085,453.83</w:t>
            </w:r>
            <w:r>
              <w:rPr>
                <w:rFonts w:ascii="宋体" w:hAnsi="宋体" w:cs="宋体" w:eastAsia="宋体" w:hint="default"/>
                <w:sz w:val="18"/>
                <w:szCs w:val="18"/>
              </w:rPr>
              <w:t>元。</w:t>
            </w:r>
          </w:p>
        </w:tc>
      </w:tr>
      <w:tr>
        <w:trPr>
          <w:trHeight w:val="1284"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）在利润表中投资收益项下新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增</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其中：以摊余成本计量的金融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资产终止确认收益</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项目。比较数</w:t>
            </w:r>
            <w:r>
              <w:rPr>
                <w:rFonts w:ascii="宋体" w:hAnsi="宋体" w:cs="宋体" w:eastAsia="宋体" w:hint="default"/>
                <w:sz w:val="18"/>
                <w:szCs w:val="18"/>
              </w:rPr>
              <w:t> 据不调整。</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0"/>
              <w:jc w:val="both"/>
              <w:rPr>
                <w:rFonts w:ascii="宋体" w:hAnsi="宋体" w:cs="宋体" w:eastAsia="宋体" w:hint="default"/>
                <w:sz w:val="18"/>
                <w:szCs w:val="18"/>
              </w:rPr>
            </w:pP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以摊余成本计量的金融资产终止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确认收益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本期发生额</w:t>
            </w:r>
            <w:r>
              <w:rPr>
                <w:rFonts w:ascii="Times New Roman" w:hAnsi="Times New Roman" w:cs="Times New Roman" w:eastAsia="Times New Roman" w:hint="default"/>
                <w:spacing w:val="5"/>
                <w:sz w:val="18"/>
                <w:szCs w:val="18"/>
              </w:rPr>
              <w:t>1,430,666.67</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元。</w:t>
            </w:r>
          </w:p>
        </w:tc>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以摊余成本计量的金融资产终止确认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600,000.00</w:t>
            </w:r>
            <w:r>
              <w:rPr>
                <w:rFonts w:ascii="宋体" w:hAnsi="宋体" w:cs="宋体" w:eastAsia="宋体" w:hint="default"/>
                <w:sz w:val="18"/>
                <w:szCs w:val="18"/>
              </w:rPr>
              <w:t>元。</w:t>
            </w:r>
          </w:p>
        </w:tc>
      </w:tr>
    </w:tbl>
    <w:p>
      <w:pPr>
        <w:spacing w:after="0" w:line="30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00" w:lineRule="auto"/>
        <w:ind w:left="229" w:right="1132"/>
        <w:jc w:val="both"/>
      </w:pPr>
      <w:r>
        <w:rPr>
          <w:spacing w:val="-2"/>
        </w:rPr>
        <w:t>（</w:t>
      </w:r>
      <w:r>
        <w:rPr>
          <w:rFonts w:ascii="Times New Roman" w:hAnsi="Times New Roman" w:cs="Times New Roman" w:eastAsia="Times New Roman" w:hint="default"/>
          <w:spacing w:val="-2"/>
        </w:rPr>
        <w:t>2</w:t>
      </w:r>
      <w:r>
        <w:rPr>
          <w:spacing w:val="-2"/>
        </w:rPr>
        <w:t>）执行《企业会计准则第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金融资产转移》、《企业会计准</w:t>
      </w:r>
      <w:r>
        <w:rPr>
          <w:spacing w:val="-53"/>
        </w:rPr>
        <w:t> </w:t>
      </w:r>
      <w:r>
        <w:rPr>
          <w:spacing w:val="-53"/>
        </w:rPr>
      </w:r>
      <w:r>
        <w:rPr/>
        <w:t>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年修订）</w:t>
      </w:r>
    </w:p>
    <w:p>
      <w:pPr>
        <w:pStyle w:val="BodyText"/>
        <w:spacing w:line="240" w:lineRule="auto" w:before="13"/>
        <w:ind w:left="501" w:right="986"/>
        <w:jc w:val="left"/>
      </w:pPr>
      <w:r>
        <w:rPr/>
        <w:t>财政部</w:t>
      </w:r>
      <w:r>
        <w:rPr>
          <w:spacing w:val="-1"/>
        </w:rPr>
        <w:t>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t>年度修订</w:t>
      </w:r>
      <w:r>
        <w:rPr>
          <w:spacing w:val="-68"/>
        </w:rPr>
        <w:t>了</w:t>
      </w:r>
      <w:r>
        <w:rPr>
          <w:spacing w:val="-3"/>
        </w:rPr>
        <w:t>《</w:t>
      </w:r>
      <w:r>
        <w:rPr/>
        <w:t>企业会计准则第</w:t>
      </w:r>
      <w:r>
        <w:rPr>
          <w:rFonts w:ascii="Times New Roman" w:hAnsi="Times New Roman" w:cs="Times New Roman" w:eastAsia="Times New Roman" w:hint="default"/>
          <w:spacing w:val="1"/>
        </w:rPr>
        <w:t>22</w:t>
      </w:r>
      <w:r>
        <w:rPr/>
        <w:t>号</w:t>
      </w:r>
      <w:r>
        <w:rPr>
          <w:rFonts w:ascii="Times New Roman" w:hAnsi="Times New Roman" w:cs="Times New Roman" w:eastAsia="Times New Roman" w:hint="default"/>
        </w:rPr>
        <w:t>——</w:t>
      </w:r>
      <w:r>
        <w:rPr/>
        <w:t>金</w:t>
      </w:r>
      <w:r>
        <w:rPr>
          <w:spacing w:val="-3"/>
        </w:rPr>
        <w:t>融</w:t>
      </w:r>
      <w:r>
        <w:rPr/>
        <w:t>工具确认和计量</w:t>
      </w:r>
      <w:r>
        <w:rPr>
          <w:spacing w:val="-68"/>
        </w:rPr>
        <w:t>》</w:t>
      </w:r>
      <w:r>
        <w:rPr>
          <w:spacing w:val="-135"/>
        </w:rPr>
        <w:t>、</w:t>
      </w:r>
      <w:r>
        <w:rPr/>
        <w:t>《企业会</w:t>
      </w:r>
      <w:r>
        <w:rPr>
          <w:spacing w:val="-3"/>
        </w:rPr>
        <w:t>计</w:t>
      </w:r>
      <w:r>
        <w:rPr/>
        <w:t>准则第</w:t>
      </w:r>
      <w:r>
        <w:rPr>
          <w:rFonts w:ascii="Times New Roman" w:hAnsi="Times New Roman" w:cs="Times New Roman" w:eastAsia="Times New Roman" w:hint="default"/>
          <w:spacing w:val="1"/>
        </w:rPr>
        <w:t>23</w:t>
      </w:r>
      <w:r>
        <w:rPr/>
        <w:t>号</w:t>
      </w:r>
      <w:r>
        <w:rPr>
          <w:rFonts w:ascii="Times New Roman" w:hAnsi="Times New Roman" w:cs="Times New Roman" w:eastAsia="Times New Roman" w:hint="default"/>
        </w:rPr>
        <w:t>——</w:t>
      </w:r>
      <w:r>
        <w:rPr/>
        <w:t>金融资产转移</w:t>
      </w:r>
      <w:r>
        <w:rPr>
          <w:spacing w:val="-70"/>
        </w:rPr>
        <w:t>》</w:t>
      </w:r>
      <w:r>
        <w:rPr/>
        <w:t>、</w:t>
      </w:r>
    </w:p>
    <w:p>
      <w:pPr>
        <w:pStyle w:val="BodyText"/>
        <w:spacing w:line="312" w:lineRule="auto" w:before="63"/>
        <w:ind w:left="212" w:right="1133"/>
        <w:jc w:val="both"/>
      </w:pPr>
      <w:r>
        <w:rPr/>
        <w:t>《企业会计准则第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金融工具列报》。修订后的准则规定，对于首次执行</w:t>
      </w:r>
      <w:r>
        <w:rPr>
          <w:spacing w:val="-58"/>
        </w:rPr>
        <w:t> </w:t>
      </w:r>
      <w:r>
        <w:rPr>
          <w:spacing w:val="-58"/>
        </w:rPr>
      </w:r>
      <w:r>
        <w:rPr/>
        <w:t>日尚未终止确认的金融工具，之前的确认和计量与修订后的准则要求不一致的，应当追溯调整。涉及前期比较财务报表数</w:t>
      </w:r>
      <w:r>
        <w:rPr>
          <w:spacing w:val="-59"/>
        </w:rPr>
        <w:t> </w:t>
      </w:r>
      <w:r>
        <w:rPr>
          <w:spacing w:val="-59"/>
        </w:rPr>
      </w:r>
      <w:r>
        <w:rPr/>
        <w:t>据与修订后的准则要求不一致的，无需调整。本公司将因追溯调整产生的累积影响数调整当年年初留存收益和其他综合收</w:t>
      </w:r>
      <w:r>
        <w:rPr>
          <w:spacing w:val="-59"/>
        </w:rPr>
        <w:t> </w:t>
      </w:r>
      <w:r>
        <w:rPr>
          <w:spacing w:val="-59"/>
        </w:rPr>
      </w:r>
      <w:r>
        <w:rPr/>
        <w:t>益。</w:t>
      </w:r>
    </w:p>
    <w:p>
      <w:pPr>
        <w:pStyle w:val="BodyText"/>
        <w:spacing w:line="300" w:lineRule="auto" w:before="22"/>
        <w:ind w:left="229" w:right="1119" w:firstLine="288"/>
        <w:jc w:val="left"/>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号的规定调整后的上年年末余额为基础，执行上述新金融工具准则的主要影 响如下：</w:t>
      </w:r>
    </w:p>
    <w:tbl>
      <w:tblPr>
        <w:tblW w:w="0" w:type="auto"/>
        <w:jc w:val="left"/>
        <w:tblInd w:w="145" w:type="dxa"/>
        <w:tblLayout w:type="fixed"/>
        <w:tblCellMar>
          <w:top w:w="0" w:type="dxa"/>
          <w:left w:w="0" w:type="dxa"/>
          <w:bottom w:w="0" w:type="dxa"/>
          <w:right w:w="0" w:type="dxa"/>
        </w:tblCellMar>
        <w:tblLook w:val="01E0"/>
      </w:tblPr>
      <w:tblGrid>
        <w:gridCol w:w="2264"/>
        <w:gridCol w:w="3551"/>
        <w:gridCol w:w="3531"/>
      </w:tblGrid>
      <w:tr>
        <w:trPr>
          <w:trHeight w:val="348" w:hRule="exact"/>
        </w:trPr>
        <w:tc>
          <w:tcPr>
            <w:tcW w:w="226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708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6" w:hRule="exact"/>
        </w:trPr>
        <w:tc>
          <w:tcPr>
            <w:tcW w:w="2264" w:type="dxa"/>
            <w:vMerge/>
            <w:tcBorders>
              <w:left w:val="single" w:sz="6" w:space="0" w:color="000000"/>
              <w:bottom w:val="single" w:sz="6" w:space="0" w:color="000000"/>
              <w:right w:val="single" w:sz="6" w:space="0" w:color="000000"/>
            </w:tcBorders>
            <w:shd w:val="clear" w:color="auto" w:fill="D9D9D9"/>
          </w:tcPr>
          <w:p>
            <w:pPr/>
          </w:p>
        </w:tc>
        <w:tc>
          <w:tcPr>
            <w:tcW w:w="35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59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）可供出售权益工具投资 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 其变动计入当期损益的金融 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5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40"/>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Times New Roman" w:hAnsi="Times New Roman" w:cs="Times New Roman" w:eastAsia="Times New Roman" w:hint="default"/>
                <w:sz w:val="18"/>
                <w:szCs w:val="18"/>
              </w:rPr>
              <w:t>4,888,888.89</w:t>
            </w:r>
            <w:r>
              <w:rPr>
                <w:rFonts w:ascii="宋体" w:hAnsi="宋体" w:cs="宋体" w:eastAsia="宋体" w:hint="default"/>
                <w:sz w:val="18"/>
                <w:szCs w:val="18"/>
              </w:rPr>
              <w:t>元 其他非流动金融资产：增加</w:t>
            </w:r>
            <w:r>
              <w:rPr>
                <w:rFonts w:ascii="Times New Roman" w:hAnsi="Times New Roman" w:cs="Times New Roman" w:eastAsia="Times New Roman" w:hint="default"/>
                <w:sz w:val="18"/>
                <w:szCs w:val="18"/>
              </w:rPr>
              <w:t>6,106,574.29</w:t>
            </w:r>
            <w:r>
              <w:rPr>
                <w:rFonts w:ascii="宋体" w:hAnsi="宋体" w:cs="宋体" w:eastAsia="宋体" w:hint="default"/>
                <w:sz w:val="18"/>
                <w:szCs w:val="18"/>
              </w:rPr>
              <w:t>元 递延所得税负债：增加</w:t>
            </w:r>
            <w:r>
              <w:rPr>
                <w:rFonts w:ascii="Times New Roman" w:hAnsi="Times New Roman" w:cs="Times New Roman" w:eastAsia="Times New Roman" w:hint="default"/>
                <w:sz w:val="18"/>
                <w:szCs w:val="18"/>
              </w:rPr>
              <w:t>121,768.54</w:t>
            </w:r>
            <w:r>
              <w:rPr>
                <w:rFonts w:ascii="宋体" w:hAnsi="宋体" w:cs="宋体" w:eastAsia="宋体" w:hint="default"/>
                <w:sz w:val="18"/>
                <w:szCs w:val="18"/>
              </w:rPr>
              <w:t>元 年初未分配利润：增加</w:t>
            </w:r>
            <w:r>
              <w:rPr>
                <w:rFonts w:ascii="Times New Roman" w:hAnsi="Times New Roman" w:cs="Times New Roman" w:eastAsia="Times New Roman" w:hint="default"/>
                <w:sz w:val="18"/>
                <w:szCs w:val="18"/>
              </w:rPr>
              <w:t>986,325.17</w:t>
            </w:r>
            <w:r>
              <w:rPr>
                <w:rFonts w:ascii="宋体" w:hAnsi="宋体" w:cs="宋体" w:eastAsia="宋体" w:hint="default"/>
                <w:sz w:val="18"/>
                <w:szCs w:val="18"/>
              </w:rPr>
              <w:t>元 年初盈余公积：增加</w:t>
            </w:r>
            <w:r>
              <w:rPr>
                <w:rFonts w:ascii="Times New Roman" w:hAnsi="Times New Roman" w:cs="Times New Roman" w:eastAsia="Times New Roman" w:hint="default"/>
                <w:sz w:val="18"/>
                <w:szCs w:val="18"/>
              </w:rPr>
              <w:t>109,591.69</w:t>
            </w:r>
            <w:r>
              <w:rPr>
                <w:rFonts w:ascii="宋体" w:hAnsi="宋体" w:cs="宋体" w:eastAsia="宋体" w:hint="default"/>
                <w:sz w:val="18"/>
                <w:szCs w:val="18"/>
              </w:rPr>
              <w:t>元</w:t>
            </w:r>
          </w:p>
        </w:tc>
        <w:tc>
          <w:tcPr>
            <w:tcW w:w="353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21"/>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Times New Roman" w:hAnsi="Times New Roman" w:cs="Times New Roman" w:eastAsia="Times New Roman" w:hint="default"/>
                <w:sz w:val="18"/>
                <w:szCs w:val="18"/>
              </w:rPr>
              <w:t>4,888,888.89</w:t>
            </w:r>
            <w:r>
              <w:rPr>
                <w:rFonts w:ascii="宋体" w:hAnsi="宋体" w:cs="宋体" w:eastAsia="宋体" w:hint="default"/>
                <w:sz w:val="18"/>
                <w:szCs w:val="18"/>
              </w:rPr>
              <w:t>元 其他非流动金融资产：增加</w:t>
            </w:r>
            <w:r>
              <w:rPr>
                <w:rFonts w:ascii="Times New Roman" w:hAnsi="Times New Roman" w:cs="Times New Roman" w:eastAsia="Times New Roman" w:hint="default"/>
                <w:sz w:val="18"/>
                <w:szCs w:val="18"/>
              </w:rPr>
              <w:t>6,106,574.29</w:t>
            </w:r>
            <w:r>
              <w:rPr>
                <w:rFonts w:ascii="宋体" w:hAnsi="宋体" w:cs="宋体" w:eastAsia="宋体" w:hint="default"/>
                <w:sz w:val="18"/>
                <w:szCs w:val="18"/>
              </w:rPr>
              <w:t>元 递延所得税负债：增加</w:t>
            </w:r>
            <w:r>
              <w:rPr>
                <w:rFonts w:ascii="Times New Roman" w:hAnsi="Times New Roman" w:cs="Times New Roman" w:eastAsia="Times New Roman" w:hint="default"/>
                <w:sz w:val="18"/>
                <w:szCs w:val="18"/>
              </w:rPr>
              <w:t>121,768.54</w:t>
            </w:r>
            <w:r>
              <w:rPr>
                <w:rFonts w:ascii="宋体" w:hAnsi="宋体" w:cs="宋体" w:eastAsia="宋体" w:hint="default"/>
                <w:sz w:val="18"/>
                <w:szCs w:val="18"/>
              </w:rPr>
              <w:t>元 年初未分配利润：增加</w:t>
            </w:r>
            <w:r>
              <w:rPr>
                <w:rFonts w:ascii="Times New Roman" w:hAnsi="Times New Roman" w:cs="Times New Roman" w:eastAsia="Times New Roman" w:hint="default"/>
                <w:sz w:val="18"/>
                <w:szCs w:val="18"/>
              </w:rPr>
              <w:t>986,325.17</w:t>
            </w:r>
            <w:r>
              <w:rPr>
                <w:rFonts w:ascii="宋体" w:hAnsi="宋体" w:cs="宋体" w:eastAsia="宋体" w:hint="default"/>
                <w:sz w:val="18"/>
                <w:szCs w:val="18"/>
              </w:rPr>
              <w:t>元 年初盈余公积：增加</w:t>
            </w:r>
            <w:r>
              <w:rPr>
                <w:rFonts w:ascii="Times New Roman" w:hAnsi="Times New Roman" w:cs="Times New Roman" w:eastAsia="Times New Roman" w:hint="default"/>
                <w:sz w:val="18"/>
                <w:szCs w:val="18"/>
              </w:rPr>
              <w:t>109,591.69</w:t>
            </w:r>
            <w:r>
              <w:rPr>
                <w:rFonts w:ascii="宋体" w:hAnsi="宋体" w:cs="宋体" w:eastAsia="宋体" w:hint="default"/>
                <w:sz w:val="18"/>
                <w:szCs w:val="18"/>
              </w:rPr>
              <w:t>元</w:t>
            </w:r>
          </w:p>
        </w:tc>
      </w:tr>
      <w:tr>
        <w:trPr>
          <w:trHeight w:val="1282"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）非交易性的可供出售权 益工具投资指定为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 值计量且其变动计入其他综 合收益的金融资产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5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29"/>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Times New Roman" w:hAnsi="Times New Roman" w:cs="Times New Roman" w:eastAsia="Times New Roman" w:hint="default"/>
                <w:sz w:val="18"/>
                <w:szCs w:val="18"/>
              </w:rPr>
              <w:t>10,000,000.00</w:t>
            </w:r>
            <w:r>
              <w:rPr>
                <w:rFonts w:ascii="宋体" w:hAnsi="宋体" w:cs="宋体" w:eastAsia="宋体" w:hint="default"/>
                <w:sz w:val="18"/>
                <w:szCs w:val="18"/>
              </w:rPr>
              <w:t>元 其他权益工具投资：增加</w:t>
            </w:r>
            <w:r>
              <w:rPr>
                <w:rFonts w:ascii="Times New Roman" w:hAnsi="Times New Roman" w:cs="Times New Roman" w:eastAsia="Times New Roman" w:hint="default"/>
                <w:sz w:val="18"/>
                <w:szCs w:val="18"/>
              </w:rPr>
              <w:t>4,559,685.46</w:t>
            </w:r>
            <w:r>
              <w:rPr>
                <w:rFonts w:ascii="宋体" w:hAnsi="宋体" w:cs="宋体" w:eastAsia="宋体" w:hint="default"/>
                <w:sz w:val="18"/>
                <w:szCs w:val="18"/>
              </w:rPr>
              <w:t>元 其他综合收益：减少</w:t>
            </w:r>
            <w:r>
              <w:rPr>
                <w:rFonts w:ascii="Times New Roman" w:hAnsi="Times New Roman" w:cs="Times New Roman" w:eastAsia="Times New Roman" w:hint="default"/>
                <w:sz w:val="18"/>
                <w:szCs w:val="18"/>
              </w:rPr>
              <w:t>5,440,314.54</w:t>
            </w:r>
            <w:r>
              <w:rPr>
                <w:rFonts w:ascii="宋体" w:hAnsi="宋体" w:cs="宋体" w:eastAsia="宋体" w:hint="default"/>
                <w:sz w:val="18"/>
                <w:szCs w:val="18"/>
              </w:rPr>
              <w:t>元</w:t>
            </w:r>
          </w:p>
        </w:tc>
        <w:tc>
          <w:tcPr>
            <w:tcW w:w="3531"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）可供出售债务工具投资 重分类为以公允价值变动计 入当期损益的金融资产。</w:t>
            </w:r>
          </w:p>
        </w:tc>
        <w:tc>
          <w:tcPr>
            <w:tcW w:w="35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09"/>
              <w:jc w:val="left"/>
              <w:rPr>
                <w:rFonts w:ascii="宋体" w:hAnsi="宋体" w:cs="宋体" w:eastAsia="宋体" w:hint="default"/>
                <w:sz w:val="18"/>
                <w:szCs w:val="18"/>
              </w:rPr>
            </w:pPr>
            <w:r>
              <w:rPr>
                <w:rFonts w:ascii="宋体" w:hAnsi="宋体" w:cs="宋体" w:eastAsia="宋体" w:hint="default"/>
                <w:sz w:val="18"/>
                <w:szCs w:val="18"/>
              </w:rPr>
              <w:t>其他流动资产：减少</w:t>
            </w:r>
            <w:r>
              <w:rPr>
                <w:rFonts w:ascii="Times New Roman" w:hAnsi="Times New Roman" w:cs="Times New Roman" w:eastAsia="Times New Roman" w:hint="default"/>
                <w:sz w:val="18"/>
                <w:szCs w:val="18"/>
              </w:rPr>
              <w:t>15,050,000.00</w:t>
            </w:r>
            <w:r>
              <w:rPr>
                <w:rFonts w:ascii="宋体" w:hAnsi="宋体" w:cs="宋体" w:eastAsia="宋体" w:hint="default"/>
                <w:sz w:val="18"/>
                <w:szCs w:val="18"/>
              </w:rPr>
              <w:t>元 交易性金融资产：增加</w:t>
            </w:r>
            <w:r>
              <w:rPr>
                <w:rFonts w:ascii="Times New Roman" w:hAnsi="Times New Roman" w:cs="Times New Roman" w:eastAsia="Times New Roman" w:hint="default"/>
                <w:sz w:val="18"/>
                <w:szCs w:val="18"/>
              </w:rPr>
              <w:t>15,050,000.00</w:t>
            </w:r>
            <w:r>
              <w:rPr>
                <w:rFonts w:ascii="宋体" w:hAnsi="宋体" w:cs="宋体" w:eastAsia="宋体" w:hint="default"/>
                <w:sz w:val="18"/>
                <w:szCs w:val="18"/>
              </w:rPr>
              <w:t>元</w:t>
            </w:r>
          </w:p>
        </w:tc>
        <w:tc>
          <w:tcPr>
            <w:tcW w:w="353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31"/>
        <w:ind w:left="530" w:right="1133" w:hanging="378"/>
        <w:jc w:val="left"/>
      </w:pPr>
      <w:r>
        <w:rPr/>
        <w:t>（</w:t>
      </w:r>
      <w:r>
        <w:rPr>
          <w:rFonts w:ascii="Times New Roman" w:hAnsi="Times New Roman" w:cs="Times New Roman" w:eastAsia="Times New Roman" w:hint="default"/>
        </w:rPr>
        <w:t>3</w:t>
      </w:r>
      <w:r>
        <w:rPr/>
        <w:t>）执行《企业会计准则第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2019</w:t>
      </w:r>
      <w:r>
        <w:rPr/>
        <w:t>修订） 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日发布了《企业会计准则第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2019</w:t>
      </w:r>
      <w:r>
        <w:rPr/>
        <w:t>修订）（财会〔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w:t>
      </w:r>
      <w:r>
        <w:rPr/>
        <w:t>号），修 </w:t>
      </w:r>
      <w:r>
        <w:rPr>
          <w:spacing w:val="-1"/>
        </w:rPr>
        <w:t>订后的准则自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10</w:t>
      </w:r>
      <w:r>
        <w:rPr>
          <w:spacing w:val="-1"/>
        </w:rPr>
        <w:t>日起施行，对</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日至本准则施行日之间发生的非货币性资产交换，应根据本准则进</w:t>
      </w:r>
      <w:r>
        <w:rPr/>
        <w:t> 行调整。对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日之前发生的非货币性资产交换，不需要按照本准则的规定进行追溯调整。本公司执行上述准 则在本报告期内无重大影响。</w:t>
      </w:r>
    </w:p>
    <w:p>
      <w:pPr>
        <w:spacing w:line="240" w:lineRule="auto" w:before="3"/>
        <w:rPr>
          <w:rFonts w:ascii="宋体" w:hAnsi="宋体" w:cs="宋体" w:eastAsia="宋体" w:hint="default"/>
          <w:sz w:val="26"/>
          <w:szCs w:val="26"/>
        </w:rPr>
      </w:pPr>
    </w:p>
    <w:p>
      <w:pPr>
        <w:pStyle w:val="BodyText"/>
        <w:spacing w:line="300" w:lineRule="auto"/>
        <w:ind w:left="530" w:right="1133" w:hanging="378"/>
        <w:jc w:val="left"/>
      </w:pPr>
      <w:r>
        <w:rPr/>
        <w:t>（</w:t>
      </w:r>
      <w:r>
        <w:rPr>
          <w:rFonts w:ascii="Times New Roman" w:hAnsi="Times New Roman" w:cs="Times New Roman" w:eastAsia="Times New Roman" w:hint="default"/>
        </w:rPr>
        <w:t>4</w:t>
      </w:r>
      <w:r>
        <w:rPr/>
        <w:t>）执行《企业会计准则第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2019</w:t>
      </w:r>
      <w:r>
        <w:rPr/>
        <w:t>修订） 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日发布了《企业会计准则第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2019</w:t>
      </w:r>
      <w:r>
        <w:rPr/>
        <w:t>修订）（财会〔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9</w:t>
      </w:r>
      <w:r>
        <w:rPr/>
        <w:t>号），修订后的 </w:t>
      </w:r>
      <w:r>
        <w:rPr>
          <w:spacing w:val="-1"/>
        </w:rPr>
        <w:t>准则自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17</w:t>
      </w:r>
      <w:r>
        <w:rPr>
          <w:spacing w:val="-1"/>
        </w:rPr>
        <w:t>日起施行，对</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日至本准则施行日之间发生的债务重组，应根据本准则进行调整。对</w:t>
      </w:r>
      <w:r>
        <w:rPr>
          <w:rFonts w:ascii="Times New Roman" w:hAnsi="Times New Roman" w:cs="Times New Roman" w:eastAsia="Times New Roman" w:hint="default"/>
          <w:spacing w:val="-1"/>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日之前发生的债务重组，不需要按照本准则的规定进行追溯调整。本公司执行上述准则在本报告期内无重大影 响。</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bookmarkStart w:name="（2）重要会计估计变更" w:id="210"/>
      <w:bookmarkEnd w:id="21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6"/>
        <w:jc w:val="left"/>
        <w:rPr>
          <w:b w:val="0"/>
          <w:bCs w:val="0"/>
        </w:rPr>
      </w:pPr>
      <w:bookmarkStart w:name="（3）2019年起执行新金融工具准则、新收入准则或新租赁准则调整执行当年年初财务" w:id="211"/>
      <w:bookmarkEnd w:id="211"/>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after="0" w:line="340" w:lineRule="auto"/>
        <w:jc w:val="left"/>
        <w:sectPr>
          <w:pgSz w:w="11910" w:h="16840"/>
          <w:pgMar w:header="852" w:footer="980" w:top="1300" w:bottom="1160" w:left="980" w:right="0"/>
        </w:sectPr>
      </w:pPr>
    </w:p>
    <w:p>
      <w:pPr>
        <w:pStyle w:val="BodyText"/>
        <w:spacing w:line="240" w:lineRule="auto" w:before="142"/>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950,427,760.45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950,427,760.45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15,050,000.00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607,018,060.38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607,018,060.38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44,926,956.60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44,926,956.60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20,301,140.01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20,301,140.01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483,020,819.73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483,020,819.73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70,096,972.61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55,046,972.61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2,175,791,709.78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2,175,791,709.78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14,888,888.89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-14,888,888.89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335,439,745.23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335,439,745.23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4,559,685.46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4,559,685.46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6,106,574.29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6,106,574.29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10,802,928.45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10,802,928.45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130,589,643.20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130,589,643.20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303,525,726.67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303,525,726.67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227,233,881.42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227,233,881.42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9,796,239.34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9,796,239.34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1,537,969.60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1,537,969.60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10,108,420.34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10,108,420.34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24,089,767.86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24,089,767.86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1,068,013,211.00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1,063,790,581.86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-4,222,629.14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3,243,804,920.78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3,239,582,291.64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-4,222,629.14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508,583,632.42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508,583,632.42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215,635,634.65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215,635,634.65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211,960,029.70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211,960,029.70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218,079,282.50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218,079,282.50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65,821,313.52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65,821,313.52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30,166,324.71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30,166,324.71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2,133,656.93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2,133,656.93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1,250,246,217.50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1,250,246,217.50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270,269,468.63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270,269,468.63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121,768.54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121,768.54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270,269,468.63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270,391,237.17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121,768.54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1,520,515,686.13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1,520,637,454.67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121,768.54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400,010,000.00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400,010,000.00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646,346,152.18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646,346,152.18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-5,440,314.54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-5,440,314.54</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40,045,948.43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40,155,540.12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109,591.69</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577,885,864.73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578,872,189.90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986,325.17</w:t>
            </w:r>
          </w:p>
        </w:tc>
      </w:tr>
      <w:tr>
        <w:trPr>
          <w:trHeight w:val="715"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1,664,287,965.34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1,659,943,567.66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-4,344,397.68</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59,001,269.31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59,001,269.31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1,723,289,234.65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1,718,944,836.97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-4,344,397.68</w:t>
            </w: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3,243,804,920.78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3,239,582,291.64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-4,222,629.14</w:t>
            </w:r>
          </w:p>
        </w:tc>
      </w:tr>
    </w:tbl>
    <w:p>
      <w:pPr>
        <w:pStyle w:val="BodyText"/>
        <w:spacing w:line="240" w:lineRule="auto" w:before="49"/>
        <w:ind w:right="1133"/>
        <w:jc w:val="left"/>
      </w:pPr>
      <w:r>
        <w:rPr/>
        <w:t>调整情况说明</w:t>
      </w:r>
    </w:p>
    <w:p>
      <w:pPr>
        <w:pStyle w:val="BodyText"/>
        <w:spacing w:line="300" w:lineRule="auto" w:before="115"/>
        <w:ind w:right="1129" w:firstLine="144"/>
        <w:jc w:val="both"/>
      </w:pPr>
      <w:r>
        <w:rPr>
          <w:rFonts w:ascii="Times New Roman" w:hAnsi="Times New Roman" w:cs="Times New Roman" w:eastAsia="Times New Roman" w:hint="default"/>
          <w:spacing w:val="-1"/>
        </w:rPr>
        <w:t>1</w:t>
      </w:r>
      <w:r>
        <w:rPr>
          <w:spacing w:val="-1"/>
        </w:rPr>
        <w:t>、银行理财产品中保本浮动收益理财产品、非保本浮动收益理财产品，且投资项目合同期在</w:t>
      </w:r>
      <w:r>
        <w:rPr>
          <w:rFonts w:ascii="Times New Roman" w:hAnsi="Times New Roman" w:cs="Times New Roman" w:eastAsia="Times New Roman" w:hint="default"/>
          <w:spacing w:val="-1"/>
        </w:rPr>
        <w:t>1</w:t>
      </w:r>
      <w:r>
        <w:rPr>
          <w:spacing w:val="-1"/>
        </w:rPr>
        <w:t>年以内的金融资产从其他流</w:t>
      </w:r>
      <w:r>
        <w:rPr/>
        <w:t> 动资产重分类至交易性金融资产，影响金额</w:t>
      </w:r>
      <w:r>
        <w:rPr>
          <w:rFonts w:ascii="Times New Roman" w:hAnsi="Times New Roman" w:cs="Times New Roman" w:eastAsia="Times New Roman" w:hint="default"/>
        </w:rPr>
        <w:t>15,050,000.00</w:t>
      </w:r>
      <w:r>
        <w:rPr/>
        <w:t>元。</w:t>
      </w:r>
    </w:p>
    <w:p>
      <w:pPr>
        <w:pStyle w:val="BodyText"/>
        <w:spacing w:line="300" w:lineRule="auto" w:before="13"/>
        <w:ind w:right="1131" w:firstLine="144"/>
        <w:jc w:val="both"/>
      </w:pPr>
      <w:r>
        <w:rPr>
          <w:rFonts w:ascii="Times New Roman" w:hAnsi="Times New Roman" w:cs="Times New Roman" w:eastAsia="Times New Roman" w:hint="default"/>
          <w:spacing w:val="-2"/>
        </w:rPr>
        <w:t>2</w:t>
      </w:r>
      <w:r>
        <w:rPr>
          <w:spacing w:val="-2"/>
        </w:rPr>
        <w:t>、对北京京北阳光投资中心（有限合伙）的股权投资</w:t>
      </w:r>
      <w:r>
        <w:rPr>
          <w:rFonts w:ascii="Times New Roman" w:hAnsi="Times New Roman" w:cs="Times New Roman" w:eastAsia="Times New Roman" w:hint="default"/>
          <w:spacing w:val="-2"/>
        </w:rPr>
        <w:t>4,888,888.89</w:t>
      </w:r>
      <w:r>
        <w:rPr>
          <w:spacing w:val="-2"/>
        </w:rPr>
        <w:t>元从以成本计量的可供出售权益工具投资重分类为</w:t>
      </w:r>
      <w:r>
        <w:rPr>
          <w:rFonts w:ascii="Times New Roman" w:hAnsi="Times New Roman" w:cs="Times New Roman" w:eastAsia="Times New Roman" w:hint="default"/>
          <w:spacing w:val="-2"/>
        </w:rPr>
        <w:t>“</w:t>
      </w:r>
      <w:r>
        <w:rPr>
          <w:spacing w:val="-2"/>
        </w:rPr>
        <w:t>以公</w:t>
      </w:r>
      <w:r>
        <w:rPr/>
        <w:t> </w:t>
      </w:r>
      <w:r>
        <w:rPr>
          <w:spacing w:val="-1"/>
        </w:rPr>
        <w:t>允价值计量且其变动计入当期损益的金融资产</w:t>
      </w:r>
      <w:r>
        <w:rPr>
          <w:rFonts w:ascii="Times New Roman" w:hAnsi="Times New Roman" w:cs="Times New Roman" w:eastAsia="Times New Roman" w:hint="default"/>
          <w:spacing w:val="-1"/>
        </w:rPr>
        <w:t>”</w:t>
      </w:r>
      <w:r>
        <w:rPr>
          <w:spacing w:val="-1"/>
        </w:rPr>
        <w:t>，并按照公允价值重新计量，公允价值变动增加</w:t>
      </w:r>
      <w:r>
        <w:rPr>
          <w:rFonts w:ascii="Times New Roman" w:hAnsi="Times New Roman" w:cs="Times New Roman" w:eastAsia="Times New Roman" w:hint="default"/>
          <w:spacing w:val="-1"/>
        </w:rPr>
        <w:t>1,217,685.40</w:t>
      </w:r>
      <w:r>
        <w:rPr>
          <w:spacing w:val="-1"/>
        </w:rPr>
        <w:t>元，递延所得税</w:t>
      </w:r>
      <w:r>
        <w:rPr>
          <w:spacing w:val="-60"/>
        </w:rPr>
        <w:t> </w:t>
      </w:r>
      <w:r>
        <w:rPr>
          <w:spacing w:val="-60"/>
        </w:rPr>
      </w:r>
      <w:r>
        <w:rPr/>
        <w:t>负债增加</w:t>
      </w:r>
      <w:r>
        <w:rPr>
          <w:rFonts w:ascii="Times New Roman" w:hAnsi="Times New Roman" w:cs="Times New Roman" w:eastAsia="Times New Roman" w:hint="default"/>
        </w:rPr>
        <w:t>121,768.54</w:t>
      </w:r>
      <w:r>
        <w:rPr/>
        <w:t>元，盈余公积增加</w:t>
      </w:r>
      <w:r>
        <w:rPr>
          <w:rFonts w:ascii="Times New Roman" w:hAnsi="Times New Roman" w:cs="Times New Roman" w:eastAsia="Times New Roman" w:hint="default"/>
        </w:rPr>
        <w:t>109,591.69</w:t>
      </w:r>
      <w:r>
        <w:rPr/>
        <w:t>元，未分配利润增加</w:t>
      </w:r>
      <w:r>
        <w:rPr>
          <w:rFonts w:ascii="Times New Roman" w:hAnsi="Times New Roman" w:cs="Times New Roman" w:eastAsia="Times New Roman" w:hint="default"/>
        </w:rPr>
        <w:t>986,325.17</w:t>
      </w:r>
      <w:r>
        <w:rPr/>
        <w:t>元。</w:t>
      </w:r>
    </w:p>
    <w:p>
      <w:pPr>
        <w:pStyle w:val="BodyText"/>
        <w:spacing w:line="300" w:lineRule="auto" w:before="13"/>
        <w:ind w:right="1040" w:firstLine="144"/>
        <w:jc w:val="both"/>
      </w:pPr>
      <w:r>
        <w:rPr>
          <w:rFonts w:ascii="Times New Roman" w:hAnsi="Times New Roman" w:cs="Times New Roman" w:eastAsia="Times New Roman" w:hint="default"/>
        </w:rPr>
        <w:t>3</w:t>
      </w:r>
      <w:r>
        <w:rPr/>
        <w:t>、对北京乙丙融信息技术有限公司的股权投资</w:t>
      </w:r>
      <w:r>
        <w:rPr>
          <w:rFonts w:ascii="Times New Roman" w:hAnsi="Times New Roman" w:cs="Times New Roman" w:eastAsia="Times New Roman" w:hint="default"/>
        </w:rPr>
        <w:t>10,000,000.00</w:t>
      </w:r>
      <w:r>
        <w:rPr/>
        <w:t>元、对北京翼融科技有限公司的股权投资</w:t>
      </w:r>
      <w:r>
        <w:rPr>
          <w:rFonts w:ascii="Times New Roman" w:hAnsi="Times New Roman" w:cs="Times New Roman" w:eastAsia="Times New Roman" w:hint="default"/>
        </w:rPr>
        <w:t>0</w:t>
      </w:r>
      <w:r>
        <w:rPr/>
        <w:t>元（账面价值已减 记至零），从以成本计量的可供出售权益工具投资重分类为</w:t>
      </w:r>
      <w:r>
        <w:rPr>
          <w:rFonts w:ascii="Times New Roman" w:hAnsi="Times New Roman" w:cs="Times New Roman" w:eastAsia="Times New Roman" w:hint="default"/>
        </w:rPr>
        <w:t>“</w:t>
      </w:r>
      <w:r>
        <w:rPr/>
        <w:t>以公允价值计量且其变动计入其他综合收益</w:t>
      </w:r>
      <w:r>
        <w:rPr>
          <w:rFonts w:ascii="Times New Roman" w:hAnsi="Times New Roman" w:cs="Times New Roman" w:eastAsia="Times New Roman" w:hint="default"/>
        </w:rPr>
        <w:t>”</w:t>
      </w:r>
      <w:r>
        <w:rPr/>
        <w:t>，并按照公允价值 </w:t>
      </w:r>
      <w:r>
        <w:rPr>
          <w:spacing w:val="-2"/>
        </w:rPr>
        <w:t>重新计量，对北京乙丙融信息技术有限公司的股权投资公允价值变动减少</w:t>
      </w:r>
      <w:r>
        <w:rPr>
          <w:rFonts w:ascii="Times New Roman" w:hAnsi="Times New Roman" w:cs="Times New Roman" w:eastAsia="Times New Roman" w:hint="default"/>
          <w:spacing w:val="-2"/>
        </w:rPr>
        <w:t>5,440,314.54</w:t>
      </w:r>
      <w:r>
        <w:rPr>
          <w:spacing w:val="-2"/>
        </w:rPr>
        <w:t>元，其他综合收益减少</w:t>
      </w:r>
      <w:r>
        <w:rPr>
          <w:rFonts w:ascii="Times New Roman" w:hAnsi="Times New Roman" w:cs="Times New Roman" w:eastAsia="Times New Roman" w:hint="default"/>
          <w:spacing w:val="-2"/>
        </w:rPr>
        <w:t>5,440,314.54</w:t>
      </w:r>
      <w:r>
        <w:rPr>
          <w:spacing w:val="-2"/>
        </w:rPr>
        <w:t>元。</w:t>
      </w:r>
    </w:p>
    <w:p>
      <w:pPr>
        <w:pStyle w:val="BodyText"/>
        <w:spacing w:line="240" w:lineRule="auto" w:before="53"/>
        <w:ind w:right="1133"/>
        <w:jc w:val="left"/>
      </w:pPr>
      <w:r>
        <w:rPr/>
        <w:t>母公司资产负债表</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539,042,434.91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539,042,434.91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616,390,853.39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616,390,853.39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42,490,196.82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42,490,196.82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477,411,831.01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477,411,831.01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514,014,160.04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514,014,160.04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2,239,349,476.17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2,239,349,476.17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4,888,888.89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-4,888,888.89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779,001,798.81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779,001,798.81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6,106,574.29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6,106,574.29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40,316,868.97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40,316,868.97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4,072,875.11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4,072,875.11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3,911,999.66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3,911,999.66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832,192,431.44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833,410,116.84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1,217,685.40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3,071,541,907.61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3,072,759,593.01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1,217,685.40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747,085,453.83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747,085,453.83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202,611,549.36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202,611,549.36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98,922,908.35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98,922,908.35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53,323,995.01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53,323,995.01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89,892,450.87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89,892,450.87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1,651,836,357.42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1,651,836,357.42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121,768.54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121,768.54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121,768.54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121,768.54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1,651,836,357.42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1,651,958,125.96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121,768.54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400,010,000.00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400,010,000.00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602,548,533.93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602,548,533.93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40,045,948.43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40,155,540.12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109,591.69</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377,101,067.83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378,087,393.00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986,325.17</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1,419,705,550.19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1,420,801,467.05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1,095,916.86</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3,071,541,907.61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3,072,759,593.01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1,217,685.40</w:t>
            </w:r>
          </w:p>
        </w:tc>
      </w:tr>
    </w:tbl>
    <w:p>
      <w:pPr>
        <w:pStyle w:val="BodyText"/>
        <w:spacing w:line="357" w:lineRule="auto" w:before="49"/>
        <w:ind w:left="297" w:right="1124" w:hanging="145"/>
        <w:jc w:val="left"/>
      </w:pPr>
      <w:r>
        <w:rPr/>
        <w:t>调整情况说明 对北京京北阳光投资中心（有限合伙）的股权投资</w:t>
      </w:r>
      <w:r>
        <w:rPr>
          <w:rFonts w:ascii="Times New Roman" w:hAnsi="Times New Roman" w:cs="Times New Roman" w:eastAsia="Times New Roman" w:hint="default"/>
        </w:rPr>
        <w:t>4,888,888.89</w:t>
      </w:r>
      <w:r>
        <w:rPr/>
        <w:t>元从以成本计量的可供出售权益工具投资重分类为</w:t>
      </w:r>
      <w:r>
        <w:rPr>
          <w:rFonts w:ascii="Times New Roman" w:hAnsi="Times New Roman" w:cs="Times New Roman" w:eastAsia="Times New Roman" w:hint="default"/>
        </w:rPr>
        <w:t>“</w:t>
      </w:r>
      <w:r>
        <w:rPr/>
        <w:t>以公允</w:t>
      </w:r>
    </w:p>
    <w:p>
      <w:pPr>
        <w:pStyle w:val="BodyText"/>
        <w:spacing w:line="215" w:lineRule="exact"/>
        <w:ind w:right="986"/>
        <w:jc w:val="left"/>
      </w:pPr>
      <w:r>
        <w:rPr/>
        <w:t>价值计量且其变动计入当期损益的金融资产</w:t>
      </w:r>
      <w:r>
        <w:rPr>
          <w:rFonts w:ascii="Times New Roman" w:hAnsi="Times New Roman" w:cs="Times New Roman" w:eastAsia="Times New Roman" w:hint="default"/>
        </w:rPr>
        <w:t>”</w:t>
      </w:r>
      <w:r>
        <w:rPr/>
        <w:t>，并按照公允价值重新计量，公允价值变动增加</w:t>
      </w:r>
      <w:r>
        <w:rPr>
          <w:rFonts w:ascii="Times New Roman" w:hAnsi="Times New Roman" w:cs="Times New Roman" w:eastAsia="Times New Roman" w:hint="default"/>
        </w:rPr>
        <w:t>1,217,685.40</w:t>
      </w:r>
      <w:r>
        <w:rPr/>
        <w:t>元，递延所得税负</w:t>
      </w:r>
    </w:p>
    <w:p>
      <w:pPr>
        <w:pStyle w:val="BodyText"/>
        <w:spacing w:line="240" w:lineRule="auto" w:before="63"/>
        <w:ind w:right="1133"/>
        <w:jc w:val="left"/>
      </w:pPr>
      <w:r>
        <w:rPr/>
        <w:t>债增加</w:t>
      </w:r>
      <w:r>
        <w:rPr>
          <w:rFonts w:ascii="Times New Roman" w:hAnsi="Times New Roman" w:cs="Times New Roman" w:eastAsia="Times New Roman" w:hint="default"/>
        </w:rPr>
        <w:t>121,768.54</w:t>
      </w:r>
      <w:r>
        <w:rPr/>
        <w:t>元，盈余公积增加</w:t>
      </w:r>
      <w:r>
        <w:rPr>
          <w:rFonts w:ascii="Times New Roman" w:hAnsi="Times New Roman" w:cs="Times New Roman" w:eastAsia="Times New Roman" w:hint="default"/>
        </w:rPr>
        <w:t>109,591.69</w:t>
      </w:r>
      <w:r>
        <w:rPr/>
        <w:t>元，未分配利润增加</w:t>
      </w:r>
      <w:r>
        <w:rPr>
          <w:rFonts w:ascii="Times New Roman" w:hAnsi="Times New Roman" w:cs="Times New Roman" w:eastAsia="Times New Roman" w:hint="default"/>
        </w:rPr>
        <w:t>986,325.17</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0、其他" w:id="212"/>
      <w:bookmarkEnd w:id="212"/>
      <w:r>
        <w:rPr>
          <w:b w:val="0"/>
          <w:bCs w:val="0"/>
        </w:rPr>
      </w:r>
      <w:r>
        <w:rPr>
          <w:rFonts w:ascii="Times New Roman" w:hAnsi="Times New Roman" w:cs="Times New Roman" w:eastAsia="Times New Roman" w:hint="default"/>
        </w:rPr>
        <w:t>30</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86" w:hanging="53"/>
        <w:jc w:val="left"/>
      </w:pPr>
      <w:r>
        <w:rPr>
          <w:rFonts w:ascii="宋体" w:hAnsi="宋体" w:cs="宋体" w:eastAsia="宋体" w:hint="default"/>
          <w:b/>
          <w:bCs/>
        </w:rPr>
        <w:t>终止经营</w:t>
      </w:r>
      <w:r>
        <w:rPr>
          <w:rFonts w:ascii="宋体" w:hAnsi="宋体" w:cs="宋体" w:eastAsia="宋体" w:hint="default"/>
          <w:b/>
          <w:bCs/>
          <w:w w:val="99"/>
        </w:rPr>
        <w:t> </w:t>
      </w:r>
      <w:r>
        <w:rPr>
          <w:spacing w:val="-2"/>
        </w:rPr>
        <w:t>终止经营是满足下列条件之一的、能够单独区分的组成部分，且该组成部分已被本公司处置或被本公司划归为持有待售</w:t>
      </w:r>
    </w:p>
    <w:p>
      <w:pPr>
        <w:pStyle w:val="BodyText"/>
        <w:spacing w:line="240" w:lineRule="auto" w:before="19"/>
        <w:ind w:right="1133"/>
        <w:jc w:val="left"/>
      </w:pPr>
      <w:r>
        <w:rPr/>
        <w:t>类别：</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六、税项" w:id="213"/>
      <w:bookmarkEnd w:id="213"/>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主要税种及税率" w:id="214"/>
      <w:bookmarkEnd w:id="21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珠海宇信易诚科技有限公司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厦门市宇信鸿泰科技有限公司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北京宇信企慧信息技术有限公司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上海宇信易诚软件技术有限公司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厦门宇诚科技有限公司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长沙宇信鸿泰信息科技有限公司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湖南宇信鸿泰资产管理有限责任公司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税收优惠" w:id="215"/>
      <w:bookmarkEnd w:id="21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1</w:t>
      </w:r>
      <w:r>
        <w:rPr/>
        <w:t>、所得税减免</w:t>
      </w:r>
    </w:p>
    <w:p>
      <w:pPr>
        <w:pStyle w:val="BodyText"/>
        <w:spacing w:line="300" w:lineRule="auto" w:before="63"/>
        <w:ind w:left="265" w:right="1131" w:firstLine="144"/>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日经北京市科学技术委员会、北京市财政局、北京市国家税务局、北京市地方税务局重新认定 并取得编号为</w:t>
      </w:r>
      <w:r>
        <w:rPr>
          <w:rFonts w:ascii="Times New Roman" w:hAnsi="Times New Roman" w:cs="Times New Roman" w:eastAsia="Times New Roman" w:hint="default"/>
        </w:rPr>
        <w:t>GR201711005598</w:t>
      </w:r>
      <w:r>
        <w:rPr/>
        <w:t>的《高新技术企业证书》，高新技术企业证书有效期均为</w:t>
      </w:r>
      <w:r>
        <w:rPr>
          <w:rFonts w:ascii="Times New Roman" w:hAnsi="Times New Roman" w:cs="Times New Roman" w:eastAsia="Times New Roman" w:hint="default"/>
        </w:rPr>
        <w:t>3</w:t>
      </w:r>
      <w:r>
        <w:rPr/>
        <w:t>年。根据《中华人民共和国企业 所得税法》第</w:t>
      </w:r>
      <w:r>
        <w:rPr>
          <w:rFonts w:ascii="Times New Roman" w:hAnsi="Times New Roman" w:cs="Times New Roman" w:eastAsia="Times New Roman" w:hint="default"/>
        </w:rPr>
        <w:t>28</w:t>
      </w:r>
      <w:r>
        <w:rPr/>
        <w:t>条的规定，国家需要重点扶持的高新技术企业，减按</w:t>
      </w:r>
      <w:r>
        <w:rPr>
          <w:rFonts w:ascii="Times New Roman" w:hAnsi="Times New Roman" w:cs="Times New Roman" w:eastAsia="Times New Roman" w:hint="default"/>
        </w:rPr>
        <w:t>15%</w:t>
      </w:r>
      <w:r>
        <w:rPr/>
        <w:t>的税率征收企业所得税。</w:t>
      </w:r>
    </w:p>
    <w:p>
      <w:pPr>
        <w:pStyle w:val="BodyText"/>
        <w:spacing w:line="300" w:lineRule="auto" w:before="13"/>
        <w:ind w:left="265" w:right="1129" w:firstLine="216"/>
        <w:jc w:val="both"/>
      </w:pPr>
      <w:r>
        <w:rPr>
          <w:spacing w:val="-2"/>
        </w:rPr>
        <w:t>根据《关于软件和集成电路产业企业所得税优惠政策有关问题的通知》（财税〔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49</w:t>
      </w:r>
      <w:r>
        <w:rPr>
          <w:spacing w:val="-2"/>
        </w:rPr>
        <w:t>号）、国家税务总局《软件和</w:t>
      </w:r>
      <w:r>
        <w:rPr/>
        <w:t> </w:t>
      </w:r>
      <w:r>
        <w:rPr>
          <w:spacing w:val="-1"/>
        </w:rPr>
        <w:t>集成电路企业认定管理有关问题的公告》（国家税务总局公告</w:t>
      </w:r>
      <w:r>
        <w:rPr>
          <w:rFonts w:ascii="Times New Roman" w:hAnsi="Times New Roman" w:cs="Times New Roman" w:eastAsia="Times New Roman" w:hint="default"/>
          <w:spacing w:val="-1"/>
        </w:rPr>
        <w:t>2012</w:t>
      </w:r>
      <w:r>
        <w:rPr>
          <w:spacing w:val="-1"/>
        </w:rPr>
        <w:t>第</w:t>
      </w:r>
      <w:r>
        <w:rPr>
          <w:rFonts w:ascii="Times New Roman" w:hAnsi="Times New Roman" w:cs="Times New Roman" w:eastAsia="Times New Roman" w:hint="default"/>
          <w:spacing w:val="-1"/>
        </w:rPr>
        <w:t>19</w:t>
      </w:r>
      <w:r>
        <w:rPr>
          <w:spacing w:val="-1"/>
        </w:rPr>
        <w:t>号）、国家税务总局《关于执行软件企业所得税优</w:t>
      </w:r>
      <w:r>
        <w:rPr>
          <w:spacing w:val="-55"/>
        </w:rPr>
        <w:t> </w:t>
      </w:r>
      <w:r>
        <w:rPr>
          <w:spacing w:val="-55"/>
        </w:rPr>
      </w:r>
      <w:r>
        <w:rPr>
          <w:spacing w:val="-1"/>
        </w:rPr>
        <w:t>惠政策有关问题的公告》（国家税务总局公告</w:t>
      </w:r>
      <w:r>
        <w:rPr>
          <w:rFonts w:ascii="Times New Roman" w:hAnsi="Times New Roman" w:cs="Times New Roman" w:eastAsia="Times New Roman" w:hint="default"/>
          <w:spacing w:val="-1"/>
        </w:rPr>
        <w:t>2013</w:t>
      </w:r>
      <w:r>
        <w:rPr>
          <w:spacing w:val="-1"/>
        </w:rPr>
        <w:t>第</w:t>
      </w:r>
      <w:r>
        <w:rPr>
          <w:rFonts w:ascii="Times New Roman" w:hAnsi="Times New Roman" w:cs="Times New Roman" w:eastAsia="Times New Roman" w:hint="default"/>
          <w:spacing w:val="-1"/>
        </w:rPr>
        <w:t>43</w:t>
      </w:r>
      <w:r>
        <w:rPr>
          <w:spacing w:val="-1"/>
        </w:rPr>
        <w:t>号）、《国家规划布局内重点软件企业和集成电路设计企业认定管</w:t>
      </w:r>
      <w:r>
        <w:rPr>
          <w:spacing w:val="-54"/>
        </w:rPr>
        <w:t> </w:t>
      </w:r>
      <w:r>
        <w:rPr>
          <w:spacing w:val="-54"/>
        </w:rPr>
      </w:r>
      <w:r>
        <w:rPr>
          <w:spacing w:val="-2"/>
        </w:rPr>
        <w:t>理试行办法》（发改高技</w:t>
      </w:r>
      <w:r>
        <w:rPr>
          <w:rFonts w:ascii="Times New Roman" w:hAnsi="Times New Roman" w:cs="Times New Roman" w:eastAsia="Times New Roman" w:hint="default"/>
          <w:spacing w:val="-2"/>
        </w:rPr>
        <w:t>[2012]2413</w:t>
      </w:r>
      <w:r>
        <w:rPr>
          <w:spacing w:val="-2"/>
        </w:rPr>
        <w:t>号）、《软件企业认定管理办法》（工信部联软</w:t>
      </w:r>
      <w:r>
        <w:rPr>
          <w:rFonts w:ascii="Times New Roman" w:hAnsi="Times New Roman" w:cs="Times New Roman" w:eastAsia="Times New Roman" w:hint="default"/>
          <w:spacing w:val="-2"/>
        </w:rPr>
        <w:t>[2013]64</w:t>
      </w:r>
      <w:r>
        <w:rPr>
          <w:spacing w:val="-2"/>
        </w:rPr>
        <w:t>号）、《企业所得税优惠政策</w:t>
      </w:r>
      <w:r>
        <w:rPr>
          <w:spacing w:val="-45"/>
        </w:rPr>
        <w:t> </w:t>
      </w:r>
      <w:r>
        <w:rPr>
          <w:spacing w:val="-45"/>
        </w:rPr>
      </w:r>
      <w:r>
        <w:rPr/>
        <w:t>事项办理办法》的公告（国家税务总局公告</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76</w:t>
      </w:r>
      <w:r>
        <w:rPr/>
        <w:t>号）的规定，本公司本年企业所得税减按</w:t>
      </w:r>
      <w:r>
        <w:rPr>
          <w:rFonts w:ascii="Times New Roman" w:hAnsi="Times New Roman" w:cs="Times New Roman" w:eastAsia="Times New Roman" w:hint="default"/>
        </w:rPr>
        <w:t>10%</w:t>
      </w:r>
      <w:r>
        <w:rPr/>
        <w:t>计缴。</w:t>
      </w:r>
    </w:p>
    <w:p>
      <w:pPr>
        <w:pStyle w:val="BodyText"/>
        <w:spacing w:line="300" w:lineRule="auto" w:before="13"/>
        <w:ind w:left="265" w:right="1131" w:firstLine="144"/>
        <w:jc w:val="both"/>
      </w:pPr>
      <w:r>
        <w:rPr>
          <w:spacing w:val="-2"/>
        </w:rPr>
        <w:t>（</w:t>
      </w:r>
      <w:r>
        <w:rPr>
          <w:rFonts w:ascii="Times New Roman" w:hAnsi="Times New Roman" w:cs="Times New Roman" w:eastAsia="Times New Roman" w:hint="default"/>
          <w:spacing w:val="-2"/>
        </w:rPr>
        <w:t>2</w:t>
      </w:r>
      <w:r>
        <w:rPr>
          <w:spacing w:val="-2"/>
        </w:rPr>
        <w:t>）根据《财政部国家税务总局关于广东横琴新区福建平潭综合实验区深圳前海深港现代服务业合作区企业所得税优惠</w:t>
      </w:r>
      <w:r>
        <w:rPr/>
        <w:t> </w:t>
      </w:r>
      <w:r>
        <w:rPr>
          <w:spacing w:val="-1"/>
        </w:rPr>
        <w:t>政策及优惠目录的通知》（财税〔</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26</w:t>
      </w:r>
      <w:r>
        <w:rPr>
          <w:spacing w:val="-1"/>
        </w:rPr>
        <w:t>号）文件规定，对设在横琴新区、平潭综合实验区和前海深港现代服务业合作</w:t>
      </w:r>
      <w:r>
        <w:rPr>
          <w:spacing w:val="-55"/>
        </w:rPr>
        <w:t> </w:t>
      </w:r>
      <w:r>
        <w:rPr>
          <w:spacing w:val="-55"/>
        </w:rPr>
      </w:r>
      <w:r>
        <w:rPr/>
        <w:t>区的鼓励类产业企业减按</w:t>
      </w:r>
      <w:r>
        <w:rPr>
          <w:rFonts w:ascii="Times New Roman" w:hAnsi="Times New Roman" w:cs="Times New Roman" w:eastAsia="Times New Roman" w:hint="default"/>
        </w:rPr>
        <w:t>15%</w:t>
      </w:r>
      <w:r>
        <w:rPr/>
        <w:t>的税率征收企业所得税。子公司珠海宇信易诚科技有限公司属于所在区域《企业所得税优惠</w:t>
      </w:r>
      <w:r>
        <w:rPr>
          <w:spacing w:val="-76"/>
        </w:rPr>
        <w:t> </w:t>
      </w:r>
      <w:r>
        <w:rPr>
          <w:spacing w:val="-76"/>
        </w:rPr>
      </w:r>
      <w:r>
        <w:rPr/>
        <w:t>目录》中规定的上述鼓励类产业企业，企业所得税减按</w:t>
      </w:r>
      <w:r>
        <w:rPr>
          <w:rFonts w:ascii="Times New Roman" w:hAnsi="Times New Roman" w:cs="Times New Roman" w:eastAsia="Times New Roman" w:hint="default"/>
        </w:rPr>
        <w:t>15%</w:t>
      </w:r>
      <w:r>
        <w:rPr/>
        <w:t>计缴。</w:t>
      </w:r>
    </w:p>
    <w:p>
      <w:pPr>
        <w:pStyle w:val="BodyText"/>
        <w:spacing w:line="300" w:lineRule="auto" w:before="13"/>
        <w:ind w:left="265" w:right="1117" w:firstLine="216"/>
        <w:jc w:val="both"/>
      </w:pPr>
      <w:r>
        <w:rPr/>
        <w:t>子公司珠海宇信易诚科技有限公司根据科学技术部火炬</w:t>
      </w:r>
      <w:r>
        <w:rPr>
          <w:spacing w:val="-44"/>
        </w:rPr>
        <w:t> </w:t>
      </w:r>
      <w:r>
        <w:rPr/>
        <w:t>高技术产业开发中心</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日《关于广东省</w:t>
      </w:r>
      <w:r>
        <w:rPr>
          <w:rFonts w:ascii="Times New Roman" w:hAnsi="Times New Roman" w:cs="Times New Roman" w:eastAsia="Times New Roman" w:hint="default"/>
        </w:rPr>
        <w:t>2019</w:t>
      </w:r>
      <w:r>
        <w:rPr/>
        <w:t>年第二批 高新技术企业备案的复函》国科火字【</w:t>
      </w:r>
      <w:r>
        <w:rPr>
          <w:rFonts w:ascii="Times New Roman" w:hAnsi="Times New Roman" w:cs="Times New Roman" w:eastAsia="Times New Roman" w:hint="default"/>
        </w:rPr>
        <w:t>2020</w:t>
      </w:r>
      <w:r>
        <w:rPr/>
        <w:t>】</w:t>
      </w:r>
      <w:r>
        <w:rPr>
          <w:rFonts w:ascii="Times New Roman" w:hAnsi="Times New Roman" w:cs="Times New Roman" w:eastAsia="Times New Roman" w:hint="default"/>
        </w:rPr>
        <w:t>50</w:t>
      </w:r>
      <w:r>
        <w:rPr/>
        <w:t>号文件，取得高新技术企业认定，根据《中华人民共和国企业所得税法》 第</w:t>
      </w:r>
      <w:r>
        <w:rPr>
          <w:rFonts w:ascii="Times New Roman" w:hAnsi="Times New Roman" w:cs="Times New Roman" w:eastAsia="Times New Roman" w:hint="default"/>
        </w:rPr>
        <w:t>28</w:t>
      </w:r>
      <w:r>
        <w:rPr/>
        <w:t>条的规定，高新技术企业有效期内适用</w:t>
      </w:r>
      <w:r>
        <w:rPr>
          <w:rFonts w:ascii="Times New Roman" w:hAnsi="Times New Roman" w:cs="Times New Roman" w:eastAsia="Times New Roman" w:hint="default"/>
        </w:rPr>
        <w:t>15%</w:t>
      </w:r>
      <w:r>
        <w:rPr/>
        <w:t>的企业所得税税率。</w:t>
      </w:r>
    </w:p>
    <w:p>
      <w:pPr>
        <w:pStyle w:val="BodyText"/>
        <w:spacing w:line="300" w:lineRule="auto" w:before="13"/>
        <w:ind w:left="265" w:right="1047" w:firstLine="144"/>
        <w:jc w:val="left"/>
      </w:pPr>
      <w:r>
        <w:rPr/>
        <w:t>（</w:t>
      </w:r>
      <w:r>
        <w:rPr>
          <w:rFonts w:ascii="Times New Roman" w:hAnsi="Times New Roman" w:cs="Times New Roman" w:eastAsia="Times New Roman" w:hint="default"/>
        </w:rPr>
        <w:t>3</w:t>
      </w:r>
      <w:r>
        <w:rPr/>
        <w:t>）子公司珠海数通天下科技有限公司于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09</w:t>
      </w:r>
      <w:r>
        <w:rPr/>
        <w:t>日取得广东省科学技术厅、广东省财政厅、广东省国家税务局、 </w:t>
      </w:r>
      <w:r>
        <w:rPr>
          <w:spacing w:val="-3"/>
        </w:rPr>
        <w:t>广东省地方税务局联合核发的编号为</w:t>
      </w:r>
      <w:r>
        <w:rPr>
          <w:rFonts w:ascii="Times New Roman" w:hAnsi="Times New Roman" w:cs="Times New Roman" w:eastAsia="Times New Roman" w:hint="default"/>
          <w:spacing w:val="-3"/>
        </w:rPr>
        <w:t>GR201744002277</w:t>
      </w:r>
      <w:r>
        <w:rPr>
          <w:spacing w:val="-3"/>
        </w:rPr>
        <w:t>的《高新技术企业证书》，高新技术企业证书有效期为</w:t>
      </w:r>
      <w:r>
        <w:rPr>
          <w:rFonts w:ascii="Times New Roman" w:hAnsi="Times New Roman" w:cs="Times New Roman" w:eastAsia="Times New Roman" w:hint="default"/>
          <w:spacing w:val="-3"/>
        </w:rPr>
        <w:t>3</w:t>
      </w:r>
      <w:r>
        <w:rPr>
          <w:spacing w:val="-3"/>
        </w:rPr>
        <w:t>年。根据《中</w:t>
      </w:r>
      <w:r>
        <w:rPr>
          <w:spacing w:val="-85"/>
        </w:rPr>
        <w:t> </w:t>
      </w:r>
      <w:r>
        <w:rPr>
          <w:spacing w:val="-85"/>
        </w:rPr>
      </w:r>
      <w:r>
        <w:rPr/>
        <w:t>华人民共和国企业所得税法》第</w:t>
      </w:r>
      <w:r>
        <w:rPr>
          <w:rFonts w:ascii="Times New Roman" w:hAnsi="Times New Roman" w:cs="Times New Roman" w:eastAsia="Times New Roman" w:hint="default"/>
        </w:rPr>
        <w:t>28</w:t>
      </w:r>
      <w:r>
        <w:rPr/>
        <w:t>条的规定，高新技术企业有效期内适用</w:t>
      </w:r>
      <w:r>
        <w:rPr>
          <w:rFonts w:ascii="Times New Roman" w:hAnsi="Times New Roman" w:cs="Times New Roman" w:eastAsia="Times New Roman" w:hint="default"/>
        </w:rPr>
        <w:t>15%</w:t>
      </w:r>
      <w:r>
        <w:rPr/>
        <w:t>的企业所得税税率。</w:t>
      </w:r>
    </w:p>
    <w:p>
      <w:pPr>
        <w:pStyle w:val="BodyText"/>
        <w:spacing w:line="300" w:lineRule="auto" w:before="13"/>
        <w:ind w:right="1131" w:firstLine="216"/>
        <w:jc w:val="both"/>
      </w:pPr>
      <w:r>
        <w:rPr/>
        <w:t>（</w:t>
      </w:r>
      <w:r>
        <w:rPr>
          <w:rFonts w:ascii="Times New Roman" w:hAnsi="Times New Roman" w:cs="Times New Roman" w:eastAsia="Times New Roman" w:hint="default"/>
        </w:rPr>
        <w:t>4</w:t>
      </w:r>
      <w:r>
        <w:rPr/>
        <w:t>）子公司厦门市宇信鸿泰科技有限公司于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日取得厦门市科技技术局、厦门市财政局、国家税务总局厦门 </w:t>
      </w:r>
      <w:r>
        <w:rPr>
          <w:spacing w:val="-2"/>
        </w:rPr>
        <w:t>市税务局联合核发的编号为</w:t>
      </w:r>
      <w:r>
        <w:rPr>
          <w:rFonts w:ascii="Times New Roman" w:hAnsi="Times New Roman" w:cs="Times New Roman" w:eastAsia="Times New Roman" w:hint="default"/>
          <w:spacing w:val="-2"/>
        </w:rPr>
        <w:t>GR201935100646</w:t>
      </w:r>
      <w:r>
        <w:rPr>
          <w:spacing w:val="-2"/>
        </w:rPr>
        <w:t>的《高新技术企业证书》，高新技术企业证书有效期为</w:t>
      </w:r>
      <w:r>
        <w:rPr>
          <w:rFonts w:ascii="Times New Roman" w:hAnsi="Times New Roman" w:cs="Times New Roman" w:eastAsia="Times New Roman" w:hint="default"/>
          <w:spacing w:val="-2"/>
        </w:rPr>
        <w:t>3</w:t>
      </w:r>
      <w:r>
        <w:rPr>
          <w:spacing w:val="-2"/>
        </w:rPr>
        <w:t>年。根据《中华人民共</w:t>
      </w:r>
      <w:r>
        <w:rPr>
          <w:spacing w:val="-40"/>
        </w:rPr>
        <w:t> </w:t>
      </w:r>
      <w:r>
        <w:rPr>
          <w:spacing w:val="-40"/>
        </w:rPr>
      </w:r>
      <w:r>
        <w:rPr/>
        <w:t>和国企业所得税法》第</w:t>
      </w:r>
      <w:r>
        <w:rPr>
          <w:rFonts w:ascii="Times New Roman" w:hAnsi="Times New Roman" w:cs="Times New Roman" w:eastAsia="Times New Roman" w:hint="default"/>
        </w:rPr>
        <w:t>28</w:t>
      </w:r>
      <w:r>
        <w:rPr/>
        <w:t>条的规定，高新技术企业有效期内适用</w:t>
      </w:r>
      <w:r>
        <w:rPr>
          <w:rFonts w:ascii="Times New Roman" w:hAnsi="Times New Roman" w:cs="Times New Roman" w:eastAsia="Times New Roman" w:hint="default"/>
        </w:rPr>
        <w:t>15%</w:t>
      </w:r>
      <w:r>
        <w:rPr/>
        <w:t>的企业所得税税率。</w:t>
      </w:r>
    </w:p>
    <w:p>
      <w:pPr>
        <w:pStyle w:val="BodyText"/>
        <w:spacing w:line="300" w:lineRule="auto" w:before="13"/>
        <w:ind w:right="1126" w:firstLine="216"/>
        <w:jc w:val="both"/>
      </w:pPr>
      <w:r>
        <w:rPr/>
        <w:t>（</w:t>
      </w:r>
      <w:r>
        <w:rPr>
          <w:rFonts w:ascii="Times New Roman" w:hAnsi="Times New Roman" w:cs="Times New Roman" w:eastAsia="Times New Roman" w:hint="default"/>
        </w:rPr>
        <w:t>5</w:t>
      </w:r>
      <w:r>
        <w:rPr/>
        <w:t>）子公司北京宇信企慧信息技术有限公司于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日取得《软件企业证书》，有效期一年，根据《财政部</w:t>
      </w:r>
      <w:r>
        <w:rPr>
          <w:spacing w:val="-28"/>
        </w:rPr>
        <w:t> </w:t>
      </w:r>
      <w:r>
        <w:rPr/>
        <w:t>税务</w:t>
      </w:r>
      <w:r>
        <w:rPr>
          <w:spacing w:val="2"/>
        </w:rPr>
        <w:t> </w:t>
      </w:r>
      <w:r>
        <w:rPr/>
        <w:t>总局关于集成电路设计和软件产业企业所得税政策的公告》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68</w:t>
      </w:r>
      <w:r>
        <w:rPr/>
        <w:t>号第</w:t>
      </w:r>
      <w:r>
        <w:rPr>
          <w:rFonts w:ascii="Times New Roman" w:hAnsi="Times New Roman" w:cs="Times New Roman" w:eastAsia="Times New Roman" w:hint="default"/>
        </w:rPr>
        <w:t>1</w:t>
      </w:r>
      <w:r>
        <w:rPr/>
        <w:t>条规定：依法成立且符合条件的集成电路设计</w:t>
      </w:r>
      <w:r>
        <w:rPr>
          <w:spacing w:val="-84"/>
        </w:rPr>
        <w:t> </w:t>
      </w:r>
      <w:r>
        <w:rPr>
          <w:spacing w:val="-84"/>
        </w:rPr>
      </w:r>
      <w:r>
        <w:rPr>
          <w:spacing w:val="-4"/>
        </w:rPr>
        <w:t>企业和软件企业，在</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日前自获利年度起计算优惠期，第一年至第二年免征企业所得税，第三年至第五年按照</w:t>
      </w:r>
      <w:r>
        <w:rPr>
          <w:rFonts w:ascii="Times New Roman" w:hAnsi="Times New Roman" w:cs="Times New Roman" w:eastAsia="Times New Roman" w:hint="default"/>
          <w:spacing w:val="-4"/>
        </w:rPr>
        <w:t>25%</w:t>
      </w:r>
      <w:r>
        <w:rPr>
          <w:rFonts w:ascii="Times New Roman" w:hAnsi="Times New Roman" w:cs="Times New Roman" w:eastAsia="Times New Roman" w:hint="default"/>
          <w:spacing w:val="-36"/>
        </w:rPr>
        <w:t> </w:t>
      </w:r>
      <w:r>
        <w:rPr/>
        <w:t>的法定税率减半征收企业所得税，并享受至期满为止，</w:t>
      </w:r>
      <w:r>
        <w:rPr>
          <w:rFonts w:ascii="Times New Roman" w:hAnsi="Times New Roman" w:cs="Times New Roman" w:eastAsia="Times New Roman" w:hint="default"/>
        </w:rPr>
        <w:t>2019</w:t>
      </w:r>
      <w:r>
        <w:rPr/>
        <w:t>年免企业所得税。</w:t>
      </w:r>
    </w:p>
    <w:p>
      <w:pPr>
        <w:pStyle w:val="BodyText"/>
        <w:spacing w:line="300" w:lineRule="auto" w:before="13"/>
        <w:ind w:right="1129" w:firstLine="216"/>
        <w:jc w:val="both"/>
      </w:pPr>
      <w:r>
        <w:rPr/>
        <w:t>（</w:t>
      </w:r>
      <w:r>
        <w:rPr>
          <w:rFonts w:ascii="Times New Roman" w:hAnsi="Times New Roman" w:cs="Times New Roman" w:eastAsia="Times New Roman" w:hint="default"/>
        </w:rPr>
        <w:t>6</w:t>
      </w:r>
      <w:r>
        <w:rPr/>
        <w:t>）根据《财政部</w:t>
      </w:r>
      <w:r>
        <w:rPr>
          <w:spacing w:val="41"/>
        </w:rPr>
        <w:t> </w:t>
      </w:r>
      <w:r>
        <w:rPr/>
        <w:t>税务总局关于实施小微企业普惠性税收减免政策的通知》（财税〔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13</w:t>
      </w:r>
      <w:r>
        <w:rPr/>
        <w:t>号），小型微利企业年 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的税率缴纳企业所得税；对年应纳税所得额超过</w:t>
      </w:r>
      <w:r>
        <w:rPr>
          <w:spacing w:val="-35"/>
        </w:rPr>
        <w:t> </w:t>
      </w:r>
      <w:r>
        <w:rPr>
          <w:spacing w:val="-35"/>
        </w:rPr>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的税率缴纳企业所得税。本年享受小型微利企业税收</w:t>
      </w:r>
      <w:r>
        <w:rPr>
          <w:spacing w:val="-58"/>
        </w:rPr>
        <w:t> </w:t>
      </w:r>
      <w:r>
        <w:rPr>
          <w:spacing w:val="-58"/>
        </w:rPr>
      </w:r>
      <w:r>
        <w:rPr>
          <w:spacing w:val="-2"/>
        </w:rPr>
        <w:t>减免政策的企业有：上海宇信易诚软件技术有限公司、厦门宇诚科技有限公司、北京宇信启融科技有限公司、长沙宇信鸿泰</w:t>
      </w:r>
    </w:p>
    <w:p>
      <w:pPr>
        <w:spacing w:after="0" w:line="300" w:lineRule="auto"/>
        <w:jc w:val="both"/>
        <w:sectPr>
          <w:pgSz w:w="11910" w:h="16840"/>
          <w:pgMar w:header="852" w:footer="980" w:top="1300" w:bottom="1160" w:left="980" w:right="0"/>
        </w:sectPr>
      </w:pPr>
    </w:p>
    <w:p>
      <w:pPr>
        <w:pStyle w:val="BodyText"/>
        <w:spacing w:line="240" w:lineRule="auto" w:before="142"/>
        <w:ind w:right="1133"/>
        <w:jc w:val="left"/>
      </w:pPr>
      <w:r>
        <w:rPr/>
        <w:t>信息科技有限公司、湖南宇信鸿泰资产管理有限责任公司。</w:t>
      </w:r>
    </w:p>
    <w:p>
      <w:pPr>
        <w:pStyle w:val="BodyText"/>
        <w:spacing w:line="240" w:lineRule="auto" w:before="77"/>
        <w:ind w:right="1133"/>
        <w:jc w:val="left"/>
      </w:pPr>
      <w:r>
        <w:rPr>
          <w:rFonts w:ascii="Times New Roman" w:hAnsi="Times New Roman" w:cs="Times New Roman" w:eastAsia="Times New Roman" w:hint="default"/>
        </w:rPr>
        <w:t>2</w:t>
      </w:r>
      <w:r>
        <w:rPr/>
        <w:t>、增值税减免及退税</w:t>
      </w:r>
    </w:p>
    <w:p>
      <w:pPr>
        <w:pStyle w:val="BodyText"/>
        <w:spacing w:line="300" w:lineRule="auto" w:before="63"/>
        <w:ind w:right="1130" w:firstLine="144"/>
        <w:jc w:val="both"/>
      </w:pPr>
      <w:r>
        <w:rPr>
          <w:spacing w:val="-14"/>
        </w:rPr>
        <w:t>（</w:t>
      </w:r>
      <w:r>
        <w:rPr>
          <w:rFonts w:ascii="Times New Roman" w:hAnsi="Times New Roman" w:cs="Times New Roman" w:eastAsia="Times New Roman" w:hint="default"/>
          <w:spacing w:val="-14"/>
        </w:rPr>
        <w:t>1</w:t>
      </w:r>
      <w:r>
        <w:rPr>
          <w:spacing w:val="-14"/>
        </w:rPr>
        <w:t>）根据《财政部</w:t>
      </w:r>
      <w:r>
        <w:rPr>
          <w:spacing w:val="-64"/>
        </w:rPr>
        <w:t> </w:t>
      </w:r>
      <w:r>
        <w:rPr/>
        <w:t>国家税务总局关于在北京等</w:t>
      </w:r>
      <w:r>
        <w:rPr>
          <w:rFonts w:ascii="Times New Roman" w:hAnsi="Times New Roman" w:cs="Times New Roman" w:eastAsia="Times New Roman" w:hint="default"/>
        </w:rPr>
        <w:t>8</w:t>
      </w:r>
      <w:r>
        <w:rPr/>
        <w:t>省市开展交通运输业和部分现代服务业营业税改征增值税试点的通知》</w:t>
      </w:r>
      <w:r>
        <w:rPr>
          <w:rFonts w:ascii="Times New Roman" w:hAnsi="Times New Roman" w:cs="Times New Roman" w:eastAsia="Times New Roman" w:hint="default"/>
        </w:rPr>
        <w:t>(</w:t>
      </w:r>
      <w:r>
        <w:rPr/>
        <w:t>财 </w:t>
      </w:r>
      <w:r>
        <w:rPr>
          <w:spacing w:val="-6"/>
        </w:rPr>
        <w:t>税</w:t>
      </w:r>
      <w:r>
        <w:rPr>
          <w:rFonts w:ascii="Times New Roman" w:hAnsi="Times New Roman" w:cs="Times New Roman" w:eastAsia="Times New Roman" w:hint="default"/>
          <w:spacing w:val="-6"/>
        </w:rPr>
        <w:t>[2012]71</w:t>
      </w:r>
      <w:r>
        <w:rPr>
          <w:spacing w:val="-6"/>
        </w:rPr>
        <w:t>号）规定、《关于在全国开展交通运输业和部分现代服务业营业税改征增值税试点税收政策的通知》（财税</w:t>
      </w:r>
      <w:r>
        <w:rPr>
          <w:rFonts w:ascii="Times New Roman" w:hAnsi="Times New Roman" w:cs="Times New Roman" w:eastAsia="Times New Roman" w:hint="default"/>
          <w:spacing w:val="-6"/>
        </w:rPr>
        <w:t>[2013]37</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号）规定及《财政部</w:t>
      </w:r>
      <w:r>
        <w:rPr>
          <w:spacing w:val="46"/>
        </w:rPr>
        <w:t> </w:t>
      </w:r>
      <w:r>
        <w:rPr/>
        <w:t>国家税务总局关于全面推开营业税改征增值税试点的通知》财税</w:t>
      </w:r>
      <w:r>
        <w:rPr>
          <w:rFonts w:ascii="Times New Roman" w:hAnsi="Times New Roman" w:cs="Times New Roman" w:eastAsia="Times New Roman" w:hint="default"/>
        </w:rPr>
        <w:t>[2016]36</w:t>
      </w:r>
      <w:r>
        <w:rPr/>
        <w:t>号规定，公司提供技术开发</w:t>
      </w:r>
      <w:r>
        <w:rPr>
          <w:spacing w:val="-77"/>
        </w:rPr>
        <w:t> </w:t>
      </w:r>
      <w:r>
        <w:rPr>
          <w:spacing w:val="-77"/>
        </w:rPr>
      </w:r>
      <w:r>
        <w:rPr/>
        <w:t>及服务业务取得的收入免征增值税。</w:t>
      </w:r>
    </w:p>
    <w:p>
      <w:pPr>
        <w:pStyle w:val="BodyText"/>
        <w:spacing w:line="300" w:lineRule="auto" w:before="31"/>
        <w:ind w:right="1128" w:firstLine="144"/>
        <w:jc w:val="both"/>
      </w:pPr>
      <w:r>
        <w:rPr>
          <w:spacing w:val="-3"/>
        </w:rPr>
        <w:t>（</w:t>
      </w:r>
      <w:r>
        <w:rPr>
          <w:rFonts w:ascii="Times New Roman" w:hAnsi="Times New Roman" w:cs="Times New Roman" w:eastAsia="Times New Roman" w:hint="default"/>
          <w:spacing w:val="-3"/>
        </w:rPr>
        <w:t>2</w:t>
      </w:r>
      <w:r>
        <w:rPr>
          <w:spacing w:val="-3"/>
        </w:rPr>
        <w:t>）根据《财政部</w:t>
      </w:r>
      <w:r>
        <w:rPr>
          <w:spacing w:val="-48"/>
        </w:rPr>
        <w:t> </w:t>
      </w:r>
      <w:r>
        <w:rPr/>
        <w:t>国家税务总局关于软件产品增值税政策的通知》（财税</w:t>
      </w:r>
      <w:r>
        <w:rPr>
          <w:rFonts w:ascii="Times New Roman" w:hAnsi="Times New Roman" w:cs="Times New Roman" w:eastAsia="Times New Roman" w:hint="default"/>
        </w:rPr>
        <w:t>[2011]100</w:t>
      </w:r>
      <w:r>
        <w:rPr/>
        <w:t>号）文件规定，对增值税一般纳税人 </w:t>
      </w:r>
      <w:r>
        <w:rPr>
          <w:spacing w:val="-2"/>
        </w:rPr>
        <w:t>销售其自行开发生产的软件产品，按</w:t>
      </w:r>
      <w:r>
        <w:rPr>
          <w:rFonts w:ascii="Times New Roman" w:hAnsi="Times New Roman" w:cs="Times New Roman" w:eastAsia="Times New Roman" w:hint="default"/>
          <w:spacing w:val="-2"/>
        </w:rPr>
        <w:t>17%</w:t>
      </w:r>
      <w:r>
        <w:rPr>
          <w:spacing w:val="-2"/>
        </w:rPr>
        <w:t>税率（</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日起按</w:t>
      </w:r>
      <w:r>
        <w:rPr>
          <w:rFonts w:ascii="Times New Roman" w:hAnsi="Times New Roman" w:cs="Times New Roman" w:eastAsia="Times New Roman" w:hint="default"/>
          <w:spacing w:val="-2"/>
        </w:rPr>
        <w:t>16%</w:t>
      </w:r>
      <w:r>
        <w:rPr>
          <w:spacing w:val="-2"/>
        </w:rPr>
        <w:t>）征收增值税后，对其增值税实际税负超过</w:t>
      </w:r>
      <w:r>
        <w:rPr>
          <w:rFonts w:ascii="Times New Roman" w:hAnsi="Times New Roman" w:cs="Times New Roman" w:eastAsia="Times New Roman" w:hint="default"/>
          <w:spacing w:val="-2"/>
        </w:rPr>
        <w:t>3%</w:t>
      </w:r>
      <w:r>
        <w:rPr>
          <w:spacing w:val="-2"/>
        </w:rPr>
        <w:t>的部分</w:t>
      </w:r>
      <w:r>
        <w:rPr>
          <w:spacing w:val="-56"/>
        </w:rPr>
        <w:t> </w:t>
      </w:r>
      <w:r>
        <w:rPr/>
        <w:t>实行即征即退政策。公司自有软件产品销售享受增值税实际税负超过</w:t>
      </w:r>
      <w:r>
        <w:rPr>
          <w:rFonts w:ascii="Times New Roman" w:hAnsi="Times New Roman" w:cs="Times New Roman" w:eastAsia="Times New Roman" w:hint="default"/>
        </w:rPr>
        <w:t>3%</w:t>
      </w:r>
      <w:r>
        <w:rPr/>
        <w:t>的部分即征即退的优惠政策。</w:t>
      </w:r>
    </w:p>
    <w:p>
      <w:pPr>
        <w:pStyle w:val="BodyText"/>
        <w:spacing w:line="319" w:lineRule="auto" w:before="13"/>
        <w:ind w:right="1115" w:firstLine="144"/>
        <w:jc w:val="left"/>
      </w:pPr>
      <w:r>
        <w:rPr/>
        <w:t>（</w:t>
      </w:r>
      <w:r>
        <w:rPr>
          <w:rFonts w:ascii="Times New Roman" w:hAnsi="Times New Roman" w:cs="Times New Roman" w:eastAsia="Times New Roman" w:hint="default"/>
        </w:rPr>
        <w:t>3</w:t>
      </w:r>
      <w:r>
        <w:rPr/>
        <w:t>）根据《关于深化增值税改革有关政策的公告》（财政部税务总局</w:t>
      </w:r>
      <w:r>
        <w:rPr>
          <w:spacing w:val="-45"/>
        </w:rPr>
        <w:t> </w:t>
      </w:r>
      <w:r>
        <w:rPr/>
        <w:t>海关总署公告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39</w:t>
      </w:r>
      <w:r>
        <w:rPr/>
        <w:t>号）规定，自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 </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日，允许生产、生活性服务业纳税人按照当期可抵扣进项税额加计</w:t>
      </w:r>
      <w:r>
        <w:rPr>
          <w:rFonts w:ascii="Times New Roman" w:hAnsi="Times New Roman" w:cs="Times New Roman" w:eastAsia="Times New Roman" w:hint="default"/>
        </w:rPr>
        <w:t>10%</w:t>
      </w:r>
      <w:r>
        <w:rPr/>
        <w:t>，抵减应纳税额。 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
        <w:rPr>
          <w:rFonts w:ascii="宋体" w:hAnsi="宋体" w:cs="宋体" w:eastAsia="宋体" w:hint="default"/>
          <w:sz w:val="19"/>
          <w:szCs w:val="19"/>
        </w:rPr>
      </w:pPr>
    </w:p>
    <w:p>
      <w:pPr>
        <w:pStyle w:val="Heading2"/>
        <w:spacing w:line="240" w:lineRule="auto"/>
        <w:ind w:right="1133"/>
        <w:jc w:val="left"/>
        <w:rPr>
          <w:b w:val="0"/>
          <w:bCs w:val="0"/>
        </w:rPr>
      </w:pPr>
      <w:bookmarkStart w:name="七、合并财务报表项目注释" w:id="216"/>
      <w:bookmarkEnd w:id="216"/>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货币资金" w:id="217"/>
      <w:bookmarkEnd w:id="21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22,835.56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1,006,371,706.26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950,289,769.06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11,250,085.57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115,155.83</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1,017,639,287.34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950,427,760.45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3"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11,250,085.57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115,155.83</w:t>
            </w:r>
          </w:p>
        </w:tc>
      </w:tr>
    </w:tbl>
    <w:p>
      <w:pPr>
        <w:pStyle w:val="BodyText"/>
        <w:spacing w:line="240" w:lineRule="auto" w:before="49"/>
        <w:ind w:right="1133"/>
        <w:jc w:val="left"/>
      </w:pPr>
      <w:r>
        <w:rPr/>
        <w:t>其他说明</w:t>
      </w:r>
    </w:p>
    <w:p>
      <w:pPr>
        <w:pStyle w:val="BodyText"/>
        <w:spacing w:line="300" w:lineRule="auto" w:before="115"/>
        <w:ind w:right="1124" w:firstLine="36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182,016.17</w:t>
      </w:r>
      <w:r>
        <w:rPr/>
        <w:t>元为向银行申请开具无条件、不可撤销的担保函所存入的保证 金存款，</w:t>
      </w:r>
      <w:r>
        <w:rPr>
          <w:rFonts w:ascii="Times New Roman" w:hAnsi="Times New Roman" w:cs="Times New Roman" w:eastAsia="Times New Roman" w:hint="default"/>
        </w:rPr>
        <w:t>11,068,069.40</w:t>
      </w:r>
      <w:r>
        <w:rPr/>
        <w:t>元为开具银行承兑汇票的保证金。</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2、交易性金融资产" w:id="218"/>
      <w:bookmarkEnd w:id="218"/>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7,283,068.49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7,283,068.49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7,283,068.49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pStyle w:val="BodyText"/>
        <w:spacing w:line="240" w:lineRule="auto" w:before="142"/>
        <w:ind w:right="1133"/>
        <w:jc w:val="left"/>
      </w:pPr>
      <w:r>
        <w:rPr/>
        <w:t>其他说明：</w:t>
      </w:r>
    </w:p>
    <w:p>
      <w:pPr>
        <w:pStyle w:val="BodyText"/>
        <w:spacing w:line="300" w:lineRule="auto" w:before="117"/>
        <w:ind w:right="1196" w:firstLine="288"/>
        <w:jc w:val="left"/>
      </w:pPr>
      <w:r>
        <w:rPr/>
        <w:t>交易性金融资产系本公司购买的保本浮动收益银行理财产品</w:t>
      </w:r>
      <w:r>
        <w:rPr>
          <w:rFonts w:ascii="Times New Roman" w:hAnsi="Times New Roman" w:cs="Times New Roman" w:eastAsia="Times New Roman" w:hint="default"/>
        </w:rPr>
        <w:t>700</w:t>
      </w:r>
      <w:r>
        <w:rPr/>
        <w:t>万元，期末根据公允价值计量，公允价值变动计入当期 损益。</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bookmarkStart w:name="3、应收账款" w:id="219"/>
      <w:bookmarkEnd w:id="219"/>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收账款分类披露"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5" w:space="0" w:color="FFFFFF"/>
              <w:left w:val="single" w:sz="4" w:space="0" w:color="000000"/>
              <w:right w:val="single" w:sz="4" w:space="0" w:color="000000"/>
            </w:tcBorders>
            <w:shd w:val="clear" w:color="auto" w:fill="D2D2D2"/>
          </w:tcPr>
          <w:p>
            <w:pP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822,681,</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978.87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52,855,3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56.83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769,826,6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22.04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644,703,2</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92.20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37,685,23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607,018,06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0.38</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822,681,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978.87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52,855,3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56.83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769,826,6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22.04</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644,703,2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92.20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37,685,23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607,018,06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0.38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822,681,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978.87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52,855,3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56.83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769,826,6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22.04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644,703,2</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92.20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37,685,23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607,018,06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0.38</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52,855,356.83</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693,131,591.32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20,786,297.10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73,918,331.37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7,391,833.14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28,605,110.46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8,581,533.14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17,368,859.12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8,684,429.56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7,489,409.04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5,242,586.33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2,168,677.56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2,168,677.56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2395"/>
        <w:gridCol w:w="2391"/>
        <w:gridCol w:w="2405"/>
        <w:gridCol w:w="2369"/>
      </w:tblGrid>
      <w:tr>
        <w:trPr>
          <w:trHeight w:val="404" w:hRule="exact"/>
        </w:trPr>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822,681,978.87</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52,855,356.83</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441" w:right="1133" w:hanging="289"/>
        <w:jc w:val="left"/>
      </w:pPr>
      <w:r>
        <w:rPr/>
        <w:t>确定该组合依据的说明： </w:t>
      </w:r>
      <w:r>
        <w:rPr>
          <w:spacing w:val="-1"/>
        </w:rPr>
        <w:t>公司按照类似信用风险特征对应收账款进行组合，分组的标准包括逾期天数以及账龄等。公司根据客户的类似信用风险</w:t>
      </w:r>
    </w:p>
    <w:p>
      <w:pPr>
        <w:pStyle w:val="BodyText"/>
        <w:spacing w:line="224" w:lineRule="exact"/>
        <w:ind w:right="1133"/>
        <w:jc w:val="left"/>
      </w:pPr>
      <w:r>
        <w:rPr/>
        <w:t>特征，并结合账龄来确定相关应收账款的预期损失率。</w:t>
      </w:r>
    </w:p>
    <w:p>
      <w:pPr>
        <w:pStyle w:val="BodyText"/>
        <w:spacing w:line="240" w:lineRule="auto" w:before="117"/>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693,131,591.32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73,918,331.37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28,605,110.46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27,026,945.72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17,368,859.12</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7,489,409.04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2,168,677.56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822,681,978.87</w:t>
            </w:r>
          </w:p>
        </w:tc>
      </w:tr>
    </w:tbl>
    <w:p>
      <w:pPr>
        <w:pStyle w:val="BodyText"/>
        <w:spacing w:line="338" w:lineRule="auto" w:before="49"/>
        <w:ind w:right="1664"/>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公司不存在账龄超过三年且单项金额重大的应收账款。</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2）本期计提、收回或转回的坏账准备情况" w:id="221"/>
      <w:bookmarkEnd w:id="22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37,685,231.82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14,865,092.01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52,855,356.83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37,685,231.82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14,865,092.01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52,855,356.83</w:t>
            </w:r>
          </w:p>
        </w:tc>
      </w:tr>
    </w:tbl>
    <w:p>
      <w:pPr>
        <w:pStyle w:val="BodyText"/>
        <w:spacing w:line="240" w:lineRule="auto" w:before="49"/>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银行存款</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79"/>
      </w:tblGrid>
      <w:tr>
        <w:trPr>
          <w:trHeight w:val="404"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实际核销的应收账款情况" w:id="222"/>
      <w:bookmarkEnd w:id="22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84,967.00</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应收合同款项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84,967.00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0"/>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84,967.00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按欠款方归集的期末余额前五名的应收账款情况" w:id="223"/>
      <w:bookmarkEnd w:id="22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98,791,431.82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12.01%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3,886,824.48</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95,466,070.94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5,560,620.20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客户六</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51,135,690.05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6.22%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1,607,482.16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客户七</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41,808,193.16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1,293,666.79</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33,722,237.19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6,365,708.37</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320,923,623.16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39.01%</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预付款项" w:id="224"/>
      <w:bookmarkEnd w:id="224"/>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预付款项按账龄列示"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51,104,845.92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43,979,250.70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2,064,498.49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805,406.18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804,883.07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115,129.86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136,975.39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2"/>
                <w:sz w:val="18"/>
              </w:rPr>
              <w:t>54,111,202.87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44,926,956.60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00" w:bottom="1160" w:left="980" w:right="0"/>
        </w:sectPr>
      </w:pPr>
    </w:p>
    <w:p>
      <w:pPr>
        <w:pStyle w:val="BodyText"/>
        <w:spacing w:line="340" w:lineRule="auto" w:before="142"/>
        <w:ind w:left="513" w:right="5896" w:hanging="361"/>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公司无账龄超过一年且金额重大的预付款项。</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2）按预付对象归集的期末余额前五名的预付款情况" w:id="226"/>
      <w:bookmarkEnd w:id="22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654"/>
        <w:gridCol w:w="2552"/>
        <w:gridCol w:w="2319"/>
      </w:tblGrid>
      <w:tr>
        <w:trPr>
          <w:trHeight w:val="659" w:hRule="exact"/>
        </w:trPr>
        <w:tc>
          <w:tcPr>
            <w:tcW w:w="36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9"/>
              <w:ind w:left="883" w:right="70" w:hanging="812"/>
              <w:jc w:val="left"/>
              <w:rPr>
                <w:rFonts w:ascii="宋体" w:hAnsi="宋体" w:cs="宋体" w:eastAsia="宋体" w:hint="default"/>
                <w:sz w:val="18"/>
                <w:szCs w:val="18"/>
              </w:rPr>
            </w:pPr>
            <w:r>
              <w:rPr>
                <w:rFonts w:ascii="宋体" w:hAnsi="宋体" w:cs="宋体" w:eastAsia="宋体" w:hint="default"/>
                <w:sz w:val="18"/>
                <w:szCs w:val="18"/>
              </w:rPr>
              <w:t>占预付款项期末余额合计数 的比例</w:t>
            </w:r>
          </w:p>
        </w:tc>
      </w:tr>
      <w:tr>
        <w:trPr>
          <w:trHeight w:val="34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18,000,324.72</w:t>
            </w:r>
          </w:p>
        </w:tc>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33.27%</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供应商六</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16,869,477.92</w:t>
            </w:r>
          </w:p>
        </w:tc>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31.18%</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供应商七</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1,961,787.62</w:t>
            </w:r>
          </w:p>
        </w:tc>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3.63%</w:t>
            </w:r>
          </w:p>
        </w:tc>
      </w:tr>
      <w:tr>
        <w:trPr>
          <w:trHeight w:val="34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供应商八</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1,612,711.97</w:t>
            </w:r>
          </w:p>
        </w:tc>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2.98%</w:t>
            </w:r>
          </w:p>
        </w:tc>
      </w:tr>
      <w:tr>
        <w:trPr>
          <w:trHeight w:val="349"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1,580,845.00</w:t>
            </w:r>
          </w:p>
        </w:tc>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2.92%</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40,025,147.23</w:t>
            </w:r>
          </w:p>
        </w:tc>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73.98%</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52" w:right="1133" w:firstLine="0"/>
        <w:jc w:val="left"/>
        <w:rPr>
          <w:rFonts w:ascii="宋体" w:hAnsi="宋体" w:cs="宋体" w:eastAsia="宋体" w:hint="default"/>
          <w:sz w:val="21"/>
          <w:szCs w:val="21"/>
        </w:rPr>
      </w:pPr>
      <w:bookmarkStart w:name="5、其他应收款" w:id="227"/>
      <w:bookmarkEnd w:id="22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147,785.00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14,328,977.44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20,301,140.01</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14,476,762.44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20,301,140.01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收利息" w:id="228"/>
      <w:bookmarkEnd w:id="22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收利息分类" w:id="229"/>
      <w:bookmarkEnd w:id="22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147,785.00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147,785.00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230"/>
      <w:bookmarkEnd w:id="23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其他应收款" w:id="231"/>
      <w:bookmarkEnd w:id="231"/>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其他应收款按款项性质分类情况" w:id="232"/>
      <w:bookmarkEnd w:id="23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9,417,928.61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12,766,796.23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4,059,507.55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4,234,654.63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96,157.23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459,290.63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535,872.66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830,232.85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16,889,466.05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22,370,974.34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233"/>
      <w:bookmarkEnd w:id="233"/>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5"/>
        <w:gridCol w:w="1663"/>
        <w:gridCol w:w="2098"/>
        <w:gridCol w:w="2101"/>
        <w:gridCol w:w="1805"/>
      </w:tblGrid>
      <w:tr>
        <w:trPr>
          <w:trHeight w:val="403"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2,069,834.33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2,069,834.33</w:t>
            </w:r>
          </w:p>
        </w:tc>
      </w:tr>
      <w:tr>
        <w:trPr>
          <w:trHeight w:val="161"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05"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490,654.28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490,654.28</w:t>
            </w:r>
          </w:p>
        </w:tc>
      </w:tr>
      <w:tr>
        <w:trPr>
          <w:trHeight w:val="404"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2,560,488.61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2,560,488.61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580" w:bottom="70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9,163,034.02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4,103,396.51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1,587,390.68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2,035,644.84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842,717.88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717,483.89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475,443.07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16,889,466.05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234"/>
      <w:bookmarkEnd w:id="234"/>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本期计提坏账准备情况：</w:t>
      </w:r>
    </w:p>
    <w:p>
      <w:pPr>
        <w:spacing w:after="0" w:line="240" w:lineRule="auto"/>
        <w:jc w:val="left"/>
        <w:sectPr>
          <w:type w:val="continuous"/>
          <w:pgSz w:w="11910" w:h="16840"/>
          <w:pgMar w:top="1580" w:bottom="700" w:left="980" w:right="0"/>
        </w:sectPr>
      </w:pPr>
    </w:p>
    <w:p>
      <w:pPr>
        <w:pStyle w:val="BodyText"/>
        <w:spacing w:line="240" w:lineRule="auto" w:before="142"/>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21"/>
        <w:gridCol w:w="1342"/>
        <w:gridCol w:w="1457"/>
        <w:gridCol w:w="1594"/>
        <w:gridCol w:w="1334"/>
        <w:gridCol w:w="2122"/>
      </w:tblGrid>
      <w:tr>
        <w:trPr>
          <w:trHeight w:val="401" w:hRule="exact"/>
        </w:trPr>
        <w:tc>
          <w:tcPr>
            <w:tcW w:w="1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1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721"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212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2,069,834.33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490,654.28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2,560,488.61</w:t>
            </w:r>
          </w:p>
        </w:tc>
      </w:tr>
      <w:tr>
        <w:trPr>
          <w:trHeight w:val="403"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2,069,834.33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490,654.28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2,560,488.61</w:t>
            </w:r>
          </w:p>
        </w:tc>
      </w:tr>
    </w:tbl>
    <w:p>
      <w:pPr>
        <w:pStyle w:val="BodyText"/>
        <w:spacing w:line="240" w:lineRule="auto" w:before="49"/>
        <w:ind w:right="1133"/>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按欠款方归集的期末余额前五名的其他应收款情况" w:id="235"/>
      <w:bookmarkEnd w:id="235"/>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湖北消费金融股份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45,498.94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晋商消费金融股份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中国人民银行征信 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756,961.50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75,696.15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福建省农村信用社 联合社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57,970.00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北京科创空间投资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746,713.00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72,438.40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4,753,174.50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351,603.49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存货" w:id="236"/>
      <w:bookmarkEnd w:id="236"/>
      <w:r>
        <w:rPr>
          <w:b w:val="0"/>
          <w:bCs w:val="0"/>
        </w:rPr>
      </w:r>
      <w:r>
        <w:rPr>
          <w:rFonts w:ascii="Times New Roman" w:hAnsi="Times New Roman" w:cs="Times New Roman" w:eastAsia="Times New Roman" w:hint="default"/>
        </w:rPr>
        <w:t>6</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bookmarkStart w:name="（1）存货分类" w:id="237"/>
      <w:bookmarkEnd w:id="23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948,919.27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948,919.27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948,919.27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948,919.27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778,134.84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778,134.84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778,134.84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778,134.84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3,598,121.20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535,162.43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3,062,958.77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5,347,878.04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535,162.43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4,812,715.61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33,901,068.06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33,901,068.06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45,774,395.58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45,774,395.58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495,231,315.53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495,231,315.53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432,433,708.54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432,433,708.54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534,457,558.90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2,262,216.54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532,195,342.36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485,283,036.27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2,262,216.54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483,020,819.73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存货跌价准备" w:id="238"/>
      <w:bookmarkEnd w:id="23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948,919.27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948,919.27</w:t>
            </w:r>
          </w:p>
        </w:tc>
      </w:tr>
      <w:tr>
        <w:trPr>
          <w:trHeight w:val="404"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778,134.84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778,134.84</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535,162.43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535,162.43</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2,262,216.54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2,262,216.54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其他流动资产" w:id="239"/>
      <w:bookmarkEnd w:id="239"/>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80" w:top="13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580" w:bottom="70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1,780,614.50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2,092,055.36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预缴城建税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21,400.31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19,204.77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7,073,621.70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2,954,917.25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8,894,841.28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55,046,972.61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8、长期股权投资" w:id="240"/>
      <w:bookmarkEnd w:id="240"/>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铜根源</w:t>
            </w:r>
          </w:p>
          <w:p>
            <w:pPr>
              <w:pStyle w:val="TableParagraph"/>
              <w:spacing w:line="316" w:lineRule="auto" w:before="77"/>
              <w:ind w:left="24" w:right="41"/>
              <w:jc w:val="both"/>
              <w:rPr>
                <w:rFonts w:ascii="宋体" w:hAnsi="宋体" w:cs="宋体" w:eastAsia="宋体" w:hint="default"/>
                <w:sz w:val="18"/>
                <w:szCs w:val="18"/>
              </w:rPr>
            </w:pPr>
            <w:r>
              <w:rPr>
                <w:rFonts w:ascii="宋体" w:hAnsi="宋体" w:cs="宋体" w:eastAsia="宋体" w:hint="default"/>
                <w:sz w:val="18"/>
                <w:szCs w:val="18"/>
              </w:rPr>
              <w:t>（北京） 信息咨询 有限公司</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上海拍贝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2,271,125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.87</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丝路华创</w:t>
            </w:r>
          </w:p>
          <w:p>
            <w:pPr>
              <w:pStyle w:val="TableParagraph"/>
              <w:spacing w:line="316" w:lineRule="auto" w:before="76"/>
              <w:ind w:left="24" w:right="41"/>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117,003,8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08.47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117,611,5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5,509,474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-4,901,78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1"/>
              <w:jc w:val="both"/>
              <w:rPr>
                <w:rFonts w:ascii="宋体" w:hAnsi="宋体" w:cs="宋体" w:eastAsia="宋体" w:hint="default"/>
                <w:sz w:val="18"/>
                <w:szCs w:val="18"/>
              </w:rPr>
            </w:pPr>
            <w:r>
              <w:rPr>
                <w:rFonts w:ascii="宋体" w:hAnsi="宋体" w:cs="宋体" w:eastAsia="宋体" w:hint="default"/>
                <w:sz w:val="18"/>
                <w:szCs w:val="18"/>
              </w:rPr>
              <w:t>北京航宇 金服技术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4,617,560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-1,920,38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9.14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2,697,171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晋商消费 金融股份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125,848,9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36.73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10,439,18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136,288,1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21.36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湖北消费 金融股份 有限公司</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87,969,43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94,200,00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13,305,73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6.98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191,875,1</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76.30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派衍信息 科技（苏 州）有限 公司（注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-2,465,79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27,534,20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宇新（厦 门）大数 据股权投 资基金合 伙企业</w:t>
            </w:r>
          </w:p>
          <w:p>
            <w:pPr>
              <w:pStyle w:val="TableParagraph"/>
              <w:spacing w:line="319"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3"/>
                <w:sz w:val="18"/>
                <w:szCs w:val="18"/>
              </w:rPr>
              <w:t>伙）（注</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-797,041.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99,202,95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8.10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335,439,7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45.23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224,200,0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117,611,5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24,071,17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-8,501,78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457,597,6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2,271,125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335,439,7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45.23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224,200,0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117,611,5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24,071,17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1.62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-8,501,78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457,597,6</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33.97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2,271,125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.87</w:t>
            </w:r>
          </w:p>
        </w:tc>
      </w:tr>
    </w:tbl>
    <w:p>
      <w:pPr>
        <w:pStyle w:val="BodyText"/>
        <w:spacing w:line="240" w:lineRule="auto" w:before="49"/>
        <w:ind w:right="1133"/>
        <w:jc w:val="left"/>
      </w:pPr>
      <w:r>
        <w:rPr/>
        <w:t>其他说明</w:t>
      </w:r>
    </w:p>
    <w:p>
      <w:pPr>
        <w:pStyle w:val="BodyText"/>
        <w:spacing w:line="300" w:lineRule="auto" w:before="115"/>
        <w:ind w:left="513" w:right="1133"/>
        <w:jc w:val="left"/>
      </w:pPr>
      <w:r>
        <w:rPr/>
        <w:t>注</w:t>
      </w:r>
      <w:r>
        <w:rPr>
          <w:rFonts w:ascii="Times New Roman" w:hAnsi="Times New Roman" w:cs="Times New Roman" w:eastAsia="Times New Roman" w:hint="default"/>
        </w:rPr>
        <w:t>1</w:t>
      </w:r>
      <w:r>
        <w:rPr/>
        <w:t>：对铜根源（北京）信息咨询有限公司长期股权投资已在</w:t>
      </w:r>
      <w:r>
        <w:rPr>
          <w:rFonts w:ascii="Times New Roman" w:hAnsi="Times New Roman" w:cs="Times New Roman" w:eastAsia="Times New Roman" w:hint="default"/>
        </w:rPr>
        <w:t>2016</w:t>
      </w:r>
      <w:r>
        <w:rPr/>
        <w:t>年按权益法核算账面价值减记至零。 </w:t>
      </w: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月，本公司以货币</w:t>
      </w:r>
      <w:r>
        <w:rPr>
          <w:rFonts w:ascii="Times New Roman" w:hAnsi="Times New Roman" w:cs="Times New Roman" w:eastAsia="Times New Roman" w:hint="default"/>
          <w:spacing w:val="-2"/>
        </w:rPr>
        <w:t>9,420</w:t>
      </w:r>
      <w:r>
        <w:rPr>
          <w:spacing w:val="-2"/>
        </w:rPr>
        <w:t>万元认购湖北消费金融股份有限公司</w:t>
      </w:r>
      <w:r>
        <w:rPr>
          <w:rFonts w:ascii="Times New Roman" w:hAnsi="Times New Roman" w:cs="Times New Roman" w:eastAsia="Times New Roman" w:hint="default"/>
          <w:spacing w:val="-2"/>
        </w:rPr>
        <w:t>6,000</w:t>
      </w:r>
      <w:r>
        <w:rPr>
          <w:spacing w:val="-2"/>
        </w:rPr>
        <w:t>万股，折合</w:t>
      </w:r>
      <w:r>
        <w:rPr>
          <w:rFonts w:ascii="Times New Roman" w:hAnsi="Times New Roman" w:cs="Times New Roman" w:eastAsia="Times New Roman" w:hint="default"/>
          <w:spacing w:val="-2"/>
        </w:rPr>
        <w:t>1.57</w:t>
      </w:r>
      <w:r>
        <w:rPr>
          <w:spacing w:val="-2"/>
        </w:rPr>
        <w:t>元人民币</w:t>
      </w:r>
      <w:r>
        <w:rPr>
          <w:rFonts w:ascii="Times New Roman" w:hAnsi="Times New Roman" w:cs="Times New Roman" w:eastAsia="Times New Roman" w:hint="default"/>
          <w:spacing w:val="-2"/>
        </w:rPr>
        <w:t>/</w:t>
      </w:r>
      <w:r>
        <w:rPr>
          <w:spacing w:val="-2"/>
        </w:rPr>
        <w:t>股，对其持股</w:t>
      </w:r>
    </w:p>
    <w:p>
      <w:pPr>
        <w:spacing w:after="0" w:line="300" w:lineRule="auto"/>
        <w:jc w:val="left"/>
        <w:sectPr>
          <w:pgSz w:w="11910" w:h="16840"/>
          <w:pgMar w:header="852" w:footer="980" w:top="1300" w:bottom="1160" w:left="980" w:right="0"/>
        </w:sectPr>
      </w:pPr>
    </w:p>
    <w:p>
      <w:pPr>
        <w:pStyle w:val="BodyText"/>
        <w:spacing w:line="240" w:lineRule="auto" w:before="142"/>
        <w:ind w:right="1133"/>
        <w:jc w:val="left"/>
      </w:pPr>
      <w:r>
        <w:rPr/>
        <w:t>比例不变。</w:t>
      </w:r>
    </w:p>
    <w:p>
      <w:pPr>
        <w:pStyle w:val="BodyText"/>
        <w:spacing w:line="300" w:lineRule="auto" w:before="77"/>
        <w:ind w:right="1124" w:firstLine="360"/>
        <w:jc w:val="left"/>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月，本公司以现金对派衍信息科技（苏州）有限公司增资人民币</w:t>
      </w:r>
      <w:r>
        <w:rPr>
          <w:rFonts w:ascii="Times New Roman" w:hAnsi="Times New Roman" w:cs="Times New Roman" w:eastAsia="Times New Roman" w:hint="default"/>
        </w:rPr>
        <w:t>3,000</w:t>
      </w:r>
      <w:r>
        <w:rPr/>
        <w:t>万元，持股比例</w:t>
      </w:r>
      <w:r>
        <w:rPr>
          <w:rFonts w:ascii="Times New Roman" w:hAnsi="Times New Roman" w:cs="Times New Roman" w:eastAsia="Times New Roman" w:hint="default"/>
        </w:rPr>
        <w:t>20%</w:t>
      </w:r>
      <w:r>
        <w:rPr/>
        <w:t>。 </w:t>
      </w:r>
      <w:r>
        <w:rPr>
          <w:spacing w:val="-4"/>
        </w:rPr>
        <w:t>注</w:t>
      </w:r>
      <w:r>
        <w:rPr>
          <w:rFonts w:ascii="Times New Roman" w:hAnsi="Times New Roman" w:cs="Times New Roman" w:eastAsia="Times New Roman" w:hint="default"/>
          <w:spacing w:val="-4"/>
        </w:rPr>
        <w:t>4</w:t>
      </w:r>
      <w:r>
        <w:rPr>
          <w:spacing w:val="-4"/>
        </w:rPr>
        <w:t>：宇新（厦门）大数据股权投资基金合伙企业（有限合伙）系由子公司厦门市宇信鸿泰科技有限公司与其他合伙人于</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日共同设立的有限合伙企业，全部合伙人认缴出资额</w:t>
      </w:r>
      <w:r>
        <w:rPr>
          <w:rFonts w:ascii="Times New Roman" w:hAnsi="Times New Roman" w:cs="Times New Roman" w:eastAsia="Times New Roman" w:hint="default"/>
        </w:rPr>
        <w:t>4</w:t>
      </w:r>
      <w:r>
        <w:rPr/>
        <w:t>亿元，厦门市宇信鸿泰科技有限公司作为有限合伙人出资</w:t>
      </w:r>
      <w:r>
        <w:rPr>
          <w:rFonts w:ascii="Times New Roman" w:hAnsi="Times New Roman" w:cs="Times New Roman" w:eastAsia="Times New Roman" w:hint="default"/>
        </w:rPr>
        <w:t>1</w:t>
      </w:r>
      <w:r>
        <w:rPr/>
        <w:t>亿 元，出资比例</w:t>
      </w:r>
      <w:r>
        <w:rPr>
          <w:rFonts w:ascii="Times New Roman" w:hAnsi="Times New Roman" w:cs="Times New Roman" w:eastAsia="Times New Roman" w:hint="default"/>
        </w:rPr>
        <w:t>25%</w:t>
      </w:r>
      <w:r>
        <w:rPr/>
        <w:t>。</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9、其他权益工具投资" w:id="241"/>
      <w:bookmarkEnd w:id="241"/>
      <w:r>
        <w:rPr>
          <w:b w:val="0"/>
          <w:bCs w:val="0"/>
        </w:rPr>
      </w:r>
      <w:r>
        <w:rPr>
          <w:rFonts w:ascii="Times New Roman" w:hAnsi="Times New Roman" w:cs="Times New Roman" w:eastAsia="Times New Roman" w:hint="default"/>
        </w:rPr>
        <w:t>9</w:t>
      </w:r>
      <w:r>
        <w:rPr/>
        <w:t>、其他权益工具投资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北京乙丙融信息技术有限公司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33,947.06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4,559,685.46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北京翼融科技有限公司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丝路控股集团有限公司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108,131,100.00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卡纳利斯特金融建模公司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21,115,562.16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129,280,609.22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4,559,685.46</w:t>
            </w:r>
          </w:p>
        </w:tc>
      </w:tr>
    </w:tbl>
    <w:p>
      <w:pPr>
        <w:pStyle w:val="BodyText"/>
        <w:spacing w:line="240" w:lineRule="auto" w:before="49"/>
        <w:ind w:right="1133"/>
        <w:jc w:val="left"/>
      </w:pPr>
      <w:r>
        <w:rPr/>
        <w:t>分项披露本期非交易性权益工具投资</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北京乙丙融信息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-9,966,052.94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非交易性</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pStyle w:val="BodyText"/>
        <w:spacing w:line="300" w:lineRule="auto" w:before="115"/>
        <w:ind w:right="1121" w:firstLine="360"/>
        <w:jc w:val="both"/>
      </w:pPr>
      <w:r>
        <w:rPr/>
        <w:t>注</w:t>
      </w:r>
      <w:r>
        <w:rPr>
          <w:rFonts w:ascii="Times New Roman" w:hAnsi="Times New Roman" w:cs="Times New Roman" w:eastAsia="Times New Roman" w:hint="default"/>
        </w:rPr>
        <w:t>1</w:t>
      </w:r>
      <w:r>
        <w:rPr/>
        <w:t>：北京乙丙融信息技术有限公司系子公司天津宇信易诚科技有限公司的股权投资，投资比例</w:t>
      </w:r>
      <w:r>
        <w:rPr>
          <w:rFonts w:ascii="Times New Roman" w:hAnsi="Times New Roman" w:cs="Times New Roman" w:eastAsia="Times New Roman" w:hint="default"/>
        </w:rPr>
        <w:t>10.00%</w:t>
      </w:r>
      <w:r>
        <w:rPr/>
        <w:t>，为公司非交易 </w:t>
      </w:r>
      <w:r>
        <w:rPr>
          <w:spacing w:val="5"/>
        </w:rPr>
        <w:t>性股权投资，划分为以公允价值计量且其变动计入其他综合收益的金融资产，投资成本</w:t>
      </w:r>
      <w:r>
        <w:rPr>
          <w:rFonts w:ascii="Times New Roman" w:hAnsi="Times New Roman" w:cs="Times New Roman" w:eastAsia="Times New Roman" w:hint="default"/>
          <w:spacing w:val="5"/>
        </w:rPr>
        <w:t>10,000,000.00</w:t>
      </w:r>
      <w:r>
        <w:rPr>
          <w:spacing w:val="5"/>
        </w:rPr>
        <w:t>元，期末公允价值</w:t>
      </w:r>
      <w:r>
        <w:rPr>
          <w:spacing w:val="-68"/>
        </w:rPr>
        <w:t> </w:t>
      </w:r>
      <w:r>
        <w:rPr>
          <w:rFonts w:ascii="Times New Roman" w:hAnsi="Times New Roman" w:cs="Times New Roman" w:eastAsia="Times New Roman" w:hint="default"/>
        </w:rPr>
        <w:t>33,947.06</w:t>
      </w:r>
      <w:r>
        <w:rPr/>
        <w:t>元，公允价值变动</w:t>
      </w:r>
      <w:r>
        <w:rPr>
          <w:rFonts w:ascii="Times New Roman" w:hAnsi="Times New Roman" w:cs="Times New Roman" w:eastAsia="Times New Roman" w:hint="default"/>
        </w:rPr>
        <w:t>-9,966,052.94</w:t>
      </w:r>
      <w:r>
        <w:rPr/>
        <w:t>元计入其他综合收益。</w:t>
      </w:r>
    </w:p>
    <w:p>
      <w:pPr>
        <w:pStyle w:val="BodyText"/>
        <w:spacing w:line="300" w:lineRule="auto" w:before="13"/>
        <w:ind w:right="1088" w:firstLine="360"/>
        <w:jc w:val="both"/>
      </w:pPr>
      <w:r>
        <w:rPr>
          <w:spacing w:val="-4"/>
        </w:rPr>
        <w:t>注</w:t>
      </w:r>
      <w:r>
        <w:rPr>
          <w:rFonts w:ascii="Times New Roman" w:hAnsi="Times New Roman" w:cs="Times New Roman" w:eastAsia="Times New Roman" w:hint="default"/>
          <w:spacing w:val="-4"/>
        </w:rPr>
        <w:t>2</w:t>
      </w:r>
      <w:r>
        <w:rPr>
          <w:spacing w:val="-4"/>
        </w:rPr>
        <w:t>：北京翼融科技有限公司系子公司珠海数通天下科技有限公司在</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7</w:t>
      </w:r>
      <w:r>
        <w:rPr>
          <w:spacing w:val="-4"/>
        </w:rPr>
        <w:t>月购买的长期股权投资（原持股比例</w:t>
      </w:r>
      <w:r>
        <w:rPr>
          <w:rFonts w:ascii="Times New Roman" w:hAnsi="Times New Roman" w:cs="Times New Roman" w:eastAsia="Times New Roman" w:hint="default"/>
          <w:spacing w:val="-4"/>
        </w:rPr>
        <w:t>30%</w:t>
      </w:r>
      <w:r>
        <w:rPr>
          <w:spacing w:val="-4"/>
        </w:rPr>
        <w:t>），</w:t>
      </w:r>
      <w:r>
        <w:rPr>
          <w:spacing w:val="-48"/>
        </w:rPr>
        <w:t> </w:t>
      </w:r>
      <w:r>
        <w:rPr>
          <w:spacing w:val="-2"/>
        </w:rPr>
        <w:t>按照权益法核算长期股权投资账面价值已减记至零。</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月，北京翼融科技有限公司注册资本增加到</w:t>
      </w:r>
      <w:r>
        <w:rPr>
          <w:rFonts w:ascii="Times New Roman" w:hAnsi="Times New Roman" w:cs="Times New Roman" w:eastAsia="Times New Roman" w:hint="default"/>
          <w:spacing w:val="-2"/>
        </w:rPr>
        <w:t>1,305.00</w:t>
      </w:r>
      <w:r>
        <w:rPr>
          <w:spacing w:val="-2"/>
        </w:rPr>
        <w:t>万元，珠海</w:t>
      </w:r>
      <w:r>
        <w:rPr>
          <w:spacing w:val="-56"/>
        </w:rPr>
        <w:t> </w:t>
      </w:r>
      <w:r>
        <w:rPr>
          <w:spacing w:val="-56"/>
        </w:rPr>
      </w:r>
      <w:r>
        <w:rPr/>
        <w:t>数通天下科技有限公司持股比例稀释至</w:t>
      </w:r>
      <w:r>
        <w:rPr>
          <w:rFonts w:ascii="Times New Roman" w:hAnsi="Times New Roman" w:cs="Times New Roman" w:eastAsia="Times New Roman" w:hint="default"/>
        </w:rPr>
        <w:t>11.49%</w:t>
      </w:r>
      <w:r>
        <w:rPr/>
        <w:t>，为公司非交易性股权投资，划分为以公允价值计量且其变动计入其他综合</w:t>
      </w:r>
      <w:r>
        <w:rPr>
          <w:spacing w:val="-19"/>
        </w:rPr>
        <w:t> </w:t>
      </w:r>
      <w:r>
        <w:rPr>
          <w:spacing w:val="-19"/>
        </w:rPr>
      </w:r>
      <w:r>
        <w:rPr/>
        <w:t>收益的金融资产，期末公允价值</w:t>
      </w:r>
      <w:r>
        <w:rPr>
          <w:rFonts w:ascii="Times New Roman" w:hAnsi="Times New Roman" w:cs="Times New Roman" w:eastAsia="Times New Roman" w:hint="default"/>
        </w:rPr>
        <w:t>0</w:t>
      </w:r>
      <w:r>
        <w:rPr/>
        <w:t>元。</w:t>
      </w:r>
    </w:p>
    <w:p>
      <w:pPr>
        <w:pStyle w:val="BodyText"/>
        <w:spacing w:line="300" w:lineRule="auto" w:before="13"/>
        <w:ind w:right="1131" w:firstLine="360"/>
        <w:jc w:val="both"/>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月，子公司宇信鸿泰科技（香港）有限公司以</w:t>
      </w:r>
      <w:r>
        <w:rPr>
          <w:rFonts w:ascii="Times New Roman" w:hAnsi="Times New Roman" w:cs="Times New Roman" w:eastAsia="Times New Roman" w:hint="default"/>
        </w:rPr>
        <w:t>1,550</w:t>
      </w:r>
      <w:r>
        <w:rPr/>
        <w:t>万美元认购丝路控股集团有限公司发行的</w:t>
      </w:r>
      <w:r>
        <w:rPr>
          <w:rFonts w:ascii="Times New Roman" w:hAnsi="Times New Roman" w:cs="Times New Roman" w:eastAsia="Times New Roman" w:hint="default"/>
        </w:rPr>
        <w:t>1,550</w:t>
      </w:r>
      <w:r>
        <w:rPr/>
        <w:t>万股普 通股，所属国家</w:t>
      </w:r>
      <w:r>
        <w:rPr>
          <w:rFonts w:ascii="Times New Roman" w:hAnsi="Times New Roman" w:cs="Times New Roman" w:eastAsia="Times New Roman" w:hint="default"/>
        </w:rPr>
        <w:t>/</w:t>
      </w:r>
      <w:r>
        <w:rPr/>
        <w:t>地区：开曼群岛，持股比例</w:t>
      </w:r>
      <w:r>
        <w:rPr>
          <w:rFonts w:ascii="Times New Roman" w:hAnsi="Times New Roman" w:cs="Times New Roman" w:eastAsia="Times New Roman" w:hint="default"/>
        </w:rPr>
        <w:t>5.204%</w:t>
      </w:r>
      <w:r>
        <w:rPr/>
        <w:t>，为公司非交易性股权投资，划分为以公允价值计量且其变动计入其他</w:t>
      </w:r>
      <w:r>
        <w:rPr>
          <w:spacing w:val="-62"/>
        </w:rPr>
        <w:t> </w:t>
      </w:r>
      <w:r>
        <w:rPr>
          <w:spacing w:val="-62"/>
        </w:rPr>
      </w:r>
      <w:r>
        <w:rPr/>
        <w:t>综合收益的金融资产，期末公允价值未变动。</w:t>
      </w:r>
    </w:p>
    <w:p>
      <w:pPr>
        <w:pStyle w:val="BodyText"/>
        <w:spacing w:line="300" w:lineRule="auto" w:before="31"/>
        <w:ind w:right="1037" w:firstLine="360"/>
        <w:jc w:val="left"/>
      </w:pPr>
      <w:r>
        <w:rPr>
          <w:spacing w:val="-7"/>
        </w:rPr>
        <w:t>注</w:t>
      </w:r>
      <w:r>
        <w:rPr>
          <w:rFonts w:ascii="Times New Roman" w:hAnsi="Times New Roman" w:cs="Times New Roman" w:eastAsia="Times New Roman" w:hint="default"/>
          <w:spacing w:val="-7"/>
        </w:rPr>
        <w:t>4</w:t>
      </w:r>
      <w:r>
        <w:rPr>
          <w:spacing w:val="-7"/>
        </w:rPr>
        <w:t>：</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8</w:t>
      </w:r>
      <w:r>
        <w:rPr>
          <w:spacing w:val="-7"/>
        </w:rPr>
        <w:t>月，子公司宇信鸿泰科技（香港）有限公司以</w:t>
      </w:r>
      <w:r>
        <w:rPr>
          <w:rFonts w:ascii="Times New Roman" w:hAnsi="Times New Roman" w:cs="Times New Roman" w:eastAsia="Times New Roman" w:hint="default"/>
          <w:spacing w:val="-7"/>
        </w:rPr>
        <w:t>400</w:t>
      </w:r>
      <w:r>
        <w:rPr>
          <w:spacing w:val="-7"/>
        </w:rPr>
        <w:t>万加元对卡纳利斯特金融建模公司（外文名称：</w:t>
      </w:r>
      <w:r>
        <w:rPr>
          <w:rFonts w:ascii="Times New Roman" w:hAnsi="Times New Roman" w:cs="Times New Roman" w:eastAsia="Times New Roman" w:hint="default"/>
          <w:spacing w:val="-7"/>
        </w:rPr>
        <w:t>CANALYST</w:t>
      </w:r>
      <w:r>
        <w:rPr>
          <w:rFonts w:ascii="Times New Roman" w:hAnsi="Times New Roman" w:cs="Times New Roman" w:eastAsia="Times New Roman" w:hint="default"/>
        </w:rPr>
        <w:t> FINANCIAL</w:t>
      </w:r>
      <w:r>
        <w:rPr>
          <w:rFonts w:ascii="Times New Roman" w:hAnsi="Times New Roman" w:cs="Times New Roman" w:eastAsia="Times New Roman" w:hint="default"/>
          <w:spacing w:val="-19"/>
        </w:rPr>
        <w:t> </w:t>
      </w:r>
      <w:r>
        <w:rPr>
          <w:rFonts w:ascii="Times New Roman" w:hAnsi="Times New Roman" w:cs="Times New Roman" w:eastAsia="Times New Roman" w:hint="default"/>
        </w:rPr>
        <w:t>MODELING</w:t>
      </w:r>
      <w:r>
        <w:rPr>
          <w:rFonts w:ascii="Times New Roman" w:hAnsi="Times New Roman" w:cs="Times New Roman" w:eastAsia="Times New Roman" w:hint="default"/>
          <w:spacing w:val="-19"/>
        </w:rPr>
        <w:t> </w:t>
      </w:r>
      <w:r>
        <w:rPr>
          <w:rFonts w:ascii="Times New Roman" w:hAnsi="Times New Roman" w:cs="Times New Roman" w:eastAsia="Times New Roman" w:hint="default"/>
        </w:rPr>
        <w:t>CORPORATION</w:t>
      </w:r>
      <w:r>
        <w:rPr/>
        <w:t>）投资，所属国家</w:t>
      </w:r>
      <w:r>
        <w:rPr>
          <w:rFonts w:ascii="Times New Roman" w:hAnsi="Times New Roman" w:cs="Times New Roman" w:eastAsia="Times New Roman" w:hint="default"/>
        </w:rPr>
        <w:t>/</w:t>
      </w:r>
      <w:r>
        <w:rPr/>
        <w:t>地区：加拿大，持股比例</w:t>
      </w:r>
      <w:r>
        <w:rPr>
          <w:rFonts w:ascii="Times New Roman" w:hAnsi="Times New Roman" w:cs="Times New Roman" w:eastAsia="Times New Roman" w:hint="default"/>
        </w:rPr>
        <w:t>7.2115%</w:t>
      </w:r>
      <w:r>
        <w:rPr/>
        <w:t>，为公司非交易性股权投资， 划分为以公允价值计量且其变动计入其他综合收益的金融资产，期末公允价值未变动。</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bookmarkStart w:name="10、其他非流动金融资产" w:id="242"/>
      <w:bookmarkEnd w:id="242"/>
      <w:r>
        <w:rPr>
          <w:b w:val="0"/>
          <w:bCs w:val="0"/>
        </w:rPr>
      </w:r>
      <w:r>
        <w:rPr>
          <w:rFonts w:ascii="Times New Roman" w:hAnsi="Times New Roman" w:cs="Times New Roman" w:eastAsia="Times New Roman" w:hint="default"/>
        </w:rPr>
        <w:t>10</w:t>
      </w:r>
      <w:r>
        <w:rPr/>
        <w:t>、其他非流动金融资产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5,142,444.49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6,106,574.29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5,142,444.49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6,106,574.29</w:t>
            </w:r>
          </w:p>
        </w:tc>
      </w:tr>
    </w:tbl>
    <w:p>
      <w:pPr>
        <w:pStyle w:val="BodyText"/>
        <w:spacing w:line="240" w:lineRule="auto" w:before="49"/>
        <w:ind w:right="1133"/>
        <w:jc w:val="left"/>
      </w:pPr>
      <w:r>
        <w:rPr/>
        <w:t>其他说明：</w:t>
      </w:r>
    </w:p>
    <w:p>
      <w:pPr>
        <w:pStyle w:val="BodyText"/>
        <w:spacing w:line="300" w:lineRule="auto" w:before="115"/>
        <w:ind w:right="1131" w:firstLine="288"/>
        <w:jc w:val="left"/>
      </w:pPr>
      <w:r>
        <w:rPr>
          <w:spacing w:val="-1"/>
        </w:rPr>
        <w:t>其他非流动金融资产系本公司对北京京北阳光投资中心（有限合伙）的股权投资，投资比例</w:t>
      </w:r>
      <w:r>
        <w:rPr>
          <w:rFonts w:ascii="Times New Roman" w:hAnsi="Times New Roman" w:cs="Times New Roman" w:eastAsia="Times New Roman" w:hint="default"/>
          <w:spacing w:val="-1"/>
        </w:rPr>
        <w:t>10.74%</w:t>
      </w:r>
      <w:r>
        <w:rPr>
          <w:spacing w:val="-1"/>
        </w:rPr>
        <w:t>，划分为以公允价值</w:t>
      </w:r>
      <w:r>
        <w:rPr/>
        <w:t> 计量且其变动计入当期损益的金融资产，投资成本</w:t>
      </w:r>
      <w:r>
        <w:rPr>
          <w:rFonts w:ascii="Times New Roman" w:hAnsi="Times New Roman" w:cs="Times New Roman" w:eastAsia="Times New Roman" w:hint="default"/>
        </w:rPr>
        <w:t>4,888,888.89</w:t>
      </w:r>
      <w:r>
        <w:rPr/>
        <w:t>元，期末公允价值</w:t>
      </w:r>
      <w:r>
        <w:rPr>
          <w:rFonts w:ascii="Times New Roman" w:hAnsi="Times New Roman" w:cs="Times New Roman" w:eastAsia="Times New Roman" w:hint="default"/>
        </w:rPr>
        <w:t>5,142,444.49</w:t>
      </w:r>
      <w:r>
        <w:rPr/>
        <w:t>元，公允价值变动年初 </w:t>
      </w:r>
      <w:r>
        <w:rPr>
          <w:rFonts w:ascii="Times New Roman" w:hAnsi="Times New Roman" w:cs="Times New Roman" w:eastAsia="Times New Roman" w:hint="default"/>
        </w:rPr>
        <w:t>1,217,685.40</w:t>
      </w:r>
      <w:r>
        <w:rPr/>
        <w:t>元，当期公允价值变动</w:t>
      </w:r>
      <w:r>
        <w:rPr>
          <w:rFonts w:ascii="Times New Roman" w:hAnsi="Times New Roman" w:cs="Times New Roman" w:eastAsia="Times New Roman" w:hint="default"/>
        </w:rPr>
        <w:t>-964,129.80</w:t>
      </w:r>
      <w:r>
        <w:rPr/>
        <w:t>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11、投资性房地产" w:id="243"/>
      <w:bookmarkEnd w:id="243"/>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采用成本计量模式的投资性房地产"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13,161,934.36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13,161,934.36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9,957,798.64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9,957,798.64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270,050.34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270,050.34</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9,687,748.30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9,687,748.30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23,119,733.00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23,119,733.00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2,359,005.91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2,359,005.91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1,336,822.80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1,336,822.80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646,570.86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646,570.86</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690,251.94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690,251.94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3,695,828.71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3,695,828.71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19,423,904.29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19,423,904.29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10,802,928.45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10,802,928.45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2、固定资产" w:id="245"/>
      <w:bookmarkEnd w:id="245"/>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110,431,955.35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130,589,643.20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110,431,955.35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130,589,643.20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固定资产情况" w:id="246"/>
      <w:bookmarkEnd w:id="24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91,350,289.61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6,672,085.93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83,398,495.79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3,706,720.41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8,216,312.98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193,343,904.72</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268,898.62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2,144,583.34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7,249,054.93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502,772.35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10,165,309.24</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268,898.62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2,144,583.34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7,249,054.93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502,772.35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10,165,309.24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9,687,748.30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841,466.78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1,451,477.57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12,088,962.65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841,466.78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1,451,477.57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2,401,214.35</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62"/>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）转为投</w:t>
            </w:r>
            <w:r>
              <w:rPr>
                <w:rFonts w:ascii="宋体" w:hAnsi="宋体" w:cs="宋体" w:eastAsia="宋体" w:hint="default"/>
                <w:sz w:val="18"/>
                <w:szCs w:val="18"/>
              </w:rPr>
              <w:t> 资性房地产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9,687,748.30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9,687,748.30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81,931,439.93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7,975,202.49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89,196,073.15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4,101,222.76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8,216,312.98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191,420,251.31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12,927,765.27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3,138,365.36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33,550,180.43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2,526,614.32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6,162,234.73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58,305,160.11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3,260,993.14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639,519.02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13,692,718.39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458,803.51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1,643,262.59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19,695,296.65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3,260,993.14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639,519.02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13,692,718.39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458,803.51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1,643,262.59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19,695,296.65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690,251.94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592,674.41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1,373,914.00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102,856.13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2,759,696.48</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592,674.41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1,373,914.00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102,856.13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2,069,444.54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62"/>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）转为投</w:t>
            </w:r>
            <w:r>
              <w:rPr>
                <w:rFonts w:ascii="宋体" w:hAnsi="宋体" w:cs="宋体" w:eastAsia="宋体" w:hint="default"/>
                <w:sz w:val="18"/>
                <w:szCs w:val="18"/>
              </w:rPr>
              <w:t> 资性房地产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690,251.94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690,251.94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15,498,506.47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3,185,209.97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45,868,984.82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2,882,561.70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7,805,497.32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75,240,760.28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4,449,101.41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4,449,101.41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1,298,434.27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1,298,434.27</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1,298,434.27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1,298,434.27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5,747,535.68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5,747,535.68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66,432,933.46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4,789,992.52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37,579,552.65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1,218,661.06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410,815.66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110,431,955.35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78,422,524.34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3,533,720.57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45,399,213.95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1,180,106.09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2,054,078.25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130,589,643.20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13、在建工程" w:id="247"/>
      <w:bookmarkEnd w:id="247"/>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539,022,850.10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303,525,726.67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539,022,850.10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303,525,726.67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在建工程情况"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宇信大厦项目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539,022,850.10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539,022,850.10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303,525,726.67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303,525,726.67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539,022,850.10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539,022,850.10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303,525,726.67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303,525,726.67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在建工程项目本期变动情况" w:id="249"/>
      <w:bookmarkEnd w:id="24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宇信大 厦项目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900,413,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303,525,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726.67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235,497,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123.43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539,022,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850.10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91.02%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6"/>
              <w:jc w:val="center"/>
              <w:rPr>
                <w:rFonts w:ascii="Times New Roman" w:hAnsi="Times New Roman" w:cs="Times New Roman" w:eastAsia="Times New Roman" w:hint="default"/>
                <w:sz w:val="18"/>
                <w:szCs w:val="18"/>
              </w:rPr>
            </w:pPr>
            <w:r>
              <w:rPr>
                <w:rFonts w:ascii="Times New Roman"/>
                <w:sz w:val="18"/>
              </w:rPr>
              <w:t>91.00%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33,416,5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17,780,3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900,413,</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700.00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303,525,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726.67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235,497,</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123.43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539,022,</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850.10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33,416,5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13.98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17,780,3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50.74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4、无形资产" w:id="250"/>
      <w:bookmarkEnd w:id="250"/>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无形资产情况"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234,840,000.00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14,489,523.96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6,660,093.02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54,678,909.47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310,668,526.45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4,520,100.00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1,070,170.22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5,590,270.22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4,520,100.00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1,070,170.22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5,590,270.22</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14,489,523.96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11,180,193.02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55,749,079.69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316,258,796.67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16,952,356.82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14,489,523.96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1,938,246.15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50,054,518.10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83,434,645.03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5,983,184.76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2,163,469.04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2,066,481.18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10,213,134.98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5,983,184.76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2,163,469.04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2,066,481.18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10,213,134.98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22,935,541.58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14,489,523.96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4,101,715.19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52,120,999.28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93,647,780.01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211,904,458.42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7,078,477.83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3,628,080.41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222,611,016.66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217,887,643.18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4,721,846.87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4,624,391.37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227,233,881.42</w:t>
            </w:r>
          </w:p>
        </w:tc>
      </w:tr>
    </w:tbl>
    <w:p>
      <w:pPr>
        <w:pStyle w:val="BodyText"/>
        <w:spacing w:line="240" w:lineRule="auto" w:before="49"/>
        <w:ind w:right="113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0.78%</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未办妥产权证书的土地使用权情况" w:id="252"/>
      <w:bookmarkEnd w:id="25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pStyle w:val="BodyText"/>
        <w:spacing w:line="300" w:lineRule="auto" w:before="117"/>
        <w:ind w:right="986" w:firstLine="288"/>
        <w:jc w:val="left"/>
      </w:pPr>
      <w:r>
        <w:rPr>
          <w:spacing w:val="-4"/>
        </w:rPr>
        <w:t>子公司珠海宇诚信科技有限公司的土地使用权抵押给上海浦东发展银行股份有限公司珠海分行，详见附注</w:t>
      </w:r>
      <w:r>
        <w:rPr>
          <w:rFonts w:ascii="Times New Roman" w:hAnsi="Times New Roman" w:cs="Times New Roman" w:eastAsia="Times New Roman" w:hint="default"/>
          <w:spacing w:val="-4"/>
        </w:rPr>
        <w:t>“</w:t>
      </w:r>
      <w:r>
        <w:rPr>
          <w:spacing w:val="-4"/>
        </w:rPr>
        <w:t>十三、</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1</w:t>
      </w:r>
      <w:r>
        <w:rPr>
          <w:spacing w:val="-4"/>
        </w:rPr>
        <w:t>）</w:t>
      </w:r>
      <w:r>
        <w:rPr/>
        <w:t> 资产负债表日存在的重要或有事项</w:t>
      </w:r>
      <w:r>
        <w:rPr>
          <w:rFonts w:ascii="Times New Roman" w:hAnsi="Times New Roman" w:cs="Times New Roman" w:eastAsia="Times New Roman" w:hint="default"/>
        </w:rPr>
        <w:t>2</w:t>
      </w:r>
      <w:r>
        <w:rPr/>
        <w:t>、其他重要或有事项</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15、商誉" w:id="253"/>
      <w:bookmarkEnd w:id="253"/>
      <w:r>
        <w:rPr>
          <w:b w:val="0"/>
          <w:bCs w:val="0"/>
        </w:rPr>
      </w:r>
      <w:r>
        <w:rPr>
          <w:rFonts w:ascii="Times New Roman" w:hAnsi="Times New Roman" w:cs="Times New Roman" w:eastAsia="Times New Roman" w:hint="default"/>
        </w:rPr>
        <w:t>15</w:t>
      </w:r>
      <w:r>
        <w:rPr/>
        <w:t>、商誉</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商誉账面原值"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北京宇信鸿泰信 息技术有限公司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34,807,482.27</w:t>
            </w:r>
          </w:p>
        </w:tc>
        <w:tc>
          <w:tcPr>
            <w:tcW w:w="1368"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34,807,482.27</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北京优迪信息技 术有限公司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9,405,145.01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9,405,145.01</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宇信数据科技有 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3,136,396.20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3,136,396.20</w:t>
            </w:r>
          </w:p>
        </w:tc>
      </w:tr>
      <w:tr>
        <w:trPr>
          <w:trHeight w:val="1028"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湖南宇信鸿泰资 产管理有限责任 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391,094.33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391,094.33</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47,740,117.81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47,740,117.81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商誉减值准备" w:id="255"/>
      <w:bookmarkEnd w:id="25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142"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576" w:right="36"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78" w:type="dxa"/>
            <w:vMerge w:val="restart"/>
            <w:tcBorders>
              <w:top w:val="single" w:sz="4" w:space="0" w:color="000000"/>
              <w:left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nil" w:sz="6" w:space="0" w:color="auto"/>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r>
      <w:tr>
        <w:trPr>
          <w:trHeight w:val="142"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北京宇信鸿泰信 息技术有限公司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34,807,482.27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34,807,482.27</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宇信数据科技有 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3,136,396.20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3,136,396.20</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37,943,878.47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37,943,878.47</w:t>
            </w:r>
          </w:p>
        </w:tc>
      </w:tr>
    </w:tbl>
    <w:p>
      <w:pPr>
        <w:pStyle w:val="BodyText"/>
        <w:spacing w:line="360" w:lineRule="auto" w:before="49"/>
        <w:ind w:left="513" w:right="986" w:hanging="361"/>
        <w:jc w:val="left"/>
      </w:pPr>
      <w:r>
        <w:rPr/>
        <w:t>商誉所在资产组或资产组组合的相关信息 </w:t>
      </w:r>
      <w:r>
        <w:rPr>
          <w:spacing w:val="-2"/>
        </w:rPr>
        <w:t>公司于</w:t>
      </w:r>
      <w:r>
        <w:rPr>
          <w:rFonts w:ascii="Times New Roman" w:hAnsi="Times New Roman" w:cs="Times New Roman" w:eastAsia="Times New Roman" w:hint="default"/>
          <w:spacing w:val="-2"/>
        </w:rPr>
        <w:t>2015</w:t>
      </w:r>
      <w:r>
        <w:rPr>
          <w:spacing w:val="-2"/>
        </w:rPr>
        <w:t>年收购北京优迪信息技术有限公司，考虑到业务整合以及管理效率，北京优迪信息技术有限公司的业务逐步</w:t>
      </w:r>
    </w:p>
    <w:p>
      <w:pPr>
        <w:pStyle w:val="BodyText"/>
        <w:spacing w:line="199" w:lineRule="exact"/>
        <w:ind w:right="1133"/>
        <w:jc w:val="left"/>
      </w:pPr>
      <w:r>
        <w:rPr/>
        <w:t>转入公司，设立用户体验事业部，并单独核算用户体验事业部的经营业绩。</w:t>
      </w:r>
    </w:p>
    <w:p>
      <w:pPr>
        <w:pStyle w:val="BodyText"/>
        <w:spacing w:line="300" w:lineRule="auto" w:before="76"/>
        <w:ind w:left="513" w:right="3223"/>
        <w:jc w:val="left"/>
      </w:pPr>
      <w:r>
        <w:rPr/>
        <w:t>子公司北京宇信鸿泰信息技术有限公司持有湖南宇信鸿泰资产管理有限责任公司</w:t>
      </w:r>
      <w:r>
        <w:rPr>
          <w:rFonts w:ascii="Times New Roman" w:hAnsi="Times New Roman" w:cs="Times New Roman" w:eastAsia="Times New Roman" w:hint="default"/>
        </w:rPr>
        <w:t>97%</w:t>
      </w:r>
      <w:r>
        <w:rPr/>
        <w:t>股权。 资产组本期未发生变化。</w:t>
      </w:r>
    </w:p>
    <w:p>
      <w:pPr>
        <w:pStyle w:val="BodyText"/>
        <w:spacing w:line="314" w:lineRule="auto" w:before="72"/>
        <w:ind w:right="1133"/>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00" w:lineRule="auto" w:before="61"/>
        <w:ind w:right="1138" w:firstLine="360"/>
        <w:jc w:val="both"/>
      </w:pPr>
      <w:r>
        <w:rPr/>
        <w:t>包含商誉的资产组可收回金额按照预计未来现金流量的现值计算，其预计现金流量根据公司批准的</w:t>
      </w:r>
      <w:r>
        <w:rPr>
          <w:rFonts w:ascii="Times New Roman" w:hAnsi="Times New Roman" w:cs="Times New Roman" w:eastAsia="Times New Roman" w:hint="default"/>
        </w:rPr>
        <w:t>5</w:t>
      </w:r>
      <w:r>
        <w:rPr/>
        <w:t>年期现金流量预测 为基础，公司根据历史实际经营数据、行业发展趋势、预期收入增长率、毛利率等指标编制预测未来</w:t>
      </w:r>
      <w:r>
        <w:rPr>
          <w:rFonts w:ascii="Times New Roman" w:hAnsi="Times New Roman" w:cs="Times New Roman" w:eastAsia="Times New Roman" w:hint="default"/>
        </w:rPr>
        <w:t>5</w:t>
      </w:r>
      <w:r>
        <w:rPr/>
        <w:t>年现金流量，预测期 以后的现金流量维持不变。</w:t>
      </w:r>
    </w:p>
    <w:p>
      <w:pPr>
        <w:pStyle w:val="BodyText"/>
        <w:spacing w:line="316" w:lineRule="auto" w:before="31"/>
        <w:ind w:right="1130" w:firstLine="360"/>
        <w:jc w:val="both"/>
      </w:pPr>
      <w:r>
        <w:rPr>
          <w:spacing w:val="-2"/>
        </w:rPr>
        <w:t>减值测试中采用的其他关键数据包括：收入、成本及其他相关费用。公司根据历史经验及对市场发展的预测确定上述关</w:t>
      </w:r>
      <w:r>
        <w:rPr/>
        <w:t> </w:t>
      </w:r>
      <w:r>
        <w:rPr>
          <w:spacing w:val="-2"/>
        </w:rPr>
        <w:t>键数据。公司采用合理的折现率作为计算未来现金流量现值的税前折现率，采用的折现率已考虑了公司的资本成本、市场预</w:t>
      </w:r>
      <w:r>
        <w:rPr>
          <w:spacing w:val="-63"/>
        </w:rPr>
        <w:t> </w:t>
      </w:r>
      <w:r>
        <w:rPr>
          <w:spacing w:val="-63"/>
        </w:rPr>
      </w:r>
      <w:r>
        <w:rPr/>
        <w:t>期报酬率等因素，反映了各资产组的特定风险。</w:t>
      </w:r>
    </w:p>
    <w:p>
      <w:pPr>
        <w:pStyle w:val="BodyText"/>
        <w:spacing w:line="357" w:lineRule="auto" w:before="59"/>
        <w:ind w:left="513" w:right="1573" w:hanging="361"/>
        <w:jc w:val="left"/>
      </w:pPr>
      <w:r>
        <w:rPr/>
        <w:t>商誉减值测试的影响 经测试，截至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日，北京优迪信息技术有限公司、湖南宇信鸿泰资产管理有限责任公司未出现减值。</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bookmarkStart w:name="16、长期待摊费用" w:id="256"/>
      <w:bookmarkEnd w:id="256"/>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经营租入固定资产 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1,537,969.60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3,553,322.40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970,438.12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4,120,853.88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1,537,969.60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3,553,322.40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970,438.12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4,120,853.88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7、递延所得税资产/递延所得税负债" w:id="257"/>
      <w:bookmarkEnd w:id="257"/>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未经抵销的递延所得税资产"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58,096,091.88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6,248,724.78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41,566,017.77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4,409,720.23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81,745,124.50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8,174,512.45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56,987,001.10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5,698,700.11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139,841,216.38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14,423,237.23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98,553,018.87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10,108,420.34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未经抵销的递延所得税负债" w:id="259"/>
      <w:bookmarkEnd w:id="25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其他非流动金融资产公 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253,555.60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25,355.56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交易性金融资产公允价 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283,068.49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28,306.85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536,624.09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53,662.41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未确认递延所得税资产明细" w:id="260"/>
      <w:bookmarkEnd w:id="260"/>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55,510,563.06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45,115,370.67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139,993,573.40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111,799,647.11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195,504,136.46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156,915,017.78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未确认递延所得税资产的可抵扣亏损将于以下年度到期" w:id="261"/>
      <w:bookmarkEnd w:id="261"/>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11,903,123.41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17,423,776.64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18,502,675.39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25,715,808.28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27,406,082.65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13,539,100.74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19,688,624.71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21,801,299.70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21,549,429.41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25,016,878.28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2,434,254.50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5,218,263.72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5,218,263.72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876,085.64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876,085.64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5,444,067.96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4,221,107.68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24,958,292.44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139,993,573.40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2"/>
                <w:sz w:val="18"/>
              </w:rPr>
              <w:t>111,799,647.11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00" w:bottom="1160" w:left="980" w:right="0"/>
        </w:sectPr>
      </w:pPr>
    </w:p>
    <w:p>
      <w:pPr>
        <w:pStyle w:val="Heading3"/>
        <w:spacing w:line="240" w:lineRule="auto" w:before="122"/>
        <w:ind w:right="1133"/>
        <w:jc w:val="left"/>
        <w:rPr>
          <w:b w:val="0"/>
          <w:bCs w:val="0"/>
        </w:rPr>
      </w:pPr>
      <w:bookmarkStart w:name="18、其他非流动资产" w:id="262"/>
      <w:bookmarkEnd w:id="262"/>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80" w:top="13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580" w:bottom="70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45,653,449.18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24,089,767.86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预付在建工程款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11,570,047.73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57,223,496.91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24,089,767.86</w:t>
            </w:r>
          </w:p>
        </w:tc>
      </w:tr>
    </w:tbl>
    <w:p>
      <w:pPr>
        <w:pStyle w:val="BodyText"/>
        <w:spacing w:line="240" w:lineRule="auto" w:before="49"/>
        <w:ind w:right="1133"/>
        <w:jc w:val="left"/>
      </w:pPr>
      <w:r>
        <w:rPr/>
        <w:t>其他说明：</w:t>
      </w:r>
    </w:p>
    <w:p>
      <w:pPr>
        <w:pStyle w:val="BodyText"/>
        <w:spacing w:line="240" w:lineRule="auto" w:before="115"/>
        <w:ind w:left="513" w:right="1133"/>
        <w:jc w:val="left"/>
      </w:pPr>
      <w:r>
        <w:rPr/>
        <w:t>其他非流动资产主要为子公司珠海宇诚信科技有限公司增值税留抵税额和预付的工程款。</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19、短期借款" w:id="263"/>
      <w:bookmarkEnd w:id="263"/>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短期借款分类"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267,061,655.83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106,083,632.42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729,061,655.83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508,583,632.42</w:t>
            </w:r>
          </w:p>
        </w:tc>
      </w:tr>
    </w:tbl>
    <w:p>
      <w:pPr>
        <w:pStyle w:val="BodyText"/>
        <w:spacing w:line="360" w:lineRule="auto" w:before="49"/>
        <w:ind w:left="513" w:right="8954" w:hanging="361"/>
        <w:jc w:val="left"/>
      </w:pPr>
      <w:r>
        <w:rPr/>
        <w:t>短期借款分类的说明： 质押借款：</w:t>
      </w:r>
    </w:p>
    <w:p>
      <w:pPr>
        <w:pStyle w:val="BodyText"/>
        <w:spacing w:line="236" w:lineRule="exact"/>
        <w:ind w:left="513" w:right="986"/>
        <w:jc w:val="left"/>
      </w:pPr>
      <w:r>
        <w:rPr/>
        <w:t>（</w:t>
      </w:r>
      <w:r>
        <w:rPr>
          <w:rFonts w:ascii="Times New Roman" w:hAnsi="Times New Roman" w:cs="Times New Roman" w:eastAsia="Times New Roman" w:hint="default"/>
          <w:spacing w:val="1"/>
        </w:rPr>
        <w:t>1</w:t>
      </w:r>
      <w:r>
        <w:rPr>
          <w:spacing w:val="-36"/>
        </w:rPr>
        <w:t>）</w:t>
      </w:r>
      <w:r>
        <w:rPr/>
        <w:t>本公司</w:t>
      </w:r>
      <w:r>
        <w:rPr>
          <w:spacing w:val="-1"/>
        </w:rPr>
        <w:t>于</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18</w:t>
      </w:r>
      <w:r>
        <w:rPr>
          <w:spacing w:val="-3"/>
        </w:rPr>
        <w:t>年</w:t>
      </w:r>
      <w:r>
        <w:rPr>
          <w:rFonts w:ascii="Times New Roman" w:hAnsi="Times New Roman" w:cs="Times New Roman" w:eastAsia="Times New Roman" w:hint="default"/>
          <w:spacing w:val="1"/>
        </w:rPr>
        <w:t>12</w:t>
      </w:r>
      <w:r>
        <w:rPr>
          <w:spacing w:val="-3"/>
        </w:rPr>
        <w:t>月</w:t>
      </w:r>
      <w:r>
        <w:rPr>
          <w:rFonts w:ascii="Times New Roman" w:hAnsi="Times New Roman" w:cs="Times New Roman" w:eastAsia="Times New Roman" w:hint="default"/>
          <w:spacing w:val="1"/>
        </w:rPr>
        <w:t>26</w:t>
      </w:r>
      <w:r>
        <w:rPr>
          <w:spacing w:val="-3"/>
        </w:rPr>
        <w:t>日</w:t>
      </w:r>
      <w:r>
        <w:rPr/>
        <w:t>与华夏银行北京新发地支行签</w:t>
      </w:r>
      <w:r>
        <w:rPr>
          <w:spacing w:val="-36"/>
        </w:rPr>
        <w:t>订</w:t>
      </w:r>
      <w:r>
        <w:rPr/>
        <w:t>《最高额融资合同</w:t>
      </w:r>
      <w:r>
        <w:rPr>
          <w:spacing w:val="-72"/>
        </w:rPr>
        <w:t>》</w:t>
      </w:r>
      <w:r>
        <w:rPr/>
        <w:t>（编号</w:t>
      </w:r>
      <w:r>
        <w:rPr>
          <w:spacing w:val="-34"/>
        </w:rPr>
        <w:t>：</w:t>
      </w:r>
      <w:r>
        <w:rPr>
          <w:rFonts w:ascii="Times New Roman" w:hAnsi="Times New Roman" w:cs="Times New Roman" w:eastAsia="Times New Roman" w:hint="default"/>
          <w:w w:val="99"/>
        </w:rPr>
        <w:t>Y</w:t>
      </w:r>
      <w:r>
        <w:rPr>
          <w:rFonts w:ascii="Times New Roman" w:hAnsi="Times New Roman" w:cs="Times New Roman" w:eastAsia="Times New Roman" w:hint="default"/>
          <w:spacing w:val="-1"/>
          <w:w w:val="99"/>
        </w:rPr>
        <w:t>Y</w:t>
      </w:r>
      <w:r>
        <w:rPr>
          <w:rFonts w:ascii="Times New Roman" w:hAnsi="Times New Roman" w:cs="Times New Roman" w:eastAsia="Times New Roman" w:hint="default"/>
        </w:rPr>
        <w:t>B6</w:t>
      </w:r>
      <w:r>
        <w:rPr>
          <w:rFonts w:ascii="Times New Roman" w:hAnsi="Times New Roman" w:cs="Times New Roman" w:eastAsia="Times New Roman" w:hint="default"/>
          <w:spacing w:val="-34"/>
        </w:rPr>
        <w:t>6</w:t>
      </w:r>
      <w:r>
        <w:rPr/>
        <w:t>（融资</w:t>
      </w:r>
      <w:r>
        <w:rPr>
          <w:spacing w:val="-36"/>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8</w:t>
      </w:r>
      <w:r>
        <w:rPr>
          <w:spacing w:val="-36"/>
        </w:rPr>
        <w:t>），</w:t>
      </w:r>
      <w:r>
        <w:rPr/>
      </w:r>
    </w:p>
    <w:p>
      <w:pPr>
        <w:pStyle w:val="BodyText"/>
        <w:spacing w:line="300" w:lineRule="auto" w:before="63"/>
        <w:ind w:right="1124"/>
        <w:jc w:val="left"/>
      </w:pPr>
      <w:r>
        <w:rPr/>
        <w:t>最高融资额</w:t>
      </w:r>
      <w:r>
        <w:rPr>
          <w:rFonts w:ascii="Times New Roman" w:hAnsi="Times New Roman" w:cs="Times New Roman" w:eastAsia="Times New Roman" w:hint="default"/>
        </w:rPr>
        <w:t>7,000</w:t>
      </w:r>
      <w:r>
        <w:rPr/>
        <w:t>万元，额度有效期：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日，由洪卫东提供连带责任保证。同日，本公司与华夏 </w:t>
      </w:r>
      <w:r>
        <w:rPr>
          <w:spacing w:val="-1"/>
        </w:rPr>
        <w:t>银行北京新发地支行签订《国内信用证开证合同》（编号：</w:t>
      </w:r>
      <w:r>
        <w:rPr>
          <w:rFonts w:ascii="Times New Roman" w:hAnsi="Times New Roman" w:cs="Times New Roman" w:eastAsia="Times New Roman" w:hint="default"/>
          <w:spacing w:val="-1"/>
        </w:rPr>
        <w:t>YYB6640520180048</w:t>
      </w:r>
      <w:r>
        <w:rPr>
          <w:spacing w:val="-1"/>
        </w:rPr>
        <w:t>），该合同系《最高额融资合同》项下具体</w:t>
      </w:r>
      <w:r>
        <w:rPr>
          <w:spacing w:val="-49"/>
        </w:rPr>
        <w:t> </w:t>
      </w:r>
      <w:r>
        <w:rPr>
          <w:spacing w:val="-49"/>
        </w:rPr>
      </w:r>
      <w:r>
        <w:rPr/>
        <w:t>业务合同。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日，本公司及子公司无锡宇信易诚科技有限公司与华夏银行北京新发地支行签订《委托代理福费廷 业务合同》，子公司无锡宇信易诚科技有限公司委托本公司向华夏银行北京新发地支行办理福费廷业务，借款金额</w:t>
      </w:r>
      <w:r>
        <w:rPr>
          <w:rFonts w:ascii="Times New Roman" w:hAnsi="Times New Roman" w:cs="Times New Roman" w:eastAsia="Times New Roman" w:hint="default"/>
        </w:rPr>
        <w:t>6,000</w:t>
      </w:r>
      <w:r>
        <w:rPr/>
        <w:t>万 元，实际借款金额</w:t>
      </w:r>
      <w:r>
        <w:rPr>
          <w:rFonts w:ascii="Times New Roman" w:hAnsi="Times New Roman" w:cs="Times New Roman" w:eastAsia="Times New Roman" w:hint="default"/>
        </w:rPr>
        <w:t>57,361,000.00</w:t>
      </w:r>
      <w:r>
        <w:rPr/>
        <w:t>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日，应计利息</w:t>
      </w:r>
      <w:r>
        <w:rPr>
          <w:rFonts w:ascii="Times New Roman" w:hAnsi="Times New Roman" w:cs="Times New Roman" w:eastAsia="Times New Roman" w:hint="default"/>
        </w:rPr>
        <w:t>2,015,500.03</w:t>
      </w:r>
      <w:r>
        <w:rPr/>
        <w:t>元。借款期限自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25</w:t>
      </w:r>
      <w:r>
        <w:rPr/>
        <w:t>日。</w:t>
      </w:r>
    </w:p>
    <w:p>
      <w:pPr>
        <w:pStyle w:val="BodyText"/>
        <w:spacing w:line="300" w:lineRule="auto" w:before="13"/>
        <w:ind w:right="1040" w:firstLine="360"/>
        <w:jc w:val="both"/>
      </w:pPr>
      <w:r>
        <w:rPr>
          <w:spacing w:val="-2"/>
        </w:rPr>
        <w:t>（</w:t>
      </w:r>
      <w:r>
        <w:rPr>
          <w:rFonts w:ascii="Times New Roman" w:hAnsi="Times New Roman" w:cs="Times New Roman" w:eastAsia="Times New Roman" w:hint="default"/>
          <w:spacing w:val="-2"/>
        </w:rPr>
        <w:t>2</w:t>
      </w:r>
      <w:r>
        <w:rPr>
          <w:spacing w:val="-2"/>
        </w:rPr>
        <w:t>）本公司于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日与中国民生银行北京分行签订《综合授信合同》（编号：公授信字第</w:t>
      </w:r>
      <w:r>
        <w:rPr>
          <w:rFonts w:ascii="Times New Roman" w:hAnsi="Times New Roman" w:cs="Times New Roman" w:eastAsia="Times New Roman" w:hint="default"/>
          <w:spacing w:val="-2"/>
        </w:rPr>
        <w:t>1900000035077</w:t>
      </w:r>
      <w:r>
        <w:rPr>
          <w:spacing w:val="-2"/>
        </w:rPr>
        <w:t>号），</w:t>
      </w:r>
      <w:r>
        <w:rPr/>
        <w:t> 授信额度</w:t>
      </w:r>
      <w:r>
        <w:rPr>
          <w:rFonts w:ascii="Times New Roman" w:hAnsi="Times New Roman" w:cs="Times New Roman" w:eastAsia="Times New Roman" w:hint="default"/>
        </w:rPr>
        <w:t>15,000</w:t>
      </w:r>
      <w:r>
        <w:rPr/>
        <w:t>万元，额度有效期：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日，由洪卫东提供连带责任保证。</w:t>
      </w:r>
    </w:p>
    <w:p>
      <w:pPr>
        <w:pStyle w:val="BodyText"/>
        <w:spacing w:line="300" w:lineRule="auto" w:before="13"/>
        <w:ind w:right="1126" w:firstLine="360"/>
        <w:jc w:val="both"/>
      </w:pPr>
      <w:r>
        <w:rPr>
          <w:rFonts w:ascii="Times New Roman" w:hAnsi="Times New Roman" w:cs="Times New Roman" w:eastAsia="Times New Roman" w:hint="default"/>
          <w:spacing w:val="-3"/>
          <w:w w:val="99"/>
        </w:rPr>
        <w:t>1)</w:t>
      </w:r>
      <w:r>
        <w:rPr>
          <w:spacing w:val="-3"/>
          <w:w w:val="99"/>
        </w:rPr>
        <w:t>子公司无锡宇信易诚科技有限公司于</w:t>
      </w:r>
      <w:r>
        <w:rPr>
          <w:rFonts w:ascii="Times New Roman" w:hAnsi="Times New Roman" w:cs="Times New Roman" w:eastAsia="Times New Roman" w:hint="default"/>
          <w:spacing w:val="-3"/>
          <w:w w:val="99"/>
        </w:rPr>
        <w:t>2019</w:t>
      </w:r>
      <w:r>
        <w:rPr>
          <w:spacing w:val="-3"/>
          <w:w w:val="99"/>
        </w:rPr>
        <w:t>年</w:t>
      </w:r>
      <w:r>
        <w:rPr>
          <w:rFonts w:ascii="Times New Roman" w:hAnsi="Times New Roman" w:cs="Times New Roman" w:eastAsia="Times New Roman" w:hint="default"/>
          <w:spacing w:val="-3"/>
          <w:w w:val="99"/>
        </w:rPr>
        <w:t>7</w:t>
      </w:r>
      <w:r>
        <w:rPr>
          <w:spacing w:val="-3"/>
          <w:w w:val="99"/>
        </w:rPr>
        <w:t>月</w:t>
      </w:r>
      <w:r>
        <w:rPr>
          <w:rFonts w:ascii="Times New Roman" w:hAnsi="Times New Roman" w:cs="Times New Roman" w:eastAsia="Times New Roman" w:hint="default"/>
          <w:spacing w:val="-3"/>
          <w:w w:val="99"/>
        </w:rPr>
        <w:t>23</w:t>
      </w:r>
      <w:r>
        <w:rPr>
          <w:spacing w:val="-3"/>
          <w:w w:val="99"/>
        </w:rPr>
        <w:t>日与中国民生银行北京分行签订《国内信用证福费廷业务合同》（编</w:t>
      </w:r>
      <w:r>
        <w:rPr>
          <w:w w:val="99"/>
        </w:rPr>
        <w:t> </w:t>
      </w:r>
      <w:r>
        <w:rPr>
          <w:spacing w:val="-1"/>
        </w:rPr>
        <w:t>号：京</w:t>
      </w:r>
      <w:r>
        <w:rPr>
          <w:rFonts w:ascii="Times New Roman" w:hAnsi="Times New Roman" w:cs="Times New Roman" w:eastAsia="Times New Roman" w:hint="default"/>
          <w:spacing w:val="-1"/>
        </w:rPr>
        <w:t>FFT183</w:t>
      </w:r>
      <w:r>
        <w:rPr>
          <w:spacing w:val="-1"/>
        </w:rPr>
        <w:t>号），取得</w:t>
      </w:r>
      <w:r>
        <w:rPr>
          <w:rFonts w:ascii="Times New Roman" w:hAnsi="Times New Roman" w:cs="Times New Roman" w:eastAsia="Times New Roman" w:hint="default"/>
          <w:spacing w:val="-1"/>
        </w:rPr>
        <w:t>4,300</w:t>
      </w:r>
      <w:r>
        <w:rPr>
          <w:spacing w:val="-1"/>
        </w:rPr>
        <w:t>万元借款，实际借款金额</w:t>
      </w:r>
      <w:r>
        <w:rPr>
          <w:rFonts w:ascii="Times New Roman" w:hAnsi="Times New Roman" w:cs="Times New Roman" w:eastAsia="Times New Roman" w:hint="default"/>
          <w:spacing w:val="-1"/>
        </w:rPr>
        <w:t>41,193,904.20</w:t>
      </w:r>
      <w:r>
        <w:rPr>
          <w:spacing w:val="-1"/>
        </w:rPr>
        <w:t>元，截止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日，应计利息</w:t>
      </w:r>
      <w:r>
        <w:rPr>
          <w:rFonts w:ascii="Times New Roman" w:hAnsi="Times New Roman" w:cs="Times New Roman" w:eastAsia="Times New Roman" w:hint="default"/>
          <w:spacing w:val="-1"/>
        </w:rPr>
        <w:t>796,310.36</w:t>
      </w:r>
      <w:r>
        <w:rPr>
          <w:spacing w:val="-1"/>
        </w:rPr>
        <w:t>元。借</w:t>
      </w:r>
      <w:r>
        <w:rPr>
          <w:spacing w:val="-58"/>
        </w:rPr>
        <w:t> </w:t>
      </w:r>
      <w:r>
        <w:rPr>
          <w:spacing w:val="-58"/>
        </w:rPr>
      </w:r>
      <w:r>
        <w:rPr/>
        <w:t>款期限自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w:t>
      </w:r>
    </w:p>
    <w:p>
      <w:pPr>
        <w:pStyle w:val="BodyText"/>
        <w:spacing w:line="300" w:lineRule="auto" w:before="13"/>
        <w:ind w:right="1126" w:firstLine="360"/>
        <w:jc w:val="both"/>
      </w:pPr>
      <w:r>
        <w:rPr>
          <w:rFonts w:ascii="Times New Roman" w:hAnsi="Times New Roman" w:cs="Times New Roman" w:eastAsia="Times New Roman" w:hint="default"/>
          <w:spacing w:val="-3"/>
          <w:w w:val="99"/>
        </w:rPr>
        <w:t>2)</w:t>
      </w:r>
      <w:r>
        <w:rPr>
          <w:spacing w:val="-3"/>
          <w:w w:val="99"/>
        </w:rPr>
        <w:t>子公司珠海宇信易诚科技有限公司于</w:t>
      </w:r>
      <w:r>
        <w:rPr>
          <w:rFonts w:ascii="Times New Roman" w:hAnsi="Times New Roman" w:cs="Times New Roman" w:eastAsia="Times New Roman" w:hint="default"/>
          <w:spacing w:val="-3"/>
          <w:w w:val="99"/>
        </w:rPr>
        <w:t>2019</w:t>
      </w:r>
      <w:r>
        <w:rPr>
          <w:spacing w:val="-3"/>
          <w:w w:val="99"/>
        </w:rPr>
        <w:t>年</w:t>
      </w:r>
      <w:r>
        <w:rPr>
          <w:rFonts w:ascii="Times New Roman" w:hAnsi="Times New Roman" w:cs="Times New Roman" w:eastAsia="Times New Roman" w:hint="default"/>
          <w:spacing w:val="-3"/>
          <w:w w:val="99"/>
        </w:rPr>
        <w:t>7</w:t>
      </w:r>
      <w:r>
        <w:rPr>
          <w:spacing w:val="-3"/>
          <w:w w:val="99"/>
        </w:rPr>
        <w:t>月</w:t>
      </w:r>
      <w:r>
        <w:rPr>
          <w:rFonts w:ascii="Times New Roman" w:hAnsi="Times New Roman" w:cs="Times New Roman" w:eastAsia="Times New Roman" w:hint="default"/>
          <w:spacing w:val="-3"/>
          <w:w w:val="99"/>
        </w:rPr>
        <w:t>23</w:t>
      </w:r>
      <w:r>
        <w:rPr>
          <w:spacing w:val="-3"/>
          <w:w w:val="99"/>
        </w:rPr>
        <w:t>日与中国民生银行北京分行签订《国内信用证福费廷业务合同》（编</w:t>
      </w:r>
      <w:r>
        <w:rPr>
          <w:w w:val="99"/>
        </w:rPr>
        <w:t> </w:t>
      </w:r>
      <w:r>
        <w:rPr>
          <w:spacing w:val="-1"/>
        </w:rPr>
        <w:t>号：京</w:t>
      </w:r>
      <w:r>
        <w:rPr>
          <w:rFonts w:ascii="Times New Roman" w:hAnsi="Times New Roman" w:cs="Times New Roman" w:eastAsia="Times New Roman" w:hint="default"/>
          <w:spacing w:val="-1"/>
        </w:rPr>
        <w:t>FFT184</w:t>
      </w:r>
      <w:r>
        <w:rPr>
          <w:spacing w:val="-1"/>
        </w:rPr>
        <w:t>号），取得</w:t>
      </w:r>
      <w:r>
        <w:rPr>
          <w:rFonts w:ascii="Times New Roman" w:hAnsi="Times New Roman" w:cs="Times New Roman" w:eastAsia="Times New Roman" w:hint="default"/>
          <w:spacing w:val="-1"/>
        </w:rPr>
        <w:t>3,400</w:t>
      </w:r>
      <w:r>
        <w:rPr>
          <w:spacing w:val="-1"/>
        </w:rPr>
        <w:t>万元借款，实际借款金额</w:t>
      </w:r>
      <w:r>
        <w:rPr>
          <w:rFonts w:ascii="Times New Roman" w:hAnsi="Times New Roman" w:cs="Times New Roman" w:eastAsia="Times New Roman" w:hint="default"/>
          <w:spacing w:val="-1"/>
        </w:rPr>
        <w:t>32,571,904.20</w:t>
      </w:r>
      <w:r>
        <w:rPr>
          <w:spacing w:val="-1"/>
        </w:rPr>
        <w:t>元，截止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日，应计利息</w:t>
      </w:r>
      <w:r>
        <w:rPr>
          <w:rFonts w:ascii="Times New Roman" w:hAnsi="Times New Roman" w:cs="Times New Roman" w:eastAsia="Times New Roman" w:hint="default"/>
          <w:spacing w:val="-1"/>
        </w:rPr>
        <w:t>630,698.15</w:t>
      </w:r>
      <w:r>
        <w:rPr>
          <w:spacing w:val="-1"/>
        </w:rPr>
        <w:t>元。借</w:t>
      </w:r>
      <w:r>
        <w:rPr>
          <w:spacing w:val="-58"/>
        </w:rPr>
        <w:t> </w:t>
      </w:r>
      <w:r>
        <w:rPr>
          <w:spacing w:val="-58"/>
        </w:rPr>
      </w:r>
      <w:r>
        <w:rPr/>
        <w:t>款期限自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w:t>
      </w:r>
    </w:p>
    <w:p>
      <w:pPr>
        <w:pStyle w:val="BodyText"/>
        <w:spacing w:line="240" w:lineRule="auto" w:before="13"/>
        <w:ind w:left="513" w:right="986"/>
        <w:jc w:val="left"/>
      </w:pPr>
      <w:r>
        <w:rPr/>
        <w:t>（</w:t>
      </w:r>
      <w:r>
        <w:rPr>
          <w:rFonts w:ascii="Times New Roman" w:hAnsi="Times New Roman" w:cs="Times New Roman" w:eastAsia="Times New Roman" w:hint="default"/>
        </w:rPr>
        <w:t>3</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日与招商银行北京北三环支行签订《授信协议》，编号：</w:t>
      </w:r>
      <w:r>
        <w:rPr>
          <w:rFonts w:ascii="Times New Roman" w:hAnsi="Times New Roman" w:cs="Times New Roman" w:eastAsia="Times New Roman" w:hint="default"/>
        </w:rPr>
        <w:t>2019</w:t>
      </w:r>
      <w:r>
        <w:rPr/>
        <w:t>年北授字第</w:t>
      </w:r>
      <w:r>
        <w:rPr>
          <w:rFonts w:ascii="Times New Roman" w:hAnsi="Times New Roman" w:cs="Times New Roman" w:eastAsia="Times New Roman" w:hint="default"/>
        </w:rPr>
        <w:t>011</w:t>
      </w:r>
      <w:r>
        <w:rPr/>
        <w:t>号，融资额度</w:t>
      </w:r>
    </w:p>
    <w:p>
      <w:pPr>
        <w:pStyle w:val="BodyText"/>
        <w:spacing w:line="240" w:lineRule="auto" w:before="63"/>
        <w:ind w:right="986"/>
        <w:jc w:val="left"/>
      </w:pPr>
      <w:r>
        <w:rPr>
          <w:rFonts w:ascii="Times New Roman" w:hAnsi="Times New Roman" w:cs="Times New Roman" w:eastAsia="Times New Roman" w:hint="default"/>
        </w:rPr>
        <w:t>15,000</w:t>
      </w:r>
      <w:r>
        <w:rPr/>
        <w:t>万元，授信期间：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日，由洪卫东提供连带责任保证。子公司珠海宇信易诚科技有限公司</w:t>
      </w:r>
    </w:p>
    <w:p>
      <w:pPr>
        <w:spacing w:after="0" w:line="240" w:lineRule="auto"/>
        <w:jc w:val="left"/>
        <w:sectPr>
          <w:type w:val="continuous"/>
          <w:pgSz w:w="11910" w:h="16840"/>
          <w:pgMar w:top="1580" w:bottom="700" w:left="980" w:right="0"/>
        </w:sectPr>
      </w:pPr>
    </w:p>
    <w:p>
      <w:pPr>
        <w:pStyle w:val="BodyText"/>
        <w:spacing w:line="300" w:lineRule="auto" w:before="142"/>
        <w:ind w:right="986"/>
        <w:jc w:val="left"/>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日与招商银行北京北三环支行签订《国内信用证开证合作协议》，于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日双方签订《国内信用证议</w:t>
      </w:r>
      <w:r>
        <w:rPr>
          <w:spacing w:val="-54"/>
        </w:rPr>
        <w:t> </w:t>
      </w:r>
      <w:r>
        <w:rPr>
          <w:spacing w:val="-54"/>
        </w:rPr>
      </w:r>
      <w:r>
        <w:rPr>
          <w:spacing w:val="-2"/>
        </w:rPr>
        <w:t>付合同》，编号：</w:t>
      </w:r>
      <w:r>
        <w:rPr>
          <w:rFonts w:ascii="Times New Roman" w:hAnsi="Times New Roman" w:cs="Times New Roman" w:eastAsia="Times New Roman" w:hint="default"/>
          <w:spacing w:val="-2"/>
        </w:rPr>
        <w:t>2019</w:t>
      </w:r>
      <w:r>
        <w:rPr>
          <w:spacing w:val="-2"/>
        </w:rPr>
        <w:t>年北证议付字第</w:t>
      </w:r>
      <w:r>
        <w:rPr>
          <w:rFonts w:ascii="Times New Roman" w:hAnsi="Times New Roman" w:cs="Times New Roman" w:eastAsia="Times New Roman" w:hint="default"/>
          <w:spacing w:val="-2"/>
        </w:rPr>
        <w:t>003</w:t>
      </w:r>
      <w:r>
        <w:rPr>
          <w:spacing w:val="-2"/>
        </w:rPr>
        <w:t>号，借款金额为</w:t>
      </w:r>
      <w:r>
        <w:rPr>
          <w:rFonts w:ascii="Times New Roman" w:hAnsi="Times New Roman" w:cs="Times New Roman" w:eastAsia="Times New Roman" w:hint="default"/>
          <w:spacing w:val="-2"/>
        </w:rPr>
        <w:t>8,000</w:t>
      </w:r>
      <w:r>
        <w:rPr>
          <w:spacing w:val="-2"/>
        </w:rPr>
        <w:t>万元，实际借款金额</w:t>
      </w:r>
      <w:r>
        <w:rPr>
          <w:rFonts w:ascii="Times New Roman" w:hAnsi="Times New Roman" w:cs="Times New Roman" w:eastAsia="Times New Roman" w:hint="default"/>
          <w:spacing w:val="-2"/>
        </w:rPr>
        <w:t>77,407,400.00</w:t>
      </w:r>
      <w:r>
        <w:rPr>
          <w:spacing w:val="-2"/>
        </w:rPr>
        <w:t>元，截止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41"/>
        </w:rPr>
        <w:t> </w:t>
      </w:r>
      <w:r>
        <w:rPr/>
        <w:t>应计利息</w:t>
      </w:r>
      <w:r>
        <w:rPr>
          <w:rFonts w:ascii="Times New Roman" w:hAnsi="Times New Roman" w:cs="Times New Roman" w:eastAsia="Times New Roman" w:hint="default"/>
        </w:rPr>
        <w:t>1,600,800.00</w:t>
      </w:r>
      <w:r>
        <w:rPr/>
        <w:t>元。借款期限自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w:t>
      </w:r>
    </w:p>
    <w:p>
      <w:pPr>
        <w:pStyle w:val="BodyText"/>
        <w:spacing w:line="300" w:lineRule="auto" w:before="13"/>
        <w:ind w:right="1034" w:firstLine="360"/>
        <w:jc w:val="left"/>
      </w:pPr>
      <w:r>
        <w:rPr/>
        <w:t>（</w:t>
      </w:r>
      <w:r>
        <w:rPr>
          <w:rFonts w:ascii="Times New Roman" w:hAnsi="Times New Roman" w:cs="Times New Roman" w:eastAsia="Times New Roman" w:hint="default"/>
        </w:rPr>
        <w:t>4</w:t>
      </w:r>
      <w:r>
        <w:rPr/>
        <w:t>）子公司珠海宇信易诚科技有限公司于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日与宁波银行北京分行签订《国内信用证融资总协议》，编号： </w:t>
      </w:r>
      <w:r>
        <w:rPr>
          <w:rFonts w:ascii="Times New Roman" w:hAnsi="Times New Roman" w:cs="Times New Roman" w:eastAsia="Times New Roman" w:hint="default"/>
        </w:rPr>
        <w:t>07700RZ199HAI9N</w:t>
      </w:r>
      <w:r>
        <w:rPr/>
        <w:t>，由洪卫东提供连带责任保证。于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日向宁波银行北京分行申请国内信用证福费廷业务，借款 金额为</w:t>
      </w:r>
      <w:r>
        <w:rPr>
          <w:rFonts w:ascii="Times New Roman" w:hAnsi="Times New Roman" w:cs="Times New Roman" w:eastAsia="Times New Roman" w:hint="default"/>
        </w:rPr>
        <w:t>5,500</w:t>
      </w:r>
      <w:r>
        <w:rPr/>
        <w:t>万元，实际借款金额</w:t>
      </w:r>
      <w:r>
        <w:rPr>
          <w:rFonts w:ascii="Times New Roman" w:hAnsi="Times New Roman" w:cs="Times New Roman" w:eastAsia="Times New Roman" w:hint="default"/>
        </w:rPr>
        <w:t>52,726,208.33</w:t>
      </w:r>
      <w:r>
        <w:rPr/>
        <w:t>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日，应计利息</w:t>
      </w:r>
      <w:r>
        <w:rPr>
          <w:rFonts w:ascii="Times New Roman" w:hAnsi="Times New Roman" w:cs="Times New Roman" w:eastAsia="Times New Roman" w:hint="default"/>
        </w:rPr>
        <w:t>757,930.56</w:t>
      </w:r>
      <w:r>
        <w:rPr/>
        <w:t>元。借款期限自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 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w:t>
      </w:r>
    </w:p>
    <w:p>
      <w:pPr>
        <w:pStyle w:val="BodyText"/>
        <w:spacing w:line="316" w:lineRule="auto" w:before="13"/>
        <w:ind w:left="513" w:right="1133"/>
        <w:jc w:val="left"/>
      </w:pPr>
      <w:r>
        <w:rPr/>
        <w:t>抵押借款： </w:t>
      </w:r>
      <w:r>
        <w:rPr>
          <w:spacing w:val="-2"/>
        </w:rPr>
        <w:t>公司分别于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8</w:t>
      </w:r>
      <w:r>
        <w:rPr>
          <w:spacing w:val="-2"/>
        </w:rPr>
        <w:t>日与北京</w:t>
      </w:r>
    </w:p>
    <w:p>
      <w:pPr>
        <w:pStyle w:val="BodyText"/>
        <w:spacing w:line="304" w:lineRule="auto"/>
        <w:ind w:right="1126"/>
        <w:jc w:val="both"/>
      </w:pPr>
      <w:r>
        <w:rPr>
          <w:spacing w:val="-7"/>
        </w:rPr>
        <w:t>银行中关村科技园区支行签订《借款合同》，借款金额分别为</w:t>
      </w:r>
      <w:r>
        <w:rPr>
          <w:rFonts w:ascii="Times New Roman" w:hAnsi="Times New Roman" w:cs="Times New Roman" w:eastAsia="Times New Roman" w:hint="default"/>
          <w:spacing w:val="-7"/>
        </w:rPr>
        <w:t>8,000.00</w:t>
      </w:r>
      <w:r>
        <w:rPr>
          <w:spacing w:val="-7"/>
        </w:rPr>
        <w:t>万元、</w:t>
      </w:r>
      <w:r>
        <w:rPr>
          <w:rFonts w:ascii="Times New Roman" w:hAnsi="Times New Roman" w:cs="Times New Roman" w:eastAsia="Times New Roman" w:hint="default"/>
          <w:spacing w:val="-7"/>
        </w:rPr>
        <w:t>6,000.00</w:t>
      </w:r>
      <w:r>
        <w:rPr>
          <w:spacing w:val="-7"/>
        </w:rPr>
        <w:t>万元、</w:t>
      </w:r>
      <w:r>
        <w:rPr>
          <w:rFonts w:ascii="Times New Roman" w:hAnsi="Times New Roman" w:cs="Times New Roman" w:eastAsia="Times New Roman" w:hint="default"/>
          <w:spacing w:val="-7"/>
        </w:rPr>
        <w:t>6,000.00</w:t>
      </w:r>
      <w:r>
        <w:rPr>
          <w:spacing w:val="-7"/>
        </w:rPr>
        <w:t>万元、</w:t>
      </w:r>
      <w:r>
        <w:rPr>
          <w:rFonts w:ascii="Times New Roman" w:hAnsi="Times New Roman" w:cs="Times New Roman" w:eastAsia="Times New Roman" w:hint="default"/>
          <w:spacing w:val="-7"/>
        </w:rPr>
        <w:t>6,000.00</w:t>
      </w:r>
      <w:r>
        <w:rPr>
          <w:spacing w:val="-7"/>
        </w:rPr>
        <w:t>万元、</w:t>
      </w:r>
      <w:r>
        <w:rPr>
          <w:rFonts w:ascii="Times New Roman" w:hAnsi="Times New Roman" w:cs="Times New Roman" w:eastAsia="Times New Roman" w:hint="default"/>
          <w:spacing w:val="-7"/>
        </w:rPr>
        <w:t>7,000.00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万元、</w:t>
      </w:r>
      <w:r>
        <w:rPr>
          <w:rFonts w:ascii="Times New Roman" w:hAnsi="Times New Roman" w:cs="Times New Roman" w:eastAsia="Times New Roman" w:hint="default"/>
        </w:rPr>
        <w:t>7,000.00</w:t>
      </w:r>
      <w:r>
        <w:rPr/>
        <w:t>万元，借款期限均自首次提款日起</w:t>
      </w:r>
      <w:r>
        <w:rPr>
          <w:rFonts w:ascii="Times New Roman" w:hAnsi="Times New Roman" w:cs="Times New Roman" w:eastAsia="Times New Roman" w:hint="default"/>
        </w:rPr>
        <w:t>1</w:t>
      </w:r>
      <w:r>
        <w:rPr/>
        <w:t>年，</w:t>
      </w:r>
      <w:r>
        <w:rPr>
          <w:spacing w:val="-46"/>
        </w:rPr>
        <w:t> </w:t>
      </w:r>
      <w:r>
        <w:rPr/>
        <w:t>其中</w:t>
      </w:r>
      <w:r>
        <w:rPr>
          <w:spacing w:val="-37"/>
        </w:rPr>
        <w:t> </w:t>
      </w:r>
      <w:r>
        <w:rPr>
          <w:rFonts w:ascii="Times New Roman" w:hAnsi="Times New Roman" w:cs="Times New Roman" w:eastAsia="Times New Roman" w:hint="default"/>
        </w:rPr>
        <w:t>8,000.00</w:t>
      </w:r>
      <w:r>
        <w:rPr/>
        <w:t>万元首次提款日为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6,000.00</w:t>
      </w:r>
      <w:r>
        <w:rPr/>
        <w:t>万元首次提 </w:t>
      </w:r>
      <w:r>
        <w:rPr>
          <w:spacing w:val="-1"/>
        </w:rPr>
        <w:t>款日分别为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26</w:t>
      </w:r>
      <w:r>
        <w:rPr>
          <w:spacing w:val="-1"/>
        </w:rPr>
        <w:t>日、</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26</w:t>
      </w:r>
      <w:r>
        <w:rPr>
          <w:spacing w:val="-1"/>
        </w:rPr>
        <w:t>日，</w:t>
      </w:r>
      <w:r>
        <w:rPr>
          <w:rFonts w:ascii="Times New Roman" w:hAnsi="Times New Roman" w:cs="Times New Roman" w:eastAsia="Times New Roman" w:hint="default"/>
          <w:spacing w:val="-1"/>
        </w:rPr>
        <w:t>7000.00</w:t>
      </w:r>
      <w:r>
        <w:rPr>
          <w:spacing w:val="-1"/>
        </w:rPr>
        <w:t>万元首次提款日分别为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12</w:t>
      </w:r>
      <w:r>
        <w:rPr>
          <w:spacing w:val="-1"/>
        </w:rPr>
        <w:t>日、</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spacing w:val="-71"/>
        </w:rPr>
        <w:t> </w:t>
      </w:r>
      <w:r>
        <w:rPr>
          <w:rFonts w:ascii="Times New Roman" w:hAnsi="Times New Roman" w:cs="Times New Roman" w:eastAsia="Times New Roman" w:hint="default"/>
          <w:spacing w:val="-1"/>
        </w:rPr>
        <w:t>8</w:t>
      </w:r>
      <w:r>
        <w:rPr>
          <w:spacing w:val="-1"/>
        </w:rPr>
        <w:t>日。上述借款为公司与北京银行中关村科技园区支行订立的编号为</w:t>
      </w:r>
      <w:r>
        <w:rPr>
          <w:rFonts w:ascii="Times New Roman" w:hAnsi="Times New Roman" w:cs="Times New Roman" w:eastAsia="Times New Roman" w:hint="default"/>
          <w:spacing w:val="-1"/>
        </w:rPr>
        <w:t>[0569832]</w:t>
      </w:r>
      <w:r>
        <w:rPr>
          <w:spacing w:val="-1"/>
        </w:rPr>
        <w:t>的《综合授信合同》项下的借款合同，此授信</w:t>
      </w:r>
      <w:r>
        <w:rPr>
          <w:spacing w:val="-57"/>
        </w:rPr>
        <w:t> </w:t>
      </w:r>
      <w:r>
        <w:rPr>
          <w:spacing w:val="-57"/>
        </w:rPr>
      </w:r>
      <w:r>
        <w:rPr>
          <w:spacing w:val="-2"/>
        </w:rPr>
        <w:t>合同最高授信额度为肆亿元整，由子公司北京宇信鸿泰科技发展有限公司、无锡宇信易诚科技有限公司、洪卫东、吴红提供</w:t>
      </w:r>
      <w:r>
        <w:rPr>
          <w:spacing w:val="-64"/>
        </w:rPr>
        <w:t> </w:t>
      </w:r>
      <w:r>
        <w:rPr>
          <w:spacing w:val="-64"/>
        </w:rPr>
      </w:r>
      <w:r>
        <w:rPr/>
        <w:t>最高额连带责任保证，子公司北京宇信金地科技有限公司以房产为本公司提供抵押担保。</w:t>
      </w:r>
    </w:p>
    <w:p>
      <w:pPr>
        <w:spacing w:line="240" w:lineRule="auto" w:before="13"/>
        <w:rPr>
          <w:rFonts w:ascii="宋体" w:hAnsi="宋体" w:cs="宋体" w:eastAsia="宋体" w:hint="default"/>
          <w:sz w:val="25"/>
          <w:szCs w:val="25"/>
        </w:rPr>
      </w:pPr>
    </w:p>
    <w:p>
      <w:pPr>
        <w:pStyle w:val="BodyText"/>
        <w:spacing w:line="240" w:lineRule="auto"/>
        <w:ind w:left="513" w:right="1133"/>
        <w:jc w:val="left"/>
      </w:pPr>
      <w:r>
        <w:rPr/>
        <w:t>保证借款：</w:t>
      </w:r>
    </w:p>
    <w:p>
      <w:pPr>
        <w:pStyle w:val="BodyText"/>
        <w:spacing w:line="300" w:lineRule="auto" w:before="76"/>
        <w:ind w:right="1079" w:firstLine="360"/>
        <w:jc w:val="left"/>
      </w:pPr>
      <w:r>
        <w:rPr/>
        <w:t>（</w:t>
      </w:r>
      <w:r>
        <w:rPr>
          <w:rFonts w:ascii="Times New Roman" w:hAnsi="Times New Roman" w:cs="Times New Roman" w:eastAsia="Times New Roman" w:hint="default"/>
        </w:rPr>
        <w:t>1</w:t>
      </w:r>
      <w:r>
        <w:rPr/>
        <w:t>）子公司宇信数据科技有限公司于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日与北京银行航天支行签订《借款合同》，借款金额为</w:t>
      </w:r>
      <w:r>
        <w:rPr>
          <w:rFonts w:ascii="Times New Roman" w:hAnsi="Times New Roman" w:cs="Times New Roman" w:eastAsia="Times New Roman" w:hint="default"/>
        </w:rPr>
        <w:t>100.00</w:t>
      </w:r>
      <w:r>
        <w:rPr/>
        <w:t>万元， </w:t>
      </w:r>
      <w:r>
        <w:rPr>
          <w:spacing w:val="-2"/>
        </w:rPr>
        <w:t>借款期限自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日。上述借款为宇信数据科技有限公司与北京银行股份有限公司航天支行订立的编</w:t>
      </w:r>
      <w:r>
        <w:rPr>
          <w:spacing w:val="-57"/>
        </w:rPr>
        <w:t> </w:t>
      </w:r>
      <w:r>
        <w:rPr>
          <w:spacing w:val="-57"/>
        </w:rPr>
      </w:r>
      <w:r>
        <w:rPr/>
        <w:t>号为</w:t>
      </w:r>
      <w:r>
        <w:rPr>
          <w:rFonts w:ascii="Times New Roman" w:hAnsi="Times New Roman" w:cs="Times New Roman" w:eastAsia="Times New Roman" w:hint="default"/>
        </w:rPr>
        <w:t>[0491025]</w:t>
      </w:r>
      <w:r>
        <w:rPr/>
        <w:t>的《综合授信合同》项下的借款，授信合同最高授信额度为壹佰万元整，由本公司为该授信提供连带责任保 证。</w:t>
      </w:r>
    </w:p>
    <w:p>
      <w:pPr>
        <w:pStyle w:val="BodyText"/>
        <w:spacing w:line="300" w:lineRule="auto" w:before="31"/>
        <w:ind w:right="1129" w:firstLine="360"/>
        <w:jc w:val="both"/>
      </w:pPr>
      <w:r>
        <w:rPr>
          <w:spacing w:val="-2"/>
        </w:rPr>
        <w:t>（</w:t>
      </w:r>
      <w:r>
        <w:rPr>
          <w:rFonts w:ascii="Times New Roman" w:hAnsi="Times New Roman" w:cs="Times New Roman" w:eastAsia="Times New Roman" w:hint="default"/>
          <w:spacing w:val="-2"/>
        </w:rPr>
        <w:t>2</w:t>
      </w:r>
      <w:r>
        <w:rPr>
          <w:spacing w:val="-2"/>
        </w:rPr>
        <w:t>）子公司厦门市宇信鸿泰科技有限公司分别于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29</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日与中国建设银行厦门市分行签订《人</w:t>
      </w:r>
      <w:r>
        <w:rPr/>
        <w:t> 民币流动资金贷款合同》，借款金额均为</w:t>
      </w:r>
      <w:r>
        <w:rPr>
          <w:rFonts w:ascii="Times New Roman" w:hAnsi="Times New Roman" w:cs="Times New Roman" w:eastAsia="Times New Roman" w:hint="default"/>
        </w:rPr>
        <w:t>3,000.00</w:t>
      </w:r>
      <w:r>
        <w:rPr/>
        <w:t>万元，借款期限分别自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 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日，由本公司、洪卫东、吴红担保连带责任保证。</w:t>
      </w:r>
    </w:p>
    <w:p>
      <w:pPr>
        <w:pStyle w:val="BodyText"/>
        <w:spacing w:line="300" w:lineRule="auto" w:before="13"/>
        <w:ind w:right="1124" w:firstLine="288"/>
        <w:jc w:val="left"/>
      </w:pPr>
      <w:r>
        <w:rPr/>
        <w:t>（</w:t>
      </w:r>
      <w:r>
        <w:rPr>
          <w:rFonts w:ascii="Times New Roman" w:hAnsi="Times New Roman" w:cs="Times New Roman" w:eastAsia="Times New Roman" w:hint="default"/>
        </w:rPr>
        <w:t>3</w:t>
      </w:r>
      <w:r>
        <w:rPr/>
        <w:t>）子公司厦门市宇信鸿泰科技有限公司于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日与招商银行厦门分行签订《授信协议》（编号： </w:t>
      </w:r>
      <w:r>
        <w:rPr>
          <w:rFonts w:ascii="Times New Roman" w:hAnsi="Times New Roman" w:cs="Times New Roman" w:eastAsia="Times New Roman" w:hint="default"/>
          <w:spacing w:val="-2"/>
        </w:rPr>
        <w:t>592XY2019021353</w:t>
      </w:r>
      <w:r>
        <w:rPr>
          <w:spacing w:val="-2"/>
        </w:rPr>
        <w:t>），授信额度</w:t>
      </w:r>
      <w:r>
        <w:rPr>
          <w:rFonts w:ascii="Times New Roman" w:hAnsi="Times New Roman" w:cs="Times New Roman" w:eastAsia="Times New Roman" w:hint="default"/>
          <w:spacing w:val="-2"/>
        </w:rPr>
        <w:t>5,000.00</w:t>
      </w:r>
      <w:r>
        <w:rPr>
          <w:spacing w:val="-2"/>
        </w:rPr>
        <w:t>万元，授信期限：</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日，由本公司、洪卫东、吴红担保</w:t>
      </w:r>
      <w:r>
        <w:rPr>
          <w:spacing w:val="-37"/>
        </w:rPr>
        <w:t> </w:t>
      </w:r>
      <w:r>
        <w:rPr>
          <w:spacing w:val="-37"/>
        </w:rPr>
      </w:r>
      <w:r>
        <w:rPr/>
        <w:t>连带责任保证。厦门市宇信鸿泰科技有限公司于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日取得借款</w:t>
      </w:r>
      <w:r>
        <w:rPr>
          <w:rFonts w:ascii="Times New Roman" w:hAnsi="Times New Roman" w:cs="Times New Roman" w:eastAsia="Times New Roman" w:hint="default"/>
        </w:rPr>
        <w:t>100</w:t>
      </w:r>
      <w:r>
        <w:rPr/>
        <w:t>万元，借款期限自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29</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133"/>
        <w:jc w:val="left"/>
        <w:rPr>
          <w:b w:val="0"/>
          <w:bCs w:val="0"/>
        </w:rPr>
      </w:pPr>
      <w:bookmarkStart w:name="20、应付票据" w:id="265"/>
      <w:bookmarkEnd w:id="265"/>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19,062,510.00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19,062,510.00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1、应付账款" w:id="266"/>
      <w:bookmarkEnd w:id="266"/>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付账款列示"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应付供应商款项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184,903,206.51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215,635,634.65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184,903,206.51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215,635,634.65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2、预收款项" w:id="268"/>
      <w:bookmarkEnd w:id="268"/>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预收款项列示" w:id="269"/>
      <w:bookmarkEnd w:id="26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265,501,567.24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211,960,029.70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265,501,567.24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211,960,029.70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3、应付职工薪酬" w:id="270"/>
      <w:bookmarkEnd w:id="270"/>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付职工薪酬列示"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211,621,434.53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1,577,187,207.97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1,513,760,986.90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275,047,655.60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6,313,307.97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91,998,508.52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90,411,905.85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7,899,910.64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3,134,208.27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2,830,433.27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448,315.00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218,079,282.50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1,672,319,924.76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1,607,003,326.02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283,395,881.24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短期薪酬列示" w:id="272"/>
      <w:bookmarkEnd w:id="27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203,708,215.66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1,432,645,266.59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1,372,211,094.40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264,142,387.85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18,852,835.31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18,815,635.31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37,200.00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3,859,506.30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60,031,523.44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58,443,302.23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5,447,727.51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3,434,212.19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53,333,077.85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51,913,907.83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4,853,382.21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122,200.61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1,799,131.68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1,747,943.39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173,388.90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303,093.50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4,899,313.91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4,781,451.01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420,956.40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3,518,537.51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63,901,481.52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62,494,569.92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4,925,449.11</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535,175.06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1,756,101.11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1,796,385.04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494,891.13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211,621,434.53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1,577,187,207.97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1,513,760,986.90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275,047,655.60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设定提存计划列示" w:id="273"/>
      <w:bookmarkEnd w:id="27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6,084,318.50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88,375,304.45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86,877,975.45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7,581,647.50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228,989.47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3,623,204.07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3,533,930.40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318,263.14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6,313,307.97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91,998,508.52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90,411,905.85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7,899,910.64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4、应交税费" w:id="274"/>
      <w:bookmarkEnd w:id="274"/>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31,872,620.61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41,323,359.07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7,198,094.15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13,838,647.12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8,303,657.75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3,484,923.80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4,220,637.23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3,655,884.93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87,778.07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101,752.07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3,140,690.77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2,581,948.69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386,476.57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834,797.84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55,209,955.15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65,821,313.52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5、其他应付款" w:id="275"/>
      <w:bookmarkEnd w:id="275"/>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2,133,656.93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26,857,877.75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28,032,667.78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26,857,877.75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30,166,324.71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pStyle w:val="Heading3"/>
        <w:spacing w:line="240" w:lineRule="auto" w:before="122"/>
        <w:ind w:right="1133"/>
        <w:jc w:val="left"/>
        <w:rPr>
          <w:b w:val="0"/>
          <w:bCs w:val="0"/>
        </w:rPr>
      </w:pPr>
      <w:bookmarkStart w:name="（1）其他应付款" w:id="276"/>
      <w:bookmarkEnd w:id="276"/>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按款项性质列示其他应付款" w:id="277"/>
      <w:bookmarkEnd w:id="27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3,625,075.61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3,649,013.09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9,536,054.40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10,527,941.43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8,483,226.00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8,346,926.00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2,868,200.00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2,868,200.00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2,345,321.74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2,640,587.26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26,857,877.75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28,032,667.78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6、一年内到期的非流动负债" w:id="278"/>
      <w:bookmarkEnd w:id="278"/>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100,000,008.00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234"/>
        <w:jc w:val="left"/>
      </w:pPr>
      <w:r>
        <w:rPr/>
        <w:t>其他说明： 详见附注七、（</w:t>
      </w:r>
      <w:r>
        <w:rPr>
          <w:rFonts w:ascii="Times New Roman" w:hAnsi="Times New Roman" w:cs="Times New Roman" w:eastAsia="Times New Roman" w:hint="default"/>
        </w:rPr>
        <w:t>27</w:t>
      </w:r>
      <w:r>
        <w:rPr/>
        <w:t>）长期借款。</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bookmarkStart w:name="27、长期借款" w:id="279"/>
      <w:bookmarkEnd w:id="279"/>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长期借款分类"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401,712,191.71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270,269,468.63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401,712,191.71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270,269,468.63</w:t>
            </w:r>
          </w:p>
        </w:tc>
      </w:tr>
    </w:tbl>
    <w:p>
      <w:pPr>
        <w:pStyle w:val="BodyText"/>
        <w:spacing w:line="357" w:lineRule="auto" w:before="49"/>
        <w:ind w:right="8594"/>
        <w:jc w:val="left"/>
      </w:pPr>
      <w:r>
        <w:rPr/>
        <w:t>长期借款分类的说明： 其他说明，包括利率区间：</w:t>
      </w:r>
    </w:p>
    <w:p>
      <w:pPr>
        <w:pStyle w:val="BodyText"/>
        <w:spacing w:line="304" w:lineRule="auto" w:before="29"/>
        <w:ind w:right="1133" w:firstLine="648"/>
        <w:jc w:val="left"/>
      </w:pPr>
      <w:r>
        <w:rPr/>
        <w:t>子公司珠海宇诚信科技有限公司于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日与上海浦东发展银行股份有限公司珠海分行签订《融资额度协 议》（编号：</w:t>
      </w:r>
      <w:r>
        <w:rPr>
          <w:rFonts w:ascii="Times New Roman" w:hAnsi="Times New Roman" w:cs="Times New Roman" w:eastAsia="Times New Roman" w:hint="default"/>
        </w:rPr>
        <w:t>BC2016101400000164</w:t>
      </w:r>
      <w:r>
        <w:rPr/>
        <w:t>），融资额度</w:t>
      </w:r>
      <w:r>
        <w:rPr>
          <w:rFonts w:ascii="Times New Roman" w:hAnsi="Times New Roman" w:cs="Times New Roman" w:eastAsia="Times New Roman" w:hint="default"/>
        </w:rPr>
        <w:t>54,000</w:t>
      </w:r>
      <w:r>
        <w:rPr/>
        <w:t>万元，额度使用期限：</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日止。借款 由本公司提供连带责任保证担保，子公司珠海宇诚信科技有限公司以其名下的在建工程及土地使用权提供抵押担保。截至 </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日，该《融资额度协议》项下的借款金额为</w:t>
      </w:r>
      <w:r>
        <w:rPr>
          <w:rFonts w:ascii="Times New Roman" w:hAnsi="Times New Roman" w:cs="Times New Roman" w:eastAsia="Times New Roman" w:hint="default"/>
          <w:spacing w:val="-5"/>
        </w:rPr>
        <w:t>50,171.22</w:t>
      </w:r>
      <w:r>
        <w:rPr>
          <w:spacing w:val="-5"/>
        </w:rPr>
        <w:t>万元，根据协议约定于</w:t>
      </w:r>
      <w:r>
        <w:rPr>
          <w:rFonts w:ascii="Times New Roman" w:hAnsi="Times New Roman" w:cs="Times New Roman" w:eastAsia="Times New Roman" w:hint="default"/>
          <w:spacing w:val="-5"/>
        </w:rPr>
        <w:t>2020</w:t>
      </w:r>
      <w:r>
        <w:rPr>
          <w:spacing w:val="-5"/>
        </w:rPr>
        <w:t>年归还的借款金额</w:t>
      </w:r>
      <w:r>
        <w:rPr>
          <w:rFonts w:ascii="Times New Roman" w:hAnsi="Times New Roman" w:cs="Times New Roman" w:eastAsia="Times New Roman" w:hint="default"/>
          <w:spacing w:val="-5"/>
        </w:rPr>
        <w:t>100,000,008.00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元已重分类至一年内到期的非流动负债。</w:t>
      </w:r>
    </w:p>
    <w:p>
      <w:pPr>
        <w:spacing w:after="0" w:line="304" w:lineRule="auto"/>
        <w:jc w:val="left"/>
        <w:sectPr>
          <w:pgSz w:w="11910" w:h="16840"/>
          <w:pgMar w:header="852" w:footer="980" w:top="1300" w:bottom="1160" w:left="980" w:right="0"/>
        </w:sectPr>
      </w:pPr>
    </w:p>
    <w:p>
      <w:pPr>
        <w:pStyle w:val="Heading3"/>
        <w:spacing w:line="240" w:lineRule="auto" w:before="122"/>
        <w:ind w:right="1133"/>
        <w:jc w:val="left"/>
        <w:rPr>
          <w:b w:val="0"/>
          <w:bCs w:val="0"/>
        </w:rPr>
      </w:pPr>
      <w:bookmarkStart w:name="28、股本" w:id="281"/>
      <w:bookmarkEnd w:id="281"/>
      <w:r>
        <w:rPr>
          <w:b w:val="0"/>
          <w:bCs w:val="0"/>
        </w:rPr>
      </w:r>
      <w:r>
        <w:rPr>
          <w:rFonts w:ascii="Times New Roman" w:hAnsi="Times New Roman" w:cs="Times New Roman" w:eastAsia="Times New Roman" w:hint="default"/>
        </w:rPr>
        <w:t>28</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400,010,000.00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400,010,000.00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9、资本公积" w:id="282"/>
      <w:bookmarkEnd w:id="282"/>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645,906,919.09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645,906,919.09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439,233.09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439,233.09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646,346,152.18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646,346,152.18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0、其他综合收益" w:id="283"/>
      <w:bookmarkEnd w:id="283"/>
      <w:r>
        <w:rPr>
          <w:b w:val="0"/>
          <w:bCs w:val="0"/>
        </w:rPr>
      </w:r>
      <w:r>
        <w:rPr>
          <w:rFonts w:ascii="Times New Roman" w:hAnsi="Times New Roman" w:cs="Times New Roman" w:eastAsia="Times New Roman" w:hint="default"/>
        </w:rPr>
        <w:t>30</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98"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9"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9"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7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-5,440,314.5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-4,525,738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-4,525,738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-9,966,0</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52.94</w:t>
            </w: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-5,440,314.5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-4,525,738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-4,525,738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-9,966,0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52.94</w:t>
            </w: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-3,218,976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.54</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-3,218,976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.54</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-3,218,9</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76.54</w:t>
            </w: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-3,218,976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-3,218,976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-3,218,9</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76.54</w:t>
            </w:r>
          </w:p>
        </w:tc>
      </w:tr>
      <w:tr>
        <w:trPr>
          <w:trHeight w:val="392"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3"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-5,440,314.5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-7,744,714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-7,744,714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-13,185,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029.48</w:t>
            </w:r>
          </w:p>
        </w:tc>
      </w:tr>
      <w:tr>
        <w:trPr>
          <w:trHeight w:val="39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357" w:lineRule="auto" w:before="49"/>
        <w:ind w:left="513" w:right="986" w:hanging="361"/>
        <w:jc w:val="left"/>
      </w:pPr>
      <w:r>
        <w:rPr/>
        <w:t>其他说明，包括对现金流量套期损益的有效部分转为被套期项目初始确认金额调整： </w:t>
      </w:r>
      <w:r>
        <w:rPr>
          <w:spacing w:val="-2"/>
        </w:rPr>
        <w:t>其他权益工具投资公允价值变动系子公司天津宇信易诚科技有限公司对北京乙丙融信息技术有限公司的股权投资，划分</w:t>
      </w:r>
    </w:p>
    <w:p>
      <w:pPr>
        <w:pStyle w:val="BodyText"/>
        <w:spacing w:line="237" w:lineRule="exact"/>
        <w:ind w:right="986"/>
        <w:jc w:val="left"/>
      </w:pPr>
      <w:r>
        <w:rPr/>
        <w:t>为以公允价值计量且其变动计入其他综合收益的金融资产，本期公允价值变动</w:t>
      </w:r>
      <w:r>
        <w:rPr>
          <w:rFonts w:ascii="Times New Roman" w:hAnsi="Times New Roman" w:cs="Times New Roman" w:eastAsia="Times New Roman" w:hint="default"/>
        </w:rPr>
        <w:t>-4,525,738.40</w:t>
      </w:r>
      <w:r>
        <w:rPr/>
        <w:t>元计入其他综合收益，因天津宇</w:t>
      </w:r>
    </w:p>
    <w:p>
      <w:pPr>
        <w:pStyle w:val="BodyText"/>
        <w:spacing w:line="240" w:lineRule="auto" w:before="63"/>
        <w:ind w:right="1133"/>
        <w:jc w:val="left"/>
      </w:pPr>
      <w:r>
        <w:rPr/>
        <w:t>信易诚科技有限公司应纳税所得额持续亏损，不考虑所得税的影响。</w:t>
      </w:r>
    </w:p>
    <w:p>
      <w:pPr>
        <w:spacing w:after="0" w:line="240" w:lineRule="auto"/>
        <w:jc w:val="left"/>
        <w:sectPr>
          <w:pgSz w:w="11910" w:h="16840"/>
          <w:pgMar w:header="852" w:footer="980" w:top="1300" w:bottom="1160" w:left="980" w:right="0"/>
        </w:sectPr>
      </w:pPr>
    </w:p>
    <w:p>
      <w:pPr>
        <w:pStyle w:val="Heading3"/>
        <w:spacing w:line="240" w:lineRule="auto" w:before="122"/>
        <w:ind w:right="1133"/>
        <w:jc w:val="left"/>
        <w:rPr>
          <w:b w:val="0"/>
          <w:bCs w:val="0"/>
        </w:rPr>
      </w:pPr>
      <w:bookmarkStart w:name="31、盈余公积" w:id="284"/>
      <w:bookmarkEnd w:id="284"/>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40,155,540.12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27,504,951.16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67,660,491.28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40,155,540.12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27,504,951.16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67,660,491.28</w:t>
            </w:r>
          </w:p>
        </w:tc>
      </w:tr>
    </w:tbl>
    <w:p>
      <w:pPr>
        <w:pStyle w:val="BodyText"/>
        <w:spacing w:line="357" w:lineRule="auto" w:before="49"/>
        <w:ind w:left="513" w:right="6254" w:hanging="361"/>
        <w:jc w:val="left"/>
      </w:pPr>
      <w:r>
        <w:rPr/>
        <w:t>盈余公积说明，包括本期增减变动情况、变动原因说明： 盈余公积本期增加系根据母公司净利润的</w:t>
      </w:r>
      <w:r>
        <w:rPr>
          <w:rFonts w:ascii="Times New Roman" w:hAnsi="Times New Roman" w:cs="Times New Roman" w:eastAsia="Times New Roman" w:hint="default"/>
        </w:rPr>
        <w:t>10%</w:t>
      </w:r>
      <w:r>
        <w:rPr/>
        <w:t>计提。</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bookmarkStart w:name="32、未分配利润" w:id="285"/>
      <w:bookmarkEnd w:id="285"/>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577,885,864.73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398,137,398.49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986,325.17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578,872,189.90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398,137,398.49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274,181,197.42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195,617,892.13</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27,504,951.16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15,869,425.89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80,002,000.00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157,956.27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745,388,479.89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577,885,864.73</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986,325.17</w:t>
      </w:r>
      <w:r>
        <w:rPr>
          <w:rFonts w:ascii="Times New Roman" w:hAnsi="Times New Roman" w:cs="Times New Roman" w:eastAsia="Times New Roman" w:hint="default"/>
          <w:spacing w:val="-1"/>
        </w:rPr>
        <w:t> </w:t>
      </w:r>
      <w:r>
        <w:rPr>
          <w:spacing w:val="-3"/>
        </w:rPr>
        <w:t>元。</w:t>
      </w:r>
      <w:r>
        <w:rPr/>
      </w:r>
    </w:p>
    <w:p>
      <w:pPr>
        <w:pStyle w:val="BodyText"/>
        <w:spacing w:line="240" w:lineRule="auto" w:before="103"/>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3、营业收入和营业成本" w:id="286"/>
      <w:bookmarkEnd w:id="286"/>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2,650,042,727.72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1,722,989,859.15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2,138,411,805.71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1,439,379,888.92</w:t>
            </w:r>
            <w:r>
              <w:rPr>
                <w:rFonts w:ascii="Times New Roman"/>
                <w:sz w:val="18"/>
              </w:rPr>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1,684,024.77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650,242.08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2,148,910.91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380,323.92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2,651,726,752.49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1,723,640,101.23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2,140,560,716.62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1,439,760,212.84</w:t>
            </w:r>
          </w:p>
        </w:tc>
      </w:tr>
    </w:tbl>
    <w:p>
      <w:pPr>
        <w:pStyle w:val="BodyText"/>
        <w:spacing w:line="240" w:lineRule="auto" w:before="49"/>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52" w:footer="980" w:top="1300" w:bottom="1160" w:left="980" w:right="0"/>
        </w:sectPr>
      </w:pPr>
    </w:p>
    <w:p>
      <w:pPr>
        <w:pStyle w:val="Heading3"/>
        <w:spacing w:line="240" w:lineRule="auto" w:before="122"/>
        <w:ind w:right="1133"/>
        <w:jc w:val="left"/>
        <w:rPr>
          <w:b w:val="0"/>
          <w:bCs w:val="0"/>
        </w:rPr>
      </w:pPr>
      <w:bookmarkStart w:name="34、税金及附加" w:id="287"/>
      <w:bookmarkEnd w:id="287"/>
      <w:r>
        <w:rPr>
          <w:b w:val="0"/>
          <w:bCs w:val="0"/>
        </w:rPr>
      </w:r>
      <w:r>
        <w:rPr>
          <w:rFonts w:ascii="Times New Roman" w:hAnsi="Times New Roman" w:cs="Times New Roman" w:eastAsia="Times New Roman" w:hint="default"/>
        </w:rPr>
        <w:t>34</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6,555,894.85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7,128,620.03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5,110,577.21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5,091,838.02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755,921.66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715,717.98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148,879.04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177,328.25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13,146.68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1,746,810.90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1,443,177.22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3,687.05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14,333,540.71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14,569,828.18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5、销售费用" w:id="288"/>
      <w:bookmarkEnd w:id="288"/>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77,541,051.33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63,048,658.78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24,231,526.27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19,845,877.25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4,500,166.13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4,490,862.81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3,357,774.49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2,742,497.27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2,603,087.28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3,580,948.88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13,389,501.03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14,768,919.16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125,623,106.53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108,477,764.15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6、管理费用" w:id="289"/>
      <w:bookmarkEnd w:id="289"/>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162,077,692.44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136,950,316.16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22,107,106.21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22,377,000.61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10,570,309.67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10,570,534.40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6,487,281.83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7,447,328.17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5,978,390.05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5,276,088.39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5,719,833.36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7,211,793.94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3,015,620.32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2,000,629.34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1,524,673.46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2,975,493.50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5,316,968.04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4,248,868.18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员工培训及服务费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4,512,139.91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3,728,058.48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3,553,356.29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2,337,338.83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41,692.37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448,818.11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1,217,383.43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1,023,576.26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339,759.00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232,122,447.38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206,935,603.37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7、研发费用" w:id="290"/>
      <w:bookmarkEnd w:id="290"/>
      <w:r>
        <w:rPr>
          <w:b w:val="0"/>
          <w:bCs w:val="0"/>
        </w:rPr>
      </w:r>
      <w:r>
        <w:rPr>
          <w:rFonts w:ascii="Times New Roman" w:hAnsi="Times New Roman" w:cs="Times New Roman" w:eastAsia="Times New Roman" w:hint="default"/>
        </w:rPr>
        <w:t>37</w:t>
      </w:r>
      <w:r>
        <w:rPr/>
        <w:t>、研发费用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249,013,996.62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159,614,958.72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1,768,522.13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1,140,608.09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6,260,219.00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5,843,578.76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5,502,150.04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5,105,064.69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7,238,423.49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6,040,687.93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287,939.91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397,726.53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1,140,788.15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687,112.85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527,027.66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815,142.24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2,765,592.83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4,488,071.33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274,504,659.83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184,132,951.14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8、财务费用" w:id="291"/>
      <w:bookmarkEnd w:id="291"/>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27,326,781.35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26,326,296.85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2,900,672.33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1,623,234.01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317,623.65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-897,002.13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809,626.90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1,080,222.79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25,553,359.57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24,886,283.50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9、其他收益" w:id="292"/>
      <w:bookmarkEnd w:id="292"/>
      <w:r>
        <w:rPr>
          <w:b w:val="0"/>
          <w:bCs w:val="0"/>
        </w:rPr>
      </w:r>
      <w:r>
        <w:rPr>
          <w:rFonts w:ascii="Times New Roman" w:hAnsi="Times New Roman" w:cs="Times New Roman" w:eastAsia="Times New Roman" w:hint="default"/>
        </w:rPr>
        <w:t>39</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11,466,900.00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12,965,000.00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高新企业补贴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2,083,676.00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3,102,983.00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2,322,847.84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1,256,712.53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8,751,576.28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其他零星补贴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1,962,050.01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1,972,975.29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26,587,050.13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19,369,670.82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0、投资收益" w:id="293"/>
      <w:bookmarkEnd w:id="293"/>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24,071,171.62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36,410,571.04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-7,800,200.88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6,700,313.59</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4,510,671.60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1,430,666.67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2,918,857.41</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22,212,309.01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46,029,742.04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1、公允价值变动收益" w:id="294"/>
      <w:bookmarkEnd w:id="294"/>
      <w:r>
        <w:rPr>
          <w:b w:val="0"/>
          <w:bCs w:val="0"/>
        </w:rPr>
      </w:r>
      <w:r>
        <w:rPr>
          <w:rFonts w:ascii="Times New Roman" w:hAnsi="Times New Roman" w:cs="Times New Roman" w:eastAsia="Times New Roman" w:hint="default"/>
        </w:rPr>
        <w:t>41</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283,068.49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-964,129.80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-681,061.31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2、信用减值损失" w:id="295"/>
      <w:bookmarkEnd w:id="295"/>
      <w:r>
        <w:rPr>
          <w:b w:val="0"/>
          <w:bCs w:val="0"/>
        </w:rPr>
      </w:r>
      <w:r>
        <w:rPr>
          <w:rFonts w:ascii="Times New Roman" w:hAnsi="Times New Roman" w:cs="Times New Roman" w:eastAsia="Times New Roman" w:hint="default"/>
        </w:rPr>
        <w:t>42</w:t>
      </w:r>
      <w:r>
        <w:rPr/>
        <w:t>、信用减值损失</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-490,654.28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-14,865,092.01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-15,355,746.29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pStyle w:val="Heading3"/>
        <w:spacing w:line="240" w:lineRule="auto" w:before="122"/>
        <w:ind w:right="1133"/>
        <w:jc w:val="left"/>
        <w:rPr>
          <w:b w:val="0"/>
          <w:bCs w:val="0"/>
        </w:rPr>
      </w:pPr>
      <w:bookmarkStart w:name="43、资产减值损失" w:id="296"/>
      <w:bookmarkEnd w:id="296"/>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80" w:top="13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580" w:bottom="70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-7,535,276.09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-2,262,216.54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-2,271,125.87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-1,298,434.27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-1,298,434.27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-12,068,618.50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4、资产处置收益" w:id="297"/>
      <w:bookmarkEnd w:id="297"/>
      <w:r>
        <w:rPr>
          <w:b w:val="0"/>
          <w:bCs w:val="0"/>
        </w:rPr>
      </w:r>
      <w:r>
        <w:rPr>
          <w:rFonts w:ascii="Times New Roman" w:hAnsi="Times New Roman" w:cs="Times New Roman" w:eastAsia="Times New Roman" w:hint="default"/>
        </w:rPr>
        <w:t>44</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-157,877.67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63,930.35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-157,877.67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63,930.35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5、营业外收入" w:id="298"/>
      <w:bookmarkEnd w:id="298"/>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45,595.68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8,306.67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45,595.68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2,045,595.68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8,306.67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2,045,595.68</w:t>
            </w:r>
          </w:p>
        </w:tc>
      </w:tr>
    </w:tbl>
    <w:p>
      <w:pPr>
        <w:pStyle w:val="BodyText"/>
        <w:spacing w:line="240" w:lineRule="auto" w:before="49"/>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北京市海淀 区人民政府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right="1133"/>
        <w:jc w:val="left"/>
      </w:pPr>
      <w:r>
        <w:rPr/>
        <w:t>其他说明：</w:t>
      </w:r>
    </w:p>
    <w:p>
      <w:pPr>
        <w:pStyle w:val="BodyText"/>
        <w:spacing w:line="240" w:lineRule="auto" w:before="115"/>
        <w:ind w:left="513" w:right="1133"/>
        <w:jc w:val="left"/>
      </w:pPr>
      <w:r>
        <w:rPr/>
        <w:t>公司取得海淀区人民政府</w:t>
      </w:r>
      <w:r>
        <w:rPr>
          <w:rFonts w:ascii="Times New Roman" w:hAnsi="Times New Roman" w:cs="Times New Roman" w:eastAsia="Times New Roman" w:hint="default"/>
        </w:rPr>
        <w:t>2019</w:t>
      </w:r>
      <w:r>
        <w:rPr/>
        <w:t>年度科技金融创新发展专项资金第二轮拟支持项目上市（挂牌）补贴</w:t>
      </w:r>
      <w:r>
        <w:rPr>
          <w:rFonts w:ascii="Times New Roman" w:hAnsi="Times New Roman" w:cs="Times New Roman" w:eastAsia="Times New Roman" w:hint="default"/>
        </w:rPr>
        <w:t>200</w:t>
      </w:r>
      <w:r>
        <w:rPr/>
        <w:t>万。</w:t>
      </w:r>
    </w:p>
    <w:p>
      <w:pPr>
        <w:spacing w:after="0" w:line="240" w:lineRule="auto"/>
        <w:jc w:val="left"/>
        <w:sectPr>
          <w:type w:val="continuous"/>
          <w:pgSz w:w="11910" w:h="16840"/>
          <w:pgMar w:top="1580" w:bottom="700" w:left="980" w:right="0"/>
        </w:sectPr>
      </w:pPr>
    </w:p>
    <w:p>
      <w:pPr>
        <w:pStyle w:val="Heading3"/>
        <w:spacing w:line="240" w:lineRule="auto" w:before="122"/>
        <w:ind w:right="1133"/>
        <w:jc w:val="left"/>
        <w:rPr>
          <w:b w:val="0"/>
          <w:bCs w:val="0"/>
        </w:rPr>
      </w:pPr>
      <w:bookmarkStart w:name="46、营业外支出" w:id="299"/>
      <w:bookmarkEnd w:id="299"/>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176,677.00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2,095,760.00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176,677.00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1,751.91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105,853.20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1,751.91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3,886,963.17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50,800.97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496,952.03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50,800.97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229,229.88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6,585,528.40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229,229.88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7、所得税费用" w:id="300"/>
      <w:bookmarkEnd w:id="300"/>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所得税费用表"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20,200,616.24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17,686,798.95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-4,382,923.02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-6,432,277.36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15,817,693.22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11,254,521.59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会计利润与所得税费用调整过程" w:id="302"/>
      <w:bookmarkEnd w:id="30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289,072,142.64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28,907,214.26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586,511.70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31,034.30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-2,552,898.57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3,615,374.31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-1,377,996.23</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7,500,045.94</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税法规定的额外可扣除费用（研发费用和残疾人工资加计扣 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-20,891,592.49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15,817,693.22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544" w:lineRule="auto" w:before="122"/>
        <w:ind w:left="152" w:right="7154" w:firstLine="0"/>
        <w:jc w:val="left"/>
        <w:rPr>
          <w:rFonts w:ascii="宋体" w:hAnsi="宋体" w:cs="宋体" w:eastAsia="宋体" w:hint="default"/>
          <w:sz w:val="21"/>
          <w:szCs w:val="21"/>
        </w:rPr>
      </w:pPr>
      <w:bookmarkStart w:name="48、其他综合收益" w:id="303"/>
      <w:bookmarkEnd w:id="303"/>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详见附注第十二节、七、</w:t>
      </w:r>
      <w:r>
        <w:rPr>
          <w:rFonts w:ascii="Times New Roman" w:hAnsi="Times New Roman" w:cs="Times New Roman" w:eastAsia="Times New Roman" w:hint="default"/>
          <w:sz w:val="18"/>
          <w:szCs w:val="18"/>
        </w:rPr>
        <w:t>30</w:t>
      </w:r>
      <w:r>
        <w:rPr>
          <w:rFonts w:ascii="宋体" w:hAnsi="宋体" w:cs="宋体" w:eastAsia="宋体" w:hint="default"/>
          <w:sz w:val="18"/>
          <w:szCs w:val="18"/>
        </w:rPr>
        <w:t>、其他综合收益。 </w:t>
      </w:r>
      <w:bookmarkStart w:name="49、现金流量表项目" w:id="304"/>
      <w:bookmarkEnd w:id="304"/>
      <w:r>
        <w:rPr>
          <w:rFonts w:ascii="宋体" w:hAnsi="宋体" w:cs="宋体" w:eastAsia="宋体" w:hint="default"/>
          <w:sz w:val="18"/>
          <w:szCs w:val="18"/>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1133"/>
        <w:jc w:val="left"/>
        <w:rPr>
          <w:b w:val="0"/>
          <w:bCs w:val="0"/>
        </w:rPr>
      </w:pPr>
      <w:bookmarkStart w:name="（1）收到的其他与经营活动有关的现金" w:id="305"/>
      <w:bookmarkEnd w:id="30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收回往来款、代垫款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31,337,277.72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45,743,339.52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2,752,887.33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1,623,234.01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2,045,595.68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8,306.67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17,835,473.85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18,112,958.29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3,650,135.77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4,687,493.71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57,992,270.35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70,175,332.20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支付的其他与经营活动有关的现金" w:id="306"/>
      <w:bookmarkEnd w:id="30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44,599,449.26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47,777,309.58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销售费用、管理费用、研发费用支出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118,217,171.65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138,002,386.17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2,462,327.86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809,626.90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1,080,222.79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11,068,069.40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174,923,547.09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189,322,246.40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收到的其他与投资活动有关的现金" w:id="307"/>
      <w:bookmarkEnd w:id="30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银行理财产品赎回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702,900,000.00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273,200,000.00</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Times New Roman" w:hAnsi="Times New Roman" w:cs="Times New Roman" w:eastAsia="Times New Roman" w:hint="default"/>
                <w:sz w:val="18"/>
                <w:szCs w:val="18"/>
              </w:rPr>
            </w:pPr>
            <w:r>
              <w:rPr>
                <w:rFonts w:ascii="宋体" w:hAnsi="宋体" w:cs="宋体" w:eastAsia="宋体" w:hint="default"/>
                <w:sz w:val="18"/>
                <w:szCs w:val="18"/>
              </w:rPr>
              <w:t>珠海宇诚信收浦发银行珠海分行履约保 证金转银行存款（横琴规划国土局履约 保函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2018.9.1-2019.5.31)</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土地履约保证金（珠海市横琴新区管理 委员会规划国土局）</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704,865,000.00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284,600,000.00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支付的其他与投资活动有关的现金" w:id="308"/>
      <w:bookmarkEnd w:id="30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644,850,000.00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305,050,000.00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305,050,000.00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支付的其他与筹资活动有关的现金" w:id="309"/>
      <w:bookmarkEnd w:id="309"/>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银行融资手续费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801,800.00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8,901,886.79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可转债项目中介费用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1,088,955.00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2,934,855.00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9,703,686.79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0、现金流量表补充资料" w:id="310"/>
      <w:bookmarkEnd w:id="310"/>
      <w:r>
        <w:rPr>
          <w:b w:val="0"/>
          <w:bCs w:val="0"/>
        </w:rPr>
      </w:r>
      <w:r>
        <w:rPr>
          <w:rFonts w:ascii="Times New Roman" w:hAnsi="Times New Roman" w:cs="Times New Roman" w:eastAsia="Times New Roman" w:hint="default"/>
        </w:rPr>
        <w:t>50</w:t>
      </w:r>
      <w:r>
        <w:rPr/>
        <w:t>、现金流量表补充资料</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现金流量表补充资料"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273,254,449.42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197,361,054.83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16,654,180.56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12,068,618.50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20,341,867.51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18,889,105.17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10,213,134.98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9,790,514.82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970,438.12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1,737,320.77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157,877.67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-63,930.35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3,886,963.17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681,061.31</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4"/>
        <w:rPr>
          <w:rFonts w:ascii="宋体" w:hAnsi="宋体" w:cs="宋体" w:eastAsia="宋体" w:hint="default"/>
          <w:sz w:val="10"/>
          <w:szCs w:val="10"/>
        </w:rPr>
      </w:pPr>
      <w:r>
        <w:rPr/>
        <w:pict>
          <v:group style="position:absolute;margin-left:223.369995pt;margin-top:112.159981pt;width:151.25pt;height:40.8pt;mso-position-horizontal-relative:page;mso-position-vertical-relative:page;z-index:-1227688" coordorigin="4467,2243" coordsize="3025,816">
            <v:group style="position:absolute;left:4478;top:2254;width:2;height:392" coordorigin="4478,2254" coordsize="2,392">
              <v:shape style="position:absolute;left:4478;top:2254;width:2;height:392" coordorigin="4478,2254" coordsize="0,392" path="m4478,2254l4478,2645e" filled="false" stroked="true" strokeweight="1.08pt" strokecolor="#ffffff">
                <v:path arrowok="t"/>
              </v:shape>
            </v:group>
            <v:group style="position:absolute;left:4489;top:2254;width:3003;height:392" coordorigin="4489,2254" coordsize="3003,392">
              <v:shape style="position:absolute;left:4489;top:2254;width:3003;height:392" coordorigin="4489,2254" coordsize="3003,392" path="m4489,2645l7492,2645,7492,2254,4489,2254,4489,2645xe" filled="true" fillcolor="#ffffff" stroked="false">
                <v:path arrowok="t"/>
                <v:fill type="solid"/>
              </v:shape>
            </v:group>
            <v:group style="position:absolute;left:4478;top:2657;width:2;height:392" coordorigin="4478,2657" coordsize="2,392">
              <v:shape style="position:absolute;left:4478;top:2657;width:2;height:392" coordorigin="4478,2657" coordsize="0,392" path="m4478,2657l4478,3048e" filled="false" stroked="true" strokeweight="1.08pt" strokecolor="#ffffff">
                <v:path arrowok="t"/>
              </v:shape>
            </v:group>
            <v:group style="position:absolute;left:4489;top:2657;width:3003;height:392" coordorigin="4489,2657" coordsize="3003,392">
              <v:shape style="position:absolute;left:4489;top:2657;width:3003;height:392" coordorigin="4489,2657" coordsize="3003,392" path="m4489,3048l7492,3048,7492,2657,4489,2657,4489,304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27,442,068.94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25,384,945.58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-22,212,309.01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-46,029,742.04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-4,314,816.89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-6,432,277.36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0"/>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53,662.41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-49,174,522.63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-59,053,720.40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-181,681,424.65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-126,210,791.80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88,135,081.86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139,242,848.83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339,759.00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180,520,749.60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170,910,668.72</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767" w:right="0"/>
              <w:jc w:val="left"/>
              <w:rPr>
                <w:rFonts w:ascii="Times New Roman" w:hAnsi="Times New Roman" w:cs="Times New Roman" w:eastAsia="Times New Roman" w:hint="default"/>
                <w:sz w:val="18"/>
                <w:szCs w:val="18"/>
              </w:rPr>
            </w:pPr>
            <w:r>
              <w:rPr>
                <w:rFonts w:ascii="Times New Roman"/>
                <w:sz w:val="18"/>
              </w:rPr>
              <w:t>1,006,389,201.77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950,312,604.62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950,312,604.62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757,314,445.70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56,076,597.15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192,998,158.92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现金和现金等价物的构成" w:id="312"/>
      <w:bookmarkEnd w:id="312"/>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1,006,389,201.77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950,312,604.62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17,495.51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22,835.56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1,006,371,706.26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950,289,769.06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1,006,389,201.77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950,312,604.62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1、所有权或使用权受到限制的资产" w:id="313"/>
      <w:bookmarkEnd w:id="313"/>
      <w:r>
        <w:rPr>
          <w:b w:val="0"/>
          <w:bCs w:val="0"/>
        </w:rPr>
      </w:r>
      <w:r>
        <w:rPr>
          <w:rFonts w:ascii="Times New Roman" w:hAnsi="Times New Roman" w:cs="Times New Roman" w:eastAsia="Times New Roman" w:hint="default"/>
        </w:rPr>
        <w:t>51</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11,250,085.57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用于保证金或质押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54,559,172.29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211,904,458.42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539,022,850.10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816,736,566.38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00" w:bottom="1160" w:left="980" w:right="0"/>
        </w:sectPr>
      </w:pPr>
    </w:p>
    <w:p>
      <w:pPr>
        <w:pStyle w:val="Heading3"/>
        <w:spacing w:line="240" w:lineRule="auto" w:before="122"/>
        <w:ind w:right="1133"/>
        <w:jc w:val="left"/>
        <w:rPr>
          <w:b w:val="0"/>
          <w:bCs w:val="0"/>
        </w:rPr>
      </w:pPr>
      <w:bookmarkStart w:name="52、外币货币性项目" w:id="314"/>
      <w:bookmarkEnd w:id="314"/>
      <w:r>
        <w:rPr>
          <w:b w:val="0"/>
          <w:bCs w:val="0"/>
        </w:rPr>
      </w:r>
      <w:r>
        <w:rPr>
          <w:rFonts w:ascii="Times New Roman" w:hAnsi="Times New Roman" w:cs="Times New Roman" w:eastAsia="Times New Roman" w:hint="default"/>
        </w:rPr>
        <w:t>52</w:t>
      </w:r>
      <w:r>
        <w:rPr/>
        <w:t>、外币货币性项目</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外币货币性项目"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4,712,030.59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32,872,067.80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274.40</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加元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296.81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56" w:lineRule="auto" w:before="36"/>
        <w:ind w:right="1133"/>
        <w:jc w:val="left"/>
        <w:rPr>
          <w:b w:val="0"/>
          <w:bCs w:val="0"/>
        </w:rPr>
      </w:pPr>
      <w:bookmarkStart w:name="（2）境外经营实体说明，包括对于重要的境外经营实体，应披露其境外主要经营地、记账" w:id="316"/>
      <w:bookmarkEnd w:id="31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w:t>
      </w:r>
      <w:r>
        <w:rPr>
          <w:rFonts w:ascii="Times New Roman" w:hAnsi="Times New Roman" w:cs="Times New Roman" w:eastAsia="Times New Roman" w:hint="default"/>
        </w:rPr>
        <w:t>2019</w:t>
      </w:r>
      <w:r>
        <w:rPr/>
        <w:t>年在香港和新加坡分别设立子公司，目前尚未开实际经营业务。</w:t>
      </w:r>
    </w:p>
    <w:p>
      <w:pPr>
        <w:spacing w:line="240" w:lineRule="auto" w:before="10"/>
        <w:rPr>
          <w:rFonts w:ascii="宋体" w:hAnsi="宋体" w:cs="宋体" w:eastAsia="宋体" w:hint="default"/>
          <w:sz w:val="19"/>
          <w:szCs w:val="19"/>
        </w:rPr>
      </w:pPr>
    </w:p>
    <w:p>
      <w:pPr>
        <w:pStyle w:val="Heading3"/>
        <w:spacing w:line="240" w:lineRule="auto"/>
        <w:ind w:right="1133"/>
        <w:jc w:val="left"/>
        <w:rPr>
          <w:b w:val="0"/>
          <w:bCs w:val="0"/>
        </w:rPr>
      </w:pPr>
      <w:bookmarkStart w:name="53、政府补助" w:id="317"/>
      <w:bookmarkEnd w:id="317"/>
      <w:r>
        <w:rPr>
          <w:b w:val="0"/>
          <w:bCs w:val="0"/>
        </w:rPr>
      </w:r>
      <w:r>
        <w:rPr>
          <w:rFonts w:ascii="Times New Roman" w:hAnsi="Times New Roman" w:cs="Times New Roman" w:eastAsia="Times New Roman" w:hint="default"/>
        </w:rPr>
        <w:t>53</w:t>
      </w:r>
      <w:r>
        <w:rPr/>
        <w:t>、政府补助</w:t>
      </w:r>
      <w:r>
        <w:rPr>
          <w:b w:val="0"/>
          <w:bCs w:val="0"/>
        </w:rPr>
      </w:r>
    </w:p>
    <w:p>
      <w:pPr>
        <w:spacing w:line="240" w:lineRule="auto" w:before="8"/>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政府补助基本情况" w:id="318"/>
      <w:bookmarkEnd w:id="3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11,466,900.00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11,466,900.00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高新企业补贴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2,083,676.00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2,083,676.00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软件产品退税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2,322,847.84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2,322,847.84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其他零星补贴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273,331.50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273,331.50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上市中介费补助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370,900.00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18,517,655.34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18,517,655.34</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八、合并范围的变更" w:id="319"/>
      <w:bookmarkEnd w:id="319"/>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其他原因的合并范围变动" w:id="320"/>
      <w:bookmarkEnd w:id="320"/>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3914" w:hanging="361"/>
        <w:jc w:val="left"/>
      </w:pPr>
      <w:r>
        <w:rPr/>
        <w:t>说明其他原因导致的合并范围变动（如，新设子公司、清算子公司等）及其相关情况： 本报告期合并范围变动如下：</w:t>
      </w:r>
    </w:p>
    <w:tbl>
      <w:tblPr>
        <w:tblW w:w="0" w:type="auto"/>
        <w:jc w:val="left"/>
        <w:tblInd w:w="145" w:type="dxa"/>
        <w:tblLayout w:type="fixed"/>
        <w:tblCellMar>
          <w:top w:w="0" w:type="dxa"/>
          <w:left w:w="0" w:type="dxa"/>
          <w:bottom w:w="0" w:type="dxa"/>
          <w:right w:w="0" w:type="dxa"/>
        </w:tblCellMar>
        <w:tblLook w:val="01E0"/>
      </w:tblPr>
      <w:tblGrid>
        <w:gridCol w:w="1208"/>
        <w:gridCol w:w="3154"/>
        <w:gridCol w:w="1844"/>
        <w:gridCol w:w="2319"/>
      </w:tblGrid>
      <w:tr>
        <w:trPr>
          <w:trHeight w:val="348"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变动情况</w:t>
            </w:r>
          </w:p>
        </w:tc>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9"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18"/>
                <w:szCs w:val="18"/>
              </w:rPr>
            </w:pPr>
            <w:r>
              <w:rPr>
                <w:rFonts w:ascii="Times New Roman"/>
                <w:sz w:val="18"/>
              </w:rPr>
              <w:t>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4" w:right="0"/>
              <w:jc w:val="left"/>
              <w:rPr>
                <w:rFonts w:ascii="宋体" w:hAnsi="宋体" w:cs="宋体" w:eastAsia="宋体" w:hint="default"/>
                <w:sz w:val="18"/>
                <w:szCs w:val="18"/>
              </w:rPr>
            </w:pPr>
            <w:r>
              <w:rPr>
                <w:rFonts w:ascii="宋体" w:hAnsi="宋体" w:cs="宋体" w:eastAsia="宋体" w:hint="default"/>
                <w:sz w:val="18"/>
                <w:szCs w:val="18"/>
              </w:rPr>
              <w:t>西安宇信融汇网络科技有限公司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新设子公司</w:t>
            </w:r>
          </w:p>
        </w:tc>
      </w:tr>
      <w:tr>
        <w:trPr>
          <w:trHeight w:val="346"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18"/>
                <w:szCs w:val="18"/>
              </w:rPr>
            </w:pPr>
            <w:r>
              <w:rPr>
                <w:rFonts w:ascii="Times New Roman"/>
                <w:sz w:val="18"/>
              </w:rPr>
              <w:t>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4" w:right="0"/>
              <w:jc w:val="left"/>
              <w:rPr>
                <w:rFonts w:ascii="宋体" w:hAnsi="宋体" w:cs="宋体" w:eastAsia="宋体" w:hint="default"/>
                <w:sz w:val="18"/>
                <w:szCs w:val="18"/>
              </w:rPr>
            </w:pPr>
            <w:r>
              <w:rPr>
                <w:rFonts w:ascii="宋体" w:hAnsi="宋体" w:cs="宋体" w:eastAsia="宋体" w:hint="default"/>
                <w:sz w:val="18"/>
                <w:szCs w:val="18"/>
              </w:rPr>
              <w:t>宇信鸿泰科技（香港）有限公司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 w:right="0"/>
              <w:jc w:val="center"/>
              <w:rPr>
                <w:rFonts w:ascii="宋体" w:hAnsi="宋体" w:cs="宋体" w:eastAsia="宋体" w:hint="default"/>
                <w:sz w:val="18"/>
                <w:szCs w:val="18"/>
              </w:rPr>
            </w:pPr>
            <w:r>
              <w:rPr>
                <w:rFonts w:ascii="宋体" w:hAnsi="宋体" w:cs="宋体" w:eastAsia="宋体" w:hint="default"/>
                <w:sz w:val="18"/>
                <w:szCs w:val="18"/>
              </w:rPr>
              <w:t>新设子公司</w:t>
            </w:r>
          </w:p>
        </w:tc>
      </w:tr>
      <w:tr>
        <w:trPr>
          <w:trHeight w:val="348"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18"/>
                <w:szCs w:val="18"/>
              </w:rPr>
            </w:pPr>
            <w:r>
              <w:rPr>
                <w:rFonts w:ascii="Times New Roman"/>
                <w:sz w:val="18"/>
              </w:rPr>
              <w:t>YUSYS TECHNOLOGIES PTE.</w:t>
            </w:r>
            <w:r>
              <w:rPr>
                <w:rFonts w:ascii="Times New Roman"/>
                <w:spacing w:val="-10"/>
                <w:sz w:val="18"/>
              </w:rPr>
              <w:t> </w:t>
            </w:r>
            <w:r>
              <w:rPr>
                <w:rFonts w:ascii="Times New Roman"/>
                <w:sz w:val="18"/>
              </w:rPr>
              <w:t>LTD.</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新设子公司</w:t>
            </w:r>
          </w:p>
        </w:tc>
      </w:tr>
      <w:tr>
        <w:trPr>
          <w:trHeight w:val="348"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18"/>
                <w:szCs w:val="18"/>
              </w:rPr>
            </w:pPr>
            <w:r>
              <w:rPr>
                <w:rFonts w:ascii="Times New Roman"/>
                <w:sz w:val="18"/>
              </w:rPr>
              <w:t>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4" w:right="0"/>
              <w:jc w:val="left"/>
              <w:rPr>
                <w:rFonts w:ascii="宋体" w:hAnsi="宋体" w:cs="宋体" w:eastAsia="宋体" w:hint="default"/>
                <w:sz w:val="18"/>
                <w:szCs w:val="18"/>
              </w:rPr>
            </w:pPr>
            <w:r>
              <w:rPr>
                <w:rFonts w:ascii="宋体" w:hAnsi="宋体" w:cs="宋体" w:eastAsia="宋体" w:hint="default"/>
                <w:sz w:val="18"/>
                <w:szCs w:val="18"/>
              </w:rPr>
              <w:t>北京宇信征信有限公司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减少</w:t>
            </w:r>
          </w:p>
        </w:tc>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 w:right="0"/>
              <w:jc w:val="center"/>
              <w:rPr>
                <w:rFonts w:ascii="宋体" w:hAnsi="宋体" w:cs="宋体" w:eastAsia="宋体" w:hint="default"/>
                <w:sz w:val="18"/>
                <w:szCs w:val="18"/>
              </w:rPr>
            </w:pPr>
            <w:r>
              <w:rPr>
                <w:rFonts w:ascii="宋体" w:hAnsi="宋体" w:cs="宋体" w:eastAsia="宋体" w:hint="default"/>
                <w:sz w:val="18"/>
                <w:szCs w:val="18"/>
              </w:rPr>
              <w:t>注销子公司</w:t>
            </w:r>
          </w:p>
        </w:tc>
      </w:tr>
    </w:tbl>
    <w:p>
      <w:pPr>
        <w:pStyle w:val="BodyText"/>
        <w:spacing w:line="237" w:lineRule="exact"/>
        <w:ind w:left="513" w:right="986"/>
        <w:jc w:val="left"/>
        <w:rPr>
          <w:rFonts w:ascii="Times New Roman" w:hAnsi="Times New Roman" w:cs="Times New Roman" w:eastAsia="Times New Roman" w:hint="default"/>
        </w:rPr>
      </w:pPr>
      <w:r>
        <w:rPr/>
        <w:t>本期子公司北京宇信鸿泰信息技术有限公司对北京宇信征信有限公司进行清算，北京宇信征信有限公司于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p>
    <w:p>
      <w:pPr>
        <w:pStyle w:val="BodyText"/>
        <w:spacing w:line="240" w:lineRule="auto" w:before="63"/>
        <w:ind w:right="1133"/>
        <w:jc w:val="left"/>
      </w:pPr>
      <w:r>
        <w:rPr/>
        <w:t>日办理工商注销登记。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133"/>
        <w:jc w:val="left"/>
        <w:rPr>
          <w:b w:val="0"/>
          <w:bCs w:val="0"/>
        </w:rPr>
      </w:pPr>
      <w:bookmarkStart w:name="九、在其他主体中的权益" w:id="321"/>
      <w:bookmarkEnd w:id="321"/>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在子公司中的权益" w:id="322"/>
      <w:bookmarkEnd w:id="32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企业集团的构成" w:id="323"/>
      <w:bookmarkEnd w:id="3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北京宇信鸿泰科 技发展有限公司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北京宇信鸿泰软 件技术有限公司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上海宇信易诚软 件技术有限公司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厦门宇诚科技有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天津宇信易诚科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北京优迪信息技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北京宇信恒升信 息技术股份有限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北京宇信金地科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北京宇信企慧信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北京宇信启融科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北京宇信鸿泰信 息技术有限公司</w:t>
            </w:r>
          </w:p>
          <w:p>
            <w:pPr>
              <w:pStyle w:val="TableParagraph"/>
              <w:spacing w:line="316" w:lineRule="auto" w:before="19"/>
              <w:ind w:left="24" w:right="75"/>
              <w:jc w:val="both"/>
              <w:rPr>
                <w:rFonts w:ascii="宋体" w:hAnsi="宋体" w:cs="宋体" w:eastAsia="宋体" w:hint="default"/>
                <w:sz w:val="18"/>
                <w:szCs w:val="18"/>
              </w:rPr>
            </w:pPr>
            <w:r>
              <w:rPr>
                <w:rFonts w:ascii="宋体" w:hAnsi="宋体" w:cs="宋体" w:eastAsia="宋体" w:hint="default"/>
                <w:sz w:val="18"/>
                <w:szCs w:val="18"/>
              </w:rPr>
              <w:t>（原名：北京宇 信易诚信息技术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湖南宇信鸿泰资 产管理有限责任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北京宇信易初科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广州宇信易诚信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无锡宇信易诚科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无锡宇信易诚培 训有限公司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培训服务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宇信金服科技有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宇信数据科技有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长沙宇信鸿泰信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5"/>
              <w:jc w:val="left"/>
              <w:rPr>
                <w:rFonts w:ascii="宋体" w:hAnsi="宋体" w:cs="宋体" w:eastAsia="宋体" w:hint="default"/>
                <w:sz w:val="18"/>
                <w:szCs w:val="18"/>
              </w:rPr>
            </w:pPr>
            <w:r>
              <w:rPr>
                <w:rFonts w:ascii="宋体" w:hAnsi="宋体" w:cs="宋体" w:eastAsia="宋体" w:hint="default"/>
                <w:sz w:val="18"/>
                <w:szCs w:val="18"/>
              </w:rPr>
              <w:t>珠海宇诚信科技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珠海宇信鸿泰科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珠海宇信易诚科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厦门市宇信鸿泰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珠海数通天下科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西安宇信融汇网 络有限公司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支付云服务平台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宇信鸿泰科技</w:t>
            </w:r>
          </w:p>
          <w:p>
            <w:pPr>
              <w:pStyle w:val="TableParagraph"/>
              <w:spacing w:line="316" w:lineRule="auto" w:before="76"/>
              <w:ind w:left="24" w:right="74"/>
              <w:jc w:val="left"/>
              <w:rPr>
                <w:rFonts w:ascii="宋体" w:hAnsi="宋体" w:cs="宋体" w:eastAsia="宋体" w:hint="default"/>
                <w:sz w:val="18"/>
                <w:szCs w:val="18"/>
              </w:rPr>
            </w:pPr>
            <w:r>
              <w:rPr>
                <w:rFonts w:ascii="宋体" w:hAnsi="宋体" w:cs="宋体" w:eastAsia="宋体" w:hint="default"/>
                <w:sz w:val="18"/>
                <w:szCs w:val="18"/>
              </w:rPr>
              <w:t>（香港）有限公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尚未实际运营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68"/>
              <w:jc w:val="left"/>
              <w:rPr>
                <w:rFonts w:ascii="Times New Roman" w:hAnsi="Times New Roman" w:cs="Times New Roman" w:eastAsia="Times New Roman" w:hint="default"/>
                <w:sz w:val="18"/>
                <w:szCs w:val="18"/>
              </w:rPr>
            </w:pPr>
            <w:r>
              <w:rPr>
                <w:rFonts w:ascii="Times New Roman"/>
                <w:sz w:val="18"/>
              </w:rPr>
              <w:t>YUSYS</w:t>
            </w:r>
            <w:r>
              <w:rPr>
                <w:rFonts w:ascii="Times New Roman"/>
                <w:w w:val="99"/>
                <w:sz w:val="18"/>
              </w:rPr>
              <w:t> </w:t>
            </w:r>
            <w:r>
              <w:rPr>
                <w:rFonts w:ascii="Times New Roman"/>
                <w:sz w:val="18"/>
              </w:rPr>
              <w:t>TECHNOLOGIE</w:t>
            </w:r>
            <w:r>
              <w:rPr>
                <w:rFonts w:ascii="Times New Roman"/>
                <w:w w:val="99"/>
                <w:sz w:val="18"/>
              </w:rPr>
              <w:t> </w:t>
            </w:r>
            <w:r>
              <w:rPr>
                <w:rFonts w:ascii="Times New Roman"/>
                <w:sz w:val="18"/>
              </w:rPr>
              <w:t>S PTE.</w:t>
            </w:r>
            <w:r>
              <w:rPr>
                <w:rFonts w:ascii="Times New Roman"/>
                <w:spacing w:val="1"/>
                <w:sz w:val="18"/>
              </w:rPr>
              <w:t> </w:t>
            </w:r>
            <w:r>
              <w:rPr>
                <w:rFonts w:ascii="Times New Roman"/>
                <w:spacing w:val="-6"/>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尚未实际运营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49"/>
        <w:ind w:right="6974"/>
        <w:jc w:val="left"/>
      </w:pPr>
      <w:r>
        <w:rPr/>
        <w:t>在子公司的持股比例不同于表决权比例的说明： 无。</w:t>
      </w:r>
    </w:p>
    <w:p>
      <w:pPr>
        <w:spacing w:line="240" w:lineRule="auto" w:before="1"/>
        <w:rPr>
          <w:rFonts w:ascii="宋体" w:hAnsi="宋体" w:cs="宋体" w:eastAsia="宋体" w:hint="default"/>
          <w:sz w:val="26"/>
          <w:szCs w:val="26"/>
        </w:rPr>
      </w:pPr>
    </w:p>
    <w:p>
      <w:pPr>
        <w:pStyle w:val="BodyText"/>
        <w:spacing w:line="360" w:lineRule="auto"/>
        <w:ind w:right="2834"/>
        <w:jc w:val="left"/>
      </w:pPr>
      <w:r>
        <w:rPr/>
        <w:t>持有半数或以下表决权但仍控制被投资单位、以及持有半数以上表决权但不控制被投资单位的依据： 无。</w:t>
      </w:r>
    </w:p>
    <w:p>
      <w:pPr>
        <w:pStyle w:val="BodyText"/>
        <w:spacing w:line="357" w:lineRule="auto" w:before="27"/>
        <w:ind w:right="6434"/>
        <w:jc w:val="left"/>
      </w:pPr>
      <w:r>
        <w:rPr/>
        <w:t>对于纳入合并范围的重要的结构化主体，控制的依据： 无。</w:t>
      </w:r>
    </w:p>
    <w:p>
      <w:pPr>
        <w:pStyle w:val="BodyText"/>
        <w:spacing w:line="357" w:lineRule="auto" w:before="29"/>
        <w:ind w:right="7694"/>
        <w:jc w:val="left"/>
      </w:pPr>
      <w:r>
        <w:rPr/>
        <w:t>确定公司是代理人还是委托人的依据： 无。</w:t>
      </w:r>
    </w:p>
    <w:p>
      <w:pPr>
        <w:pStyle w:val="BodyText"/>
        <w:spacing w:line="360" w:lineRule="auto" w:before="29"/>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bookmarkStart w:name="（2）重要的非全资子公司" w:id="324"/>
      <w:bookmarkEnd w:id="32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珠海宇诚信科技有限公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-2,411,439.42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21,414,876.20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-142,568.46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8,320,089.87</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北京宇信鸿泰信息技术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-2,018,258.46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116,833.67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16,175,076.67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北京宇信启融科技有限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265,847.15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2,845,368.31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北京宇信恒升信息技术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-26,360.82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-3,260,690.94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长沙宇信鸿泰信息科技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141,473.68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503,930.36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5,988,019.78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北京宇信企慧信息技术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5,192,644.67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7,208,071.66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宇信金服科技有限公司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201,215.48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-38,751.18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西安宇信融汇网络有限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-2,129,301.82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2,870,698.18</w:t>
            </w:r>
          </w:p>
        </w:tc>
      </w:tr>
    </w:tbl>
    <w:p>
      <w:pPr>
        <w:pStyle w:val="BodyText"/>
        <w:spacing w:line="357" w:lineRule="auto" w:before="49"/>
        <w:ind w:right="6434"/>
        <w:jc w:val="left"/>
      </w:pPr>
      <w:r>
        <w:rPr/>
        <w:t>子公司少数股东的持股比例不同于表决权比例的说明： 无。</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3）重要非全资子公司的主要财务信息" w:id="325"/>
      <w:bookmarkEnd w:id="32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4"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珠海宇 诚信科 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2,214,65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808,373,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212.88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810,587,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866.56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337,492,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754.19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401,712,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191.71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739,204,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945.90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16,463,0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41.33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545,756,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443.75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562,219,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485.08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228,379,</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782.65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254,418,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650.37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482,798,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433.02</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宇信数 据科技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34,444,3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1,592,43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36,036,8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17,695,7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17,695,7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33.41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59,154,4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1,752,52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60,906,9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42,205,0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17.30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42,205,0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17.30</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北京宇 信鸿泰 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62,039,8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10,134,5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72,174,4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14,491,0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14,491,0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71,219,9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10,370,3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81,590,3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19,578,5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90.22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19,578,5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90.22</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北京宇 信启融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18,175,4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18,176,0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3,949,19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3,949,19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18,172,9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65.91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18,173,9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5,276,34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7.42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5,276,34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7.42</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北京宇 信恒升 信息技 术股份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3,847.38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3,949.95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9,320,20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9,320,20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91,058.6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9,332,00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1.83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9,332,00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1.83</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长沙宇 信鸿泰 信息科 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26,253,9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96,748.6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26,350,6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9,643,61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9,643,61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26,005,5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185,604.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26,191,1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8,477,26</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2.99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8,477,26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2.99</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北京宇 信企慧 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23,264,6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08.37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4,827.49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23,269,4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35.86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6,887,45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6,887,45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14,339,9</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95.21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3,746.18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14,343,7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41.39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9,763,22</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5.50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9,763,22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5.50</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宇信金 服科技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14,934,3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1,563,04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16,497,3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5,344,26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5,344,26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23,647,3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23,684,2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13,034,1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59.96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13,034,1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59.96</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西安宇 信融汇 网络有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7,109,26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5,039,39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12,148,6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56.71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2,291,07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6.79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2,291,07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6.79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珠海宇诚信 科技有限公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-8,038,131.40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-8,038,131.40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-2,489,717.19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-6,907,206.75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-6,907,206.75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-1,394,478.20</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宇信数据科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24,664,720.9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-360,876.43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-360,876.43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-4,926,696.80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28,856,569.0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6,053,881.76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6,053,881.76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-6,419,402.37</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北京宇信鸿 泰信息技术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69,377,113.9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-2,731,554.90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-2,731,554.90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1,990,363.38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80,888,262.8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5,530,341.48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5,530,341.48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-2,389,873.51</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北京宇信启 融科技有限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10,396,250.3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1,329,235.81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1,329,235.81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11,429,431.4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12,513,527.7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1,289,115.99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1,289,115.99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-435,043.79</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北京宇信恒 升信息技术 股份有限公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-75,316.63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-75,316.63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-87,108.69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-152,818.49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-152,818.49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-28,632.82</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长沙宇信鸿 泰信息科技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24,384,021.2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392,982.41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392,982.41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3,171,323.38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23,307,307.1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1,555,340.59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1,555,340.59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4,171,143.78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北京宇信企 慧信息技术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33,724,912.1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11,801,465.1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11,801,465.1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2,825,844.85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9,699,536.92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2,236,279.05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2,236,279.05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-1,676,966.93</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5"/>
              <w:jc w:val="left"/>
              <w:rPr>
                <w:rFonts w:ascii="宋体" w:hAnsi="宋体" w:cs="宋体" w:eastAsia="宋体" w:hint="default"/>
                <w:sz w:val="18"/>
                <w:szCs w:val="18"/>
              </w:rPr>
            </w:pPr>
            <w:r>
              <w:rPr>
                <w:rFonts w:ascii="宋体" w:hAnsi="宋体" w:cs="宋体" w:eastAsia="宋体" w:hint="default"/>
                <w:sz w:val="18"/>
                <w:szCs w:val="18"/>
              </w:rPr>
              <w:t>宇信金服科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21,567,876.4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503,038.70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503,038.70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-9,313,262.38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9,244,107.97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-6,846,809.66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-6,846,809.66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-5,351,781.30</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西安宇信融 汇网络有限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12,296,930.1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-7,342,420.08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-7,342,420.08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-9,692,650.72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在子公司的所有者权益份额发生变化且仍控制子公司的交易" w:id="326"/>
      <w:bookmarkEnd w:id="32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在子公司所有者权益份额发生变化的情况说明" w:id="327"/>
      <w:bookmarkEnd w:id="3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00" w:lineRule="auto"/>
        <w:ind w:right="1130"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月北京宇信鸿泰信息技术有限公司以</w:t>
      </w:r>
      <w:r>
        <w:rPr>
          <w:rFonts w:ascii="Times New Roman" w:hAnsi="Times New Roman" w:cs="Times New Roman" w:eastAsia="Times New Roman" w:hint="default"/>
        </w:rPr>
        <w:t>102.67</w:t>
      </w:r>
      <w:r>
        <w:rPr/>
        <w:t>万元收购少数股东持有的湖南宇信鸿泰资产管理有限责任公司</w:t>
      </w:r>
      <w:r>
        <w:rPr>
          <w:rFonts w:ascii="Times New Roman" w:hAnsi="Times New Roman" w:cs="Times New Roman" w:eastAsia="Times New Roman" w:hint="default"/>
        </w:rPr>
        <w:t>33% </w:t>
      </w:r>
      <w:r>
        <w:rPr/>
        <w:t>的股权，收购后持股比例从</w:t>
      </w:r>
      <w:r>
        <w:rPr>
          <w:rFonts w:ascii="Times New Roman" w:hAnsi="Times New Roman" w:cs="Times New Roman" w:eastAsia="Times New Roman" w:hint="default"/>
        </w:rPr>
        <w:t>62%</w:t>
      </w:r>
      <w:r>
        <w:rPr/>
        <w:t>上升到</w:t>
      </w:r>
      <w:r>
        <w:rPr>
          <w:rFonts w:ascii="Times New Roman" w:hAnsi="Times New Roman" w:cs="Times New Roman" w:eastAsia="Times New Roman" w:hint="default"/>
        </w:rPr>
        <w:t>95%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月又以</w:t>
      </w:r>
      <w:r>
        <w:rPr>
          <w:rFonts w:ascii="Times New Roman" w:hAnsi="Times New Roman" w:cs="Times New Roman" w:eastAsia="Times New Roman" w:hint="default"/>
        </w:rPr>
        <w:t>6.22</w:t>
      </w:r>
      <w:r>
        <w:rPr/>
        <w:t>万元收购少数股东</w:t>
      </w:r>
      <w:r>
        <w:rPr>
          <w:rFonts w:ascii="Times New Roman" w:hAnsi="Times New Roman" w:cs="Times New Roman" w:eastAsia="Times New Roman" w:hint="default"/>
        </w:rPr>
        <w:t>2%</w:t>
      </w:r>
      <w:r>
        <w:rPr/>
        <w:t>的股权，收购后持股比例从</w:t>
      </w:r>
      <w:r>
        <w:rPr>
          <w:rFonts w:ascii="Times New Roman" w:hAnsi="Times New Roman" w:cs="Times New Roman" w:eastAsia="Times New Roman" w:hint="default"/>
        </w:rPr>
        <w:t>95%</w:t>
      </w:r>
      <w:r>
        <w:rPr/>
        <w:t>上升</w:t>
      </w:r>
      <w:r>
        <w:rPr>
          <w:spacing w:val="-21"/>
        </w:rPr>
        <w:t> </w:t>
      </w:r>
      <w:r>
        <w:rPr/>
        <w:t>到</w:t>
      </w:r>
      <w:r>
        <w:rPr>
          <w:rFonts w:ascii="Times New Roman" w:hAnsi="Times New Roman" w:cs="Times New Roman" w:eastAsia="Times New Roman" w:hint="default"/>
        </w:rPr>
        <w:t>97%</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3"/>
        <w:spacing w:line="240" w:lineRule="auto"/>
        <w:ind w:right="1133"/>
        <w:jc w:val="left"/>
        <w:rPr>
          <w:b w:val="0"/>
          <w:bCs w:val="0"/>
        </w:rPr>
      </w:pPr>
      <w:bookmarkStart w:name="（2）交易对于少数股东权益及归属于母公司所有者权益的影响" w:id="328"/>
      <w:bookmarkEnd w:id="32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湖南宇信鸿泰资产管理有限责任公司</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1,088,955.00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1,088,955.00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876,219.28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212,735.72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212,735.72</w:t>
            </w:r>
          </w:p>
        </w:tc>
      </w:tr>
    </w:tbl>
    <w:p>
      <w:pPr>
        <w:pStyle w:val="BodyText"/>
        <w:spacing w:line="240" w:lineRule="auto" w:before="49"/>
        <w:ind w:right="1133"/>
        <w:jc w:val="left"/>
      </w:pPr>
      <w:r>
        <w:rPr/>
        <w:t>其他说明</w:t>
      </w:r>
    </w:p>
    <w:p>
      <w:pPr>
        <w:pStyle w:val="BodyText"/>
        <w:spacing w:line="300" w:lineRule="auto" w:before="115"/>
        <w:ind w:right="1136" w:firstLine="288"/>
        <w:jc w:val="left"/>
      </w:pPr>
      <w:r>
        <w:rPr/>
        <w:t>子公司北京宇信鸿泰信息技术有限公司本期收购湖南宇信鸿泰资产管理有限责任公司少数股东</w:t>
      </w:r>
      <w:r>
        <w:rPr>
          <w:rFonts w:ascii="Times New Roman" w:hAnsi="Times New Roman" w:cs="Times New Roman" w:eastAsia="Times New Roman" w:hint="default"/>
        </w:rPr>
        <w:t>35%</w:t>
      </w:r>
      <w:r>
        <w:rPr/>
        <w:t>的股权，股权转让价 格较账面净资产高</w:t>
      </w:r>
      <w:r>
        <w:rPr>
          <w:rFonts w:ascii="Times New Roman" w:hAnsi="Times New Roman" w:cs="Times New Roman" w:eastAsia="Times New Roman" w:hint="default"/>
        </w:rPr>
        <w:t>212,735.72</w:t>
      </w:r>
      <w:r>
        <w:rPr/>
        <w:t>元，影响公司未分配利润金额</w:t>
      </w:r>
      <w:r>
        <w:rPr>
          <w:rFonts w:ascii="Times New Roman" w:hAnsi="Times New Roman" w:cs="Times New Roman" w:eastAsia="Times New Roman" w:hint="default"/>
        </w:rPr>
        <w:t>157,956.27</w:t>
      </w:r>
      <w:r>
        <w:rPr/>
        <w:t>元。</w:t>
      </w:r>
    </w:p>
    <w:p>
      <w:pPr>
        <w:spacing w:line="240" w:lineRule="auto" w:before="5"/>
        <w:rPr>
          <w:rFonts w:ascii="宋体" w:hAnsi="宋体" w:cs="宋体" w:eastAsia="宋体" w:hint="default"/>
          <w:sz w:val="22"/>
          <w:szCs w:val="22"/>
        </w:rPr>
      </w:pPr>
    </w:p>
    <w:p>
      <w:pPr>
        <w:pStyle w:val="Heading3"/>
        <w:spacing w:line="240" w:lineRule="auto"/>
        <w:ind w:right="1133"/>
        <w:jc w:val="left"/>
        <w:rPr>
          <w:b w:val="0"/>
          <w:bCs w:val="0"/>
        </w:rPr>
      </w:pPr>
      <w:bookmarkStart w:name="3、在合营安排或联营企业中的权益" w:id="329"/>
      <w:bookmarkEnd w:id="32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重要的合营企业或联营企业" w:id="330"/>
      <w:bookmarkEnd w:id="3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晋商消费金融股 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其他金融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b/>
          <w:bCs/>
          <w:sz w:val="10"/>
          <w:szCs w:val="10"/>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湖北消费金融股 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其他金融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宇新（厦门）大 数据股权投资基 金合伙企业（有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3" w:right="74"/>
              <w:jc w:val="left"/>
              <w:rPr>
                <w:rFonts w:ascii="宋体" w:hAnsi="宋体" w:cs="宋体" w:eastAsia="宋体" w:hint="default"/>
                <w:sz w:val="18"/>
                <w:szCs w:val="18"/>
              </w:rPr>
            </w:pPr>
            <w:r>
              <w:rPr>
                <w:rFonts w:ascii="宋体" w:hAnsi="宋体" w:cs="宋体" w:eastAsia="宋体" w:hint="default"/>
                <w:sz w:val="18"/>
                <w:szCs w:val="18"/>
              </w:rPr>
              <w:t>福建自由贸易试 验区厦门片区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3" w:right="71"/>
              <w:jc w:val="left"/>
              <w:rPr>
                <w:rFonts w:ascii="宋体" w:hAnsi="宋体" w:cs="宋体" w:eastAsia="宋体" w:hint="default"/>
                <w:sz w:val="18"/>
                <w:szCs w:val="18"/>
              </w:rPr>
            </w:pPr>
            <w:r>
              <w:rPr>
                <w:rFonts w:ascii="宋体" w:hAnsi="宋体" w:cs="宋体" w:eastAsia="宋体" w:hint="default"/>
                <w:sz w:val="18"/>
                <w:szCs w:val="18"/>
              </w:rPr>
              <w:t>福建自由贸易试 验区厦门片区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派衍信息科技</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（苏州）有限公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49"/>
        <w:ind w:right="5894"/>
        <w:jc w:val="left"/>
      </w:pPr>
      <w:r>
        <w:rPr/>
        <w:t>在合营企业或联营企业的持股比例不同于表决权比例的说明： 无。</w:t>
      </w:r>
    </w:p>
    <w:p>
      <w:pPr>
        <w:spacing w:line="240" w:lineRule="auto" w:before="1"/>
        <w:rPr>
          <w:rFonts w:ascii="宋体" w:hAnsi="宋体" w:cs="宋体" w:eastAsia="宋体" w:hint="default"/>
          <w:sz w:val="26"/>
          <w:szCs w:val="26"/>
        </w:rPr>
      </w:pPr>
    </w:p>
    <w:p>
      <w:pPr>
        <w:pStyle w:val="BodyText"/>
        <w:spacing w:line="338" w:lineRule="auto"/>
        <w:ind w:left="441" w:right="1133" w:hanging="289"/>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5"/>
        </w:rPr>
        <w:t> </w:t>
      </w:r>
      <w:r>
        <w:rPr>
          <w:rFonts w:ascii="Times New Roman" w:hAnsi="Times New Roman" w:cs="Times New Roman" w:eastAsia="Times New Roman" w:hint="default"/>
        </w:rPr>
        <w:t>20%</w:t>
      </w:r>
      <w:r>
        <w:rPr/>
        <w:t>或以上表决权但不具有重大影响的依据： </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月出资</w:t>
      </w:r>
      <w:r>
        <w:rPr>
          <w:rFonts w:ascii="Times New Roman" w:hAnsi="Times New Roman" w:cs="Times New Roman" w:eastAsia="Times New Roman" w:hint="default"/>
          <w:spacing w:val="-2"/>
        </w:rPr>
        <w:t>7,560.00</w:t>
      </w:r>
      <w:r>
        <w:rPr>
          <w:spacing w:val="-2"/>
        </w:rPr>
        <w:t>万元认购湖北消费金融股份有限公司</w:t>
      </w:r>
      <w:r>
        <w:rPr>
          <w:rFonts w:ascii="Times New Roman" w:hAnsi="Times New Roman" w:cs="Times New Roman" w:eastAsia="Times New Roman" w:hint="default"/>
          <w:spacing w:val="-2"/>
        </w:rPr>
        <w:t>6,000.00</w:t>
      </w:r>
      <w:r>
        <w:rPr>
          <w:spacing w:val="-2"/>
        </w:rPr>
        <w:t>万股股份，持股比例为</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月，中</w:t>
      </w:r>
    </w:p>
    <w:p>
      <w:pPr>
        <w:pStyle w:val="BodyText"/>
        <w:spacing w:line="217" w:lineRule="exact"/>
        <w:ind w:right="986"/>
        <w:jc w:val="left"/>
      </w:pPr>
      <w:r>
        <w:rPr/>
        <w:t>国银监会湖北监管局核准本公司派出董事翟汉斌的任职资格，公司对湖北消费金融股份有限公司具有重大影响，对其的投资</w:t>
      </w:r>
    </w:p>
    <w:p>
      <w:pPr>
        <w:pStyle w:val="BodyText"/>
        <w:spacing w:line="300" w:lineRule="auto" w:before="76"/>
        <w:ind w:right="1169"/>
        <w:jc w:val="left"/>
      </w:pPr>
      <w:r>
        <w:rPr/>
        <w:t>由可供出售金融资产调整至长期股权投资并按照权益法核算。</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月，本公司以货币</w:t>
      </w:r>
      <w:r>
        <w:rPr>
          <w:rFonts w:ascii="Times New Roman" w:hAnsi="Times New Roman" w:cs="Times New Roman" w:eastAsia="Times New Roman" w:hint="default"/>
        </w:rPr>
        <w:t>9,420</w:t>
      </w:r>
      <w:r>
        <w:rPr/>
        <w:t>万元认购湖北消费金融股份 有限公司</w:t>
      </w:r>
      <w:r>
        <w:rPr>
          <w:rFonts w:ascii="Times New Roman" w:hAnsi="Times New Roman" w:cs="Times New Roman" w:eastAsia="Times New Roman" w:hint="default"/>
        </w:rPr>
        <w:t>6,000</w:t>
      </w:r>
      <w:r>
        <w:rPr/>
        <w:t>万股，折合</w:t>
      </w:r>
      <w:r>
        <w:rPr>
          <w:rFonts w:ascii="Times New Roman" w:hAnsi="Times New Roman" w:cs="Times New Roman" w:eastAsia="Times New Roman" w:hint="default"/>
        </w:rPr>
        <w:t>1.57</w:t>
      </w:r>
      <w:r>
        <w:rPr/>
        <w:t>元人民币</w:t>
      </w:r>
      <w:r>
        <w:rPr>
          <w:rFonts w:ascii="Times New Roman" w:hAnsi="Times New Roman" w:cs="Times New Roman" w:eastAsia="Times New Roman" w:hint="default"/>
        </w:rPr>
        <w:t>/</w:t>
      </w:r>
      <w:r>
        <w:rPr/>
        <w:t>股，对其持股比例不变。</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2）重要联营企业的主要财务信息" w:id="331"/>
      <w:bookmarkEnd w:id="331"/>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50" w:firstLine="28"/>
              <w:jc w:val="both"/>
              <w:rPr>
                <w:rFonts w:ascii="宋体" w:hAnsi="宋体" w:cs="宋体" w:eastAsia="宋体" w:hint="default"/>
                <w:sz w:val="18"/>
                <w:szCs w:val="18"/>
              </w:rPr>
            </w:pPr>
            <w:r>
              <w:rPr>
                <w:rFonts w:ascii="宋体" w:hAnsi="宋体" w:cs="宋体" w:eastAsia="宋体" w:hint="default"/>
                <w:sz w:val="18"/>
                <w:szCs w:val="18"/>
              </w:rPr>
              <w:t>宇新（厦门） 大数据股权投 资基金合伙企 </w:t>
            </w:r>
            <w:r>
              <w:rPr>
                <w:rFonts w:ascii="宋体" w:hAnsi="宋体" w:cs="宋体" w:eastAsia="宋体" w:hint="default"/>
                <w:spacing w:val="-6"/>
                <w:sz w:val="18"/>
                <w:szCs w:val="18"/>
              </w:rPr>
              <w:t>业（有限合伙</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派衍信息科技</w:t>
            </w:r>
          </w:p>
          <w:p>
            <w:pPr>
              <w:pStyle w:val="TableParagraph"/>
              <w:spacing w:line="310" w:lineRule="atLeast" w:before="2"/>
              <w:ind w:left="413" w:right="53" w:hanging="361"/>
              <w:jc w:val="left"/>
              <w:rPr>
                <w:rFonts w:ascii="宋体" w:hAnsi="宋体" w:cs="宋体" w:eastAsia="宋体" w:hint="default"/>
                <w:sz w:val="18"/>
                <w:szCs w:val="18"/>
              </w:rPr>
            </w:pPr>
            <w:r>
              <w:rPr>
                <w:rFonts w:ascii="宋体" w:hAnsi="宋体" w:cs="宋体" w:eastAsia="宋体" w:hint="default"/>
                <w:sz w:val="18"/>
                <w:szCs w:val="18"/>
              </w:rPr>
              <w:t>（苏州）有限 公司</w:t>
            </w:r>
          </w:p>
          <w:p>
            <w:pPr>
              <w:pStyle w:val="TableParagraph"/>
              <w:spacing w:line="14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left"/>
              <w:rPr>
                <w:rFonts w:ascii="宋体" w:hAnsi="宋体" w:cs="宋体" w:eastAsia="宋体" w:hint="default"/>
                <w:sz w:val="18"/>
                <w:szCs w:val="18"/>
              </w:rPr>
            </w:pPr>
            <w:r>
              <w:rPr>
                <w:rFonts w:ascii="宋体" w:hAnsi="宋体" w:cs="宋体" w:eastAsia="宋体" w:hint="default"/>
                <w:sz w:val="18"/>
                <w:szCs w:val="18"/>
              </w:rPr>
              <w:t>晋商消费金融 股份有限公司</w:t>
            </w: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湖北消费金融 股份有限公司</w:t>
            </w: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丝路华创（北 京）有限公司</w:t>
            </w: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晋商消费金融 股份有限公司</w:t>
            </w: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left"/>
              <w:rPr>
                <w:rFonts w:ascii="宋体" w:hAnsi="宋体" w:cs="宋体" w:eastAsia="宋体" w:hint="default"/>
                <w:sz w:val="18"/>
                <w:szCs w:val="18"/>
              </w:rPr>
            </w:pPr>
            <w:r>
              <w:rPr>
                <w:rFonts w:ascii="宋体" w:hAnsi="宋体" w:cs="宋体" w:eastAsia="宋体" w:hint="default"/>
                <w:sz w:val="18"/>
                <w:szCs w:val="18"/>
              </w:rPr>
              <w:t>湖北消费金融 股份有限公司</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475,969,010.22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727,821,474.36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137,209,369.61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27,513,144.71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383,014,372.00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51,165,122.09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608,015,812.55</w:t>
            </w: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6,041,146,379.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8,132,767,174.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50,000,000.00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4,532,886.75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467,080,806.02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6,521,930,175.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6,591,314,175.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9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6,517,115,389.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8,860,588,649.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187,209,369.61</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32,046,031.46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850,095,178.02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6,573,095,298.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07</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7,199,329,988.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15</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9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5,573,052,884.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7,231,108,783.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23,799.22</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2,030,894.92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470,244,612.16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5,654,649,864.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5,761,982,856.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9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262,621,898.38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156,367,111.89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266,666.68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1,192,450.63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289,200,749.96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735,954,643.94</w:t>
            </w: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5,835,674,782.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7,387,475,895.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23,799.22</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2,297,561.60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471,437,062.79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5,943,850,614.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6,497,937,500.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9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715"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1"/>
              <w:jc w:val="left"/>
              <w:rPr>
                <w:rFonts w:ascii="宋体" w:hAnsi="宋体" w:cs="宋体" w:eastAsia="宋体" w:hint="default"/>
                <w:sz w:val="18"/>
                <w:szCs w:val="18"/>
              </w:rPr>
            </w:pPr>
            <w:r>
              <w:rPr>
                <w:rFonts w:ascii="宋体" w:hAnsi="宋体" w:cs="宋体" w:eastAsia="宋体" w:hint="default"/>
                <w:sz w:val="18"/>
                <w:szCs w:val="18"/>
              </w:rPr>
              <w:t>归属于母公司 股东权益</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681,440,606.81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1,473,112,753.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187,185,570.39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29,748,469.86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378,658,115.23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629,244,683.70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701,392,487.30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102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1"/>
              <w:jc w:val="both"/>
              <w:rPr>
                <w:rFonts w:ascii="宋体" w:hAnsi="宋体" w:cs="宋体" w:eastAsia="宋体" w:hint="default"/>
                <w:sz w:val="18"/>
                <w:szCs w:val="18"/>
              </w:rPr>
            </w:pPr>
            <w:r>
              <w:rPr>
                <w:rFonts w:ascii="宋体" w:hAnsi="宋体" w:cs="宋体" w:eastAsia="宋体" w:hint="default"/>
                <w:sz w:val="18"/>
                <w:szCs w:val="18"/>
              </w:rPr>
              <w:t>按持股比例计 算的净资产份 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136,288,121.36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188,072,835.44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99,202,958.10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5,949,693.97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117,384,015.72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125,848,936.73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84,167,098.47</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3,802,340.85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21,584,512.67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-380,207.25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3,802,340.85</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3,802,340.85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21,584,512.67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3,802,340.85</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-380,207.25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both"/>
              <w:rPr>
                <w:rFonts w:ascii="宋体" w:hAnsi="宋体" w:cs="宋体" w:eastAsia="宋体" w:hint="default"/>
                <w:sz w:val="18"/>
                <w:szCs w:val="18"/>
              </w:rPr>
            </w:pPr>
            <w:r>
              <w:rPr>
                <w:rFonts w:ascii="宋体" w:hAnsi="宋体" w:cs="宋体" w:eastAsia="宋体" w:hint="default"/>
                <w:sz w:val="18"/>
                <w:szCs w:val="18"/>
              </w:rPr>
              <w:t>对联营企业权 益投资的账面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136,288,121.36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191,875,176.30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99,202,958.10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27,534,206.64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117,003,808.47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125,848,936.73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87,969,439.32</w:t>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372,055,421.70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1,379,386,731.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188,679.23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89,150,521.92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337,505,365.30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821,750,751.44</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52,219,487.02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110,881,141.42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-3,188,167.61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-12,328,966.82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23,866,148.45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81,971,434.72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103,078,370.68</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52,219,487.02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110,881,141.42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-3,188,167.61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-12,328,966.82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23,866,148.45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81,971,434.72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103,078,370.68</w:t>
            </w:r>
          </w:p>
        </w:tc>
      </w:tr>
      <w:tr>
        <w:trPr>
          <w:trHeight w:val="1027"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both"/>
              <w:rPr>
                <w:rFonts w:ascii="宋体" w:hAnsi="宋体" w:cs="宋体" w:eastAsia="宋体" w:hint="default"/>
                <w:sz w:val="18"/>
                <w:szCs w:val="18"/>
              </w:rPr>
            </w:pPr>
            <w:r>
              <w:rPr>
                <w:rFonts w:ascii="宋体" w:hAnsi="宋体" w:cs="宋体" w:eastAsia="宋体" w:hint="default"/>
                <w:sz w:val="18"/>
                <w:szCs w:val="18"/>
              </w:rPr>
              <w:t>本年度收到的 来自联营企业 的股利</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不重要的合营企业和联营企业的汇总财务信息" w:id="332"/>
      <w:bookmarkEnd w:id="332"/>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2,697,171.57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4,617,560.71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3,589,085.27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248,373.60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3,589,085.27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248,373.60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合营企业或联营企业发生的超额亏损" w:id="333"/>
      <w:bookmarkEnd w:id="333"/>
      <w:r>
        <w:rPr>
          <w:b w:val="0"/>
          <w:bCs w:val="0"/>
        </w:rPr>
      </w: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1"/>
        <w:gridCol w:w="2396"/>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铜根源（北京）信息咨询有限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-2,367,633.20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-1,759,740.05</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-4,127,373.25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上海拍贝信息科技有限公司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-838,035.10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-41,361.69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-879,396.79</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pStyle w:val="Heading2"/>
        <w:spacing w:line="240" w:lineRule="auto" w:before="96"/>
        <w:ind w:right="1133"/>
        <w:jc w:val="left"/>
        <w:rPr>
          <w:b w:val="0"/>
          <w:bCs w:val="0"/>
        </w:rPr>
      </w:pPr>
      <w:bookmarkStart w:name="十、与金融工具相关的风险" w:id="334"/>
      <w:bookmarkEnd w:id="334"/>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本公司在经营过程中面临各种金融风险：信用风险、市场风险和流动性风险。公司董事会全面负责风险管理目标和政策</w:t>
      </w:r>
      <w:r>
        <w:rPr/>
        <w:t> 的确定，并对风险管理目标和政策承担最终责任。</w:t>
      </w:r>
    </w:p>
    <w:p>
      <w:pPr>
        <w:pStyle w:val="BodyText"/>
        <w:spacing w:line="240" w:lineRule="auto" w:before="19"/>
        <w:ind w:left="513" w:right="1133"/>
        <w:jc w:val="left"/>
      </w:pPr>
      <w:r>
        <w:rPr/>
        <w:t>本公司风险管理的总体目标是在不过度影响公司竞争力和应变力的情况下，制定尽可能降低风险的风险管理政策。</w:t>
      </w:r>
    </w:p>
    <w:p>
      <w:pPr>
        <w:spacing w:line="240" w:lineRule="auto" w:before="0"/>
        <w:rPr>
          <w:rFonts w:ascii="宋体" w:hAnsi="宋体" w:cs="宋体" w:eastAsia="宋体" w:hint="default"/>
          <w:sz w:val="18"/>
          <w:szCs w:val="18"/>
        </w:rPr>
      </w:pPr>
    </w:p>
    <w:p>
      <w:pPr>
        <w:pStyle w:val="BodyText"/>
        <w:spacing w:line="316" w:lineRule="auto" w:before="153"/>
        <w:ind w:left="513" w:right="986" w:hanging="361"/>
        <w:jc w:val="left"/>
      </w:pPr>
      <w:r>
        <w:rPr>
          <w:rFonts w:ascii="宋体" w:hAnsi="宋体" w:cs="宋体" w:eastAsia="宋体" w:hint="default"/>
          <w:b/>
          <w:bCs/>
        </w:rPr>
        <w:t>（一）信用风险</w:t>
      </w:r>
      <w:r>
        <w:rPr>
          <w:rFonts w:ascii="宋体" w:hAnsi="宋体" w:cs="宋体" w:eastAsia="宋体" w:hint="default"/>
          <w:b/>
          <w:bCs/>
          <w:w w:val="99"/>
        </w:rPr>
        <w:t> </w:t>
      </w:r>
      <w:r>
        <w:rPr>
          <w:spacing w:val="-4"/>
        </w:rPr>
        <w:t>信用风险是指金融工具的一方不履行义务，造成另一方发生财务损失的风险。本公司主要面临赊销导致的客户信用风险。</w:t>
      </w:r>
    </w:p>
    <w:p>
      <w:pPr>
        <w:pStyle w:val="BodyText"/>
        <w:spacing w:line="316" w:lineRule="auto" w:before="19"/>
        <w:ind w:right="986"/>
        <w:jc w:val="left"/>
      </w:pPr>
      <w:r>
        <w:rPr>
          <w:spacing w:val="-2"/>
        </w:rPr>
        <w:t>在签订新合同之前，本公司会对新客户的信用风险进行评估，包括外部信用评级和在某些情况下的银行资信证明（当此信息</w:t>
      </w:r>
      <w:r>
        <w:rPr>
          <w:spacing w:val="-63"/>
        </w:rPr>
        <w:t> </w:t>
      </w:r>
      <w:r>
        <w:rPr>
          <w:spacing w:val="-63"/>
        </w:rPr>
      </w:r>
      <w:r>
        <w:rPr/>
        <w:t>可获取时）。</w:t>
      </w:r>
    </w:p>
    <w:p>
      <w:pPr>
        <w:pStyle w:val="BodyText"/>
        <w:spacing w:line="309" w:lineRule="auto" w:before="19"/>
        <w:ind w:right="1129" w:firstLine="360"/>
        <w:jc w:val="both"/>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只有在额外批准的前提下，公司才可在未来期间内对其赊销，否则必须要求其提前支付相应款项。</w:t>
      </w:r>
    </w:p>
    <w:p>
      <w:pPr>
        <w:pStyle w:val="BodyText"/>
        <w:spacing w:line="316" w:lineRule="auto" w:before="24"/>
        <w:ind w:left="513" w:right="986" w:hanging="361"/>
        <w:jc w:val="left"/>
      </w:pPr>
      <w:r>
        <w:rPr>
          <w:rFonts w:ascii="宋体" w:hAnsi="宋体" w:cs="宋体" w:eastAsia="宋体" w:hint="default"/>
          <w:b/>
          <w:bCs/>
        </w:rPr>
        <w:t>（二）市场风险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w:t>
      </w:r>
    </w:p>
    <w:p>
      <w:pPr>
        <w:pStyle w:val="BodyText"/>
        <w:spacing w:line="240" w:lineRule="auto" w:before="19"/>
        <w:ind w:right="1133"/>
        <w:jc w:val="left"/>
      </w:pPr>
      <w:r>
        <w:rPr/>
        <w:t>率风险和其他价格风险。</w:t>
      </w:r>
    </w:p>
    <w:p>
      <w:pPr>
        <w:pStyle w:val="BodyText"/>
        <w:spacing w:line="300" w:lineRule="auto" w:before="76"/>
        <w:ind w:left="513" w:right="986"/>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利率风险，是指金融工具的公允价值或未来现金流量因市场利率变动而发生波动的风险。本期本公司无以浮动利率计算</w:t>
      </w:r>
    </w:p>
    <w:p>
      <w:pPr>
        <w:pStyle w:val="BodyText"/>
        <w:spacing w:line="240" w:lineRule="auto" w:before="31"/>
        <w:ind w:right="1133"/>
        <w:jc w:val="left"/>
      </w:pPr>
      <w:r>
        <w:rPr/>
        <w:t>的借款。</w:t>
      </w:r>
    </w:p>
    <w:p>
      <w:pPr>
        <w:pStyle w:val="BodyText"/>
        <w:spacing w:line="300" w:lineRule="auto" w:before="76"/>
        <w:ind w:left="513" w:right="986"/>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316" w:lineRule="auto" w:before="31"/>
        <w:ind w:right="986"/>
        <w:jc w:val="left"/>
      </w:pPr>
      <w:r>
        <w:rPr>
          <w:spacing w:val="-2"/>
        </w:rPr>
        <w:t>币支出相匹配以降低汇率风险。此外，公司还可能签署远期外汇合约或货币互换合约以达到规避汇率风险的目的。于本期及</w:t>
      </w:r>
      <w:r>
        <w:rPr>
          <w:spacing w:val="-66"/>
        </w:rPr>
        <w:t> </w:t>
      </w:r>
      <w:r>
        <w:rPr>
          <w:spacing w:val="-66"/>
        </w:rPr>
      </w:r>
      <w:r>
        <w:rPr/>
        <w:t>上期，本公司未签署任何远期外汇合约或货币互换合约。</w:t>
      </w:r>
    </w:p>
    <w:p>
      <w:pPr>
        <w:pStyle w:val="BodyText"/>
        <w:spacing w:line="319" w:lineRule="auto" w:before="19"/>
        <w:ind w:right="1132" w:firstLine="360"/>
        <w:jc w:val="both"/>
      </w:pPr>
      <w:r>
        <w:rPr>
          <w:spacing w:val="-2"/>
        </w:rPr>
        <w:t>本公司面临的汇率风险主要来源于以美元计价的金融资产和金融负债，外币金融资产和外币金融负债折算成人民币的金</w:t>
      </w:r>
      <w:r>
        <w:rPr/>
        <w:t> 额列示如下：</w:t>
      </w:r>
    </w:p>
    <w:tbl>
      <w:tblPr>
        <w:tblW w:w="0" w:type="auto"/>
        <w:jc w:val="left"/>
        <w:tblInd w:w="148" w:type="dxa"/>
        <w:tblLayout w:type="fixed"/>
        <w:tblCellMar>
          <w:top w:w="0" w:type="dxa"/>
          <w:left w:w="0" w:type="dxa"/>
          <w:bottom w:w="0" w:type="dxa"/>
          <w:right w:w="0" w:type="dxa"/>
        </w:tblCellMar>
        <w:tblLook w:val="01E0"/>
      </w:tblPr>
      <w:tblGrid>
        <w:gridCol w:w="982"/>
        <w:gridCol w:w="1421"/>
        <w:gridCol w:w="1064"/>
        <w:gridCol w:w="1421"/>
        <w:gridCol w:w="1421"/>
        <w:gridCol w:w="794"/>
        <w:gridCol w:w="1421"/>
      </w:tblGrid>
      <w:tr>
        <w:trPr>
          <w:trHeight w:val="343" w:hRule="exact"/>
        </w:trPr>
        <w:tc>
          <w:tcPr>
            <w:tcW w:w="982" w:type="dxa"/>
            <w:vMerge w:val="restart"/>
            <w:tcBorders>
              <w:top w:val="single" w:sz="4" w:space="0" w:color="000000"/>
              <w:left w:val="single" w:sz="4"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905" w:type="dxa"/>
            <w:gridSpan w:val="3"/>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37" w:type="dxa"/>
            <w:gridSpan w:val="3"/>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36" w:hRule="exact"/>
        </w:trPr>
        <w:tc>
          <w:tcPr>
            <w:tcW w:w="982" w:type="dxa"/>
            <w:vMerge/>
            <w:tcBorders>
              <w:left w:val="single" w:sz="4" w:space="0" w:color="000000"/>
              <w:bottom w:val="single" w:sz="6" w:space="0" w:color="000000"/>
              <w:right w:val="single" w:sz="6" w:space="0" w:color="000000"/>
            </w:tcBorders>
            <w:shd w:val="clear" w:color="auto" w:fill="D9D9D9"/>
          </w:tcPr>
          <w:p>
            <w:pP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8" w:hRule="exact"/>
        </w:trPr>
        <w:tc>
          <w:tcPr>
            <w:tcW w:w="9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240"/>
              <w:jc w:val="right"/>
              <w:rPr>
                <w:rFonts w:ascii="宋体" w:hAnsi="宋体" w:cs="宋体" w:eastAsia="宋体" w:hint="default"/>
                <w:sz w:val="18"/>
                <w:szCs w:val="18"/>
              </w:rPr>
            </w:pPr>
            <w:r>
              <w:rPr>
                <w:rFonts w:ascii="宋体" w:hAnsi="宋体" w:cs="宋体" w:eastAsia="宋体" w:hint="default"/>
                <w:sz w:val="18"/>
                <w:szCs w:val="18"/>
              </w:rPr>
              <w:t>银行存款</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32,872,067.80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571.21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32,872,639.01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25,378,685.85</w:t>
            </w:r>
          </w:p>
        </w:tc>
        <w:tc>
          <w:tcPr>
            <w:tcW w:w="794"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25,378,685.85</w:t>
            </w:r>
          </w:p>
        </w:tc>
      </w:tr>
      <w:tr>
        <w:trPr>
          <w:trHeight w:val="338" w:hRule="exact"/>
        </w:trPr>
        <w:tc>
          <w:tcPr>
            <w:tcW w:w="9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300"/>
              <w:jc w:val="righ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32,872,067.80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571.21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32,872,639.01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25,378,685.85</w:t>
            </w:r>
          </w:p>
        </w:tc>
        <w:tc>
          <w:tcPr>
            <w:tcW w:w="794"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25,378,685.85</w:t>
            </w:r>
          </w:p>
        </w:tc>
      </w:tr>
    </w:tbl>
    <w:p>
      <w:pPr>
        <w:pStyle w:val="BodyText"/>
        <w:spacing w:line="300" w:lineRule="auto" w:before="17"/>
        <w:ind w:right="1133" w:firstLine="36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日，在所有其他变量保持不变的情况下，如果人民币对美元升值或贬值</w:t>
      </w:r>
      <w:r>
        <w:rPr>
          <w:rFonts w:ascii="Times New Roman" w:hAnsi="Times New Roman" w:cs="Times New Roman" w:eastAsia="Times New Roman" w:hint="default"/>
        </w:rPr>
        <w:t>5%</w:t>
      </w:r>
      <w:r>
        <w:rPr/>
        <w:t>，则公司将增加或减少净利 润</w:t>
      </w:r>
      <w:r>
        <w:rPr>
          <w:rFonts w:ascii="Times New Roman" w:hAnsi="Times New Roman" w:cs="Times New Roman" w:eastAsia="Times New Roman" w:hint="default"/>
        </w:rPr>
        <w:t>1,643,603.39</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1,268,934.29</w:t>
      </w:r>
      <w:r>
        <w:rPr/>
        <w:t>元）。管理层认为</w:t>
      </w:r>
      <w:r>
        <w:rPr>
          <w:rFonts w:ascii="Times New Roman" w:hAnsi="Times New Roman" w:cs="Times New Roman" w:eastAsia="Times New Roman" w:hint="default"/>
        </w:rPr>
        <w:t>5%</w:t>
      </w:r>
      <w:r>
        <w:rPr/>
        <w:t>合理反映了下一年度人民币对美元可能发生变动的</w:t>
      </w:r>
      <w:r>
        <w:rPr>
          <w:spacing w:val="-71"/>
        </w:rPr>
        <w:t> </w:t>
      </w:r>
      <w:r>
        <w:rPr>
          <w:spacing w:val="-71"/>
        </w:rPr>
      </w:r>
      <w:r>
        <w:rPr/>
        <w:t>合理范围。</w:t>
      </w:r>
    </w:p>
    <w:p>
      <w:pPr>
        <w:pStyle w:val="BodyText"/>
        <w:spacing w:line="300" w:lineRule="auto" w:before="31"/>
        <w:ind w:left="801" w:right="7405" w:hanging="288"/>
        <w:jc w:val="left"/>
      </w:pPr>
      <w:r>
        <w:rPr/>
        <w:t>（</w:t>
      </w:r>
      <w:r>
        <w:rPr>
          <w:rFonts w:ascii="Times New Roman" w:hAnsi="Times New Roman" w:cs="Times New Roman" w:eastAsia="Times New Roman" w:hint="default"/>
        </w:rPr>
        <w:t>3</w:t>
      </w:r>
      <w:r>
        <w:rPr/>
        <w:t>）其他价格风险 本公司持有的权益投资列示如下：</w:t>
      </w:r>
    </w:p>
    <w:p>
      <w:pPr>
        <w:pStyle w:val="BodyText"/>
        <w:spacing w:line="240" w:lineRule="auto" w:before="31"/>
        <w:ind w:left="0" w:right="2213"/>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5385"/>
        <w:gridCol w:w="1620"/>
        <w:gridCol w:w="1520"/>
      </w:tblGrid>
      <w:tr>
        <w:trPr>
          <w:trHeight w:val="339" w:hRule="exact"/>
        </w:trPr>
        <w:tc>
          <w:tcPr>
            <w:tcW w:w="5385" w:type="dxa"/>
            <w:tcBorders>
              <w:top w:val="single" w:sz="4"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20"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3" w:hRule="exact"/>
        </w:trPr>
        <w:tc>
          <w:tcPr>
            <w:tcW w:w="5385" w:type="dxa"/>
            <w:tcBorders>
              <w:top w:val="single" w:sz="10" w:space="0" w:color="000000"/>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7,283,068.49</w:t>
            </w:r>
          </w:p>
        </w:tc>
        <w:tc>
          <w:tcPr>
            <w:tcW w:w="1520" w:type="dxa"/>
            <w:tcBorders>
              <w:top w:val="single" w:sz="10" w:space="0" w:color="000000"/>
              <w:left w:val="single" w:sz="6" w:space="0" w:color="000000"/>
              <w:bottom w:val="single" w:sz="6" w:space="0" w:color="000000"/>
              <w:right w:val="single" w:sz="6" w:space="0" w:color="000000"/>
            </w:tcBorders>
          </w:tcPr>
          <w:p>
            <w:pPr/>
          </w:p>
        </w:tc>
      </w:tr>
      <w:tr>
        <w:trPr>
          <w:trHeight w:val="346" w:hRule="exact"/>
        </w:trPr>
        <w:tc>
          <w:tcPr>
            <w:tcW w:w="5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6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14,888,888.89</w:t>
            </w:r>
          </w:p>
        </w:tc>
      </w:tr>
      <w:tr>
        <w:trPr>
          <w:trHeight w:val="346" w:hRule="exact"/>
        </w:trPr>
        <w:tc>
          <w:tcPr>
            <w:tcW w:w="5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5,142,444.49</w:t>
            </w:r>
          </w:p>
        </w:tc>
        <w:tc>
          <w:tcPr>
            <w:tcW w:w="15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129,280,609.22</w:t>
            </w:r>
          </w:p>
        </w:tc>
        <w:tc>
          <w:tcPr>
            <w:tcW w:w="15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141,706,122.20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14,888,888.89</w:t>
            </w:r>
          </w:p>
        </w:tc>
      </w:tr>
    </w:tbl>
    <w:p>
      <w:pPr>
        <w:pStyle w:val="Heading4"/>
        <w:spacing w:line="240" w:lineRule="auto" w:before="8"/>
        <w:ind w:left="152" w:right="1133"/>
        <w:jc w:val="left"/>
        <w:rPr>
          <w:b w:val="0"/>
          <w:bCs w:val="0"/>
        </w:rPr>
      </w:pPr>
      <w:r>
        <w:rPr/>
        <w:t>（三）流动性风险</w:t>
      </w:r>
      <w:r>
        <w:rPr>
          <w:b w:val="0"/>
          <w:bCs w:val="0"/>
        </w:rPr>
      </w:r>
    </w:p>
    <w:p>
      <w:pPr>
        <w:spacing w:after="0" w:line="240" w:lineRule="auto"/>
        <w:jc w:val="left"/>
        <w:sectPr>
          <w:pgSz w:w="11910" w:h="16840"/>
          <w:pgMar w:header="852" w:footer="980" w:top="1300" w:bottom="1160" w:left="980" w:right="0"/>
        </w:sectPr>
      </w:pPr>
    </w:p>
    <w:p>
      <w:pPr>
        <w:pStyle w:val="BodyText"/>
        <w:spacing w:line="319" w:lineRule="auto" w:before="142"/>
        <w:ind w:left="212" w:right="1130" w:firstLine="360"/>
        <w:jc w:val="both"/>
      </w:pPr>
      <w:r>
        <w:rPr>
          <w:spacing w:val="-2"/>
        </w:rPr>
        <w:t>流动性风险，是指企业在履行以交付现金或其他金融资产的方式结算的义务时发生资金短缺的风险。本公司的政策是确</w:t>
      </w:r>
      <w:r>
        <w:rPr/>
        <w:t> </w:t>
      </w:r>
      <w:r>
        <w:rPr>
          <w:spacing w:val="-2"/>
        </w:rPr>
        <w:t>保拥有充足的现金以偿还到期债务。流动性风险由本公司的财务部门集中控制。财务部门通过监控现金余额、可随时变现的</w:t>
      </w:r>
      <w:r>
        <w:rPr>
          <w:spacing w:val="-63"/>
        </w:rPr>
        <w:t> </w:t>
      </w:r>
      <w:r>
        <w:rPr>
          <w:spacing w:val="-63"/>
        </w:rPr>
      </w:r>
      <w:r>
        <w:rPr/>
        <w:t>有价证券以及对未来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pStyle w:val="BodyText"/>
        <w:spacing w:line="233" w:lineRule="exact"/>
        <w:ind w:left="573" w:right="2028"/>
        <w:jc w:val="left"/>
      </w:pPr>
      <w:r>
        <w:rPr/>
        <w:t>本公司各项金融负债以未折现的合同现金流量按到期日列示如下：</w:t>
      </w:r>
    </w:p>
    <w:p>
      <w:pPr>
        <w:pStyle w:val="BodyText"/>
        <w:spacing w:line="240" w:lineRule="auto" w:before="76"/>
        <w:ind w:left="0" w:right="2304"/>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428"/>
        <w:gridCol w:w="1904"/>
        <w:gridCol w:w="1694"/>
        <w:gridCol w:w="1594"/>
        <w:gridCol w:w="1904"/>
      </w:tblGrid>
      <w:tr>
        <w:trPr>
          <w:trHeight w:val="322" w:hRule="exact"/>
        </w:trPr>
        <w:tc>
          <w:tcPr>
            <w:tcW w:w="14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96"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428" w:type="dxa"/>
            <w:vMerge/>
            <w:tcBorders>
              <w:left w:val="single" w:sz="4" w:space="0" w:color="000000"/>
              <w:bottom w:val="single" w:sz="4" w:space="0" w:color="000000"/>
              <w:right w:val="single" w:sz="4" w:space="0" w:color="000000"/>
            </w:tcBorders>
            <w:shd w:val="clear" w:color="auto" w:fill="D9D9D9"/>
          </w:tcPr>
          <w:p>
            <w:pPr/>
          </w:p>
        </w:tc>
        <w:tc>
          <w:tcPr>
            <w:tcW w:w="19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9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729,061,655.83</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729,061,655.83</w:t>
            </w:r>
          </w:p>
        </w:tc>
      </w:tr>
      <w:tr>
        <w:trPr>
          <w:trHeight w:val="32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19,062,510.00</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19,062,510.00</w:t>
            </w: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184,903,206.51</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184,903,206.51</w:t>
            </w: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26,857,877.75</w:t>
            </w:r>
          </w:p>
        </w:tc>
        <w:tc>
          <w:tcPr>
            <w:tcW w:w="16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26,857,877.75</w:t>
            </w: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100,000,008.00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362,823,303.71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6" w:right="0"/>
              <w:jc w:val="left"/>
              <w:rPr>
                <w:rFonts w:ascii="Times New Roman" w:hAnsi="Times New Roman" w:cs="Times New Roman" w:eastAsia="Times New Roman" w:hint="default"/>
                <w:sz w:val="18"/>
                <w:szCs w:val="18"/>
              </w:rPr>
            </w:pPr>
            <w:r>
              <w:rPr>
                <w:rFonts w:ascii="Times New Roman"/>
                <w:sz w:val="18"/>
              </w:rPr>
              <w:t>38,888,888.00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501,712,199.71</w:t>
            </w:r>
          </w:p>
        </w:tc>
      </w:tr>
      <w:tr>
        <w:trPr>
          <w:trHeight w:val="32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1,059,885,258.09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362,823,303.71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Times New Roman" w:hAnsi="Times New Roman" w:cs="Times New Roman" w:eastAsia="Times New Roman" w:hint="default"/>
                <w:sz w:val="18"/>
                <w:szCs w:val="18"/>
              </w:rPr>
            </w:pPr>
            <w:r>
              <w:rPr>
                <w:rFonts w:ascii="Times New Roman"/>
                <w:sz w:val="18"/>
              </w:rPr>
              <w:t>38,888,888.00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1,461,597,449.80</w:t>
            </w:r>
          </w:p>
        </w:tc>
      </w:tr>
    </w:tbl>
    <w:p>
      <w:pPr>
        <w:pStyle w:val="BodyText"/>
        <w:spacing w:line="240" w:lineRule="auto" w:before="8"/>
        <w:ind w:left="0" w:right="2304"/>
        <w:jc w:val="right"/>
      </w:pPr>
      <w:r>
        <w:rPr/>
        <w:t>单位：</w:t>
      </w:r>
      <w:r>
        <w:rPr>
          <w:spacing w:val="1"/>
        </w:rPr>
        <w:t> </w:t>
      </w:r>
      <w:r>
        <w:rPr/>
        <w:t>元</w:t>
      </w:r>
    </w:p>
    <w:p>
      <w:pPr>
        <w:spacing w:line="240" w:lineRule="auto" w:before="2"/>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860"/>
        <w:gridCol w:w="1637"/>
        <w:gridCol w:w="1534"/>
        <w:gridCol w:w="1635"/>
        <w:gridCol w:w="1858"/>
      </w:tblGrid>
      <w:tr>
        <w:trPr>
          <w:trHeight w:val="323" w:hRule="exact"/>
        </w:trPr>
        <w:tc>
          <w:tcPr>
            <w:tcW w:w="186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66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22" w:hRule="exact"/>
        </w:trPr>
        <w:tc>
          <w:tcPr>
            <w:tcW w:w="1860" w:type="dxa"/>
            <w:vMerge/>
            <w:tcBorders>
              <w:left w:val="single" w:sz="4" w:space="0" w:color="000000"/>
              <w:bottom w:val="single" w:sz="4" w:space="0" w:color="000000"/>
              <w:right w:val="single" w:sz="4" w:space="0" w:color="000000"/>
            </w:tcBorders>
            <w:shd w:val="clear" w:color="auto" w:fill="D9D9D9"/>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508,583,632.42</w:t>
            </w:r>
          </w:p>
        </w:tc>
        <w:tc>
          <w:tcPr>
            <w:tcW w:w="15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508,583,632.42</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215,635,634.65</w:t>
            </w:r>
          </w:p>
        </w:tc>
        <w:tc>
          <w:tcPr>
            <w:tcW w:w="15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215,635,634.65</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30,166,324.71</w:t>
            </w:r>
          </w:p>
        </w:tc>
        <w:tc>
          <w:tcPr>
            <w:tcW w:w="15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30,166,324.71</w:t>
            </w:r>
          </w:p>
        </w:tc>
      </w:tr>
      <w:tr>
        <w:trPr>
          <w:trHeight w:val="32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15,850,818.26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254,418,650.37</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270,269,468.63</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754,385,591.78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15,850,818.26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254,418,650.37</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1,024,655,060.41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left="212" w:right="2028"/>
        <w:jc w:val="left"/>
        <w:rPr>
          <w:b w:val="0"/>
          <w:bCs w:val="0"/>
        </w:rPr>
      </w:pPr>
      <w:bookmarkStart w:name="十一、公允价值的披露" w:id="335"/>
      <w:bookmarkEnd w:id="335"/>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2" w:right="2028"/>
        <w:jc w:val="left"/>
        <w:rPr>
          <w:b w:val="0"/>
          <w:bCs w:val="0"/>
        </w:rPr>
      </w:pPr>
      <w:bookmarkStart w:name="1、以公允价值计量的资产和负债的期末公允价值" w:id="336"/>
      <w:bookmarkEnd w:id="33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984"/>
        <w:gridCol w:w="1847"/>
        <w:gridCol w:w="1913"/>
        <w:gridCol w:w="1913"/>
        <w:gridCol w:w="1916"/>
      </w:tblGrid>
      <w:tr>
        <w:trPr>
          <w:trHeight w:val="401"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7,283,068.49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7,283,068.49</w:t>
            </w:r>
          </w:p>
        </w:tc>
      </w:tr>
      <w:tr>
        <w:trPr>
          <w:trHeight w:val="102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7,283,068.49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7,283,068.49</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7,283,068.49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7,283,068.49</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129,280,609.22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129,280,609.22</w:t>
            </w: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pacing w:val="-4"/>
                <w:sz w:val="18"/>
                <w:szCs w:val="18"/>
              </w:rPr>
              <w:t>（六）其他非流动金融资</w:t>
            </w:r>
            <w:r>
              <w:rPr>
                <w:rFonts w:ascii="宋体" w:hAnsi="宋体" w:cs="宋体" w:eastAsia="宋体" w:hint="default"/>
                <w:sz w:val="18"/>
                <w:szCs w:val="18"/>
              </w:rPr>
              <w:t> 产</w:t>
            </w:r>
          </w:p>
        </w:tc>
        <w:tc>
          <w:tcPr>
            <w:tcW w:w="184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5,142,444.49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5,142,444.49</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2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102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5,142,444.49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5,142,444.49</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5,142,444.49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5,142,444.49</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141,706,122.20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141,706,122.20</w:t>
            </w:r>
          </w:p>
        </w:tc>
      </w:tr>
      <w:tr>
        <w:trPr>
          <w:trHeight w:val="16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95" w:type="dxa"/>
            <w:vMerge/>
            <w:tcBorders>
              <w:left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持续和非持续第一层次公允价值计量项目市价的确定依据" w:id="337"/>
      <w:bookmarkEnd w:id="33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13" w:right="986"/>
        <w:jc w:val="left"/>
      </w:pPr>
      <w:r>
        <w:rPr/>
        <w:t>对于存在活跃市场的交易性金融资产等</w:t>
      </w:r>
      <w:r>
        <w:rPr>
          <w:spacing w:val="-82"/>
        </w:rPr>
        <w:t>，</w:t>
      </w:r>
      <w:r>
        <w:rPr/>
        <w:t>其公允价值是按资产负债表日前最后一个交易日活跃市场的收盘价作为公允价</w:t>
      </w:r>
    </w:p>
    <w:p>
      <w:pPr>
        <w:pStyle w:val="BodyText"/>
        <w:spacing w:line="240" w:lineRule="auto" w:before="76"/>
        <w:ind w:right="1133"/>
        <w:jc w:val="left"/>
      </w:pPr>
      <w:r>
        <w:rPr/>
        <w:t>值。</w:t>
      </w:r>
    </w:p>
    <w:p>
      <w:pPr>
        <w:spacing w:line="240" w:lineRule="auto" w:before="8"/>
        <w:rPr>
          <w:rFonts w:ascii="宋体" w:hAnsi="宋体" w:cs="宋体" w:eastAsia="宋体" w:hint="default"/>
          <w:sz w:val="11"/>
          <w:szCs w:val="11"/>
        </w:rPr>
      </w:pPr>
    </w:p>
    <w:p>
      <w:pPr>
        <w:pStyle w:val="BodyText"/>
        <w:spacing w:line="240" w:lineRule="auto" w:before="44"/>
        <w:ind w:left="513" w:right="1133"/>
        <w:jc w:val="left"/>
      </w:pPr>
      <w:r>
        <w:rPr/>
        <w:t>本公司本报告期无上述交易性金融资产。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bookmarkStart w:name="3、持续和非持续第二层次公允价值计量项目，采用的估值技术和重要参数的定性及定量信" w:id="338"/>
      <w:bookmarkEnd w:id="33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2" w:firstLine="360"/>
        <w:jc w:val="both"/>
      </w:pPr>
      <w:r>
        <w:rPr>
          <w:spacing w:val="-2"/>
        </w:rPr>
        <w:t>交易性金融资产和其他债权投资中的债券投资的公允价值是采用相关债券登记结算机构估值系统的报价。相关报价机构</w:t>
      </w:r>
      <w:r>
        <w:rPr/>
        <w:t> 在形成报价过程中采用了反映市场状况的可观察输入值。</w:t>
      </w:r>
    </w:p>
    <w:p>
      <w:pPr>
        <w:pStyle w:val="BodyText"/>
        <w:spacing w:line="316" w:lineRule="auto" w:before="17"/>
        <w:ind w:right="1132" w:firstLine="360"/>
        <w:jc w:val="both"/>
      </w:pPr>
      <w:r>
        <w:rPr>
          <w:spacing w:val="-2"/>
        </w:rPr>
        <w:t>交易性金融资产及其他权益工具投资中不存在公开市场的权益工具投资及资产管理计划与信托计划投资，如管理人定期</w:t>
      </w:r>
      <w:r>
        <w:rPr/>
        <w:t> </w:t>
      </w:r>
      <w:r>
        <w:rPr>
          <w:spacing w:val="-2"/>
        </w:rPr>
        <w:t>对相应结构化主体的净值进行报价，则其公允价值以未来现金流折现的方法确定。所采用的折现率取自报告期末相关的可观</w:t>
      </w:r>
      <w:r>
        <w:rPr>
          <w:spacing w:val="-64"/>
        </w:rPr>
        <w:t> </w:t>
      </w:r>
      <w:r>
        <w:rPr>
          <w:spacing w:val="-64"/>
        </w:rPr>
      </w:r>
      <w:r>
        <w:rPr/>
        <w:t>察收益率曲线。</w:t>
      </w:r>
    </w:p>
    <w:p>
      <w:pPr>
        <w:pStyle w:val="BodyText"/>
        <w:spacing w:line="240" w:lineRule="auto" w:before="19"/>
        <w:ind w:left="513" w:right="1133"/>
        <w:jc w:val="left"/>
      </w:pPr>
      <w:r>
        <w:rPr/>
        <w:t>本公司本报告期无上述交易性金融资产、债权投资和管理人定期报价的其他权益工具。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33"/>
        <w:jc w:val="left"/>
        <w:rPr>
          <w:b w:val="0"/>
          <w:bCs w:val="0"/>
        </w:rPr>
      </w:pPr>
      <w:bookmarkStart w:name="4、持续和非持续第三层次公允价值计量项目，采用的估值技术和重要参数的定性及定量信" w:id="339"/>
      <w:bookmarkEnd w:id="33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9" w:firstLine="360"/>
        <w:jc w:val="both"/>
      </w:pPr>
      <w:r>
        <w:rPr>
          <w:rFonts w:ascii="Times New Roman" w:hAnsi="Times New Roman" w:cs="Times New Roman" w:eastAsia="Times New Roman" w:hint="default"/>
        </w:rPr>
        <w:t>1</w:t>
      </w:r>
      <w:r>
        <w:rPr/>
        <w:t>、本公司的交易性金融资产主要为银行结构性存款和理财产品，公司根据产品本金和预期收益率计算预期收益后折现 计算其公允价值。</w:t>
      </w:r>
    </w:p>
    <w:p>
      <w:pPr>
        <w:pStyle w:val="BodyText"/>
        <w:spacing w:line="300" w:lineRule="auto" w:before="152"/>
        <w:ind w:right="1139" w:firstLine="360"/>
        <w:jc w:val="both"/>
      </w:pPr>
      <w:r>
        <w:rPr>
          <w:rFonts w:ascii="Times New Roman" w:hAnsi="Times New Roman" w:cs="Times New Roman" w:eastAsia="Times New Roman" w:hint="default"/>
        </w:rPr>
        <w:t>2</w:t>
      </w:r>
      <w:r>
        <w:rPr/>
        <w:t>、其他权益工具投资采用非可观察的市场数据作为估值技术中的主要输入变量来计算其公允价值，其中对北京乙丙融 信息技术有限公司的投资采用估值技术中的收益法，根据未来</w:t>
      </w:r>
      <w:r>
        <w:rPr>
          <w:rFonts w:ascii="Times New Roman" w:hAnsi="Times New Roman" w:cs="Times New Roman" w:eastAsia="Times New Roman" w:hint="default"/>
        </w:rPr>
        <w:t>5</w:t>
      </w:r>
      <w:r>
        <w:rPr/>
        <w:t>年的经营活动成果和现金流与行业风险报酬率折现计算其公 允价值；</w:t>
      </w:r>
    </w:p>
    <w:p>
      <w:pPr>
        <w:pStyle w:val="BodyText"/>
        <w:spacing w:line="309" w:lineRule="auto" w:before="151"/>
        <w:ind w:right="1044" w:firstLine="360"/>
        <w:jc w:val="both"/>
      </w:pPr>
      <w:r>
        <w:rPr>
          <w:rFonts w:ascii="Times New Roman" w:hAnsi="Times New Roman" w:cs="Times New Roman" w:eastAsia="Times New Roman" w:hint="default"/>
        </w:rPr>
        <w:t>3</w:t>
      </w:r>
      <w:r>
        <w:rPr/>
        <w:t>、其他非流动金融资产资采用非可观察的市场数据作为估值技术中的主要输入变量来计算其公允价值，由于北京京北 </w:t>
      </w:r>
      <w:r>
        <w:rPr>
          <w:spacing w:val="-2"/>
        </w:rPr>
        <w:t>阳光投资中心（有限合伙）主要业务为风险投资，对北京京北阳光投资中心（有限合伙）采用估值技术中的市场法，根据北</w:t>
      </w:r>
      <w:r>
        <w:rPr>
          <w:spacing w:val="-68"/>
        </w:rPr>
        <w:t> </w:t>
      </w:r>
      <w:r>
        <w:rPr>
          <w:spacing w:val="-68"/>
        </w:rPr>
      </w:r>
      <w:r>
        <w:rPr>
          <w:spacing w:val="-4"/>
        </w:rPr>
        <w:t>京京北阳光投资中心（有限合伙）对外投资的市场估值来计算所持有的北京京北阳光投资中心（有限合伙）股权的公允价值。</w:t>
      </w:r>
    </w:p>
    <w:p>
      <w:pPr>
        <w:spacing w:after="0" w:line="309" w:lineRule="auto"/>
        <w:jc w:val="both"/>
        <w:sectPr>
          <w:pgSz w:w="11910" w:h="16840"/>
          <w:pgMar w:header="852" w:footer="980" w:top="13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3"/>
        <w:spacing w:line="240" w:lineRule="auto" w:before="36"/>
        <w:ind w:left="212" w:right="1233"/>
        <w:jc w:val="left"/>
        <w:rPr>
          <w:b w:val="0"/>
          <w:bCs w:val="0"/>
        </w:rPr>
      </w:pPr>
      <w:bookmarkStart w:name="5、持续的第三层次公允价值计量项目，期初与期末账面价值间的调节信息及不可观察参数" w:id="340"/>
      <w:bookmarkEnd w:id="34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8"/>
          <w:szCs w:val="28"/>
        </w:rPr>
      </w:pPr>
    </w:p>
    <w:p>
      <w:pPr>
        <w:pStyle w:val="BodyText"/>
        <w:spacing w:line="240" w:lineRule="auto"/>
        <w:ind w:left="212" w:right="2028"/>
        <w:jc w:val="left"/>
      </w:pPr>
      <w:r>
        <w:rPr/>
        <w:pict>
          <v:shape style="position:absolute;margin-left:51pt;margin-top:17.111731pt;width:544.8pt;height:572.2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9"/>
                    <w:gridCol w:w="1057"/>
                    <w:gridCol w:w="578"/>
                    <w:gridCol w:w="624"/>
                    <w:gridCol w:w="1052"/>
                    <w:gridCol w:w="1298"/>
                    <w:gridCol w:w="1234"/>
                    <w:gridCol w:w="708"/>
                    <w:gridCol w:w="850"/>
                    <w:gridCol w:w="992"/>
                  </w:tblGrid>
                  <w:tr>
                    <w:trPr>
                      <w:trHeight w:val="322" w:hRule="exact"/>
                    </w:trPr>
                    <w:tc>
                      <w:tcPr>
                        <w:tcW w:w="248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5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57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转入 第三 层次</w:t>
                        </w:r>
                      </w:p>
                    </w:tc>
                    <w:tc>
                      <w:tcPr>
                        <w:tcW w:w="62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27" w:right="125"/>
                          <w:jc w:val="both"/>
                          <w:rPr>
                            <w:rFonts w:ascii="宋体" w:hAnsi="宋体" w:cs="宋体" w:eastAsia="宋体" w:hint="default"/>
                            <w:sz w:val="18"/>
                            <w:szCs w:val="18"/>
                          </w:rPr>
                        </w:pPr>
                        <w:r>
                          <w:rPr>
                            <w:rFonts w:ascii="宋体" w:hAnsi="宋体" w:cs="宋体" w:eastAsia="宋体" w:hint="default"/>
                            <w:sz w:val="18"/>
                            <w:szCs w:val="18"/>
                          </w:rPr>
                          <w:t>转出 第三 层次</w:t>
                        </w:r>
                      </w:p>
                    </w:tc>
                    <w:tc>
                      <w:tcPr>
                        <w:tcW w:w="23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59" w:right="0"/>
                          <w:jc w:val="left"/>
                          <w:rPr>
                            <w:rFonts w:ascii="宋体" w:hAnsi="宋体" w:cs="宋体" w:eastAsia="宋体" w:hint="default"/>
                            <w:sz w:val="18"/>
                            <w:szCs w:val="18"/>
                          </w:rPr>
                        </w:pPr>
                        <w:r>
                          <w:rPr>
                            <w:rFonts w:ascii="宋体" w:hAnsi="宋体" w:cs="宋体" w:eastAsia="宋体" w:hint="default"/>
                            <w:sz w:val="18"/>
                            <w:szCs w:val="18"/>
                          </w:rPr>
                          <w:t>当期利得或损失总额</w:t>
                        </w:r>
                      </w:p>
                    </w:tc>
                    <w:tc>
                      <w:tcPr>
                        <w:tcW w:w="3783" w:type="dxa"/>
                        <w:gridSpan w:val="4"/>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auto" w:before="8"/>
                          <w:ind w:left="967" w:right="0"/>
                          <w:jc w:val="left"/>
                          <w:rPr>
                            <w:rFonts w:ascii="宋体" w:hAnsi="宋体" w:cs="宋体" w:eastAsia="宋体" w:hint="default"/>
                            <w:sz w:val="18"/>
                            <w:szCs w:val="18"/>
                          </w:rPr>
                        </w:pPr>
                        <w:r>
                          <w:rPr>
                            <w:rFonts w:ascii="宋体" w:hAnsi="宋体" w:cs="宋体" w:eastAsia="宋体" w:hint="default"/>
                            <w:sz w:val="18"/>
                            <w:szCs w:val="18"/>
                          </w:rPr>
                          <w:t>购买、发行、出售和结算</w:t>
                        </w:r>
                      </w:p>
                    </w:tc>
                  </w:tr>
                  <w:tr>
                    <w:trPr>
                      <w:trHeight w:val="1248" w:hRule="exact"/>
                    </w:trPr>
                    <w:tc>
                      <w:tcPr>
                        <w:tcW w:w="2489" w:type="dxa"/>
                        <w:vMerge/>
                        <w:tcBorders>
                          <w:left w:val="single" w:sz="4" w:space="0" w:color="000000"/>
                          <w:bottom w:val="single" w:sz="4" w:space="0" w:color="000000"/>
                          <w:right w:val="single" w:sz="4" w:space="0" w:color="000000"/>
                        </w:tcBorders>
                        <w:shd w:val="clear" w:color="auto" w:fill="D9D9D9"/>
                      </w:tcPr>
                      <w:p>
                        <w:pPr/>
                      </w:p>
                    </w:tc>
                    <w:tc>
                      <w:tcPr>
                        <w:tcW w:w="1057" w:type="dxa"/>
                        <w:vMerge/>
                        <w:tcBorders>
                          <w:left w:val="single" w:sz="4" w:space="0" w:color="000000"/>
                          <w:bottom w:val="single" w:sz="4" w:space="0" w:color="000000"/>
                          <w:right w:val="single" w:sz="4" w:space="0" w:color="000000"/>
                        </w:tcBorders>
                        <w:shd w:val="clear" w:color="auto" w:fill="D9D9D9"/>
                      </w:tcPr>
                      <w:p>
                        <w:pPr/>
                      </w:p>
                    </w:tc>
                    <w:tc>
                      <w:tcPr>
                        <w:tcW w:w="578" w:type="dxa"/>
                        <w:vMerge/>
                        <w:tcBorders>
                          <w:left w:val="single" w:sz="4" w:space="0" w:color="000000"/>
                          <w:bottom w:val="single" w:sz="4" w:space="0" w:color="000000"/>
                          <w:right w:val="single" w:sz="4" w:space="0" w:color="000000"/>
                        </w:tcBorders>
                        <w:shd w:val="clear" w:color="auto" w:fill="D9D9D9"/>
                      </w:tcPr>
                      <w:p>
                        <w:pPr/>
                      </w:p>
                    </w:tc>
                    <w:tc>
                      <w:tcPr>
                        <w:tcW w:w="624" w:type="dxa"/>
                        <w:vMerge/>
                        <w:tcBorders>
                          <w:left w:val="single" w:sz="4" w:space="0" w:color="000000"/>
                          <w:bottom w:val="single" w:sz="4" w:space="0" w:color="000000"/>
                          <w:right w:val="single" w:sz="4" w:space="0" w:color="000000"/>
                        </w:tcBorders>
                        <w:shd w:val="clear" w:color="auto" w:fill="D9D9D9"/>
                      </w:tcPr>
                      <w:p>
                        <w:pPr/>
                      </w:p>
                    </w:tc>
                    <w:tc>
                      <w:tcPr>
                        <w:tcW w:w="1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计入损益</w:t>
                        </w:r>
                      </w:p>
                    </w:tc>
                    <w:tc>
                      <w:tcPr>
                        <w:tcW w:w="12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计入其他综合 收益</w:t>
                        </w:r>
                      </w:p>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992"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结算</w:t>
                        </w:r>
                      </w:p>
                    </w:tc>
                  </w:tr>
                  <w:tr>
                    <w:trPr>
                      <w:trHeight w:val="637"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15,050,000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4,510,671.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574,850,000.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36"/>
                          <w:jc w:val="right"/>
                          <w:rPr>
                            <w:rFonts w:ascii="Times New Roman" w:hAnsi="Times New Roman" w:cs="Times New Roman" w:eastAsia="Times New Roman" w:hint="default"/>
                            <w:sz w:val="18"/>
                            <w:szCs w:val="18"/>
                          </w:rPr>
                        </w:pPr>
                        <w:r>
                          <w:rPr>
                            <w:rFonts w:ascii="Times New Roman"/>
                            <w:spacing w:val="-1"/>
                            <w:sz w:val="18"/>
                          </w:rPr>
                          <w:t>587,410,671</w:t>
                        </w:r>
                      </w:p>
                      <w:p>
                        <w:pPr>
                          <w:pStyle w:val="TableParagraph"/>
                          <w:spacing w:line="240" w:lineRule="auto" w:before="105"/>
                          <w:ind w:right="-37"/>
                          <w:jc w:val="right"/>
                          <w:rPr>
                            <w:rFonts w:ascii="Times New Roman" w:hAnsi="Times New Roman" w:cs="Times New Roman" w:eastAsia="Times New Roman" w:hint="default"/>
                            <w:sz w:val="18"/>
                            <w:szCs w:val="18"/>
                          </w:rPr>
                        </w:pPr>
                        <w:r>
                          <w:rPr>
                            <w:rFonts w:ascii="Times New Roman"/>
                            <w:sz w:val="18"/>
                          </w:rPr>
                          <w:t>.60</w:t>
                        </w:r>
                      </w:p>
                    </w:tc>
                  </w:tr>
                  <w:tr>
                    <w:trPr>
                      <w:trHeight w:val="63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入当期损益的金融资产</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15,050,000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4,510,671.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574,850,000.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6"/>
                          <w:jc w:val="right"/>
                          <w:rPr>
                            <w:rFonts w:ascii="Times New Roman" w:hAnsi="Times New Roman" w:cs="Times New Roman" w:eastAsia="Times New Roman" w:hint="default"/>
                            <w:sz w:val="18"/>
                            <w:szCs w:val="18"/>
                          </w:rPr>
                        </w:pPr>
                        <w:r>
                          <w:rPr>
                            <w:rFonts w:ascii="Times New Roman"/>
                            <w:spacing w:val="-1"/>
                            <w:sz w:val="18"/>
                          </w:rPr>
                          <w:t>587,410,671</w:t>
                        </w:r>
                      </w:p>
                      <w:p>
                        <w:pPr>
                          <w:pStyle w:val="TableParagraph"/>
                          <w:spacing w:line="240" w:lineRule="auto" w:before="105"/>
                          <w:ind w:right="-37"/>
                          <w:jc w:val="right"/>
                          <w:rPr>
                            <w:rFonts w:ascii="Times New Roman" w:hAnsi="Times New Roman" w:cs="Times New Roman" w:eastAsia="Times New Roman" w:hint="default"/>
                            <w:sz w:val="18"/>
                            <w:szCs w:val="18"/>
                          </w:rPr>
                        </w:pPr>
                        <w:r>
                          <w:rPr>
                            <w:rFonts w:ascii="Times New Roman"/>
                            <w:sz w:val="18"/>
                          </w:rPr>
                          <w:t>.60</w:t>
                        </w:r>
                      </w:p>
                    </w:tc>
                  </w:tr>
                  <w:tr>
                    <w:trPr>
                      <w:trHeight w:val="63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债务工具投资</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15,050,000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4,510,671.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574,850,000.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6"/>
                          <w:jc w:val="right"/>
                          <w:rPr>
                            <w:rFonts w:ascii="Times New Roman" w:hAnsi="Times New Roman" w:cs="Times New Roman" w:eastAsia="Times New Roman" w:hint="default"/>
                            <w:sz w:val="18"/>
                            <w:szCs w:val="18"/>
                          </w:rPr>
                        </w:pPr>
                        <w:r>
                          <w:rPr>
                            <w:rFonts w:ascii="Times New Roman"/>
                            <w:spacing w:val="-1"/>
                            <w:sz w:val="18"/>
                          </w:rPr>
                          <w:t>587,410,671</w:t>
                        </w:r>
                      </w:p>
                      <w:p>
                        <w:pPr>
                          <w:pStyle w:val="TableParagraph"/>
                          <w:spacing w:line="240" w:lineRule="auto" w:before="105"/>
                          <w:ind w:right="-37"/>
                          <w:jc w:val="right"/>
                          <w:rPr>
                            <w:rFonts w:ascii="Times New Roman" w:hAnsi="Times New Roman" w:cs="Times New Roman" w:eastAsia="Times New Roman" w:hint="default"/>
                            <w:sz w:val="18"/>
                            <w:szCs w:val="18"/>
                          </w:rPr>
                        </w:pPr>
                        <w:r>
                          <w:rPr>
                            <w:rFonts w:ascii="Times New Roman"/>
                            <w:sz w:val="18"/>
                          </w:rPr>
                          <w:t>.60</w:t>
                        </w:r>
                      </w:p>
                    </w:tc>
                  </w:tr>
                  <w:tr>
                    <w:trPr>
                      <w:trHeight w:val="32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权益工具投资</w:t>
                        </w: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衍生金融资产</w:t>
                        </w: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both"/>
                          <w:rPr>
                            <w:rFonts w:ascii="宋体" w:hAnsi="宋体" w:cs="宋体" w:eastAsia="宋体" w:hint="default"/>
                            <w:sz w:val="18"/>
                            <w:szCs w:val="18"/>
                          </w:rPr>
                        </w:pPr>
                        <w:r>
                          <w:rPr>
                            <w:rFonts w:ascii="宋体" w:hAnsi="宋体" w:cs="宋体" w:eastAsia="宋体" w:hint="default"/>
                            <w:spacing w:val="8"/>
                            <w:sz w:val="18"/>
                            <w:szCs w:val="18"/>
                          </w:rPr>
                          <w:t>指定为以公允价值计量且其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变动计入当期损益的金融资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w:t>
                        </w: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债务工具投资</w:t>
                        </w: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4,559,685.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46</w:t>
                        </w: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-4,525,738.40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129,246,662.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6,106,574.</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29</w:t>
                        </w: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-964,129.8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入当期损益的金融资产</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6,106,574.</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29</w:t>
                        </w: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-964,129.8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债务工具投资</w:t>
                        </w: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权益工具投资</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6,106,574.</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29</w:t>
                        </w: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-964,129.8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衍生金融资产</w:t>
                        </w: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both"/>
                          <w:rPr>
                            <w:rFonts w:ascii="宋体" w:hAnsi="宋体" w:cs="宋体" w:eastAsia="宋体" w:hint="default"/>
                            <w:sz w:val="18"/>
                            <w:szCs w:val="18"/>
                          </w:rPr>
                        </w:pPr>
                        <w:r>
                          <w:rPr>
                            <w:rFonts w:ascii="宋体" w:hAnsi="宋体" w:cs="宋体" w:eastAsia="宋体" w:hint="default"/>
                            <w:spacing w:val="8"/>
                            <w:sz w:val="18"/>
                            <w:szCs w:val="18"/>
                          </w:rPr>
                          <w:t>指定为以公允价值计量且其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变动计入当期损益的金融资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w:t>
                        </w: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债务工具投资</w:t>
                        </w: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25,716,259</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.75</w:t>
                        </w: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3,546,541.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-4,525,738.40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704,096,662.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6"/>
                          <w:jc w:val="right"/>
                          <w:rPr>
                            <w:rFonts w:ascii="Times New Roman" w:hAnsi="Times New Roman" w:cs="Times New Roman" w:eastAsia="Times New Roman" w:hint="default"/>
                            <w:sz w:val="18"/>
                            <w:szCs w:val="18"/>
                          </w:rPr>
                        </w:pPr>
                        <w:r>
                          <w:rPr>
                            <w:rFonts w:ascii="Times New Roman"/>
                            <w:spacing w:val="-1"/>
                            <w:sz w:val="18"/>
                          </w:rPr>
                          <w:t>587,410,671</w:t>
                        </w:r>
                      </w:p>
                      <w:p>
                        <w:pPr>
                          <w:pStyle w:val="TableParagraph"/>
                          <w:spacing w:line="240" w:lineRule="auto" w:before="105"/>
                          <w:ind w:right="-37"/>
                          <w:jc w:val="right"/>
                          <w:rPr>
                            <w:rFonts w:ascii="Times New Roman" w:hAnsi="Times New Roman" w:cs="Times New Roman" w:eastAsia="Times New Roman" w:hint="default"/>
                            <w:sz w:val="18"/>
                            <w:szCs w:val="18"/>
                          </w:rPr>
                        </w:pPr>
                        <w:r>
                          <w:rPr>
                            <w:rFonts w:ascii="Times New Roman"/>
                            <w:sz w:val="18"/>
                          </w:rPr>
                          <w:t>.60</w:t>
                        </w:r>
                      </w:p>
                    </w:tc>
                  </w:tr>
                  <w:tr>
                    <w:trPr>
                      <w:trHeight w:val="324" w:hRule="exact"/>
                    </w:trPr>
                    <w:tc>
                      <w:tcPr>
                        <w:tcW w:w="2489"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t>单位：</w:t>
      </w:r>
      <w:r>
        <w:rPr>
          <w:spacing w:val="1"/>
        </w:rPr>
        <w:t> </w:t>
      </w:r>
      <w:r>
        <w:rPr/>
        <w:t>元</w:t>
      </w:r>
    </w:p>
    <w:p>
      <w:pPr>
        <w:spacing w:after="0" w:line="240" w:lineRule="auto"/>
        <w:jc w:val="left"/>
        <w:sectPr>
          <w:pgSz w:w="11910" w:h="16840"/>
          <w:pgMar w:header="852" w:footer="980" w:top="1300" w:bottom="1160" w:left="920" w:right="0"/>
        </w:sectPr>
      </w:pPr>
    </w:p>
    <w:p>
      <w:pPr>
        <w:spacing w:line="240" w:lineRule="auto" w:before="5"/>
        <w:rPr>
          <w:rFonts w:ascii="Times New Roman" w:hAnsi="Times New Roman" w:cs="Times New Roman" w:eastAsia="Times New Roman" w:hint="default"/>
          <w:sz w:val="17"/>
          <w:szCs w:val="17"/>
        </w:rPr>
      </w:pPr>
      <w:r>
        <w:rPr/>
        <w:pict>
          <v:shape style="position:absolute;margin-left:51pt;margin-top:71.999985pt;width:544.8pt;height:32.8pt;mso-position-horizontal-relative:page;mso-position-vertical-relative:page;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9"/>
                    <w:gridCol w:w="1057"/>
                    <w:gridCol w:w="578"/>
                    <w:gridCol w:w="624"/>
                    <w:gridCol w:w="1052"/>
                    <w:gridCol w:w="1298"/>
                    <w:gridCol w:w="1234"/>
                    <w:gridCol w:w="708"/>
                    <w:gridCol w:w="850"/>
                    <w:gridCol w:w="992"/>
                  </w:tblGrid>
                  <w:tr>
                    <w:trPr>
                      <w:trHeight w:val="32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6"/>
                            <w:sz w:val="18"/>
                            <w:szCs w:val="18"/>
                          </w:rPr>
                          <w:t>其中：与金融资产有关的损益</w:t>
                        </w: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与非金融资产有关的损益</w:t>
                        </w:r>
                      </w:p>
                    </w:tc>
                    <w:tc>
                      <w:tcPr>
                        <w:tcW w:w="105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2" w:footer="980" w:top="130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pStyle w:val="Heading3"/>
        <w:spacing w:line="240" w:lineRule="auto" w:before="36"/>
        <w:ind w:right="1133"/>
        <w:jc w:val="left"/>
        <w:rPr>
          <w:b w:val="0"/>
          <w:bCs w:val="0"/>
        </w:rPr>
      </w:pPr>
      <w:bookmarkStart w:name="6、持续的公允价值计量项目，本期内发生各层级之间转换的，转换的原因及确定转换时点" w:id="341"/>
      <w:bookmarkEnd w:id="34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7、本期内发生的估值技术变更及变更原因" w:id="342"/>
      <w:bookmarkEnd w:id="34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不以公允价值计量的金融资产和金融负债的公允价值情况" w:id="343"/>
      <w:bookmarkEnd w:id="34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8"/>
          <w:szCs w:val="28"/>
        </w:rPr>
      </w:pPr>
    </w:p>
    <w:p>
      <w:pPr>
        <w:pStyle w:val="BodyText"/>
        <w:spacing w:line="240" w:lineRule="auto"/>
        <w:ind w:left="0" w:right="124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560"/>
        <w:gridCol w:w="1417"/>
        <w:gridCol w:w="1418"/>
        <w:gridCol w:w="1136"/>
        <w:gridCol w:w="1274"/>
        <w:gridCol w:w="1561"/>
        <w:gridCol w:w="1135"/>
      </w:tblGrid>
      <w:tr>
        <w:trPr>
          <w:trHeight w:val="346" w:hRule="exact"/>
        </w:trPr>
        <w:tc>
          <w:tcPr>
            <w:tcW w:w="156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1"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报告期期末</w:t>
            </w:r>
          </w:p>
        </w:tc>
        <w:tc>
          <w:tcPr>
            <w:tcW w:w="3970"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上年年末</w:t>
            </w:r>
          </w:p>
        </w:tc>
      </w:tr>
      <w:tr>
        <w:trPr>
          <w:trHeight w:val="348" w:hRule="exact"/>
        </w:trPr>
        <w:tc>
          <w:tcPr>
            <w:tcW w:w="1560" w:type="dxa"/>
            <w:vMerge/>
            <w:tcBorders>
              <w:left w:val="single" w:sz="6" w:space="0" w:color="000000"/>
              <w:bottom w:val="single" w:sz="6" w:space="0" w:color="000000"/>
              <w:right w:val="single" w:sz="6" w:space="0" w:color="000000"/>
            </w:tcBorders>
            <w:shd w:val="clear" w:color="auto" w:fill="D9D9D9"/>
          </w:tcPr>
          <w:p>
            <w:pP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所属层次</w:t>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所属层次</w:t>
            </w:r>
          </w:p>
        </w:tc>
      </w:tr>
      <w:tr>
        <w:trPr>
          <w:trHeight w:val="34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1,017,639,287.34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1,017,639,287.34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950,427,760.45</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950,427,760.45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769,826,622.04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769,826,622.04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607,018,060.38</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607,018,060.38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14,888,888.89</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10,666,259.75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65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99"/>
              <w:jc w:val="left"/>
              <w:rPr>
                <w:rFonts w:ascii="宋体" w:hAnsi="宋体" w:cs="宋体" w:eastAsia="宋体" w:hint="default"/>
                <w:sz w:val="18"/>
                <w:szCs w:val="18"/>
              </w:rPr>
            </w:pPr>
            <w:r>
              <w:rPr>
                <w:rFonts w:ascii="宋体" w:hAnsi="宋体" w:cs="宋体" w:eastAsia="宋体" w:hint="default"/>
                <w:sz w:val="18"/>
                <w:szCs w:val="18"/>
              </w:rPr>
              <w:t>其他流动资产中购 买的理财产品</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65,050,000.00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65,050,000.00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729,061,655.83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729,061,655.83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508,583,632.42</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508,583,632.42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34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19,062,510.00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19,062,510.00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184,903,206.51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184,903,206.51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215,635,634.65</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215,635,634.65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501,712,199.71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501,712,199.71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270,269,468.63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270,269,468.63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第三层次</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133"/>
        <w:jc w:val="left"/>
        <w:rPr>
          <w:b w:val="0"/>
          <w:bCs w:val="0"/>
        </w:rPr>
      </w:pPr>
      <w:bookmarkStart w:name="十二、关联方及关联交易" w:id="344"/>
      <w:bookmarkEnd w:id="344"/>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本企业的母公司情况" w:id="345"/>
      <w:bookmarkEnd w:id="34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珠海宇琴鸿泰资产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广东珠海市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30.98%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30.98%</w:t>
            </w:r>
          </w:p>
        </w:tc>
      </w:tr>
    </w:tbl>
    <w:p>
      <w:pPr>
        <w:pStyle w:val="BodyText"/>
        <w:spacing w:line="357" w:lineRule="auto" w:before="49"/>
        <w:ind w:left="513" w:right="8594" w:hanging="361"/>
        <w:jc w:val="left"/>
      </w:pPr>
      <w:r>
        <w:rPr/>
        <w:t>本企业的母公司情况的说明 无</w:t>
      </w:r>
    </w:p>
    <w:p>
      <w:pPr>
        <w:spacing w:line="240" w:lineRule="auto" w:before="0"/>
        <w:rPr>
          <w:rFonts w:ascii="宋体" w:hAnsi="宋体" w:cs="宋体" w:eastAsia="宋体" w:hint="default"/>
          <w:sz w:val="18"/>
          <w:szCs w:val="18"/>
        </w:rPr>
      </w:pPr>
    </w:p>
    <w:p>
      <w:pPr>
        <w:pStyle w:val="BodyText"/>
        <w:spacing w:line="357" w:lineRule="auto" w:before="146"/>
        <w:ind w:right="8414"/>
        <w:jc w:val="left"/>
      </w:pPr>
      <w:r>
        <w:rPr/>
        <w:t>本企业最终控制方是洪卫东。 其他说明：</w:t>
      </w:r>
    </w:p>
    <w:p>
      <w:pPr>
        <w:pStyle w:val="BodyText"/>
        <w:spacing w:line="240" w:lineRule="auto" w:before="29"/>
        <w:ind w:left="513" w:right="1133"/>
        <w:jc w:val="left"/>
      </w:pPr>
      <w:r>
        <w:rPr/>
        <w:t>本企业最终控制方是洪卫东先生，其通过珠海宇琴鸿泰信息咨询有限公司持有本公司</w:t>
      </w:r>
      <w:r>
        <w:rPr>
          <w:rFonts w:ascii="Times New Roman" w:hAnsi="Times New Roman" w:cs="Times New Roman" w:eastAsia="Times New Roman" w:hint="default"/>
        </w:rPr>
        <w:t>30.9769%</w:t>
      </w:r>
      <w:r>
        <w:rPr/>
        <w:t>股权。</w:t>
      </w:r>
    </w:p>
    <w:p>
      <w:pPr>
        <w:spacing w:after="0" w:line="240" w:lineRule="auto"/>
        <w:jc w:val="left"/>
        <w:sectPr>
          <w:pgSz w:w="11910" w:h="16840"/>
          <w:pgMar w:header="852" w:footer="980" w:top="1300" w:bottom="1160" w:left="980" w:right="0"/>
        </w:sectPr>
      </w:pPr>
    </w:p>
    <w:p>
      <w:pPr>
        <w:spacing w:line="544" w:lineRule="auto" w:before="122"/>
        <w:ind w:left="152" w:right="4274" w:firstLine="0"/>
        <w:jc w:val="left"/>
        <w:rPr>
          <w:rFonts w:ascii="宋体" w:hAnsi="宋体" w:cs="宋体" w:eastAsia="宋体" w:hint="default"/>
          <w:sz w:val="21"/>
          <w:szCs w:val="21"/>
        </w:rPr>
      </w:pPr>
      <w:bookmarkStart w:name="2、本企业的子公司情况" w:id="346"/>
      <w:bookmarkEnd w:id="3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347"/>
      <w:bookmarkEnd w:id="34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9"/>
        <w:ind w:right="2294"/>
        <w:jc w:val="left"/>
      </w:pPr>
      <w:r>
        <w:rPr/>
        <w:t>本企业重要的合营或联营企业详见附注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上海拍贝信息科技有限公司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北京航宇金服技术有限公司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晋商消费金融股份有限公司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湖北消费金融股份有限公司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铜根源（北京）信息咨询有限公司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月前为联营企业，</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月后为子公司，纳入合 并范围</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派衍信息科技（苏州）有限公司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月后为联营企业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宇新（厦门）大数据股权投资基金合伙企业（有限合伙）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月后为联营企业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丝路华创（北京）有限公司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月之前为联营企业，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月将股权全部转让</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关联交易情况" w:id="348"/>
      <w:bookmarkEnd w:id="348"/>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购销商品、提供和接受劳务的关联交易" w:id="349"/>
      <w:bookmarkEnd w:id="3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上海拍贝信息科技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141,319.95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141,319.95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269,962.29</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派衍信息科技（苏 州）有限公司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327,075.47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327,075.47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晋商消费金融股份有限公司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软件开发、商务代理服务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18,573,680.02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41,198,805.40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湖北消费金融股份有限公司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58,751,513.88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31,503,754.71</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铜根源</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信息咨询有限公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1,975,612.00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141,509.43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207"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北京航宇金服技术有限公司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4,028,584.90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派衍信息科技（苏州）有限公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2,353,301.89</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212" w:right="2028"/>
        <w:jc w:val="left"/>
        <w:rPr>
          <w:b w:val="0"/>
          <w:bCs w:val="0"/>
        </w:rPr>
      </w:pPr>
      <w:bookmarkStart w:name="（2）关联担保情况" w:id="350"/>
      <w:bookmarkEnd w:id="350"/>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12" w:right="2028"/>
        <w:jc w:val="left"/>
      </w:pPr>
      <w:r>
        <w:rPr/>
        <w:t>本公司作为担保方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268"/>
        <w:gridCol w:w="1561"/>
        <w:gridCol w:w="1916"/>
        <w:gridCol w:w="1913"/>
        <w:gridCol w:w="2091"/>
      </w:tblGrid>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0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厦门市宇信鸿泰科技有限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厦门市宇信鸿泰科技有限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厦门市宇信鸿泰科技有限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11,390,788.55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6,798,795.24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9,551,685.38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26,677,381.20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24,972,742.53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11,645,916.92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3,192,961.96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5,769,728.22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20,541,332.38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21,412,270.99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17,896,466.10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15,714,329.37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17,653,773.55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15,152,626.33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7,619,201.28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81,712,199.71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北京宇信启融科技有限公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2" w:footer="980" w:top="1300" w:bottom="1160" w:left="920" w:right="0"/>
        </w:sectPr>
      </w:pPr>
    </w:p>
    <w:p>
      <w:pPr>
        <w:spacing w:line="240" w:lineRule="auto" w:before="4"/>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268"/>
        <w:gridCol w:w="1561"/>
        <w:gridCol w:w="1916"/>
        <w:gridCol w:w="1913"/>
        <w:gridCol w:w="2091"/>
      </w:tblGrid>
      <w:tr>
        <w:trPr>
          <w:trHeight w:val="36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珠海宇信易诚科技有限公 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珠海宇信鸿泰科技有限公 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厦门市宇信鸿泰科技有限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15,850,818.26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left="212" w:right="2028"/>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165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洪卫东、吴红、北京宇 信鸿泰科技发展有限公 司、北京宇信金地科技 有限公司、无锡宇信易 诚科技有限公司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洪卫东、吴红、北京宇 信鸿泰科技发展有限公 司、北京宇信金地科技 有限公司、无锡宇信易 诚科技有限公司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洪卫东、吴红、北京宇 信鸿泰科技发展有限公 司、北京宇信金地科技 有限公司、无锡宇信易 诚科技有限公司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洪卫东、吴红、北京宇 信鸿泰科技发展有限公 司、北京宇信金地科技 有限公司、无锡宇信易 诚科技有限公司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洪卫东、吴红、北京宇 信鸿泰科技发展有限公 司、北京宇信金地科技 有限公司、无锡宇信易 诚科技有限公司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80" w:top="1300" w:bottom="1160" w:left="92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4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洪卫东、吴红、北京宇 信鸿泰科技发展有限公 司、北京宇信金地科技 有限公司、无锡宇信易 诚科技有限公司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洪卫东、吴红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洪卫东、吴红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洪卫东、吴红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洪卫东、北京宇信鸿泰 科技发展有限公司、北 京宇信金地科技有限公 司、无锡宇信易诚科技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洪卫东、北京宇信鸿泰 科技发展有限公司、北 京宇信金地科技有限公 司、无锡宇信易诚科技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洪卫东、北京宇信鸿泰 科技发展有限公司、北 京宇信金地科技有限公 司、无锡宇信易诚科技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洪卫东、北京宇信鸿泰 科技发展有限公司、北 京宇信金地科技有限公 司、无锡宇信易诚科技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洪卫东、北京宇信鸿泰 科技发展有限公司、北 京宇信金地科技有限公 司、无锡宇信易诚科技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207"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4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洪卫东、北京宇信鸿泰 科技发展有限公司、北 京宇信金地科技有限公 司、无锡宇信易诚科技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left="212" w:right="2028"/>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left="212" w:right="2028"/>
        <w:jc w:val="left"/>
        <w:rPr>
          <w:b w:val="0"/>
          <w:bCs w:val="0"/>
        </w:rPr>
      </w:pPr>
      <w:bookmarkStart w:name="（3）关联方资金拆借" w:id="351"/>
      <w:bookmarkEnd w:id="351"/>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湖北消费金融股份有限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股东存款</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晋商消费金融股份有限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股东存款</w:t>
            </w:r>
          </w:p>
        </w:tc>
      </w:tr>
    </w:tbl>
    <w:p>
      <w:pPr>
        <w:spacing w:line="240" w:lineRule="auto" w:before="3"/>
        <w:rPr>
          <w:rFonts w:ascii="宋体" w:hAnsi="宋体" w:cs="宋体" w:eastAsia="宋体" w:hint="default"/>
          <w:sz w:val="19"/>
          <w:szCs w:val="19"/>
        </w:rPr>
      </w:pPr>
    </w:p>
    <w:p>
      <w:pPr>
        <w:pStyle w:val="Heading3"/>
        <w:spacing w:line="240" w:lineRule="auto" w:before="36"/>
        <w:ind w:left="212" w:right="2028"/>
        <w:jc w:val="left"/>
        <w:rPr>
          <w:b w:val="0"/>
          <w:bCs w:val="0"/>
        </w:rPr>
      </w:pPr>
      <w:bookmarkStart w:name="（4）关键管理人员报酬" w:id="352"/>
      <w:bookmarkEnd w:id="352"/>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10,897,197.00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11,612,638.00</w:t>
            </w:r>
          </w:p>
        </w:tc>
      </w:tr>
    </w:tbl>
    <w:p>
      <w:pPr>
        <w:spacing w:line="240" w:lineRule="auto" w:before="3"/>
        <w:rPr>
          <w:rFonts w:ascii="宋体" w:hAnsi="宋体" w:cs="宋体" w:eastAsia="宋体" w:hint="default"/>
          <w:sz w:val="19"/>
          <w:szCs w:val="19"/>
        </w:rPr>
      </w:pPr>
    </w:p>
    <w:p>
      <w:pPr>
        <w:pStyle w:val="Heading3"/>
        <w:spacing w:line="240" w:lineRule="auto" w:before="36"/>
        <w:ind w:left="212" w:right="2028"/>
        <w:jc w:val="left"/>
        <w:rPr>
          <w:b w:val="0"/>
          <w:bCs w:val="0"/>
        </w:rPr>
      </w:pPr>
      <w:bookmarkStart w:name="（5）其他关联交易" w:id="353"/>
      <w:bookmarkEnd w:id="353"/>
      <w:r>
        <w:rPr>
          <w:b w:val="0"/>
          <w:bCs w:val="0"/>
        </w:rPr>
      </w:r>
      <w:r>
        <w:rPr/>
        <w:t>（</w:t>
      </w:r>
      <w:r>
        <w:rPr>
          <w:rFonts w:ascii="Times New Roman" w:hAnsi="Times New Roman" w:cs="Times New Roman" w:eastAsia="Times New Roman" w:hint="default"/>
        </w:rPr>
        <w:t>5</w:t>
      </w:r>
      <w:r>
        <w:rPr/>
        <w:t>）其他关联交易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573" w:right="2028"/>
        <w:jc w:val="left"/>
      </w:pPr>
      <w:r>
        <w:rPr/>
        <w:t>垫付费用及往来款项</w:t>
      </w:r>
    </w:p>
    <w:p>
      <w:pPr>
        <w:pStyle w:val="BodyText"/>
        <w:spacing w:line="240" w:lineRule="auto" w:before="76"/>
        <w:ind w:left="0" w:right="2333"/>
        <w:jc w:val="right"/>
      </w:pPr>
      <w:r>
        <w:rPr/>
        <w:t>单位：元</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910"/>
        <w:gridCol w:w="1370"/>
        <w:gridCol w:w="1472"/>
        <w:gridCol w:w="1450"/>
        <w:gridCol w:w="1323"/>
      </w:tblGrid>
      <w:tr>
        <w:trPr>
          <w:trHeight w:val="322" w:hRule="exact"/>
        </w:trPr>
        <w:tc>
          <w:tcPr>
            <w:tcW w:w="29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284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年度发生额</w:t>
            </w:r>
          </w:p>
        </w:tc>
        <w:tc>
          <w:tcPr>
            <w:tcW w:w="277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年度发生额</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垫付金额</w:t>
            </w:r>
          </w:p>
        </w:tc>
        <w:tc>
          <w:tcPr>
            <w:tcW w:w="14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收回金额</w:t>
            </w:r>
          </w:p>
        </w:tc>
        <w:tc>
          <w:tcPr>
            <w:tcW w:w="14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垫付金额</w:t>
            </w:r>
          </w:p>
        </w:tc>
        <w:tc>
          <w:tcPr>
            <w:tcW w:w="13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97" w:right="0"/>
              <w:jc w:val="left"/>
              <w:rPr>
                <w:rFonts w:ascii="宋体" w:hAnsi="宋体" w:cs="宋体" w:eastAsia="宋体" w:hint="default"/>
                <w:sz w:val="18"/>
                <w:szCs w:val="18"/>
              </w:rPr>
            </w:pPr>
            <w:r>
              <w:rPr>
                <w:rFonts w:ascii="宋体" w:hAnsi="宋体" w:cs="宋体" w:eastAsia="宋体" w:hint="default"/>
                <w:sz w:val="18"/>
                <w:szCs w:val="18"/>
              </w:rPr>
              <w:t>收回金额</w:t>
            </w:r>
          </w:p>
        </w:tc>
      </w:tr>
      <w:tr>
        <w:trPr>
          <w:trHeight w:val="325"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晋商消费金融股份有限公司</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3,095,000.00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170,000.00</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湖北消费金融股份有限公司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1" w:right="0"/>
              <w:jc w:val="left"/>
              <w:rPr>
                <w:rFonts w:ascii="Times New Roman" w:hAnsi="Times New Roman" w:cs="Times New Roman" w:eastAsia="Times New Roman" w:hint="default"/>
                <w:sz w:val="18"/>
                <w:szCs w:val="18"/>
              </w:rPr>
            </w:pPr>
            <w:r>
              <w:rPr>
                <w:rFonts w:ascii="Times New Roman"/>
                <w:sz w:val="18"/>
              </w:rPr>
              <w:t>1,492,872.23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792,872.23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800,000.00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left="212" w:right="2028"/>
        <w:jc w:val="left"/>
        <w:rPr>
          <w:b w:val="0"/>
          <w:bCs w:val="0"/>
        </w:rPr>
      </w:pPr>
      <w:bookmarkStart w:name="5、关联方应收应付款项" w:id="354"/>
      <w:bookmarkEnd w:id="354"/>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7"/>
        <w:rPr>
          <w:rFonts w:ascii="宋体" w:hAnsi="宋体" w:cs="宋体" w:eastAsia="宋体" w:hint="default"/>
          <w:b/>
          <w:bCs/>
          <w:sz w:val="24"/>
          <w:szCs w:val="24"/>
        </w:rPr>
      </w:pPr>
    </w:p>
    <w:p>
      <w:pPr>
        <w:spacing w:before="0"/>
        <w:ind w:left="212" w:right="2028" w:firstLine="0"/>
        <w:jc w:val="left"/>
        <w:rPr>
          <w:rFonts w:ascii="宋体" w:hAnsi="宋体" w:cs="宋体" w:eastAsia="宋体" w:hint="default"/>
          <w:sz w:val="21"/>
          <w:szCs w:val="21"/>
        </w:rPr>
      </w:pPr>
      <w:bookmarkStart w:name="（1）应收项目" w:id="355"/>
      <w:bookmarkEnd w:id="3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52" w:footer="980" w:top="1300" w:bottom="1160" w:left="920" w:right="0"/>
        </w:sectPr>
      </w:pPr>
    </w:p>
    <w:p>
      <w:pPr>
        <w:spacing w:line="240" w:lineRule="auto" w:before="4"/>
        <w:rPr>
          <w:rFonts w:ascii="宋体" w:hAnsi="宋体" w:cs="宋体" w:eastAsia="宋体" w:hint="default"/>
          <w:sz w:val="10"/>
          <w:szCs w:val="10"/>
        </w:rPr>
      </w:pPr>
    </w:p>
    <w:tbl>
      <w:tblPr>
        <w:tblW w:w="0" w:type="auto"/>
        <w:jc w:val="left"/>
        <w:tblInd w:w="20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晋商消费金融股份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9,332,611.34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325,128.34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湖北消费金融股份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11,947,452.00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358,423.56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233,160.00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铜根源（北京）信息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2,475,612.00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292,601.69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133,333.33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派衍信息科技（苏 州）有限公司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1,322,500.00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39,675.00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晋商消费金融股份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湖北消费金融股份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45,498.94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湖北消费金融股份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212" w:right="2028"/>
        <w:jc w:val="left"/>
        <w:rPr>
          <w:b w:val="0"/>
          <w:bCs w:val="0"/>
        </w:rPr>
      </w:pPr>
      <w:bookmarkStart w:name="（2）应付项目" w:id="356"/>
      <w:bookmarkEnd w:id="35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391"/>
        <w:gridCol w:w="2573"/>
        <w:gridCol w:w="221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上海拍贝信息科技有限公司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116,276.22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388,390.67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派衍信息科技（苏州）有限公司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198,867.94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长沙银建物业管理有限公司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395,450.00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湖北消费金融股份有限公司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72.14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北京航宇金服技术有限公司</w:t>
            </w:r>
          </w:p>
        </w:tc>
        <w:tc>
          <w:tcPr>
            <w:tcW w:w="221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3,085,188.68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晋商消费金融股份有限公司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271,512.79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1,583,833.41</w:t>
            </w:r>
          </w:p>
        </w:tc>
      </w:tr>
    </w:tbl>
    <w:p>
      <w:pPr>
        <w:spacing w:line="240" w:lineRule="auto" w:before="3"/>
        <w:rPr>
          <w:rFonts w:ascii="宋体" w:hAnsi="宋体" w:cs="宋体" w:eastAsia="宋体" w:hint="default"/>
          <w:sz w:val="19"/>
          <w:szCs w:val="19"/>
        </w:rPr>
      </w:pPr>
    </w:p>
    <w:p>
      <w:pPr>
        <w:pStyle w:val="Heading3"/>
        <w:spacing w:line="240" w:lineRule="auto" w:before="36"/>
        <w:ind w:left="212" w:right="2028"/>
        <w:jc w:val="left"/>
        <w:rPr>
          <w:b w:val="0"/>
          <w:bCs w:val="0"/>
        </w:rPr>
      </w:pPr>
      <w:bookmarkStart w:name="6、关联方承诺" w:id="357"/>
      <w:bookmarkEnd w:id="357"/>
      <w:r>
        <w:rPr>
          <w:b w:val="0"/>
          <w:bCs w:val="0"/>
        </w:rPr>
      </w:r>
      <w:r>
        <w:rPr>
          <w:rFonts w:ascii="Times New Roman" w:hAnsi="Times New Roman" w:cs="Times New Roman" w:eastAsia="Times New Roman" w:hint="default"/>
        </w:rPr>
        <w:t>6</w:t>
      </w:r>
      <w:r>
        <w:rPr/>
        <w:t>、关联方承诺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2028"/>
        <w:jc w:val="left"/>
      </w:pPr>
      <w:r>
        <w:rPr/>
        <w:t>以下为本公司于资产负债表日，已签约而尚不必在资产负债表上列示的与关联方有关的承诺事项：</w:t>
      </w:r>
    </w:p>
    <w:p>
      <w:pPr>
        <w:pStyle w:val="BodyText"/>
        <w:spacing w:line="240" w:lineRule="auto" w:before="76"/>
        <w:ind w:left="0" w:right="2242"/>
        <w:jc w:val="right"/>
      </w:pPr>
      <w:r>
        <w:rPr/>
        <w:t>单位：元</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385"/>
        <w:gridCol w:w="3260"/>
        <w:gridCol w:w="1985"/>
        <w:gridCol w:w="1894"/>
      </w:tblGrid>
      <w:tr>
        <w:trPr>
          <w:trHeight w:val="322" w:hRule="exact"/>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0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32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提供担保</w:t>
            </w:r>
          </w:p>
        </w:tc>
        <w:tc>
          <w:tcPr>
            <w:tcW w:w="32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珠海宇信易诚科技有限公司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珠海宇信鸿泰科技有限公司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6" w:right="0"/>
              <w:jc w:val="left"/>
              <w:rPr>
                <w:rFonts w:ascii="Times New Roman" w:hAnsi="Times New Roman" w:cs="Times New Roman" w:eastAsia="Times New Roman" w:hint="default"/>
                <w:sz w:val="18"/>
                <w:szCs w:val="18"/>
              </w:rPr>
            </w:pPr>
            <w:r>
              <w:rPr>
                <w:rFonts w:ascii="Times New Roman"/>
                <w:sz w:val="18"/>
              </w:rPr>
              <w:t>1,000,000.00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20" w:right="0"/>
        </w:sectPr>
      </w:pPr>
    </w:p>
    <w:p>
      <w:pPr>
        <w:spacing w:line="240" w:lineRule="auto" w:before="4"/>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385"/>
        <w:gridCol w:w="3260"/>
        <w:gridCol w:w="1985"/>
        <w:gridCol w:w="1894"/>
      </w:tblGrid>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无锡宇信易诚科技有限公司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厦门市宇信鸿泰科技有限公司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110,000,000.00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20,470,000.00</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540,000,000.00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540,000,000.00</w:t>
            </w:r>
          </w:p>
        </w:tc>
      </w:tr>
      <w:tr>
        <w:trPr>
          <w:trHeight w:val="3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接受担保</w:t>
            </w:r>
          </w:p>
        </w:tc>
        <w:tc>
          <w:tcPr>
            <w:tcW w:w="32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2"/>
                <w:sz w:val="18"/>
                <w:szCs w:val="18"/>
              </w:rPr>
              <w:t>洪卫东、吴红、北京宇信鸿泰科技发展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有限公司、北京宇信金地科技有限公 司、无锡宇信易诚科技有限公司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400,000,000.00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570,000,000.00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130,470,000.00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left="212" w:right="2028"/>
        <w:jc w:val="left"/>
        <w:rPr>
          <w:b w:val="0"/>
          <w:bCs w:val="0"/>
        </w:rPr>
      </w:pPr>
      <w:bookmarkStart w:name="十三、承诺及或有事项" w:id="358"/>
      <w:bookmarkEnd w:id="358"/>
      <w:r>
        <w:rPr>
          <w:b w:val="0"/>
          <w:bCs w:val="0"/>
        </w:rPr>
      </w: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2028"/>
        <w:jc w:val="left"/>
        <w:rPr>
          <w:b w:val="0"/>
          <w:bCs w:val="0"/>
        </w:rPr>
      </w:pPr>
      <w:bookmarkStart w:name="1、重要承诺事项" w:id="359"/>
      <w:bookmarkEnd w:id="35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12" w:right="2028"/>
        <w:jc w:val="left"/>
      </w:pPr>
      <w:r>
        <w:rPr/>
        <w:t>资产负债表日存在的重要承诺</w:t>
      </w:r>
    </w:p>
    <w:p>
      <w:pPr>
        <w:pStyle w:val="BodyText"/>
        <w:spacing w:line="300" w:lineRule="auto" w:before="117"/>
        <w:ind w:left="573" w:right="2473"/>
        <w:jc w:val="left"/>
      </w:pPr>
      <w:r>
        <w:rPr/>
        <w:t>（</w:t>
      </w:r>
      <w:r>
        <w:rPr>
          <w:rFonts w:ascii="Times New Roman" w:hAnsi="Times New Roman" w:cs="Times New Roman" w:eastAsia="Times New Roman" w:hint="default"/>
        </w:rPr>
        <w:t>1</w:t>
      </w:r>
      <w:r>
        <w:rPr/>
        <w:t>）经营租赁承诺 根据已签订的不可撤销的经营性租赁合同，本公司于资产负债表日后应支付的最低租赁付款额如下：</w:t>
      </w:r>
    </w:p>
    <w:tbl>
      <w:tblPr>
        <w:tblW w:w="0" w:type="auto"/>
        <w:jc w:val="left"/>
        <w:tblInd w:w="100" w:type="dxa"/>
        <w:tblLayout w:type="fixed"/>
        <w:tblCellMar>
          <w:top w:w="0" w:type="dxa"/>
          <w:left w:w="0" w:type="dxa"/>
          <w:bottom w:w="0" w:type="dxa"/>
          <w:right w:w="0" w:type="dxa"/>
        </w:tblCellMar>
        <w:tblLook w:val="01E0"/>
      </w:tblPr>
      <w:tblGrid>
        <w:gridCol w:w="2321"/>
        <w:gridCol w:w="2319"/>
      </w:tblGrid>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06"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6" w:right="0"/>
              <w:jc w:val="left"/>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14,525,216.07</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8,659,643.45</w:t>
            </w:r>
          </w:p>
        </w:tc>
      </w:tr>
      <w:tr>
        <w:trPr>
          <w:trHeight w:val="32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3,986,050.60</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1,160,460.00</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28,331,370.12</w:t>
            </w:r>
          </w:p>
        </w:tc>
      </w:tr>
    </w:tbl>
    <w:p>
      <w:pPr>
        <w:spacing w:line="240" w:lineRule="auto" w:before="12"/>
        <w:rPr>
          <w:rFonts w:ascii="宋体" w:hAnsi="宋体" w:cs="宋体" w:eastAsia="宋体" w:hint="default"/>
          <w:sz w:val="22"/>
          <w:szCs w:val="22"/>
        </w:rPr>
      </w:pPr>
    </w:p>
    <w:p>
      <w:pPr>
        <w:pStyle w:val="BodyText"/>
        <w:spacing w:line="300" w:lineRule="auto" w:before="44"/>
        <w:ind w:left="212" w:right="5039" w:firstLine="360"/>
        <w:jc w:val="left"/>
      </w:pPr>
      <w:r>
        <w:rPr>
          <w:rFonts w:ascii="Times New Roman" w:hAnsi="Times New Roman" w:cs="Times New Roman" w:eastAsia="Times New Roman" w:hint="default"/>
        </w:rPr>
        <w:t>(2)</w:t>
      </w:r>
      <w:r>
        <w:rPr/>
        <w:t>期末未结清保函情况</w:t>
      </w:r>
      <w:r>
        <w:rPr>
          <w:w w:val="99"/>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日，公司尚未结清的银行保函金额为</w:t>
      </w:r>
      <w:r>
        <w:rPr>
          <w:rFonts w:ascii="Times New Roman" w:hAnsi="Times New Roman" w:cs="Times New Roman" w:eastAsia="Times New Roman" w:hint="default"/>
        </w:rPr>
        <w:t>14,604,868.15</w:t>
      </w:r>
      <w:r>
        <w:rPr/>
        <w:t>元。</w:t>
      </w:r>
    </w:p>
    <w:p>
      <w:pPr>
        <w:spacing w:line="240" w:lineRule="auto" w:before="4"/>
        <w:rPr>
          <w:rFonts w:ascii="宋体" w:hAnsi="宋体" w:cs="宋体" w:eastAsia="宋体" w:hint="default"/>
          <w:sz w:val="22"/>
          <w:szCs w:val="22"/>
        </w:rPr>
      </w:pPr>
    </w:p>
    <w:p>
      <w:pPr>
        <w:pStyle w:val="Heading3"/>
        <w:spacing w:line="240" w:lineRule="auto"/>
        <w:ind w:left="212" w:right="2028"/>
        <w:jc w:val="left"/>
        <w:rPr>
          <w:b w:val="0"/>
          <w:bCs w:val="0"/>
        </w:rPr>
      </w:pPr>
      <w:bookmarkStart w:name="2、或有事项" w:id="360"/>
      <w:bookmarkEnd w:id="36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before="0"/>
        <w:ind w:left="212" w:right="2028" w:firstLine="0"/>
        <w:jc w:val="left"/>
        <w:rPr>
          <w:rFonts w:ascii="宋体" w:hAnsi="宋体" w:cs="宋体" w:eastAsia="宋体" w:hint="default"/>
          <w:sz w:val="21"/>
          <w:szCs w:val="21"/>
        </w:rPr>
      </w:pPr>
      <w:bookmarkStart w:name="（1）资产负债表日存在的重要或有事项" w:id="361"/>
      <w:bookmarkEnd w:id="3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Heading4"/>
        <w:spacing w:line="240" w:lineRule="auto"/>
        <w:ind w:left="289" w:right="2028"/>
        <w:jc w:val="left"/>
        <w:rPr>
          <w:b w:val="0"/>
          <w:bCs w:val="0"/>
        </w:rPr>
      </w:pPr>
      <w:r>
        <w:rPr>
          <w:rFonts w:ascii="Times New Roman" w:hAnsi="Times New Roman" w:cs="Times New Roman" w:eastAsia="Times New Roman" w:hint="default"/>
        </w:rPr>
        <w:t>1.</w:t>
      </w:r>
      <w:r>
        <w:rPr/>
        <w:t>对外担保</w:t>
      </w:r>
      <w:r>
        <w:rPr>
          <w:b w:val="0"/>
          <w:bCs w:val="0"/>
        </w:rPr>
      </w:r>
    </w:p>
    <w:p>
      <w:pPr>
        <w:pStyle w:val="BodyText"/>
        <w:spacing w:line="300" w:lineRule="auto" w:before="63"/>
        <w:ind w:left="212" w:right="1034" w:firstLine="360"/>
        <w:jc w:val="left"/>
      </w:pPr>
      <w:r>
        <w:rPr>
          <w:spacing w:val="-2"/>
        </w:rPr>
        <w:t>与关联方相关的对外担保事项详见本附注</w:t>
      </w:r>
      <w:r>
        <w:rPr>
          <w:rFonts w:ascii="Times New Roman" w:hAnsi="Times New Roman" w:cs="Times New Roman" w:eastAsia="Times New Roman" w:hint="default"/>
          <w:spacing w:val="-2"/>
        </w:rPr>
        <w:t>“</w:t>
      </w:r>
      <w:r>
        <w:rPr>
          <w:spacing w:val="-2"/>
        </w:rPr>
        <w:t>十二、关联方及关联交易</w:t>
      </w:r>
      <w:r>
        <w:rPr>
          <w:rFonts w:ascii="Times New Roman" w:hAnsi="Times New Roman" w:cs="Times New Roman" w:eastAsia="Times New Roman" w:hint="default"/>
          <w:spacing w:val="-2"/>
        </w:rPr>
        <w:t>”</w:t>
      </w:r>
      <w:r>
        <w:rPr>
          <w:spacing w:val="-2"/>
        </w:rPr>
        <w:t>相应内容；除此之外，本公司无与非关联方之间的</w:t>
      </w:r>
      <w:r>
        <w:rPr/>
        <w:t> 担保事项。</w:t>
      </w:r>
    </w:p>
    <w:p>
      <w:pPr>
        <w:spacing w:line="240" w:lineRule="auto" w:before="4"/>
        <w:rPr>
          <w:rFonts w:ascii="宋体" w:hAnsi="宋体" w:cs="宋体" w:eastAsia="宋体" w:hint="default"/>
          <w:sz w:val="26"/>
          <w:szCs w:val="26"/>
        </w:rPr>
      </w:pPr>
    </w:p>
    <w:p>
      <w:pPr>
        <w:pStyle w:val="Heading4"/>
        <w:spacing w:line="240" w:lineRule="auto"/>
        <w:ind w:left="289" w:right="2028"/>
        <w:jc w:val="left"/>
        <w:rPr>
          <w:b w:val="0"/>
          <w:bCs w:val="0"/>
        </w:rPr>
      </w:pPr>
      <w:r>
        <w:rPr>
          <w:rFonts w:ascii="Times New Roman" w:hAnsi="Times New Roman" w:cs="Times New Roman" w:eastAsia="Times New Roman" w:hint="default"/>
        </w:rPr>
        <w:t>2.</w:t>
      </w:r>
      <w:r>
        <w:rPr/>
        <w:t>其他重要或有事项</w:t>
      </w:r>
      <w:r>
        <w:rPr>
          <w:b w:val="0"/>
          <w:bCs w:val="0"/>
        </w:rPr>
      </w:r>
    </w:p>
    <w:p>
      <w:pPr>
        <w:pStyle w:val="BodyText"/>
        <w:spacing w:line="240" w:lineRule="auto" w:before="63"/>
        <w:ind w:left="573" w:right="2028"/>
        <w:jc w:val="left"/>
      </w:pPr>
      <w:r>
        <w:rPr/>
        <w:t>（</w:t>
      </w:r>
      <w:r>
        <w:rPr>
          <w:rFonts w:ascii="Times New Roman" w:hAnsi="Times New Roman" w:cs="Times New Roman" w:eastAsia="Times New Roman" w:hint="default"/>
        </w:rPr>
        <w:t>1</w:t>
      </w:r>
      <w:r>
        <w:rPr/>
        <w:t>）固定资产、投资性房地产抵押</w:t>
      </w:r>
    </w:p>
    <w:p>
      <w:pPr>
        <w:pStyle w:val="BodyText"/>
        <w:spacing w:line="307" w:lineRule="auto" w:before="63"/>
        <w:ind w:left="212" w:right="103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日，子公司北京宇信金地科技有限公司与北京银行中关村科技园区支行签订编号</w:t>
      </w:r>
      <w:r>
        <w:rPr>
          <w:rFonts w:ascii="Times New Roman" w:hAnsi="Times New Roman" w:cs="Times New Roman" w:eastAsia="Times New Roman" w:hint="default"/>
        </w:rPr>
        <w:t>[0569832-001]</w:t>
      </w:r>
      <w:r>
        <w:rPr/>
        <w:t>最高额抵押 </w:t>
      </w:r>
      <w:r>
        <w:rPr>
          <w:spacing w:val="-2"/>
        </w:rPr>
        <w:t>合同，以北京宇信金地科技有限公司产权证号京（</w:t>
      </w:r>
      <w:r>
        <w:rPr>
          <w:rFonts w:ascii="Times New Roman" w:hAnsi="Times New Roman" w:cs="Times New Roman" w:eastAsia="Times New Roman" w:hint="default"/>
          <w:spacing w:val="-2"/>
        </w:rPr>
        <w:t>2017</w:t>
      </w:r>
      <w:r>
        <w:rPr>
          <w:spacing w:val="-2"/>
        </w:rPr>
        <w:t>）朝不动产权第</w:t>
      </w:r>
      <w:r>
        <w:rPr>
          <w:rFonts w:ascii="Times New Roman" w:hAnsi="Times New Roman" w:cs="Times New Roman" w:eastAsia="Times New Roman" w:hint="default"/>
          <w:spacing w:val="-2"/>
        </w:rPr>
        <w:t>0033183</w:t>
      </w:r>
      <w:r>
        <w:rPr>
          <w:spacing w:val="-2"/>
        </w:rPr>
        <w:t>号、</w:t>
      </w:r>
      <w:r>
        <w:rPr>
          <w:rFonts w:ascii="Times New Roman" w:hAnsi="Times New Roman" w:cs="Times New Roman" w:eastAsia="Times New Roman" w:hint="default"/>
          <w:spacing w:val="-2"/>
        </w:rPr>
        <w:t>0036040</w:t>
      </w:r>
      <w:r>
        <w:rPr>
          <w:spacing w:val="-2"/>
        </w:rPr>
        <w:t>号的位于北京市朝阳区酒仙桥东</w:t>
      </w:r>
      <w:r>
        <w:rPr>
          <w:spacing w:val="-52"/>
        </w:rPr>
        <w:t> </w:t>
      </w:r>
      <w:r>
        <w:rPr/>
        <w:t>路</w:t>
      </w:r>
      <w:r>
        <w:rPr>
          <w:rFonts w:ascii="Times New Roman" w:hAnsi="Times New Roman" w:cs="Times New Roman" w:eastAsia="Times New Roman" w:hint="default"/>
        </w:rPr>
        <w:t>9</w:t>
      </w:r>
      <w:r>
        <w:rPr/>
        <w:t>号院</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5</w:t>
      </w:r>
      <w:r>
        <w:rPr/>
        <w:t>层</w:t>
      </w:r>
      <w:r>
        <w:rPr>
          <w:rFonts w:ascii="Times New Roman" w:hAnsi="Times New Roman" w:cs="Times New Roman" w:eastAsia="Times New Roman" w:hint="default"/>
        </w:rPr>
        <w:t>502</w:t>
      </w:r>
      <w:r>
        <w:rPr/>
        <w:t>、</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602</w:t>
      </w:r>
      <w:r>
        <w:rPr/>
        <w:t>房产为抵押物，为本公司与北京银行订立的编号为</w:t>
      </w:r>
      <w:r>
        <w:rPr>
          <w:rFonts w:ascii="Times New Roman" w:hAnsi="Times New Roman" w:cs="Times New Roman" w:eastAsia="Times New Roman" w:hint="default"/>
        </w:rPr>
        <w:t>[0569832]</w:t>
      </w:r>
      <w:r>
        <w:rPr/>
        <w:t>的《综合授信合同》项下的借款</w:t>
      </w:r>
      <w:r>
        <w:rPr>
          <w:spacing w:val="-40"/>
        </w:rPr>
        <w:t> </w:t>
      </w:r>
      <w:r>
        <w:rPr>
          <w:spacing w:val="-40"/>
        </w:rPr>
      </w:r>
      <w:r>
        <w:rPr/>
        <w:t>合同提供抵押担保。被担保债权为主合同项下北京银行（及按主合同约定取得债权人地位的北京银行系统内其他分支机构） </w:t>
      </w:r>
      <w:r>
        <w:rPr>
          <w:spacing w:val="-2"/>
        </w:rPr>
        <w:t>的全部债权，包括主债权本金（最高限额为人民币肆亿元整）以及利息、罚息、违约金、损害赔偿金、实现债权和担保权益</w:t>
      </w:r>
      <w:r>
        <w:rPr>
          <w:spacing w:val="-70"/>
        </w:rPr>
        <w:t> </w:t>
      </w:r>
      <w:r>
        <w:rPr>
          <w:spacing w:val="-70"/>
        </w:rPr>
      </w:r>
      <w:r>
        <w:rPr/>
        <w:t>等其他款项。截止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日，抵押物账面价值</w:t>
      </w:r>
      <w:r>
        <w:rPr>
          <w:rFonts w:ascii="Times New Roman" w:hAnsi="Times New Roman" w:cs="Times New Roman" w:eastAsia="Times New Roman" w:hint="default"/>
        </w:rPr>
        <w:t>5,455.92</w:t>
      </w:r>
      <w:r>
        <w:rPr/>
        <w:t>万元。</w:t>
      </w:r>
    </w:p>
    <w:p>
      <w:pPr>
        <w:pStyle w:val="BodyText"/>
        <w:spacing w:line="240" w:lineRule="auto" w:before="7"/>
        <w:ind w:left="573" w:right="2028"/>
        <w:jc w:val="left"/>
      </w:pPr>
      <w:r>
        <w:rPr/>
        <w:t>（</w:t>
      </w:r>
      <w:r>
        <w:rPr>
          <w:rFonts w:ascii="Times New Roman" w:hAnsi="Times New Roman" w:cs="Times New Roman" w:eastAsia="Times New Roman" w:hint="default"/>
        </w:rPr>
        <w:t>2</w:t>
      </w:r>
      <w:r>
        <w:rPr/>
        <w:t>）无形资产、在建工程抵押</w:t>
      </w:r>
    </w:p>
    <w:p>
      <w:pPr>
        <w:spacing w:after="0" w:line="240" w:lineRule="auto"/>
        <w:jc w:val="left"/>
        <w:sectPr>
          <w:pgSz w:w="11910" w:h="16840"/>
          <w:pgMar w:header="852" w:footer="980" w:top="1300" w:bottom="1160" w:left="920" w:right="0"/>
        </w:sectPr>
      </w:pPr>
    </w:p>
    <w:p>
      <w:pPr>
        <w:pStyle w:val="BodyText"/>
        <w:spacing w:line="300" w:lineRule="auto" w:before="142"/>
        <w:ind w:right="1131"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w:t>
      </w:r>
      <w:r>
        <w:rPr>
          <w:spacing w:val="-59"/>
        </w:rPr>
        <w:t> </w:t>
      </w:r>
      <w:r>
        <w:rPr>
          <w:rFonts w:ascii="Times New Roman" w:hAnsi="Times New Roman" w:cs="Times New Roman" w:eastAsia="Times New Roman" w:hint="default"/>
        </w:rPr>
        <w:t>25</w:t>
      </w:r>
      <w:r>
        <w:rPr>
          <w:rFonts w:ascii="Times New Roman" w:hAnsi="Times New Roman" w:cs="Times New Roman" w:eastAsia="Times New Roman" w:hint="default"/>
          <w:spacing w:val="-13"/>
        </w:rPr>
        <w:t> </w:t>
      </w:r>
      <w:r>
        <w:rPr/>
        <w:t>日</w:t>
      </w:r>
      <w:r>
        <w:rPr>
          <w:spacing w:val="-60"/>
        </w:rPr>
        <w:t> </w:t>
      </w:r>
      <w:r>
        <w:rPr/>
        <w:t>，</w:t>
      </w:r>
      <w:r>
        <w:rPr>
          <w:spacing w:val="-60"/>
        </w:rPr>
        <w:t> </w:t>
      </w:r>
      <w:r>
        <w:rPr/>
        <w:t>子</w:t>
      </w:r>
      <w:r>
        <w:rPr>
          <w:spacing w:val="-60"/>
        </w:rPr>
        <w:t> </w:t>
      </w:r>
      <w:r>
        <w:rPr/>
        <w:t>公</w:t>
      </w:r>
      <w:r>
        <w:rPr>
          <w:spacing w:val="-57"/>
        </w:rPr>
        <w:t> </w:t>
      </w:r>
      <w:r>
        <w:rPr/>
        <w:t>司</w:t>
      </w:r>
      <w:r>
        <w:rPr>
          <w:spacing w:val="-57"/>
        </w:rPr>
        <w:t> </w:t>
      </w:r>
      <w:r>
        <w:rPr/>
        <w:t>珠</w:t>
      </w:r>
      <w:r>
        <w:rPr>
          <w:spacing w:val="-60"/>
        </w:rPr>
        <w:t> </w:t>
      </w:r>
      <w:r>
        <w:rPr/>
        <w:t>海</w:t>
      </w:r>
      <w:r>
        <w:rPr>
          <w:spacing w:val="-60"/>
        </w:rPr>
        <w:t> </w:t>
      </w:r>
      <w:r>
        <w:rPr/>
        <w:t>宇</w:t>
      </w:r>
      <w:r>
        <w:rPr>
          <w:spacing w:val="-57"/>
        </w:rPr>
        <w:t> </w:t>
      </w:r>
      <w:r>
        <w:rPr/>
        <w:t>诚</w:t>
      </w:r>
      <w:r>
        <w:rPr>
          <w:spacing w:val="-60"/>
        </w:rPr>
        <w:t> </w:t>
      </w:r>
      <w:r>
        <w:rPr/>
        <w:t>信</w:t>
      </w:r>
      <w:r>
        <w:rPr>
          <w:spacing w:val="-57"/>
        </w:rPr>
        <w:t> </w:t>
      </w:r>
      <w:r>
        <w:rPr/>
        <w:t>科</w:t>
      </w:r>
      <w:r>
        <w:rPr>
          <w:spacing w:val="-60"/>
        </w:rPr>
        <w:t> </w:t>
      </w:r>
      <w:r>
        <w:rPr/>
        <w:t>技</w:t>
      </w:r>
      <w:r>
        <w:rPr>
          <w:spacing w:val="-57"/>
        </w:rPr>
        <w:t> </w:t>
      </w:r>
      <w:r>
        <w:rPr/>
        <w:t>有</w:t>
      </w:r>
      <w:r>
        <w:rPr>
          <w:spacing w:val="-60"/>
        </w:rPr>
        <w:t> </w:t>
      </w:r>
      <w:r>
        <w:rPr/>
        <w:t>限</w:t>
      </w:r>
      <w:r>
        <w:rPr>
          <w:spacing w:val="-57"/>
        </w:rPr>
        <w:t> </w:t>
      </w:r>
      <w:r>
        <w:rPr/>
        <w:t>公</w:t>
      </w:r>
      <w:r>
        <w:rPr>
          <w:spacing w:val="-60"/>
        </w:rPr>
        <w:t> </w:t>
      </w:r>
      <w:r>
        <w:rPr/>
        <w:t>司</w:t>
      </w:r>
      <w:r>
        <w:rPr>
          <w:spacing w:val="-57"/>
        </w:rPr>
        <w:t> </w:t>
      </w:r>
      <w:r>
        <w:rPr/>
        <w:t>与</w:t>
      </w:r>
      <w:r>
        <w:rPr>
          <w:spacing w:val="-60"/>
        </w:rPr>
        <w:t> </w:t>
      </w:r>
      <w:r>
        <w:rPr/>
        <w:t>上</w:t>
      </w:r>
      <w:r>
        <w:rPr>
          <w:spacing w:val="-60"/>
        </w:rPr>
        <w:t> </w:t>
      </w:r>
      <w:r>
        <w:rPr/>
        <w:t>海</w:t>
      </w:r>
      <w:r>
        <w:rPr>
          <w:spacing w:val="-57"/>
        </w:rPr>
        <w:t> </w:t>
      </w:r>
      <w:r>
        <w:rPr/>
        <w:t>浦</w:t>
      </w:r>
      <w:r>
        <w:rPr>
          <w:spacing w:val="-60"/>
        </w:rPr>
        <w:t> </w:t>
      </w:r>
      <w:r>
        <w:rPr/>
        <w:t>东</w:t>
      </w:r>
      <w:r>
        <w:rPr>
          <w:spacing w:val="-57"/>
        </w:rPr>
        <w:t> </w:t>
      </w:r>
      <w:r>
        <w:rPr/>
        <w:t>发</w:t>
      </w:r>
      <w:r>
        <w:rPr>
          <w:spacing w:val="-60"/>
        </w:rPr>
        <w:t> </w:t>
      </w:r>
      <w:r>
        <w:rPr/>
        <w:t>展</w:t>
      </w:r>
      <w:r>
        <w:rPr>
          <w:spacing w:val="-57"/>
        </w:rPr>
        <w:t> </w:t>
      </w:r>
      <w:r>
        <w:rPr/>
        <w:t>股</w:t>
      </w:r>
      <w:r>
        <w:rPr>
          <w:spacing w:val="-60"/>
        </w:rPr>
        <w:t> </w:t>
      </w:r>
      <w:r>
        <w:rPr/>
        <w:t>份</w:t>
      </w:r>
      <w:r>
        <w:rPr>
          <w:spacing w:val="-57"/>
        </w:rPr>
        <w:t> </w:t>
      </w:r>
      <w:r>
        <w:rPr/>
        <w:t>有</w:t>
      </w:r>
      <w:r>
        <w:rPr>
          <w:spacing w:val="-60"/>
        </w:rPr>
        <w:t> </w:t>
      </w:r>
      <w:r>
        <w:rPr/>
        <w:t>限</w:t>
      </w:r>
      <w:r>
        <w:rPr>
          <w:spacing w:val="-57"/>
        </w:rPr>
        <w:t> </w:t>
      </w:r>
      <w:r>
        <w:rPr/>
        <w:t>公</w:t>
      </w:r>
      <w:r>
        <w:rPr>
          <w:spacing w:val="-60"/>
        </w:rPr>
        <w:t> </w:t>
      </w:r>
      <w:r>
        <w:rPr/>
        <w:t>司</w:t>
      </w:r>
      <w:r>
        <w:rPr>
          <w:spacing w:val="-60"/>
        </w:rPr>
        <w:t> </w:t>
      </w:r>
      <w:r>
        <w:rPr/>
        <w:t>珠</w:t>
      </w:r>
      <w:r>
        <w:rPr>
          <w:spacing w:val="-57"/>
        </w:rPr>
        <w:t> </w:t>
      </w:r>
      <w:r>
        <w:rPr/>
        <w:t>海</w:t>
      </w:r>
      <w:r>
        <w:rPr>
          <w:spacing w:val="-60"/>
        </w:rPr>
        <w:t> </w:t>
      </w:r>
      <w:r>
        <w:rPr/>
        <w:t>分</w:t>
      </w:r>
      <w:r>
        <w:rPr>
          <w:spacing w:val="-57"/>
        </w:rPr>
        <w:t> </w:t>
      </w:r>
      <w:r>
        <w:rPr/>
        <w:t>行</w:t>
      </w:r>
      <w:r>
        <w:rPr>
          <w:spacing w:val="-60"/>
        </w:rPr>
        <w:t> </w:t>
      </w:r>
      <w:r>
        <w:rPr/>
        <w:t>签</w:t>
      </w:r>
      <w:r>
        <w:rPr>
          <w:spacing w:val="-57"/>
        </w:rPr>
        <w:t> </w:t>
      </w:r>
      <w:r>
        <w:rPr/>
        <w:t>订</w:t>
      </w:r>
      <w:r>
        <w:rPr>
          <w:spacing w:val="-60"/>
        </w:rPr>
        <w:t> </w:t>
      </w:r>
      <w:r>
        <w:rPr/>
        <w:t>编</w:t>
      </w:r>
      <w:r>
        <w:rPr>
          <w:spacing w:val="-57"/>
        </w:rPr>
        <w:t> </w:t>
      </w:r>
      <w:r>
        <w:rPr/>
        <w:t>号</w:t>
      </w:r>
      <w:r>
        <w:rPr>
          <w:spacing w:val="-60"/>
        </w:rPr>
        <w:t> </w:t>
      </w:r>
      <w:r>
        <w:rPr/>
        <w:t>：</w:t>
      </w:r>
      <w:r>
        <w:rPr/>
        <w:t> </w:t>
      </w:r>
      <w:r>
        <w:rPr>
          <w:rFonts w:ascii="Times New Roman" w:hAnsi="Times New Roman" w:cs="Times New Roman" w:eastAsia="Times New Roman" w:hint="default"/>
        </w:rPr>
        <w:t>ZD1961201600000065</w:t>
      </w:r>
      <w:r>
        <w:rPr/>
        <w:t>最高额抵押合同，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日，签订编号</w:t>
      </w:r>
      <w:r>
        <w:rPr>
          <w:rFonts w:ascii="Times New Roman" w:hAnsi="Times New Roman" w:cs="Times New Roman" w:eastAsia="Times New Roman" w:hint="default"/>
        </w:rPr>
        <w:t>ZD1961201900000009</w:t>
      </w:r>
      <w:r>
        <w:rPr/>
        <w:t>最高额抵押合同，以位于珠海市横</w:t>
      </w:r>
      <w:r>
        <w:rPr>
          <w:spacing w:val="-44"/>
        </w:rPr>
        <w:t> </w:t>
      </w:r>
      <w:r>
        <w:rPr>
          <w:spacing w:val="-44"/>
        </w:rPr>
      </w:r>
      <w:r>
        <w:rPr/>
        <w:t>琴新区艺文二道东侧、港澳大道南侧、艺文一道西侧、濠江路北侧编号为粤（</w:t>
      </w:r>
      <w:r>
        <w:rPr>
          <w:rFonts w:ascii="Times New Roman" w:hAnsi="Times New Roman" w:cs="Times New Roman" w:eastAsia="Times New Roman" w:hint="default"/>
        </w:rPr>
        <w:t>2016</w:t>
      </w:r>
      <w:r>
        <w:rPr/>
        <w:t>）珠海市不动产权第</w:t>
      </w:r>
      <w:r>
        <w:rPr>
          <w:rFonts w:ascii="Times New Roman" w:hAnsi="Times New Roman" w:cs="Times New Roman" w:eastAsia="Times New Roman" w:hint="default"/>
        </w:rPr>
        <w:t>0023642</w:t>
      </w:r>
      <w:r>
        <w:rPr/>
        <w:t>号的土地使</w:t>
      </w:r>
      <w:r>
        <w:rPr>
          <w:spacing w:val="-86"/>
        </w:rPr>
        <w:t> </w:t>
      </w:r>
      <w:r>
        <w:rPr>
          <w:spacing w:val="-86"/>
        </w:rPr>
      </w:r>
      <w:r>
        <w:rPr>
          <w:spacing w:val="-2"/>
        </w:rPr>
        <w:t>用权及</w:t>
      </w:r>
      <w:r>
        <w:rPr>
          <w:rFonts w:ascii="Times New Roman" w:hAnsi="Times New Roman" w:cs="Times New Roman" w:eastAsia="Times New Roman" w:hint="default"/>
          <w:spacing w:val="-2"/>
        </w:rPr>
        <w:t>“</w:t>
      </w:r>
      <w:r>
        <w:rPr>
          <w:spacing w:val="-2"/>
        </w:rPr>
        <w:t>宇信大厦</w:t>
      </w:r>
      <w:r>
        <w:rPr>
          <w:rFonts w:ascii="Times New Roman" w:hAnsi="Times New Roman" w:cs="Times New Roman" w:eastAsia="Times New Roman" w:hint="default"/>
          <w:spacing w:val="-2"/>
        </w:rPr>
        <w:t>”</w:t>
      </w:r>
      <w:r>
        <w:rPr>
          <w:spacing w:val="-2"/>
        </w:rPr>
        <w:t>项目在建工程为抵押物，为子公司珠海宇诚信科技有限公司与上海浦东发展股份有限公司珠海分行订立的</w:t>
      </w:r>
      <w:r>
        <w:rPr>
          <w:spacing w:val="-44"/>
        </w:rPr>
        <w:t> </w:t>
      </w:r>
      <w:r>
        <w:rPr>
          <w:spacing w:val="-44"/>
        </w:rPr>
      </w:r>
      <w:r>
        <w:rPr/>
        <w:t>编号：</w:t>
      </w:r>
      <w:r>
        <w:rPr>
          <w:rFonts w:ascii="Times New Roman" w:hAnsi="Times New Roman" w:cs="Times New Roman" w:eastAsia="Times New Roman" w:hint="default"/>
        </w:rPr>
        <w:t>BC2016101400000164</w:t>
      </w:r>
      <w:r>
        <w:rPr/>
        <w:t>融资额度协议提供抵押担保。被担保主债权为上海浦东发展股份有限公司珠海分行在自</w:t>
      </w:r>
      <w:r>
        <w:rPr>
          <w:rFonts w:ascii="Times New Roman" w:hAnsi="Times New Roman" w:cs="Times New Roman" w:eastAsia="Times New Roman" w:hint="default"/>
        </w:rPr>
        <w:t>2016</w:t>
      </w:r>
      <w:r>
        <w:rPr/>
        <w:t>年</w:t>
      </w:r>
      <w:r>
        <w:rPr>
          <w:spacing w:val="-62"/>
        </w:rPr>
        <w:t> </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日至</w:t>
      </w:r>
      <w:r>
        <w:rPr>
          <w:rFonts w:ascii="Times New Roman" w:hAnsi="Times New Roman" w:cs="Times New Roman" w:eastAsia="Times New Roman" w:hint="default"/>
          <w:spacing w:val="-2"/>
        </w:rPr>
        <w:t>2026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日止的期间内与子公司珠海宇诚信科技有限公司办理各类融资业务所发生债权，包括：主债权本金</w:t>
      </w:r>
    </w:p>
    <w:p>
      <w:pPr>
        <w:pStyle w:val="BodyText"/>
        <w:spacing w:line="300" w:lineRule="auto" w:before="13"/>
        <w:ind w:right="1128"/>
        <w:jc w:val="both"/>
      </w:pPr>
      <w:r>
        <w:rPr>
          <w:spacing w:val="-1"/>
        </w:rPr>
        <w:t>（最高限额为人民币伍亿元肆仟万元整）及由此产生的利息</w:t>
      </w:r>
      <w:r>
        <w:rPr>
          <w:rFonts w:ascii="Times New Roman" w:hAnsi="Times New Roman" w:cs="Times New Roman" w:eastAsia="Times New Roman" w:hint="default"/>
          <w:spacing w:val="-1"/>
        </w:rPr>
        <w:t>(</w:t>
      </w:r>
      <w:r>
        <w:rPr>
          <w:spacing w:val="-1"/>
        </w:rPr>
        <w:t>包括利息、罚息和得利</w:t>
      </w:r>
      <w:r>
        <w:rPr>
          <w:rFonts w:ascii="Times New Roman" w:hAnsi="Times New Roman" w:cs="Times New Roman" w:eastAsia="Times New Roman" w:hint="default"/>
          <w:spacing w:val="-1"/>
        </w:rPr>
        <w:t>)</w:t>
      </w:r>
      <w:r>
        <w:rPr>
          <w:spacing w:val="-1"/>
        </w:rPr>
        <w:t>、违约金、损害赔偿金、手续费及其他</w:t>
      </w:r>
      <w:r>
        <w:rPr>
          <w:spacing w:val="-59"/>
        </w:rPr>
        <w:t> </w:t>
      </w:r>
      <w:r>
        <w:rPr>
          <w:spacing w:val="-59"/>
        </w:rPr>
      </w:r>
      <w:r>
        <w:rPr>
          <w:spacing w:val="-2"/>
        </w:rPr>
        <w:t>为签订或履行本合同而发生的费用、以及抵押权人实现担保权利和债权所产生的费用。截止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日，无形资产账面</w:t>
      </w:r>
      <w:r>
        <w:rPr>
          <w:spacing w:val="-58"/>
        </w:rPr>
        <w:t> </w:t>
      </w:r>
      <w:r>
        <w:rPr>
          <w:spacing w:val="-58"/>
        </w:rPr>
      </w:r>
      <w:r>
        <w:rPr/>
        <w:t>价值为</w:t>
      </w:r>
      <w:r>
        <w:rPr>
          <w:rFonts w:ascii="Times New Roman" w:hAnsi="Times New Roman" w:cs="Times New Roman" w:eastAsia="Times New Roman" w:hint="default"/>
        </w:rPr>
        <w:t>21,190.45</w:t>
      </w:r>
      <w:r>
        <w:rPr/>
        <w:t>万元，在建工程账面价值为</w:t>
      </w:r>
      <w:r>
        <w:rPr>
          <w:rFonts w:ascii="Times New Roman" w:hAnsi="Times New Roman" w:cs="Times New Roman" w:eastAsia="Times New Roman" w:hint="default"/>
        </w:rPr>
        <w:t>53,902.29</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both"/>
        <w:rPr>
          <w:b w:val="0"/>
          <w:bCs w:val="0"/>
        </w:rPr>
      </w:pPr>
      <w:bookmarkStart w:name="（2）公司没有需要披露的重要或有事项，也应予以说明" w:id="362"/>
      <w:bookmarkEnd w:id="36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十四、资产负债表日后事项" w:id="363"/>
      <w:bookmarkEnd w:id="363"/>
      <w:r>
        <w:rPr>
          <w:b w:val="0"/>
          <w:bCs w:val="0"/>
        </w:rPr>
      </w: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利润分配情况" w:id="364"/>
      <w:bookmarkEnd w:id="364"/>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60,001,500.00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60,001,500.00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其他资产负债表日后事项说明" w:id="365"/>
      <w:bookmarkEnd w:id="365"/>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123" w:hanging="72"/>
        <w:jc w:val="left"/>
      </w:pPr>
      <w:r>
        <w:rPr/>
        <w:t>（</w:t>
      </w:r>
      <w:r>
        <w:rPr>
          <w:rFonts w:ascii="Times New Roman" w:hAnsi="Times New Roman" w:cs="Times New Roman" w:eastAsia="Times New Roman" w:hint="default"/>
        </w:rPr>
        <w:t>1</w:t>
      </w:r>
      <w:r>
        <w:rPr/>
        <w:t>）对新冠肺炎疫情影响的评估 新冠肺炎疫情自</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月在全国爆发以来，政府采取了各项措施推进疫情防控，疫情防控形势持续向好、生产生活秩</w:t>
      </w:r>
    </w:p>
    <w:p>
      <w:pPr>
        <w:pStyle w:val="BodyText"/>
        <w:spacing w:line="215" w:lineRule="exact"/>
        <w:ind w:right="986"/>
        <w:jc w:val="left"/>
      </w:pPr>
      <w:r>
        <w:rPr/>
        <w:t>序加快恢复，但仍然面临境外疫情扩散蔓延和国内人员流动和聚集增加带来疫情反弹的风险。本公司积极响应并严格执行各</w:t>
      </w:r>
    </w:p>
    <w:p>
      <w:pPr>
        <w:pStyle w:val="BodyText"/>
        <w:spacing w:line="357" w:lineRule="auto" w:before="76"/>
        <w:ind w:left="513" w:right="986" w:hanging="361"/>
        <w:jc w:val="left"/>
      </w:pPr>
      <w:r>
        <w:rPr/>
        <w:t>级政府对新冠肺炎疫情的各项防控规定和要求，在做好疫情防控工作的基础上，尽快有序地安排复工。 </w:t>
      </w:r>
      <w:r>
        <w:rPr>
          <w:spacing w:val="-2"/>
        </w:rPr>
        <w:t>本公司预计此次新冠肺炎疫情及防控措施将对公司的生产和经营造成一定的暂时性影响，包括春节后员工延缓复工及客</w:t>
      </w:r>
    </w:p>
    <w:p>
      <w:pPr>
        <w:pStyle w:val="BodyText"/>
        <w:spacing w:line="224" w:lineRule="exact"/>
        <w:ind w:right="1133"/>
        <w:jc w:val="left"/>
      </w:pPr>
      <w:r>
        <w:rPr/>
        <w:t>户延缓复工导致项目验收延迟等，影响程度取决于疫情防控的进展情况、持续时间以及各地防控政策的实施情况。</w:t>
      </w:r>
    </w:p>
    <w:p>
      <w:pPr>
        <w:pStyle w:val="BodyText"/>
        <w:spacing w:line="316" w:lineRule="auto" w:before="117"/>
        <w:ind w:right="1129" w:firstLine="360"/>
        <w:jc w:val="both"/>
      </w:pPr>
      <w:r>
        <w:rPr>
          <w:spacing w:val="-2"/>
        </w:rPr>
        <w:t>本公司将继续密切关注新冠肺炎疫情发展情况，评估和积极应对其对本公司财务状况、经营成果等方面的影响。截至本</w:t>
      </w:r>
      <w:r>
        <w:rPr/>
        <w:t> 报告报出日，该评估工作尚在进行当中。</w:t>
      </w:r>
    </w:p>
    <w:p>
      <w:pPr>
        <w:pStyle w:val="BodyText"/>
        <w:spacing w:line="300" w:lineRule="auto" w:before="59"/>
        <w:ind w:right="1128"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13</w:t>
      </w:r>
      <w:r>
        <w:rPr>
          <w:spacing w:val="-2"/>
        </w:rPr>
        <w:t>日，珠海宇信易诚科技有限公司与趣街（天津）科技有限公司签订增资协议，协议约定珠海宇信易诚</w:t>
      </w:r>
      <w:r>
        <w:rPr/>
        <w:t> 科技有限公司出资</w:t>
      </w:r>
      <w:r>
        <w:rPr>
          <w:rFonts w:ascii="Times New Roman" w:hAnsi="Times New Roman" w:cs="Times New Roman" w:eastAsia="Times New Roman" w:hint="default"/>
        </w:rPr>
        <w:t>400</w:t>
      </w:r>
      <w:r>
        <w:rPr/>
        <w:t>万元取得趣街（天津）科技有限公司</w:t>
      </w:r>
      <w:r>
        <w:rPr>
          <w:rFonts w:ascii="Times New Roman" w:hAnsi="Times New Roman" w:cs="Times New Roman" w:eastAsia="Times New Roman" w:hint="default"/>
        </w:rPr>
        <w:t>20%</w:t>
      </w:r>
      <w:r>
        <w:rPr/>
        <w:t>的股权，第一期增资款</w:t>
      </w:r>
      <w:r>
        <w:rPr>
          <w:rFonts w:ascii="Times New Roman" w:hAnsi="Times New Roman" w:cs="Times New Roman" w:eastAsia="Times New Roman" w:hint="default"/>
        </w:rPr>
        <w:t>200</w:t>
      </w:r>
      <w:r>
        <w:rPr/>
        <w:t>万元完成后，增资方取得</w:t>
      </w:r>
      <w:r>
        <w:rPr>
          <w:rFonts w:ascii="Times New Roman" w:hAnsi="Times New Roman" w:cs="Times New Roman" w:eastAsia="Times New Roman" w:hint="default"/>
        </w:rPr>
        <w:t>11.111%</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1"/>
        </w:rPr>
        <w:t>的股权，第二期增资款</w:t>
      </w:r>
      <w:r>
        <w:rPr>
          <w:rFonts w:ascii="Times New Roman" w:hAnsi="Times New Roman" w:cs="Times New Roman" w:eastAsia="Times New Roman" w:hint="default"/>
          <w:spacing w:val="-1"/>
        </w:rPr>
        <w:t>200</w:t>
      </w:r>
      <w:r>
        <w:rPr>
          <w:spacing w:val="-1"/>
        </w:rPr>
        <w:t>万元完成后，投资方合计持有公司</w:t>
      </w:r>
      <w:r>
        <w:rPr>
          <w:rFonts w:ascii="Times New Roman" w:hAnsi="Times New Roman" w:cs="Times New Roman" w:eastAsia="Times New Roman" w:hint="default"/>
          <w:spacing w:val="-1"/>
        </w:rPr>
        <w:t>20%</w:t>
      </w:r>
      <w:r>
        <w:rPr>
          <w:spacing w:val="-1"/>
        </w:rPr>
        <w:t>的股权，珠海宇信易诚科技有限公司已于</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13</w:t>
      </w:r>
      <w:r>
        <w:rPr>
          <w:spacing w:val="-1"/>
        </w:rPr>
        <w:t>日支</w:t>
      </w:r>
      <w:r>
        <w:rPr>
          <w:spacing w:val="-85"/>
        </w:rPr>
        <w:t> </w:t>
      </w:r>
      <w:r>
        <w:rPr/>
        <w:t>付第一期增资款</w:t>
      </w:r>
      <w:r>
        <w:rPr>
          <w:rFonts w:ascii="Times New Roman" w:hAnsi="Times New Roman" w:cs="Times New Roman" w:eastAsia="Times New Roman" w:hint="default"/>
        </w:rPr>
        <w:t>200</w:t>
      </w:r>
      <w:r>
        <w:rPr/>
        <w:t>万元，按约定取得趣街（天津）科技有限公司</w:t>
      </w:r>
      <w:r>
        <w:rPr>
          <w:rFonts w:ascii="Times New Roman" w:hAnsi="Times New Roman" w:cs="Times New Roman" w:eastAsia="Times New Roman" w:hint="default"/>
        </w:rPr>
        <w:t>11.111%</w:t>
      </w:r>
      <w:r>
        <w:rPr/>
        <w:t>的股权。</w:t>
      </w:r>
    </w:p>
    <w:p>
      <w:pPr>
        <w:pStyle w:val="BodyText"/>
        <w:spacing w:line="300" w:lineRule="auto" w:before="13"/>
        <w:ind w:right="1128" w:firstLine="36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24</w:t>
      </w:r>
      <w:r>
        <w:rPr>
          <w:spacing w:val="-1"/>
        </w:rPr>
        <w:t>日，上海泽学教育科技有限公司与各投资方签订增资协议，约定本公司以人民币</w:t>
      </w:r>
      <w:r>
        <w:rPr>
          <w:rFonts w:ascii="Times New Roman" w:hAnsi="Times New Roman" w:cs="Times New Roman" w:eastAsia="Times New Roman" w:hint="default"/>
          <w:spacing w:val="-1"/>
        </w:rPr>
        <w:t>1,500</w:t>
      </w:r>
      <w:r>
        <w:rPr>
          <w:spacing w:val="-1"/>
        </w:rPr>
        <w:t>万元认购其人</w:t>
      </w:r>
      <w:r>
        <w:rPr/>
        <w:t> </w:t>
      </w:r>
      <w:r>
        <w:rPr>
          <w:spacing w:val="-1"/>
        </w:rPr>
        <w:t>民币</w:t>
      </w:r>
      <w:r>
        <w:rPr>
          <w:rFonts w:ascii="Times New Roman" w:hAnsi="Times New Roman" w:cs="Times New Roman" w:eastAsia="Times New Roman" w:hint="default"/>
          <w:spacing w:val="-1"/>
        </w:rPr>
        <w:t>115.3846</w:t>
      </w:r>
      <w:r>
        <w:rPr>
          <w:spacing w:val="-1"/>
        </w:rPr>
        <w:t>万元的新增注册资本，对应于本次交易后</w:t>
      </w:r>
      <w:r>
        <w:rPr>
          <w:rFonts w:ascii="Times New Roman" w:hAnsi="Times New Roman" w:cs="Times New Roman" w:eastAsia="Times New Roman" w:hint="default"/>
          <w:spacing w:val="-1"/>
        </w:rPr>
        <w:t>5%</w:t>
      </w:r>
      <w:r>
        <w:rPr>
          <w:spacing w:val="-1"/>
        </w:rPr>
        <w:t>的股权，公司于</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w:t>
      </w:r>
      <w:r>
        <w:rPr>
          <w:spacing w:val="-1"/>
        </w:rPr>
        <w:t>日出资到位，按约定取得上海泽学教</w:t>
      </w:r>
      <w:r>
        <w:rPr>
          <w:spacing w:val="-45"/>
        </w:rPr>
        <w:t> </w:t>
      </w:r>
      <w:r>
        <w:rPr>
          <w:spacing w:val="-45"/>
        </w:rPr>
      </w:r>
      <w:r>
        <w:rPr/>
        <w:t>育科技有限公司</w:t>
      </w:r>
      <w:r>
        <w:rPr>
          <w:rFonts w:ascii="Times New Roman" w:hAnsi="Times New Roman" w:cs="Times New Roman" w:eastAsia="Times New Roman" w:hint="default"/>
        </w:rPr>
        <w:t>5%</w:t>
      </w:r>
      <w:r>
        <w:rPr/>
        <w:t>的股权。</w:t>
      </w:r>
    </w:p>
    <w:p>
      <w:pPr>
        <w:pStyle w:val="BodyText"/>
        <w:spacing w:line="300" w:lineRule="auto" w:before="13"/>
        <w:ind w:right="1131" w:firstLine="288"/>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日，中关村科技租赁股份有限公司与各投资方签订基石投资协议，约定本公司以人民币</w:t>
      </w:r>
      <w:r>
        <w:rPr>
          <w:rFonts w:ascii="Times New Roman" w:hAnsi="Times New Roman" w:cs="Times New Roman" w:eastAsia="Times New Roman" w:hint="default"/>
        </w:rPr>
        <w:t>3,000</w:t>
      </w:r>
      <w:r>
        <w:rPr/>
        <w:t>万元认 购其港股</w:t>
      </w:r>
      <w:r>
        <w:rPr>
          <w:rFonts w:ascii="Times New Roman" w:hAnsi="Times New Roman" w:cs="Times New Roman" w:eastAsia="Times New Roman" w:hint="default"/>
        </w:rPr>
        <w:t>IPO</w:t>
      </w:r>
      <w:r>
        <w:rPr/>
        <w:t>股份</w:t>
      </w:r>
      <w:r>
        <w:rPr>
          <w:rFonts w:ascii="Times New Roman" w:hAnsi="Times New Roman" w:cs="Times New Roman" w:eastAsia="Times New Roman" w:hint="default"/>
        </w:rPr>
        <w:t>1.6534%</w:t>
      </w: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日出资人民币</w:t>
      </w:r>
      <w:r>
        <w:rPr>
          <w:rFonts w:ascii="Times New Roman" w:hAnsi="Times New Roman" w:cs="Times New Roman" w:eastAsia="Times New Roman" w:hint="default"/>
        </w:rPr>
        <w:t>3,000</w:t>
      </w:r>
      <w:r>
        <w:rPr/>
        <w:t>万元，按约定取得中关村科技租赁股份有限公司</w:t>
      </w:r>
      <w:r>
        <w:rPr>
          <w:rFonts w:ascii="Times New Roman" w:hAnsi="Times New Roman" w:cs="Times New Roman" w:eastAsia="Times New Roman" w:hint="default"/>
        </w:rPr>
        <w:t>1.6534%</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的股权。</w:t>
      </w:r>
    </w:p>
    <w:p>
      <w:pPr>
        <w:spacing w:after="0" w:line="300" w:lineRule="auto"/>
        <w:jc w:val="both"/>
        <w:sectPr>
          <w:pgSz w:w="11910" w:h="16840"/>
          <w:pgMar w:header="852" w:footer="980" w:top="1300" w:bottom="1160" w:left="980" w:right="0"/>
        </w:sectPr>
      </w:pPr>
    </w:p>
    <w:p>
      <w:pPr>
        <w:pStyle w:val="BodyText"/>
        <w:spacing w:line="240" w:lineRule="auto" w:before="142"/>
        <w:ind w:left="513" w:right="1133"/>
        <w:jc w:val="left"/>
      </w:pPr>
      <w:r>
        <w:rPr/>
        <w:t>（</w:t>
      </w:r>
      <w:r>
        <w:rPr>
          <w:rFonts w:ascii="Times New Roman" w:hAnsi="Times New Roman" w:cs="Times New Roman" w:eastAsia="Times New Roman" w:hint="default"/>
        </w:rPr>
        <w:t>5</w:t>
      </w:r>
      <w:r>
        <w:rPr/>
        <w:t>）子公司珠海宇诚信科技有限公司增资事项</w:t>
      </w:r>
    </w:p>
    <w:p>
      <w:pPr>
        <w:pStyle w:val="BodyText"/>
        <w:spacing w:line="300" w:lineRule="auto" w:before="63"/>
        <w:ind w:right="1130" w:firstLine="360"/>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日公司第二届董事会第十三次会议审议通过，控股子公司珠海宇诚信科技有限公司拟将注册资本由</w:t>
      </w:r>
      <w:r>
        <w:rPr>
          <w:rFonts w:ascii="Times New Roman" w:hAnsi="Times New Roman" w:cs="Times New Roman" w:eastAsia="Times New Roman" w:hint="default"/>
        </w:rPr>
        <w:t>10,000 </w:t>
      </w:r>
      <w:r>
        <w:rPr>
          <w:spacing w:val="-2"/>
        </w:rPr>
        <w:t>万元增加至</w:t>
      </w:r>
      <w:r>
        <w:rPr>
          <w:rFonts w:ascii="Times New Roman" w:hAnsi="Times New Roman" w:cs="Times New Roman" w:eastAsia="Times New Roman" w:hint="default"/>
          <w:spacing w:val="-2"/>
        </w:rPr>
        <w:t>14,826.50</w:t>
      </w:r>
      <w:r>
        <w:rPr>
          <w:spacing w:val="-2"/>
        </w:rPr>
        <w:t>万元，公司拟放弃本次增资的优先认缴出资权。珠海宇诚信少数股东方刘敬东、张昱以及公司控股股东</w:t>
      </w:r>
      <w:r>
        <w:rPr>
          <w:spacing w:val="-56"/>
        </w:rPr>
        <w:t> </w:t>
      </w:r>
      <w:r>
        <w:rPr>
          <w:spacing w:val="-56"/>
        </w:rPr>
      </w:r>
      <w:r>
        <w:rPr>
          <w:spacing w:val="-3"/>
        </w:rPr>
        <w:t>珠海宇琴鸿泰信息咨询有限公司三方共计以现金</w:t>
      </w:r>
      <w:r>
        <w:rPr>
          <w:rFonts w:ascii="Times New Roman" w:hAnsi="Times New Roman" w:cs="Times New Roman" w:eastAsia="Times New Roman" w:hint="default"/>
          <w:spacing w:val="-3"/>
        </w:rPr>
        <w:t>9,653</w:t>
      </w:r>
      <w:r>
        <w:rPr>
          <w:spacing w:val="-3"/>
        </w:rPr>
        <w:t>万元对珠海宇诚信进行增资，其中</w:t>
      </w:r>
      <w:r>
        <w:rPr>
          <w:rFonts w:ascii="Times New Roman" w:hAnsi="Times New Roman" w:cs="Times New Roman" w:eastAsia="Times New Roman" w:hint="default"/>
          <w:spacing w:val="-3"/>
        </w:rPr>
        <w:t>4,826.50</w:t>
      </w:r>
      <w:r>
        <w:rPr>
          <w:spacing w:val="-3"/>
        </w:rPr>
        <w:t>万元计入注册资本，</w:t>
      </w:r>
      <w:r>
        <w:rPr>
          <w:rFonts w:ascii="Times New Roman" w:hAnsi="Times New Roman" w:cs="Times New Roman" w:eastAsia="Times New Roman" w:hint="default"/>
          <w:spacing w:val="-3"/>
        </w:rPr>
        <w:t>4,826.50</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万元计入资本公积金。 增资完成后，公司对珠海宇诚信的持股比例由</w:t>
      </w:r>
      <w:r>
        <w:rPr>
          <w:rFonts w:ascii="Times New Roman" w:hAnsi="Times New Roman" w:cs="Times New Roman" w:eastAsia="Times New Roman" w:hint="default"/>
        </w:rPr>
        <w:t>70%</w:t>
      </w:r>
      <w:r>
        <w:rPr/>
        <w:t>降为</w:t>
      </w:r>
      <w:r>
        <w:rPr>
          <w:rFonts w:ascii="Times New Roman" w:hAnsi="Times New Roman" w:cs="Times New Roman" w:eastAsia="Times New Roman" w:hint="default"/>
        </w:rPr>
        <w:t>47.21%</w:t>
      </w:r>
      <w:r>
        <w:rPr/>
        <w:t>，珠海宇诚信将不再纳入公司合并报</w:t>
      </w:r>
      <w:r>
        <w:rPr>
          <w:spacing w:val="-73"/>
        </w:rPr>
        <w:t> </w:t>
      </w:r>
      <w:r>
        <w:rPr>
          <w:spacing w:val="-73"/>
        </w:rPr>
      </w:r>
      <w:r>
        <w:rPr/>
        <w:t>表范围。上述议案尚需股东大会审议通过。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2"/>
        <w:spacing w:line="240" w:lineRule="auto"/>
        <w:ind w:right="0"/>
        <w:jc w:val="both"/>
        <w:rPr>
          <w:b w:val="0"/>
          <w:bCs w:val="0"/>
        </w:rPr>
      </w:pPr>
      <w:bookmarkStart w:name="十五、其他重要事项" w:id="366"/>
      <w:bookmarkEnd w:id="366"/>
      <w:r>
        <w:rPr>
          <w:b w:val="0"/>
          <w:bCs w:val="0"/>
        </w:rPr>
      </w: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分部信息" w:id="367"/>
      <w:bookmarkEnd w:id="367"/>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公司无报告分部的，或者不能披露各报告分部的资产总额和负债总额的，应说明原因" w:id="368"/>
      <w:bookmarkEnd w:id="3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根据公司目前内部管理模式和报告方式，无报告分部。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其他对投资者决策有影响的重要交易和事项" w:id="369"/>
      <w:bookmarkEnd w:id="369"/>
      <w:r>
        <w:rPr>
          <w:b w:val="0"/>
          <w:bCs w:val="0"/>
        </w:rPr>
      </w: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33"/>
        <w:jc w:val="left"/>
      </w:pPr>
      <w:r>
        <w:rPr/>
        <w:t>（</w:t>
      </w:r>
      <w:r>
        <w:rPr>
          <w:rFonts w:ascii="Times New Roman" w:hAnsi="Times New Roman" w:cs="Times New Roman" w:eastAsia="Times New Roman" w:hint="default"/>
        </w:rPr>
        <w:t>1</w:t>
      </w:r>
      <w:r>
        <w:rPr/>
        <w:t>）公开发行可转换公司债券事项 </w:t>
      </w:r>
      <w:r>
        <w:rPr>
          <w:spacing w:val="-2"/>
        </w:rPr>
        <w:t>经</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日召开的第二届董事会第十一次会议、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2019</w:t>
      </w:r>
      <w:r>
        <w:rPr>
          <w:spacing w:val="-2"/>
        </w:rPr>
        <w:t>年第二次临时股东大会审议通过，公</w:t>
      </w:r>
    </w:p>
    <w:p>
      <w:pPr>
        <w:pStyle w:val="BodyText"/>
        <w:spacing w:line="300" w:lineRule="auto" w:before="13"/>
        <w:ind w:right="1131"/>
        <w:jc w:val="both"/>
      </w:pPr>
      <w:r>
        <w:rPr>
          <w:spacing w:val="-2"/>
        </w:rPr>
        <w:t>司拟申请公开发行可转换公司债券，募集资金总额不超过人民币</w:t>
      </w:r>
      <w:r>
        <w:rPr>
          <w:rFonts w:ascii="Times New Roman" w:hAnsi="Times New Roman" w:cs="Times New Roman" w:eastAsia="Times New Roman" w:hint="default"/>
          <w:spacing w:val="-2"/>
        </w:rPr>
        <w:t>68,815.30</w:t>
      </w:r>
      <w:r>
        <w:rPr>
          <w:spacing w:val="-2"/>
        </w:rPr>
        <w:t>万元。公司于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日收到中国证券监督管理</w:t>
      </w:r>
      <w:r>
        <w:rPr>
          <w:spacing w:val="-53"/>
        </w:rPr>
        <w:t> </w:t>
      </w:r>
      <w:r>
        <w:rPr>
          <w:spacing w:val="-53"/>
        </w:rPr>
      </w:r>
      <w:r>
        <w:rPr/>
        <w:t>委员会出具的《中国证监会行政许可申请受理单》（受理序号：</w:t>
      </w:r>
      <w:r>
        <w:rPr>
          <w:rFonts w:ascii="Times New Roman" w:hAnsi="Times New Roman" w:cs="Times New Roman" w:eastAsia="Times New Roman" w:hint="default"/>
        </w:rPr>
        <w:t>193166</w:t>
      </w:r>
      <w:r>
        <w:rPr/>
        <w:t>），于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日收到中国证券监督管理委员会</w:t>
      </w:r>
      <w:r>
        <w:rPr>
          <w:spacing w:val="-87"/>
        </w:rPr>
        <w:t> </w:t>
      </w:r>
      <w:r>
        <w:rPr>
          <w:spacing w:val="-87"/>
        </w:rPr>
      </w:r>
      <w:r>
        <w:rPr/>
        <w:t>出具的《中国证监会行政许可项目审查一次反馈意见通知书》</w:t>
      </w:r>
      <w:r>
        <w:rPr>
          <w:spacing w:val="42"/>
        </w:rPr>
        <w:t> </w:t>
      </w:r>
      <w:r>
        <w:rPr>
          <w:rFonts w:ascii="Times New Roman" w:hAnsi="Times New Roman" w:cs="Times New Roman" w:eastAsia="Times New Roman" w:hint="default"/>
        </w:rPr>
        <w:t>[193166</w:t>
      </w:r>
      <w:r>
        <w:rPr/>
        <w:t>号</w:t>
      </w:r>
      <w:r>
        <w:rPr>
          <w:rFonts w:ascii="Times New Roman" w:hAnsi="Times New Roman" w:cs="Times New Roman" w:eastAsia="Times New Roman" w:hint="default"/>
        </w:rPr>
        <w:t>]</w:t>
      </w:r>
      <w:r>
        <w:rPr/>
        <w:t>。公司已向中国证监会提交了延期回复申请，申</w:t>
      </w:r>
      <w:r>
        <w:rPr>
          <w:spacing w:val="-77"/>
        </w:rPr>
        <w:t> </w:t>
      </w:r>
      <w:r>
        <w:rPr>
          <w:spacing w:val="-77"/>
        </w:rPr>
      </w:r>
      <w:r>
        <w:rPr/>
        <w:t>请延期至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日前向中国证监会行政许可受理部门提交反馈意见回复等相关材料。</w:t>
      </w:r>
    </w:p>
    <w:p>
      <w:pPr>
        <w:spacing w:line="240" w:lineRule="auto" w:before="11"/>
        <w:rPr>
          <w:rFonts w:ascii="宋体" w:hAnsi="宋体" w:cs="宋体" w:eastAsia="宋体" w:hint="default"/>
          <w:sz w:val="24"/>
          <w:szCs w:val="24"/>
        </w:rPr>
      </w:pPr>
    </w:p>
    <w:p>
      <w:pPr>
        <w:pStyle w:val="BodyText"/>
        <w:spacing w:line="240" w:lineRule="auto"/>
        <w:ind w:left="513" w:right="1133"/>
        <w:jc w:val="left"/>
      </w:pPr>
      <w:r>
        <w:rPr/>
        <w:t>（</w:t>
      </w:r>
      <w:r>
        <w:rPr>
          <w:rFonts w:ascii="Times New Roman" w:hAnsi="Times New Roman" w:cs="Times New Roman" w:eastAsia="Times New Roman" w:hint="default"/>
        </w:rPr>
        <w:t>2</w:t>
      </w:r>
      <w:r>
        <w:rPr/>
        <w:t>）对新加坡宇信增加出资事项</w:t>
      </w:r>
    </w:p>
    <w:p>
      <w:pPr>
        <w:pStyle w:val="BodyText"/>
        <w:spacing w:line="300" w:lineRule="auto" w:before="63"/>
        <w:ind w:right="1128"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日第二届董事会第十二次会议审议通过子公司新加坡宇信（</w:t>
      </w:r>
      <w:r>
        <w:rPr>
          <w:rFonts w:ascii="Times New Roman" w:hAnsi="Times New Roman" w:cs="Times New Roman" w:eastAsia="Times New Roman" w:hint="default"/>
        </w:rPr>
        <w:t>YUSYSTECHNOLOGIESPTE.LTD.</w:t>
      </w:r>
      <w:r>
        <w:rPr/>
        <w:t>）因经营</w:t>
      </w:r>
      <w:r>
        <w:rPr>
          <w:spacing w:val="2"/>
        </w:rPr>
        <w:t> </w:t>
      </w:r>
      <w:r>
        <w:rPr>
          <w:spacing w:val="-2"/>
        </w:rPr>
        <w:t>发展需要增加注册资本，本次会议同意公司以全资子公司宇信鸿泰科技（香港）有限公司（以下简称</w:t>
      </w:r>
      <w:r>
        <w:rPr>
          <w:rFonts w:ascii="Times New Roman" w:hAnsi="Times New Roman" w:cs="Times New Roman" w:eastAsia="Times New Roman" w:hint="default"/>
          <w:spacing w:val="-2"/>
        </w:rPr>
        <w:t>“</w:t>
      </w:r>
      <w:r>
        <w:rPr>
          <w:spacing w:val="-2"/>
        </w:rPr>
        <w:t>香港宇信</w:t>
      </w:r>
      <w:r>
        <w:rPr>
          <w:rFonts w:ascii="Times New Roman" w:hAnsi="Times New Roman" w:cs="Times New Roman" w:eastAsia="Times New Roman" w:hint="default"/>
          <w:spacing w:val="-2"/>
        </w:rPr>
        <w:t>”</w:t>
      </w:r>
      <w:r>
        <w:rPr>
          <w:spacing w:val="-2"/>
        </w:rPr>
        <w:t>）为主体使</w:t>
      </w:r>
      <w:r>
        <w:rPr>
          <w:spacing w:val="-45"/>
        </w:rPr>
        <w:t> </w:t>
      </w:r>
      <w:r>
        <w:rPr>
          <w:spacing w:val="-45"/>
        </w:rPr>
      </w:r>
      <w:r>
        <w:rPr/>
        <w:t>用自有资金向新加坡宇信增加注册资本</w:t>
      </w:r>
      <w:r>
        <w:rPr>
          <w:rFonts w:ascii="Times New Roman" w:hAnsi="Times New Roman" w:cs="Times New Roman" w:eastAsia="Times New Roman" w:hint="default"/>
        </w:rPr>
        <w:t>999.9999</w:t>
      </w:r>
      <w:r>
        <w:rPr/>
        <w:t>万新加坡元（实缴资本</w:t>
      </w:r>
      <w:r>
        <w:rPr>
          <w:rFonts w:ascii="Times New Roman" w:hAnsi="Times New Roman" w:cs="Times New Roman" w:eastAsia="Times New Roman" w:hint="default"/>
        </w:rPr>
        <w:t>100.00</w:t>
      </w:r>
      <w:r>
        <w:rPr/>
        <w:t>万新加坡元）。增资完成后，新加坡宇信的注</w:t>
      </w:r>
      <w:r>
        <w:rPr>
          <w:spacing w:val="-86"/>
        </w:rPr>
        <w:t> </w:t>
      </w:r>
      <w:r>
        <w:rPr>
          <w:spacing w:val="-86"/>
        </w:rPr>
      </w:r>
      <w:r>
        <w:rPr/>
        <w:t>册资本将由原</w:t>
      </w:r>
      <w:r>
        <w:rPr>
          <w:rFonts w:ascii="Times New Roman" w:hAnsi="Times New Roman" w:cs="Times New Roman" w:eastAsia="Times New Roman" w:hint="default"/>
        </w:rPr>
        <w:t>1.00</w:t>
      </w:r>
      <w:r>
        <w:rPr/>
        <w:t>新加坡元增加至</w:t>
      </w:r>
      <w:r>
        <w:rPr>
          <w:rFonts w:ascii="Times New Roman" w:hAnsi="Times New Roman" w:cs="Times New Roman" w:eastAsia="Times New Roman" w:hint="default"/>
        </w:rPr>
        <w:t>1,000.00</w:t>
      </w:r>
      <w:r>
        <w:rPr/>
        <w:t>万新加坡元，仍由香港宇信</w:t>
      </w:r>
      <w:r>
        <w:rPr>
          <w:rFonts w:ascii="Times New Roman" w:hAnsi="Times New Roman" w:cs="Times New Roman" w:eastAsia="Times New Roman" w:hint="default"/>
        </w:rPr>
        <w:t>100%</w:t>
      </w:r>
      <w:r>
        <w:rPr/>
        <w:t>持股。</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日第二届董事会第十三次会</w:t>
      </w:r>
      <w:r>
        <w:rPr>
          <w:spacing w:val="-23"/>
        </w:rPr>
        <w:t> </w:t>
      </w:r>
      <w:r>
        <w:rPr>
          <w:spacing w:val="-23"/>
        </w:rPr>
      </w:r>
      <w:r>
        <w:rPr/>
        <w:t>议审议通过新加坡宇信拟增加实缴资本，从</w:t>
      </w:r>
      <w:r>
        <w:rPr>
          <w:rFonts w:ascii="Times New Roman" w:hAnsi="Times New Roman" w:cs="Times New Roman" w:eastAsia="Times New Roman" w:hint="default"/>
        </w:rPr>
        <w:t>100</w:t>
      </w:r>
      <w:r>
        <w:rPr/>
        <w:t>万新加坡元增加至</w:t>
      </w:r>
      <w:r>
        <w:rPr>
          <w:rFonts w:ascii="Times New Roman" w:hAnsi="Times New Roman" w:cs="Times New Roman" w:eastAsia="Times New Roman" w:hint="default"/>
        </w:rPr>
        <w:t>200</w:t>
      </w:r>
      <w:r>
        <w:rPr/>
        <w:t>万新加坡元，仍由香港宇信</w:t>
      </w:r>
      <w:r>
        <w:rPr>
          <w:rFonts w:ascii="Times New Roman" w:hAnsi="Times New Roman" w:cs="Times New Roman" w:eastAsia="Times New Roman" w:hint="default"/>
        </w:rPr>
        <w:t>100%</w:t>
      </w:r>
      <w:r>
        <w:rPr/>
        <w:t>持股。截止本报告批</w:t>
      </w:r>
      <w:r>
        <w:rPr>
          <w:spacing w:val="-57"/>
        </w:rPr>
        <w:t> </w:t>
      </w:r>
      <w:r>
        <w:rPr>
          <w:spacing w:val="-57"/>
        </w:rPr>
      </w:r>
      <w:r>
        <w:rPr/>
        <w:t>准报出日，尚未出资。</w:t>
      </w:r>
    </w:p>
    <w:p>
      <w:pPr>
        <w:spacing w:line="240" w:lineRule="auto" w:before="3"/>
        <w:rPr>
          <w:rFonts w:ascii="宋体" w:hAnsi="宋体" w:cs="宋体" w:eastAsia="宋体" w:hint="default"/>
          <w:sz w:val="26"/>
          <w:szCs w:val="26"/>
        </w:rPr>
      </w:pPr>
    </w:p>
    <w:p>
      <w:pPr>
        <w:pStyle w:val="BodyText"/>
        <w:spacing w:line="240" w:lineRule="auto"/>
        <w:ind w:left="513" w:right="1133"/>
        <w:jc w:val="left"/>
      </w:pPr>
      <w:r>
        <w:rPr/>
        <w:t>（</w:t>
      </w:r>
      <w:r>
        <w:rPr>
          <w:rFonts w:ascii="Times New Roman" w:hAnsi="Times New Roman" w:cs="Times New Roman" w:eastAsia="Times New Roman" w:hint="default"/>
        </w:rPr>
        <w:t>3</w:t>
      </w:r>
      <w:r>
        <w:rPr/>
        <w:t>）对全资子公司无锡宇信易诚科技有限公司增资事项</w:t>
      </w:r>
    </w:p>
    <w:p>
      <w:pPr>
        <w:pStyle w:val="BodyText"/>
        <w:spacing w:line="240" w:lineRule="auto" w:before="63"/>
        <w:ind w:left="513" w:right="1133"/>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28</w:t>
      </w:r>
      <w:r>
        <w:rPr>
          <w:spacing w:val="4"/>
        </w:rPr>
        <w:t>日第二届董事会第十二次会议审议通过《关于对无锡宇信易诚增资的议案》，公司同意使用自有资金</w:t>
      </w:r>
    </w:p>
    <w:p>
      <w:pPr>
        <w:pStyle w:val="BodyText"/>
        <w:spacing w:line="300" w:lineRule="auto" w:before="63"/>
        <w:ind w:right="986"/>
        <w:jc w:val="left"/>
      </w:pPr>
      <w:r>
        <w:rPr>
          <w:rFonts w:ascii="Times New Roman" w:hAnsi="Times New Roman" w:cs="Times New Roman" w:eastAsia="Times New Roman" w:hint="default"/>
          <w:spacing w:val="-2"/>
        </w:rPr>
        <w:t>51,000.00</w:t>
      </w:r>
      <w:r>
        <w:rPr>
          <w:spacing w:val="-2"/>
        </w:rPr>
        <w:t>万元人民币对全资子公司无锡宇信易诚科技有限公司进行增资。本次增资完成后，无锡宇信易诚科技有限公司的注</w:t>
      </w:r>
      <w:r>
        <w:rPr>
          <w:spacing w:val="-57"/>
        </w:rPr>
        <w:t> </w:t>
      </w:r>
      <w:r>
        <w:rPr>
          <w:spacing w:val="-57"/>
        </w:rPr>
      </w:r>
      <w:r>
        <w:rPr/>
        <w:t>册资本由</w:t>
      </w:r>
      <w:r>
        <w:rPr>
          <w:rFonts w:ascii="Times New Roman" w:hAnsi="Times New Roman" w:cs="Times New Roman" w:eastAsia="Times New Roman" w:hint="default"/>
        </w:rPr>
        <w:t>3,000.00</w:t>
      </w:r>
      <w:r>
        <w:rPr/>
        <w:t>万元人民币增至</w:t>
      </w:r>
      <w:r>
        <w:rPr>
          <w:rFonts w:ascii="Times New Roman" w:hAnsi="Times New Roman" w:cs="Times New Roman" w:eastAsia="Times New Roman" w:hint="default"/>
        </w:rPr>
        <w:t>54,000.00</w:t>
      </w:r>
      <w:r>
        <w:rPr/>
        <w:t>万元人民币，公司仍持有其</w:t>
      </w:r>
      <w:r>
        <w:rPr>
          <w:rFonts w:ascii="Times New Roman" w:hAnsi="Times New Roman" w:cs="Times New Roman" w:eastAsia="Times New Roman" w:hint="default"/>
        </w:rPr>
        <w:t>100%</w:t>
      </w:r>
      <w:r>
        <w:rPr/>
        <w:t>的股权。截止本报告批准报出日，尚未出资。</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3、其他" w:id="370"/>
      <w:bookmarkEnd w:id="370"/>
      <w:r>
        <w:rPr>
          <w:b w:val="0"/>
          <w:bCs w:val="0"/>
        </w:rPr>
      </w: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1133"/>
        <w:jc w:val="left"/>
      </w:pPr>
      <w:r>
        <w:rPr/>
        <w:t>本期公司不存在其他对投资者决策有影响的重要事项。</w:t>
      </w:r>
    </w:p>
    <w:p>
      <w:pPr>
        <w:spacing w:after="0" w:line="240" w:lineRule="auto"/>
        <w:jc w:val="left"/>
        <w:sectPr>
          <w:pgSz w:w="11910" w:h="16840"/>
          <w:pgMar w:header="852" w:footer="980" w:top="1300" w:bottom="1160" w:left="980" w:right="0"/>
        </w:sectPr>
      </w:pPr>
    </w:p>
    <w:p>
      <w:pPr>
        <w:pStyle w:val="Heading2"/>
        <w:spacing w:line="240" w:lineRule="auto" w:before="96"/>
        <w:ind w:right="1133"/>
        <w:jc w:val="left"/>
        <w:rPr>
          <w:b w:val="0"/>
          <w:bCs w:val="0"/>
        </w:rPr>
      </w:pPr>
      <w:bookmarkStart w:name="十六、母公司财务报表主要项目注释" w:id="371"/>
      <w:bookmarkEnd w:id="371"/>
      <w:r>
        <w:rPr>
          <w:b w:val="0"/>
          <w:bCs w:val="0"/>
        </w:rPr>
      </w: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 w:id="372"/>
      <w:bookmarkEnd w:id="37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收账款分类披露" w:id="373"/>
      <w:bookmarkEnd w:id="3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787,245,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065.82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51,036,8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736,208,2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44.04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652,010,0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25.16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35,619,17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616,390,85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3.39</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780,286,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174.70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51,036,8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729,249,3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52.92</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6,958,89</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1.12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6,958,891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652,010,0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25.16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35,619,17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616,390,85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3.39</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787,245,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065.82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51,036,8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736,208,2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44.04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652,010,0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25.16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35,619,17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616,390,85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3.39</w:t>
            </w:r>
          </w:p>
        </w:tc>
      </w:tr>
    </w:tbl>
    <w:p>
      <w:pPr>
        <w:pStyle w:val="BodyText"/>
        <w:spacing w:line="240" w:lineRule="auto" w:before="49"/>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0"/>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51,036,821.78</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655,315,447.81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19,651,812.80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69,927,072.51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6,992,707.25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28,502,136.14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8,550,640.84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16,940,025.78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8,470,012.90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7,432,814.90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5,202,970.43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2,168,677.56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2,168,677.56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2395"/>
        <w:gridCol w:w="2391"/>
        <w:gridCol w:w="2405"/>
        <w:gridCol w:w="2369"/>
      </w:tblGrid>
      <w:tr>
        <w:trPr>
          <w:trHeight w:val="404" w:hRule="exact"/>
        </w:trPr>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780,286,174.70</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51,036,821.78</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513" w:right="986" w:hanging="361"/>
        <w:jc w:val="left"/>
      </w:pPr>
      <w:r>
        <w:rPr/>
        <w:t>确定该组合依据的说明： </w:t>
      </w:r>
      <w:r>
        <w:rPr>
          <w:spacing w:val="-2"/>
        </w:rPr>
        <w:t>公司按照类似信用风险特征对应收账款进行组合，分组的标准包括逾期天数以及账龄等。公司根据客户的类似信用风险</w:t>
      </w:r>
    </w:p>
    <w:p>
      <w:pPr>
        <w:pStyle w:val="BodyText"/>
        <w:spacing w:line="224" w:lineRule="exact"/>
        <w:ind w:right="1133"/>
        <w:jc w:val="left"/>
      </w:pPr>
      <w:r>
        <w:rPr/>
        <w:t>特征，并结合账龄来确定相关应收账款的预期损失率。</w:t>
      </w:r>
    </w:p>
    <w:p>
      <w:pPr>
        <w:pStyle w:val="BodyText"/>
        <w:spacing w:line="240" w:lineRule="auto" w:before="76"/>
        <w:ind w:left="513" w:right="1133"/>
        <w:jc w:val="left"/>
      </w:pPr>
      <w:r>
        <w:rPr/>
        <w:t>合并范围内关联方：公司考虑到集团合并范围内关联方的应收款项风险较低，不计提坏账准备。</w:t>
      </w:r>
    </w:p>
    <w:p>
      <w:pPr>
        <w:spacing w:line="240" w:lineRule="auto" w:before="5"/>
        <w:rPr>
          <w:rFonts w:ascii="宋体" w:hAnsi="宋体" w:cs="宋体" w:eastAsia="宋体" w:hint="default"/>
          <w:sz w:val="29"/>
          <w:szCs w:val="29"/>
        </w:rPr>
      </w:pPr>
    </w:p>
    <w:p>
      <w:pPr>
        <w:pStyle w:val="BodyText"/>
        <w:spacing w:line="240" w:lineRule="auto" w:before="44"/>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660,027,557.98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72,044,010.46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28,531,979.14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26,641,518.24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16,940,025.78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7,432,814.90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2,268,677.56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787,245,065.82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374"/>
      <w:bookmarkEnd w:id="37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6"/>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35,619,171.77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15,027,650.01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51,036,821.78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35,619,171.77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15,027,650.01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51,036,821.78</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r>
    </w:tbl>
    <w:p>
      <w:pPr>
        <w:spacing w:after="0" w:line="240" w:lineRule="auto"/>
        <w:jc w:val="left"/>
        <w:rPr>
          <w:rFonts w:ascii="宋体" w:hAnsi="宋体" w:cs="宋体" w:eastAsia="宋体"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3370"/>
        <w:gridCol w:w="3113"/>
        <w:gridCol w:w="3077"/>
      </w:tblGrid>
      <w:tr>
        <w:trPr>
          <w:trHeight w:val="404"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w:t>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按欠款方归集的期末余额前五名的应收账款情况" w:id="375"/>
      <w:bookmarkEnd w:id="375"/>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98,647,525.80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3,882,447.87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78,356,814.55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5,046,359.59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51,135,690.05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1,607,482.16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41,808,193.16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1,293,666.79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33,303,237.19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6,323,808.37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303,251,460.75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38.52%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其他应收款" w:id="376"/>
      <w:bookmarkEnd w:id="37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216,936,471.42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477,411,831.01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216,936,471.42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477,411,831.01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其他应收款" w:id="377"/>
      <w:bookmarkEnd w:id="377"/>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其他应收款按款项性质分类情况" w:id="378"/>
      <w:bookmarkEnd w:id="37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206,696,962.18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466,106,803.58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9,305,747.11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9,903,465.77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1,566,730.09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1,489,640.23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318,485.35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457,523.94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505,147.86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413,005.74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218,673,072.59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478,650,439.26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379"/>
      <w:bookmarkEnd w:id="379"/>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footerReference w:type="default" r:id="rId26"/>
          <w:pgSz w:w="11910" w:h="16840"/>
          <w:pgMar w:footer="980" w:header="852" w:top="1300" w:bottom="116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905"/>
        <w:gridCol w:w="1663"/>
        <w:gridCol w:w="2098"/>
        <w:gridCol w:w="2101"/>
        <w:gridCol w:w="1805"/>
      </w:tblGrid>
      <w:tr>
        <w:trPr>
          <w:trHeight w:val="402"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1,238,608.25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1,238,608.25</w:t>
            </w:r>
          </w:p>
        </w:tc>
      </w:tr>
      <w:tr>
        <w:trPr>
          <w:trHeight w:val="162"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05"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497,992.92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497,992.92</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1,736,601.17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1,736,601.17</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80" w:header="852" w:top="1300" w:bottom="1160" w:left="980" w:right="0"/>
          <w:pgNumType w:start="201"/>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580" w:bottom="70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213,704,343.91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2,221,794.05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1,358,302.68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1,388,631.95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602,424.88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635,700.00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150,507.07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218,673,072.59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380"/>
      <w:bookmarkEnd w:id="380"/>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89"/>
        <w:gridCol w:w="1304"/>
        <w:gridCol w:w="1591"/>
        <w:gridCol w:w="1594"/>
        <w:gridCol w:w="1303"/>
        <w:gridCol w:w="1889"/>
      </w:tblGrid>
      <w:tr>
        <w:trPr>
          <w:trHeight w:val="403" w:hRule="exact"/>
        </w:trPr>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88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1,238,608.25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497,992.92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1,736,601.17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1,238,608.25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497,992.92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1,736,601.17</w:t>
            </w:r>
          </w:p>
        </w:tc>
      </w:tr>
    </w:tbl>
    <w:p>
      <w:pPr>
        <w:pStyle w:val="BodyText"/>
        <w:spacing w:line="240" w:lineRule="auto" w:before="49"/>
        <w:ind w:right="1133"/>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按欠款方归集的期末余额前五名的其他应收款情况" w:id="381"/>
      <w:bookmarkEnd w:id="381"/>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580" w:bottom="700" w:left="980" w:right="0"/>
        </w:sect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珠海宇诚信科技有限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合并范围内关联方 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184,600,409.30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宇信数据科技有限公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合并范围内关联方 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8,796,553.88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北京宇信恒升信息技 术股份有限公司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合并范围内关联方 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8,701,507.17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珠海宇信易诚科技有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合并范围内关联方 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1,461,242.74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北京宇信企慧信息技 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合并范围内关联方 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825,118.09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204,384,831.18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93.47%</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长期股权投资" w:id="382"/>
      <w:bookmarkEnd w:id="38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895,738,848.84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83,650,000.06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812,088,848.78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770,064,798.84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83,650,000.06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686,414,798.78</w:t>
            </w:r>
          </w:p>
        </w:tc>
      </w:tr>
      <w:tr>
        <w:trPr>
          <w:trHeight w:val="71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224,377,680.38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2,271,125.87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222,106,554.51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94,858,125.90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2,271,125.87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92,587,000.03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1,120,116,529.22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85,921,125.93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1,034,195,403.29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864,922,924.74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85,921,125.93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779,001,798.81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对子公司投资" w:id="383"/>
      <w:bookmarkEnd w:id="38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北京宇信鸿泰 科技发展有限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101,332,412.3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101,332,412.30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北京宇信恒升 信息技术股份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54,200,000.06</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广州宇信易诚 信息科技有限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北京宇信易初 科技有限公司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29,450,000.00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北京宇信金地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88,796,421.98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69,796,421.98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无锡宇信易诚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无锡宇信易诚 培训有限公司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珠海宇诚信科 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珠海宇信鸿泰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珠海宇信易诚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北京宇信启融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天津宇信易诚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北京宇信鸿泰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77,000,000.00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北京优迪信息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22,422,700.03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22,422,700.03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宇信数据科技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2,502,174.90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2,502,174.90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长沙宇信鸿泰 信息科技有限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9,600,000.00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北京宇信企慧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1,680,000.00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宇信金服科技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珠海数通天下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33,251,089.57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33,251,089.57</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西安宇信融汇 网络科技有限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12,200,000.00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宇信鸿泰科技</w:t>
            </w:r>
          </w:p>
          <w:p>
            <w:pPr>
              <w:pStyle w:val="TableParagraph"/>
              <w:spacing w:line="316" w:lineRule="auto" w:before="77"/>
              <w:ind w:left="24" w:right="20"/>
              <w:jc w:val="left"/>
              <w:rPr>
                <w:rFonts w:ascii="宋体" w:hAnsi="宋体" w:cs="宋体" w:eastAsia="宋体" w:hint="default"/>
                <w:sz w:val="18"/>
                <w:szCs w:val="18"/>
              </w:rPr>
            </w:pPr>
            <w:r>
              <w:rPr>
                <w:rFonts w:ascii="宋体" w:hAnsi="宋体" w:cs="宋体" w:eastAsia="宋体" w:hint="default"/>
                <w:spacing w:val="-7"/>
                <w:sz w:val="18"/>
                <w:szCs w:val="18"/>
              </w:rPr>
              <w:t>（香港）有限公</w:t>
            </w:r>
            <w:r>
              <w:rPr>
                <w:rFonts w:ascii="宋体" w:hAnsi="宋体" w:cs="宋体" w:eastAsia="宋体" w:hint="default"/>
                <w:sz w:val="18"/>
                <w:szCs w:val="18"/>
              </w:rPr>
              <w:t>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132,474,050.0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132,474,050.00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686,414,798.7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144,674,050.0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812,088,848.78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83,650,000.06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2）对联营、合营企业投资" w:id="384"/>
      <w:bookmarkEnd w:id="38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上海拍贝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2,271,125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.87</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北京航宇 金服技术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4,617,560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-1,920,38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2,697,171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湖北消费 金融股份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87,969,43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94,200,00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13,305,73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6.98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191,875,1</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76.30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派衍信息 科技（苏 州）有限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-2,465,79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27,534,20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92,587,00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124,200,0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8,919,554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222,106,5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54.51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2,271,125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.87</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92,587,00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124,200,0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8,919,554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222,106,5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54.51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2,271,125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营业收入和营业成本" w:id="385"/>
      <w:bookmarkEnd w:id="38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4"/>
        <w:gridCol w:w="1912"/>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2,489,543,648.84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1,831,737,343.12</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1,872,660,827.88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1,395,109,455.10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924,762.36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4,234,748.56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2,490,468,411.20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Times New Roman" w:hAnsi="Times New Roman" w:cs="Times New Roman" w:eastAsia="Times New Roman" w:hint="default"/>
                <w:sz w:val="18"/>
                <w:szCs w:val="18"/>
              </w:rPr>
            </w:pPr>
            <w:r>
              <w:rPr>
                <w:rFonts w:ascii="Times New Roman"/>
                <w:sz w:val="18"/>
              </w:rPr>
              <w:t>1,831,737,343.12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1,876,895,576.44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4" w:right="0"/>
              <w:jc w:val="left"/>
              <w:rPr>
                <w:rFonts w:ascii="Times New Roman" w:hAnsi="Times New Roman" w:cs="Times New Roman" w:eastAsia="Times New Roman" w:hint="default"/>
                <w:sz w:val="18"/>
                <w:szCs w:val="18"/>
              </w:rPr>
            </w:pPr>
            <w:r>
              <w:rPr>
                <w:rFonts w:ascii="Times New Roman"/>
                <w:sz w:val="18"/>
              </w:rPr>
              <w:t>1,395,109,455.10</w:t>
            </w:r>
          </w:p>
        </w:tc>
      </w:tr>
    </w:tbl>
    <w:p>
      <w:pPr>
        <w:pStyle w:val="BodyText"/>
        <w:spacing w:line="240" w:lineRule="auto" w:before="49"/>
        <w:ind w:right="1133"/>
        <w:jc w:val="left"/>
      </w:pPr>
      <w:r>
        <w:rPr/>
        <w:t>是否已执行新收入准则</w:t>
      </w:r>
    </w:p>
    <w:p>
      <w:pPr>
        <w:pStyle w:val="BodyText"/>
        <w:spacing w:line="340" w:lineRule="auto" w:before="115"/>
        <w:ind w:right="914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5、投资收益" w:id="386"/>
      <w:bookmarkEnd w:id="38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895,876.18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5,100,538.80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8,919,554.48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10,568,867.65</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3,250,241.43</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4,261,573.40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1,132,602.74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14,677,004.06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20,052,250.62</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七、补充资料" w:id="387"/>
      <w:bookmarkEnd w:id="387"/>
      <w:r>
        <w:rPr>
          <w:b w:val="0"/>
          <w:bCs w:val="0"/>
        </w:rPr>
      </w:r>
      <w:r>
        <w:rPr/>
        <w:t>十七、补充资料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当期非经常性损益明细表" w:id="388"/>
      <w:bookmarkEnd w:id="38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-7,958,078.55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16,194,807.50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1,430,666.67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3,829,610.28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-183,634.20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2,691,755.24</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00" w:bottom="1160" w:left="980" w:right="0"/>
        </w:sectPr>
      </w:pPr>
    </w:p>
    <w:p>
      <w:pPr>
        <w:spacing w:line="240" w:lineRule="auto" w:before="4"/>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89,688.95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10,531,927.51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净资产收益率及每股收益" w:id="389"/>
      <w:bookmarkEnd w:id="38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0.69</w:t>
            </w:r>
          </w:p>
        </w:tc>
      </w:tr>
      <w:tr>
        <w:trPr>
          <w:trHeight w:val="71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00" w:bottom="1160" w:left="98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Heading1"/>
        <w:spacing w:line="240" w:lineRule="auto"/>
        <w:ind w:left="3365" w:right="1133"/>
        <w:jc w:val="left"/>
        <w:rPr>
          <w:b w:val="0"/>
          <w:bCs w:val="0"/>
        </w:rPr>
      </w:pPr>
      <w:bookmarkStart w:name="第十三节备查文件目录" w:id="390"/>
      <w:bookmarkEnd w:id="390"/>
      <w:r>
        <w:rPr>
          <w:b w:val="0"/>
          <w:bCs w:val="0"/>
        </w:rPr>
      </w:r>
      <w:bookmarkStart w:name="_bookmark12" w:id="391"/>
      <w:bookmarkEnd w:id="391"/>
      <w:r>
        <w:rPr>
          <w:b w:val="0"/>
          <w:bCs w:val="0"/>
        </w:rPr>
      </w:r>
      <w:r>
        <w:rPr/>
        <w:t>第十三节备查文件目录</w:t>
      </w:r>
      <w:r>
        <w:rPr>
          <w:b w:val="0"/>
          <w:bCs w:val="0"/>
        </w:rPr>
      </w:r>
    </w:p>
    <w:p>
      <w:pPr>
        <w:spacing w:line="240" w:lineRule="auto" w:before="9"/>
        <w:rPr>
          <w:rFonts w:ascii="宋体" w:hAnsi="宋体" w:cs="宋体" w:eastAsia="宋体" w:hint="default"/>
          <w:b/>
          <w:bCs/>
          <w:sz w:val="42"/>
          <w:szCs w:val="42"/>
        </w:rPr>
      </w:pPr>
    </w:p>
    <w:p>
      <w:pPr>
        <w:pStyle w:val="BodyText"/>
        <w:spacing w:line="316" w:lineRule="auto"/>
        <w:ind w:right="3554"/>
        <w:jc w:val="left"/>
      </w:pPr>
      <w:r>
        <w:rPr/>
        <w:t>一、载有公司法定代表人、主管会计工作负责人、会计机构负责人签名并盖章的财务报表；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w:t>
      </w:r>
    </w:p>
    <w:p>
      <w:pPr>
        <w:pStyle w:val="BodyText"/>
        <w:spacing w:line="240" w:lineRule="auto" w:before="59"/>
        <w:ind w:right="1133"/>
        <w:jc w:val="left"/>
      </w:pPr>
      <w:r>
        <w:rPr/>
        <w:t>四、其它备查文件。</w:t>
      </w:r>
    </w:p>
    <w:sectPr>
      <w:pgSz w:w="11910" w:h="16840"/>
      <w:pgMar w:header="852" w:footer="980" w:top="13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黑体">
    <w:altName w:val="黑体"/>
    <w:charset w:val="86"/>
    <w:family w:val="modern"/>
    <w:pitch w:val="fixed"/>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8456"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7760" type="#_x0000_t75" stroked="false">
          <v:imagedata r:id="rId1" o:title=""/>
        </v:shape>
      </w:pict>
    </w:r>
    <w:r>
      <w:rPr/>
      <w:pict>
        <v:shape style="position:absolute;margin-left:289.809998pt;margin-top:781.933899pt;width:15.7pt;height:11pt;mso-position-horizontal-relative:page;mso-position-vertical-relative:page;z-index:-12277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7712" type="#_x0000_t75" stroked="false">
          <v:imagedata r:id="rId1" o:title=""/>
        </v:shape>
      </w:pict>
    </w:r>
    <w:r>
      <w:rPr/>
      <w:pict>
        <v:shape style="position:absolute;margin-left:288.809998pt;margin-top:781.933899pt;width:17.7pt;height:11pt;mso-position-horizontal-relative:page;mso-position-vertical-relative:page;z-index:-1227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8360" type="#_x0000_t75" stroked="false">
          <v:imagedata r:id="rId1" o:title=""/>
        </v:shape>
      </w:pict>
    </w:r>
    <w:r>
      <w:rPr/>
      <w:pict>
        <v:shape style="position:absolute;margin-left:293.369995pt;margin-top:795.637939pt;width:8.5pt;height:11pt;mso-position-horizontal-relative:page;mso-position-vertical-relative:page;z-index:-1228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8288" type="#_x0000_t75" stroked="false">
          <v:imagedata r:id="rId1" o:title=""/>
        </v:shape>
      </w:pict>
    </w:r>
    <w:r>
      <w:rPr/>
      <w:pict>
        <v:shape style="position:absolute;margin-left:291.089996pt;margin-top:781.933899pt;width:13.15pt;height:11pt;mso-position-horizontal-relative:page;mso-position-vertical-relative:page;z-index:-1228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28120" type="#_x0000_t75" stroked="false">
          <v:imagedata r:id="rId1" o:title=""/>
        </v:shape>
      </w:pict>
    </w:r>
    <w:r>
      <w:rPr/>
      <w:pict>
        <v:shape style="position:absolute;margin-left:414.450012pt;margin-top:535.333923pt;width:13.15pt;height:11pt;mso-position-horizontal-relative:page;mso-position-vertical-relative:page;z-index:-1228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8000" type="#_x0000_t75" stroked="false">
          <v:imagedata r:id="rId1" o:title=""/>
        </v:shape>
      </w:pict>
    </w:r>
    <w:r>
      <w:rPr/>
      <w:pict>
        <v:shape style="position:absolute;margin-left:291.089996pt;margin-top:781.933899pt;width:13.15pt;height:11pt;mso-position-horizontal-relative:page;mso-position-vertical-relative:page;z-index:-1227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7952" type="#_x0000_t75" stroked="false">
          <v:imagedata r:id="rId1" o:title=""/>
        </v:shape>
      </w:pict>
    </w:r>
    <w:r>
      <w:rPr/>
      <w:pict>
        <v:shape style="position:absolute;margin-left:289.809998pt;margin-top:781.933899pt;width:15.7pt;height:11pt;mso-position-horizontal-relative:page;mso-position-vertical-relative:page;z-index:-12279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7904" type="#_x0000_t75" stroked="false">
          <v:imagedata r:id="rId1" o:title=""/>
        </v:shape>
      </w:pict>
    </w:r>
    <w:r>
      <w:rPr/>
      <w:pict>
        <v:shape style="position:absolute;margin-left:288.809998pt;margin-top:781.933899pt;width:17.7pt;height:11pt;mso-position-horizontal-relative:page;mso-position-vertical-relative:page;z-index:-1227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7856" type="#_x0000_t75" stroked="false">
          <v:imagedata r:id="rId1" o:title=""/>
        </v:shape>
      </w:pict>
    </w:r>
    <w:r>
      <w:rPr/>
      <w:pict>
        <v:shape style="position:absolute;margin-left:289.049988pt;margin-top:781.933899pt;width:17.3pt;height:11pt;mso-position-horizontal-relative:page;mso-position-vertical-relative:page;z-index:-1227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27808" type="#_x0000_t75" stroked="false">
          <v:imagedata r:id="rId1" o:title=""/>
        </v:shape>
      </w:pict>
    </w:r>
    <w:r>
      <w:rPr/>
      <w:pict>
        <v:shape style="position:absolute;margin-left:288.809998pt;margin-top:781.933899pt;width:17.7pt;height:11pt;mso-position-horizontal-relative:page;mso-position-vertical-relative:page;z-index:-1227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35.999985pt;width:55.65pt;height:18.350pt;mso-position-horizontal-relative:page;mso-position-vertical-relative:page;z-index:-1228432" type="#_x0000_t75" stroked="false">
          <v:imagedata r:id="rId1" o:title=""/>
        </v:shape>
      </w:pict>
    </w:r>
    <w:r>
      <w:rPr/>
      <w:pict>
        <v:group style="position:absolute;margin-left:55.200001pt;margin-top:58.319984pt;width:484.9pt;height:.1pt;mso-position-horizontal-relative:page;mso-position-vertical-relative:page;z-index:-1228408" coordorigin="1104,1166" coordsize="9698,2">
          <v:shape style="position:absolute;left:1104;top:1166;width:9698;height:2" coordorigin="1104,1166" coordsize="9698,0" path="m1104,1166l10802,116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52.459991pt;margin-top:45.625607pt;width:85.2pt;height:11.5pt;mso-position-horizontal-relative:page;mso-position-vertical-relative:page;z-index:-122838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2.459991pt;margin-top:45.625607pt;width:85.2pt;height:11.5pt;mso-position-horizontal-relative:page;mso-position-vertical-relative:page;z-index:-122831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42.599983pt;width:55.65pt;height:18.350pt;mso-position-horizontal-relative:page;mso-position-vertical-relative:page;z-index:-1228240" type="#_x0000_t75" stroked="false">
          <v:imagedata r:id="rId1" o:title=""/>
        </v:shape>
      </w:pict>
    </w:r>
    <w:r>
      <w:rPr/>
      <w:pict>
        <v:group style="position:absolute;margin-left:55.200001pt;margin-top:64.919983pt;width:484.9pt;height:.1pt;mso-position-horizontal-relative:page;mso-position-vertical-relative:page;z-index:-1228216" coordorigin="1104,1298" coordsize="9698,2">
          <v:shape style="position:absolute;left:1104;top:1298;width:9698;height:2" coordorigin="1104,1298" coordsize="9698,0" path="m1104,1298l10802,1298e" filled="false" stroked="true" strokeweight=".72pt" strokecolor="#000000">
            <v:path arrowok="t"/>
          </v:shape>
          <w10:wrap type="none"/>
        </v:group>
      </w:pict>
    </w:r>
    <w:r>
      <w:rPr/>
      <w:pict>
        <v:shape style="position:absolute;margin-left:452.459991pt;margin-top:52.225609pt;width:85.2pt;height:11.5pt;mso-position-horizontal-relative:page;mso-position-vertical-relative:page;z-index:-122819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600006pt;width:55.7pt;height:18.350pt;mso-position-horizontal-relative:page;mso-position-vertical-relative:page;z-index:-1228168" type="#_x0000_t75" stroked="false">
          <v:imagedata r:id="rId1" o:title=""/>
        </v:shape>
      </w:pict>
    </w:r>
    <w:r>
      <w:rPr/>
      <w:pict>
        <v:shape style="position:absolute;margin-left:467.790009pt;margin-top:52.225632pt;width:85.2pt;height:11.5pt;mso-position-horizontal-relative:page;mso-position-vertical-relative:page;z-index:-122814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42.599983pt;width:55.65pt;height:18.350pt;mso-position-horizontal-relative:page;mso-position-vertical-relative:page;z-index:-1228072" type="#_x0000_t75" stroked="false">
          <v:imagedata r:id="rId1" o:title=""/>
        </v:shape>
      </w:pict>
    </w:r>
    <w:r>
      <w:rPr/>
      <w:pict>
        <v:group style="position:absolute;margin-left:55.200001pt;margin-top:64.919983pt;width:484.9pt;height:.1pt;mso-position-horizontal-relative:page;mso-position-vertical-relative:page;z-index:-1228048" coordorigin="1104,1298" coordsize="9698,2">
          <v:shape style="position:absolute;left:1104;top:1298;width:9698;height:2" coordorigin="1104,1298" coordsize="9698,0" path="m1104,1298l10802,1298e" filled="false" stroked="true" strokeweight=".72pt" strokecolor="#000000">
            <v:path arrowok="t"/>
          </v:shape>
          <w10:wrap type="none"/>
        </v:group>
      </w:pict>
    </w:r>
    <w:r>
      <w:rPr/>
      <w:pict>
        <v:shape style="position:absolute;margin-left:452.459991pt;margin-top:52.225609pt;width:85.2pt;height:11.5pt;mso-position-horizontal-relative:page;mso-position-vertical-relative:page;z-index:-122802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89"/>
      <w:ind w:left="152"/>
    </w:pPr>
    <w:rPr>
      <w:rFonts w:ascii="宋体" w:hAnsi="宋体" w:eastAsia="宋体"/>
      <w:b/>
      <w:bCs/>
      <w:sz w:val="24"/>
      <w:szCs w:val="24"/>
    </w:rPr>
  </w:style>
  <w:style w:styleId="TOC2" w:type="paragraph">
    <w:name w:val="TOC 2"/>
    <w:basedOn w:val="Normal"/>
    <w:uiPriority w:val="1"/>
    <w:qFormat/>
    <w:pPr>
      <w:spacing w:before="189"/>
      <w:ind w:left="152"/>
    </w:pPr>
    <w:rPr>
      <w:rFonts w:ascii="宋体" w:hAnsi="宋体" w:eastAsia="宋体"/>
      <w:b/>
      <w:bCs/>
      <w:i/>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15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image" Target="media/image3.png"/><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hyperlink" Target="http://www.yusys.com.cn/" TargetMode="External"/><Relationship Id="rId14" Type="http://schemas.openxmlformats.org/officeDocument/2006/relationships/hyperlink" Target="mailto:ir@yusys.com.cn" TargetMode="External"/><Relationship Id="rId15" Type="http://schemas.openxmlformats.org/officeDocument/2006/relationships/hyperlink" Target="http://www.cninfo.com.cn/" TargetMode="Externa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image" Target="media/image4.jpeg"/><Relationship Id="rId21" Type="http://schemas.openxmlformats.org/officeDocument/2006/relationships/hyperlink" Target="http://www.cninfo.com/" TargetMode="Externa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北京宇信科技集团股份有限公司</dc:creator>
  <dc:title>北京宇信科技集团股份有限公司2019年年度报告全文</dc:title>
  <dcterms:created xsi:type="dcterms:W3CDTF">2020-05-19T02:03:42Z</dcterms:created>
  <dcterms:modified xsi:type="dcterms:W3CDTF">2020-05-19T02:03:42Z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Microsoft® Office Word 2007</vt:lpwstr>
  </property>
  <property fmtid="{D5CDD505-2E9C-101B-9397-08002B2CF9AE}" pid="4" name="LastSaved">
    <vt:filetime>2020-05-18T00:00:00Z</vt:filetime>
  </property>
</Properties>
</file>