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21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410861" cy="7715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861" cy="771525"/>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2071" w:right="2074"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深圳市建筑科学研究院股份有限公司</w:t>
      </w:r>
      <w:r>
        <w:rPr>
          <w:rFonts w:ascii="Microsoft JhengHei" w:hAnsi="Microsoft JhengHei" w:cs="Microsoft JhengHei" w:eastAsia="Microsoft JhengHei" w:hint="default"/>
          <w:sz w:val="36"/>
          <w:szCs w:val="36"/>
        </w:rPr>
      </w:r>
    </w:p>
    <w:p>
      <w:pPr>
        <w:spacing w:before="258"/>
        <w:ind w:left="2071" w:right="207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23"/>
          <w:szCs w:val="23"/>
        </w:rPr>
      </w:pPr>
    </w:p>
    <w:p>
      <w:pPr>
        <w:spacing w:before="0"/>
        <w:ind w:left="2071" w:right="2071" w:firstLine="0"/>
        <w:jc w:val="center"/>
        <w:rPr>
          <w:rFonts w:ascii="Times New Roman" w:hAnsi="Times New Roman" w:cs="Times New Roman" w:eastAsia="Times New Roman" w:hint="default"/>
          <w:sz w:val="22"/>
          <w:szCs w:val="22"/>
        </w:rPr>
      </w:pPr>
      <w:r>
        <w:rPr>
          <w:rFonts w:ascii="Times New Roman"/>
          <w:b/>
          <w:sz w:val="22"/>
        </w:rPr>
        <w:t>2018-031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3"/>
        <w:rPr>
          <w:rFonts w:ascii="Times New Roman" w:hAnsi="Times New Roman" w:cs="Times New Roman" w:eastAsia="Times New Roman" w:hint="default"/>
          <w:b/>
          <w:bCs/>
          <w:sz w:val="24"/>
          <w:szCs w:val="24"/>
        </w:rPr>
      </w:pPr>
    </w:p>
    <w:p>
      <w:pPr>
        <w:spacing w:before="0"/>
        <w:ind w:left="2071" w:right="2071"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2"/>
        <w:spacing w:line="307" w:lineRule="auto"/>
        <w:ind w:right="256" w:firstLine="562"/>
        <w:jc w:val="both"/>
        <w:rPr>
          <w:b w:val="0"/>
          <w:bCs w:val="0"/>
        </w:rPr>
      </w:pPr>
      <w:r>
        <w:rPr>
          <w:spacing w:val="2"/>
        </w:rPr>
        <w:t>公司董事会、监事会及董事、监事、高级管理人员保证年度报告内容的真</w:t>
      </w:r>
      <w:r>
        <w:rPr>
          <w:w w:val="100"/>
        </w:rPr>
        <w:t> </w:t>
      </w:r>
      <w:r>
        <w:rPr>
          <w:spacing w:val="2"/>
        </w:rPr>
        <w:t>实、准确、完整，不存在虚假记载、误导性陈述或重大遗漏，并承担个别和连</w:t>
      </w:r>
      <w:r>
        <w:rPr>
          <w:spacing w:val="-38"/>
        </w:rPr>
        <w:t> </w:t>
      </w:r>
      <w:r>
        <w:rPr>
          <w:spacing w:val="-38"/>
        </w:rPr>
      </w:r>
      <w:r>
        <w:rPr/>
        <w:t>带的法律责任。</w:t>
      </w:r>
      <w:r>
        <w:rPr>
          <w:b w:val="0"/>
          <w:bCs w:val="0"/>
        </w:rPr>
      </w:r>
    </w:p>
    <w:p>
      <w:pPr>
        <w:pStyle w:val="Heading2"/>
        <w:spacing w:line="307" w:lineRule="auto" w:before="133"/>
        <w:ind w:right="251" w:firstLine="562"/>
        <w:jc w:val="both"/>
        <w:rPr>
          <w:b w:val="0"/>
          <w:bCs w:val="0"/>
        </w:rPr>
      </w:pPr>
      <w:r>
        <w:rPr/>
        <w:t>公司负责人叶青、主管会计工作负责人刘丽及会计机构负责人</w:t>
      </w:r>
      <w:r>
        <w:rPr>
          <w:rFonts w:ascii="Times New Roman" w:hAnsi="Times New Roman" w:cs="Times New Roman" w:eastAsia="Times New Roman" w:hint="default"/>
        </w:rPr>
        <w:t>(</w:t>
      </w:r>
      <w:r>
        <w:rPr/>
        <w:t>会计主管人</w:t>
      </w:r>
      <w:r>
        <w:rPr>
          <w:w w:val="100"/>
        </w:rPr>
        <w:t> </w:t>
      </w:r>
      <w:r>
        <w:rPr/>
        <w:t>员</w:t>
      </w:r>
      <w:r>
        <w:rPr>
          <w:rFonts w:ascii="Times New Roman" w:hAnsi="Times New Roman" w:cs="Times New Roman" w:eastAsia="Times New Roman" w:hint="default"/>
        </w:rPr>
        <w:t>)</w:t>
      </w:r>
      <w:r>
        <w:rPr/>
        <w:t>陈友莲声明：保证年度报告中财务报告的真实、准确、完整。</w:t>
      </w:r>
      <w:r>
        <w:rPr>
          <w:b w:val="0"/>
          <w:bCs w:val="0"/>
        </w:rPr>
      </w:r>
    </w:p>
    <w:p>
      <w:pPr>
        <w:pStyle w:val="Heading2"/>
        <w:spacing w:line="355" w:lineRule="auto" w:before="133"/>
        <w:ind w:left="714" w:right="0"/>
        <w:jc w:val="left"/>
        <w:rPr>
          <w:b w:val="0"/>
          <w:bCs w:val="0"/>
        </w:rPr>
      </w:pPr>
      <w:r>
        <w:rPr/>
        <w:t>所有董事均已出席了审议本报告的董事会会议。</w:t>
      </w:r>
      <w:r>
        <w:rPr>
          <w:spacing w:val="-48"/>
        </w:rPr>
        <w:t> </w:t>
      </w:r>
      <w:r>
        <w:rPr>
          <w:spacing w:val="-48"/>
        </w:rPr>
      </w:r>
      <w:r>
        <w:rPr>
          <w:spacing w:val="2"/>
        </w:rPr>
        <w:t>本年度报告内容中涉及的未来计划等前瞻性陈述因存在不确定性，不构成</w:t>
      </w:r>
      <w:r>
        <w:rPr>
          <w:b w:val="0"/>
          <w:bCs w:val="0"/>
          <w:spacing w:val="2"/>
        </w:rPr>
      </w:r>
    </w:p>
    <w:p>
      <w:pPr>
        <w:pStyle w:val="Heading2"/>
        <w:spacing w:line="445" w:lineRule="exact"/>
        <w:ind w:right="0"/>
        <w:jc w:val="both"/>
        <w:rPr>
          <w:b w:val="0"/>
          <w:bCs w:val="0"/>
        </w:rPr>
      </w:pPr>
      <w:r>
        <w:rPr/>
        <w:t>公司对投资者的实质承诺，请投资者注意投资风险。  </w:t>
      </w:r>
      <w:r>
        <w:rPr>
          <w:spacing w:val="45"/>
        </w:rPr>
        <w:t> </w:t>
      </w:r>
      <w:r>
        <w:rPr/>
        <w:t>公司不存在因经营状况、</w:t>
      </w:r>
      <w:r>
        <w:rPr>
          <w:b w:val="0"/>
          <w:bCs w:val="0"/>
        </w:rPr>
      </w:r>
    </w:p>
    <w:p>
      <w:pPr>
        <w:pStyle w:val="Heading2"/>
        <w:spacing w:line="307" w:lineRule="auto" w:before="136"/>
        <w:ind w:right="249"/>
        <w:jc w:val="both"/>
        <w:rPr>
          <w:b w:val="0"/>
          <w:bCs w:val="0"/>
        </w:rPr>
      </w:pPr>
      <w:r>
        <w:rPr>
          <w:spacing w:val="2"/>
        </w:rPr>
        <w:t>财务状况和持续盈利能力方面有严重不利影响的风险因素。有关公司可能面对</w:t>
      </w:r>
      <w:r>
        <w:rPr>
          <w:spacing w:val="-38"/>
        </w:rPr>
        <w:t> </w:t>
      </w:r>
      <w:r>
        <w:rPr>
          <w:spacing w:val="-38"/>
        </w:rPr>
      </w:r>
      <w:r>
        <w:rPr>
          <w:spacing w:val="9"/>
        </w:rPr>
        <w:t>的风险及公司应对措施等详见本报告第四节</w:t>
      </w:r>
      <w:r>
        <w:rPr>
          <w:rFonts w:ascii="Times New Roman" w:hAnsi="Times New Roman" w:cs="Times New Roman" w:eastAsia="Times New Roman" w:hint="default"/>
          <w:spacing w:val="9"/>
        </w:rPr>
        <w:t>“</w:t>
      </w:r>
      <w:r>
        <w:rPr>
          <w:spacing w:val="9"/>
        </w:rPr>
        <w:t>经营情况讨论与分析</w:t>
      </w:r>
      <w:r>
        <w:rPr>
          <w:rFonts w:ascii="Times New Roman" w:hAnsi="Times New Roman" w:cs="Times New Roman" w:eastAsia="Times New Roman" w:hint="default"/>
          <w:spacing w:val="9"/>
        </w:rPr>
        <w:t>”</w:t>
      </w:r>
      <w:r>
        <w:rPr>
          <w:spacing w:val="9"/>
        </w:rPr>
        <w:t>中相关内</w:t>
      </w:r>
      <w:r>
        <w:rPr>
          <w:spacing w:val="4"/>
        </w:rPr>
        <w:t> </w:t>
      </w:r>
      <w:r>
        <w:rPr>
          <w:spacing w:val="4"/>
        </w:rPr>
      </w:r>
      <w:r>
        <w:rPr/>
        <w:t>容。</w:t>
      </w:r>
      <w:r>
        <w:rPr>
          <w:b w:val="0"/>
          <w:bCs w:val="0"/>
        </w:rPr>
      </w:r>
    </w:p>
    <w:p>
      <w:pPr>
        <w:pStyle w:val="Heading2"/>
        <w:spacing w:line="240" w:lineRule="auto" w:before="133"/>
        <w:ind w:left="714" w:right="0"/>
        <w:jc w:val="left"/>
        <w:rPr>
          <w:b w:val="0"/>
          <w:bCs w:val="0"/>
        </w:rPr>
      </w:pPr>
      <w:r>
        <w:rPr/>
        <w:t>公司经本次董事会审议通过的利润分配预案为：以 </w:t>
      </w:r>
      <w:r>
        <w:rPr>
          <w:rFonts w:ascii="Times New Roman" w:hAnsi="Times New Roman" w:cs="Times New Roman" w:eastAsia="Times New Roman" w:hint="default"/>
        </w:rPr>
        <w:t>146,666,700</w:t>
      </w:r>
      <w:r>
        <w:rPr>
          <w:rFonts w:ascii="Times New Roman" w:hAnsi="Times New Roman" w:cs="Times New Roman" w:eastAsia="Times New Roman" w:hint="default"/>
          <w:spacing w:val="24"/>
        </w:rPr>
        <w:t> </w:t>
      </w:r>
      <w:r>
        <w:rPr/>
        <w:t>股为基数，</w:t>
      </w:r>
      <w:r>
        <w:rPr>
          <w:b w:val="0"/>
          <w:bCs w:val="0"/>
        </w:rPr>
      </w:r>
    </w:p>
    <w:p>
      <w:pPr>
        <w:pStyle w:val="Heading2"/>
        <w:spacing w:line="240" w:lineRule="auto" w:before="136"/>
        <w:ind w:right="0"/>
        <w:jc w:val="both"/>
        <w:rPr>
          <w:b w:val="0"/>
          <w:bCs w:val="0"/>
        </w:rPr>
      </w:pPr>
      <w:r>
        <w:rPr>
          <w:w w:val="100"/>
        </w:rPr>
        <w:t>向全</w:t>
      </w:r>
      <w:r>
        <w:rPr>
          <w:spacing w:val="2"/>
          <w:w w:val="100"/>
        </w:rPr>
        <w:t>体</w:t>
      </w:r>
      <w:r>
        <w:rPr>
          <w:w w:val="100"/>
        </w:rPr>
        <w:t>股东每</w:t>
      </w:r>
      <w:r>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股派发</w:t>
      </w:r>
      <w:r>
        <w:rPr>
          <w:spacing w:val="2"/>
          <w:w w:val="100"/>
        </w:rPr>
        <w:t>现</w:t>
      </w:r>
      <w:r>
        <w:rPr>
          <w:w w:val="100"/>
        </w:rPr>
        <w:t>金红利</w:t>
      </w:r>
      <w:r>
        <w:rPr/>
        <w:t> </w:t>
      </w:r>
      <w:r>
        <w:rPr>
          <w:rFonts w:ascii="Times New Roman" w:hAnsi="Times New Roman" w:cs="Times New Roman" w:eastAsia="Times New Roman" w:hint="default"/>
          <w:w w:val="100"/>
        </w:rPr>
        <w:t>0.65</w:t>
      </w:r>
      <w:r>
        <w:rPr>
          <w:rFonts w:ascii="Times New Roman" w:hAnsi="Times New Roman" w:cs="Times New Roman" w:eastAsia="Times New Roman" w:hint="default"/>
          <w:spacing w:val="-1"/>
        </w:rPr>
        <w:t> </w:t>
      </w:r>
      <w:r>
        <w:rPr>
          <w:spacing w:val="-32"/>
          <w:w w:val="100"/>
        </w:rPr>
        <w:t>元</w:t>
      </w:r>
      <w:r>
        <w:rPr>
          <w:w w:val="100"/>
        </w:rPr>
        <w:t>（含</w:t>
      </w:r>
      <w:r>
        <w:rPr>
          <w:spacing w:val="2"/>
          <w:w w:val="100"/>
        </w:rPr>
        <w:t>税</w:t>
      </w:r>
      <w:r>
        <w:rPr>
          <w:spacing w:val="-142"/>
          <w:w w:val="100"/>
        </w:rPr>
        <w:t>）</w:t>
      </w:r>
      <w:r>
        <w:rPr>
          <w:spacing w:val="-32"/>
          <w:w w:val="100"/>
        </w:rPr>
        <w:t>，</w:t>
      </w:r>
      <w:r>
        <w:rPr>
          <w:w w:val="100"/>
        </w:rPr>
        <w:t>送</w:t>
      </w:r>
      <w:r>
        <w:rPr>
          <w:spacing w:val="2"/>
          <w:w w:val="100"/>
        </w:rPr>
        <w:t>红</w:t>
      </w:r>
      <w:r>
        <w:rPr>
          <w:w w:val="100"/>
        </w:rPr>
        <w:t>股</w:t>
      </w:r>
      <w:r>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2"/>
          <w:w w:val="100"/>
        </w:rPr>
        <w:t>股</w:t>
      </w:r>
      <w:r>
        <w:rPr>
          <w:w w:val="100"/>
        </w:rPr>
        <w:t>（含</w:t>
      </w:r>
      <w:r>
        <w:rPr>
          <w:spacing w:val="2"/>
          <w:w w:val="100"/>
        </w:rPr>
        <w:t>税</w:t>
      </w:r>
      <w:r>
        <w:rPr>
          <w:spacing w:val="-142"/>
          <w:w w:val="100"/>
        </w:rPr>
        <w:t>）</w:t>
      </w:r>
      <w:r>
        <w:rPr>
          <w:spacing w:val="-32"/>
          <w:w w:val="100"/>
        </w:rPr>
        <w:t>，</w:t>
      </w:r>
      <w:r>
        <w:rPr>
          <w:w w:val="100"/>
        </w:rPr>
        <w:t>以资本</w:t>
      </w:r>
      <w:r>
        <w:rPr>
          <w:b w:val="0"/>
          <w:bCs w:val="0"/>
          <w:w w:val="100"/>
        </w:rPr>
      </w:r>
    </w:p>
    <w:p>
      <w:pPr>
        <w:pStyle w:val="Heading2"/>
        <w:spacing w:line="240" w:lineRule="auto" w:before="136"/>
        <w:ind w:right="0"/>
        <w:jc w:val="both"/>
        <w:rPr>
          <w:b w:val="0"/>
          <w:bCs w:val="0"/>
        </w:rPr>
      </w:pPr>
      <w:r>
        <w:rPr/>
        <w:t>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股。</w:t>
      </w:r>
      <w:r>
        <w:rPr>
          <w:b w:val="0"/>
          <w:bCs w:val="0"/>
        </w:rPr>
      </w:r>
    </w:p>
    <w:p>
      <w:pPr>
        <w:spacing w:after="0" w:line="240" w:lineRule="auto"/>
        <w:jc w:val="both"/>
        <w:sectPr>
          <w:footerReference w:type="default" r:id="rId8"/>
          <w:pgSz w:w="11910" w:h="16840"/>
          <w:pgMar w:footer="980" w:header="745" w:top="1060" w:bottom="1160" w:left="980" w:right="8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2071" w:right="207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
        <w:rPr>
          <w:rFonts w:ascii="Microsoft JhengHei" w:hAnsi="Microsoft JhengHei" w:cs="Microsoft JhengHei" w:eastAsia="Microsoft JhengHei" w:hint="default"/>
          <w:b/>
          <w:bCs/>
          <w:sz w:val="50"/>
          <w:szCs w:val="50"/>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hyperlink>
        </w:p>
        <w:p>
          <w:pPr>
            <w:pStyle w:val="TOC1"/>
            <w:tabs>
              <w:tab w:pos="9785"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84</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90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96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218</w:t>
            </w:r>
          </w:hyperlink>
        </w:p>
        <w:p>
          <w:pPr/>
          <w:r>
            <w:fldChar w:fldCharType="end"/>
          </w:r>
        </w:p>
      </w:sdtContent>
    </w:sdt>
    <w:p>
      <w:pPr>
        <w:spacing w:after="0"/>
        <w:sectPr>
          <w:pgSz w:w="11910" w:h="16840"/>
          <w:pgMar w:header="745" w:footer="980" w:top="1060" w:bottom="1160" w:left="980" w:right="980"/>
        </w:sectPr>
      </w:pPr>
    </w:p>
    <w:p>
      <w:pPr>
        <w:spacing w:before="843"/>
        <w:ind w:left="2071" w:right="207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公司、本公司、建科院、</w:t>
            </w:r>
            <w:r>
              <w:rPr>
                <w:rFonts w:ascii="Times New Roman" w:hAnsi="Times New Roman" w:cs="Times New Roman" w:eastAsia="Times New Roman" w:hint="default"/>
                <w:sz w:val="18"/>
                <w:szCs w:val="18"/>
              </w:rPr>
              <w:t>IBR</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控股股东、公司控股股东、远致投资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深圳市国资委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深圳市国有资产监督管理委员会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深圳市迪赛恩科技有限公司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深圳市市政工程咨询中心有限公司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北京艾科城工程技术有限公司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深圳艾科城工程技术有限公司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深圳市建研检测有限公司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常州市城建艾科绿色技术有限公司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上海市爱轲城生态科技有限公司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深圳九一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深圳市九一绿色运营管理有限公司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IBR-LBNL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联合研究中心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LBNL</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美国劳伦斯－伯克利国家实验室，美国能源部下属，全球知名 </w:t>
            </w:r>
            <w:r>
              <w:rPr>
                <w:rFonts w:ascii="宋体" w:hAnsi="宋体" w:cs="宋体" w:eastAsia="宋体" w:hint="default"/>
                <w:spacing w:val="-2"/>
                <w:sz w:val="18"/>
                <w:szCs w:val="18"/>
              </w:rPr>
              <w:t>研究机构，承担中美清洁能源政府间合作，美方技术负责，和建科院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有长期战略合作。</w:t>
            </w:r>
          </w:p>
        </w:tc>
      </w:tr>
      <w:tr>
        <w:trPr>
          <w:trHeight w:val="1339"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IBR-</w:t>
            </w:r>
            <w:r>
              <w:rPr>
                <w:rFonts w:ascii="宋体" w:hAnsi="宋体" w:cs="宋体" w:eastAsia="宋体" w:hint="default"/>
                <w:sz w:val="18"/>
                <w:szCs w:val="18"/>
              </w:rPr>
              <w:t>清华大学绿色人居环境研究中心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建科院与清华大学杨旭东教授（美国麻省理工学院</w:t>
            </w:r>
            <w:r>
              <w:rPr>
                <w:rFonts w:ascii="Times New Roman" w:hAnsi="Times New Roman" w:cs="Times New Roman" w:eastAsia="Times New Roman" w:hint="default"/>
                <w:spacing w:val="-2"/>
                <w:sz w:val="18"/>
                <w:szCs w:val="18"/>
              </w:rPr>
              <w:t>(MIT</w:t>
            </w:r>
            <w:r>
              <w:rPr>
                <w:rFonts w:ascii="宋体" w:hAnsi="宋体" w:cs="宋体" w:eastAsia="宋体" w:hint="default"/>
                <w:spacing w:val="-2"/>
                <w:sz w:val="18"/>
                <w:szCs w:val="18"/>
              </w:rPr>
              <w:t>）建筑学院建</w:t>
            </w:r>
            <w:r>
              <w:rPr>
                <w:rFonts w:ascii="宋体" w:hAnsi="宋体" w:cs="宋体" w:eastAsia="宋体" w:hint="default"/>
                <w:w w:val="99"/>
                <w:sz w:val="18"/>
                <w:szCs w:val="18"/>
              </w:rPr>
              <w:t> </w:t>
            </w:r>
            <w:r>
              <w:rPr>
                <w:rFonts w:ascii="宋体" w:hAnsi="宋体" w:cs="宋体" w:eastAsia="宋体" w:hint="default"/>
                <w:spacing w:val="-2"/>
                <w:sz w:val="18"/>
                <w:szCs w:val="18"/>
              </w:rPr>
              <w:t>筑技术科学博士、清华大学建筑学院建筑技术科学系，清华大学百人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计划引进教授、教育部长江学者特聘教授）的团队联合成立的人居环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境研究中心。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深圳市建筑能耗监测数据中心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2"/>
                <w:sz w:val="18"/>
                <w:szCs w:val="18"/>
              </w:rPr>
              <w:t>由深圳政府投资、公司负责开发和受托运营管理服务的深圳市大型公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56.400002pt;margin-top:71.999985pt;width:479.3pt;height:685.7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pacing w:val="-2"/>
                            <w:sz w:val="18"/>
                            <w:szCs w:val="18"/>
                          </w:rPr>
                          <w:t>建能源监测数据和节能服务平台，是深圳建筑节能数据研究、节能标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准和政策制定支撑平台。</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绿色建筑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在建筑的全寿命周期内，最大限度节约资源，节能、节地、节水、节</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材、保护环境和减少污染，提供健康适用、高效的使用空间，与自然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和谐共生的建筑，包括设计、建造、运营、维修、更新、拆除等全过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程。</w:t>
                        </w:r>
                      </w:p>
                    </w:tc>
                  </w:tr>
                  <w:tr>
                    <w:trPr>
                      <w:trHeight w:val="19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生态诊断</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pacing w:val="-2"/>
                            <w:sz w:val="18"/>
                            <w:szCs w:val="18"/>
                          </w:rPr>
                          <w:t>通过对城市或城区地质安全、生态安全、环境安全、资源条件等方面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的诊断分析，综合评估其生态敏感性、环境资源承载力、开发适宜性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低影响开发模式、人居健康安全等，判定生态控制基线和环境承载底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线，划定城镇建设生态控制线，建立城市发展与自然生态的平衡点， </w:t>
                        </w:r>
                        <w:r>
                          <w:rPr>
                            <w:rFonts w:ascii="宋体" w:hAnsi="宋体" w:cs="宋体" w:eastAsia="宋体" w:hint="default"/>
                            <w:spacing w:val="-4"/>
                            <w:sz w:val="18"/>
                            <w:szCs w:val="18"/>
                          </w:rPr>
                          <w:t>是生态规划的基础，建科院创造性地把生态诊断技术系统化、模板化</w:t>
                        </w:r>
                        <w:r>
                          <w:rPr>
                            <w:rFonts w:ascii="宋体" w:hAnsi="宋体" w:cs="宋体" w:eastAsia="宋体" w:hint="default"/>
                            <w:sz w:val="18"/>
                            <w:szCs w:val="18"/>
                          </w:rPr>
                          <w:t> 数据化、三维显性化，纳入到生态城市整体建设体系中。</w:t>
                        </w:r>
                      </w:p>
                    </w:tc>
                  </w:tr>
                  <w:tr>
                    <w:trPr>
                      <w:trHeight w:val="258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生态城市规划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利用生态学和现代城市规划理论及方法，重点针对城市生态系统及其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与产业、社会之间的系统关系进行评估，着眼于</w:t>
                        </w:r>
                        <w:r>
                          <w:rPr>
                            <w:rFonts w:ascii="Times New Roman" w:hAnsi="Times New Roman" w:cs="Times New Roman" w:eastAsia="Times New Roman" w:hint="default"/>
                            <w:sz w:val="18"/>
                            <w:szCs w:val="18"/>
                          </w:rPr>
                          <w:t>"</w:t>
                        </w:r>
                        <w:r>
                          <w:rPr>
                            <w:rFonts w:ascii="宋体" w:hAnsi="宋体" w:cs="宋体" w:eastAsia="宋体" w:hint="default"/>
                            <w:sz w:val="18"/>
                            <w:szCs w:val="18"/>
                          </w:rPr>
                          <w:t>生态导向</w:t>
                        </w:r>
                        <w:r>
                          <w:rPr>
                            <w:rFonts w:ascii="Times New Roman" w:hAnsi="Times New Roman" w:cs="Times New Roman" w:eastAsia="Times New Roman" w:hint="default"/>
                            <w:sz w:val="18"/>
                            <w:szCs w:val="18"/>
                          </w:rPr>
                          <w:t>"</w:t>
                        </w:r>
                        <w:r>
                          <w:rPr>
                            <w:rFonts w:ascii="宋体" w:hAnsi="宋体" w:cs="宋体" w:eastAsia="宋体" w:hint="default"/>
                            <w:sz w:val="18"/>
                            <w:szCs w:val="18"/>
                          </w:rPr>
                          <w:t>的整体规 </w:t>
                        </w:r>
                        <w:r>
                          <w:rPr>
                            <w:rFonts w:ascii="宋体" w:hAnsi="宋体" w:cs="宋体" w:eastAsia="宋体" w:hint="default"/>
                            <w:spacing w:val="-2"/>
                            <w:sz w:val="18"/>
                            <w:szCs w:val="18"/>
                          </w:rPr>
                          <w:t>划设计，涵盖生态城市诊断、生态指标体系、生态专项规划（土地集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约利用、生态环境、绿色交通、绿色能源、水资源综合利用、固废利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用、绿色建筑、人文等）及不同层次的相关规划活动。与传统规划的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主要差异在与将人的建设活动和自然生态系统进行平衡规划，关注人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的活动对区域的影响，追求生活、生态、生产三合一，而不是通过大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规模破坏自然体系的建设活动来实现规划意图。</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pacing w:val="-2"/>
                            <w:sz w:val="18"/>
                            <w:szCs w:val="18"/>
                          </w:rPr>
                          <w:t>以公正、权威的非当事人身份，根据有关法律、标准或合同所进行的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工程、建筑材料或部品、建筑设备、建筑环境等检测、检验、认证、 评估等活动。</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根据建设工程和法律法规的要求，对建设工程所需的技术、经济、资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源、环境等条件进行综合分析、论证，编制建设工程设计文件，提供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相关服务的活动。</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工程勘察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5"/>
                            <w:sz w:val="18"/>
                            <w:szCs w:val="18"/>
                          </w:rPr>
                          <w:t>根据建设工程和法律法规的要求，查明、分析、评价建设场地的地质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地理环境特征和岩土工程条件，编制建设工程勘察文件的活动。</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工程咨询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遵循独立、科学、公正的原则，运用工程技术、科学技术、经济管理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和法律法规等多学科方面的知识和经验，为政府部门、项目业主及其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他各类客户的工程建设项目决策和管理提供咨询活动的智力服务，包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括前期立项阶段咨询、勘察设计阶段咨询、施工阶段咨询、投产或交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付使用后的评价等工作。</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绿色综合运营（</w:t>
                        </w:r>
                        <w:r>
                          <w:rPr>
                            <w:rFonts w:ascii="Times New Roman" w:hAnsi="Times New Roman" w:cs="Times New Roman" w:eastAsia="Times New Roman" w:hint="default"/>
                            <w:sz w:val="18"/>
                            <w:szCs w:val="18"/>
                          </w:rPr>
                          <w:t>DOT</w:t>
                        </w:r>
                        <w:r>
                          <w:rPr>
                            <w:rFonts w:ascii="宋体" w:hAnsi="宋体" w:cs="宋体" w:eastAsia="宋体" w:hint="default"/>
                            <w:sz w:val="18"/>
                            <w:szCs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Design-Operation-Transfer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的缩写，即包含</w:t>
                        </w:r>
                        <w:r>
                          <w:rPr>
                            <w:rFonts w:ascii="Times New Roman" w:hAnsi="Times New Roman" w:cs="Times New Roman" w:eastAsia="Times New Roman" w:hint="default"/>
                            <w:sz w:val="18"/>
                            <w:szCs w:val="18"/>
                          </w:rPr>
                          <w:t>"</w:t>
                        </w:r>
                        <w:r>
                          <w:rPr>
                            <w:rFonts w:ascii="宋体" w:hAnsi="宋体" w:cs="宋体" w:eastAsia="宋体" w:hint="default"/>
                            <w:sz w:val="18"/>
                            <w:szCs w:val="18"/>
                          </w:rPr>
                          <w:t>设计</w:t>
                        </w:r>
                        <w:r>
                          <w:rPr>
                            <w:rFonts w:ascii="Times New Roman" w:hAnsi="Times New Roman" w:cs="Times New Roman" w:eastAsia="Times New Roman" w:hint="default"/>
                            <w:sz w:val="18"/>
                            <w:szCs w:val="18"/>
                          </w:rPr>
                          <w:t>-</w:t>
                        </w:r>
                        <w:r>
                          <w:rPr>
                            <w:rFonts w:ascii="宋体" w:hAnsi="宋体" w:cs="宋体" w:eastAsia="宋体" w:hint="default"/>
                            <w:sz w:val="18"/>
                            <w:szCs w:val="18"/>
                          </w:rPr>
                          <w:t>运营</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等三个环 </w:t>
                        </w:r>
                        <w:r>
                          <w:rPr>
                            <w:rFonts w:ascii="宋体" w:hAnsi="宋体" w:cs="宋体" w:eastAsia="宋体" w:hint="default"/>
                            <w:spacing w:val="-2"/>
                            <w:sz w:val="18"/>
                            <w:szCs w:val="18"/>
                          </w:rPr>
                          <w:t>节。提供涵盖规划设计、建设运营全过程的综合服务，为客户减少协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调沟通成本，实现项目绿色运营实效。</w:t>
                        </w:r>
                      </w:p>
                    </w:tc>
                  </w:tr>
                  <w:tr>
                    <w:trPr>
                      <w:trHeight w:val="102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 </w:t>
                        </w:r>
                        <w:r>
                          <w:rPr>
                            <w:rFonts w:ascii="宋体" w:hAnsi="宋体" w:cs="宋体" w:eastAsia="宋体" w:hint="default"/>
                            <w:sz w:val="18"/>
                            <w:szCs w:val="18"/>
                          </w:rPr>
                          <w:t>工程总承包</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宋体" w:hAnsi="宋体" w:cs="宋体" w:eastAsia="宋体" w:hint="default"/>
                            <w:sz w:val="18"/>
                            <w:szCs w:val="18"/>
                          </w:rPr>
                          <w:t>（</w:t>
                        </w:r>
                        <w:r>
                          <w:rPr>
                            <w:rFonts w:ascii="Times New Roman" w:hAnsi="Times New Roman" w:cs="Times New Roman" w:eastAsia="Times New Roman" w:hint="default"/>
                            <w:sz w:val="18"/>
                            <w:szCs w:val="18"/>
                          </w:rPr>
                          <w:t>Engineering Procurement</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Construction</w:t>
                        </w:r>
                        <w:r>
                          <w:rPr>
                            <w:rFonts w:ascii="宋体" w:hAnsi="宋体" w:cs="宋体" w:eastAsia="宋体" w:hint="default"/>
                            <w:sz w:val="18"/>
                            <w:szCs w:val="18"/>
                          </w:rPr>
                          <w:t>）是指公司受业主委托，</w:t>
                        </w:r>
                        <w:r>
                          <w:rPr>
                            <w:rFonts w:ascii="宋体" w:hAnsi="宋体" w:cs="宋体" w:eastAsia="宋体" w:hint="default"/>
                            <w:w w:val="99"/>
                            <w:sz w:val="18"/>
                            <w:szCs w:val="18"/>
                          </w:rPr>
                          <w:t> </w:t>
                        </w:r>
                        <w:r>
                          <w:rPr>
                            <w:rFonts w:ascii="宋体" w:hAnsi="宋体" w:cs="宋体" w:eastAsia="宋体" w:hint="default"/>
                            <w:spacing w:val="-2"/>
                            <w:sz w:val="18"/>
                            <w:szCs w:val="18"/>
                          </w:rPr>
                          <w:t>按照合同约定对工程建设项目的设计、采购、施工、试运行等实行全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过程或若干阶段的承包。</w:t>
                        </w:r>
                      </w:p>
                    </w:tc>
                  </w:tr>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优地指数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4"/>
                            <w:w w:val="99"/>
                            <w:sz w:val="18"/>
                            <w:szCs w:val="18"/>
                          </w:rPr>
                          <w:t>城市生态宜居发展指数（</w:t>
                        </w:r>
                        <w:r>
                          <w:rPr>
                            <w:rFonts w:ascii="Times New Roman" w:hAnsi="Times New Roman" w:cs="Times New Roman" w:eastAsia="Times New Roman" w:hint="default"/>
                            <w:spacing w:val="-4"/>
                            <w:w w:val="99"/>
                            <w:sz w:val="18"/>
                            <w:szCs w:val="18"/>
                          </w:rPr>
                          <w:t>UELDI</w:t>
                        </w:r>
                        <w:r>
                          <w:rPr>
                            <w:rFonts w:ascii="宋体" w:hAnsi="宋体" w:cs="宋体" w:eastAsia="宋体" w:hint="default"/>
                            <w:spacing w:val="-4"/>
                            <w:w w:val="99"/>
                            <w:sz w:val="18"/>
                            <w:szCs w:val="18"/>
                          </w:rPr>
                          <w:t>），为城市生态宜居发展指数的简称</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系建科院独立研发，历时六年，在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个地级市公开数据，专项研究</w:t>
                        </w:r>
                      </w:p>
                    </w:tc>
                  </w:tr>
                </w:tbl>
                <w:p>
                  <w:pPr/>
                </w:p>
              </w:txbxContent>
            </v:textbox>
            <w10:wrap type="none"/>
          </v:shape>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44"/>
        <w:ind w:left="0" w:right="159"/>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22"/>
              <w:jc w:val="both"/>
              <w:rPr>
                <w:rFonts w:ascii="宋体" w:hAnsi="宋体" w:cs="宋体" w:eastAsia="宋体" w:hint="default"/>
                <w:sz w:val="18"/>
                <w:szCs w:val="18"/>
              </w:rPr>
            </w:pPr>
            <w:r>
              <w:rPr>
                <w:rFonts w:ascii="宋体" w:hAnsi="宋体" w:cs="宋体" w:eastAsia="宋体" w:hint="default"/>
                <w:sz w:val="18"/>
                <w:szCs w:val="18"/>
              </w:rPr>
              <w:t>基础上对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余项评价参数的重要性，赋值熵域化，成为可在不同城 </w:t>
            </w:r>
            <w:r>
              <w:rPr>
                <w:rFonts w:ascii="宋体" w:hAnsi="宋体" w:cs="宋体" w:eastAsia="宋体" w:hint="default"/>
                <w:spacing w:val="-2"/>
                <w:sz w:val="18"/>
                <w:szCs w:val="18"/>
              </w:rPr>
              <w:t>市间横向比较，同一城市不同发展时间纵向对比，综合反映城市建设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过程中生态、宜居和可持续性。</w:t>
            </w:r>
          </w:p>
        </w:tc>
      </w:tr>
    </w:tbl>
    <w:p>
      <w:pPr>
        <w:spacing w:after="0" w:line="309"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pict>
          <v:shape style="position:absolute;margin-left:138pt;margin-top:114.672501pt;width:396.95pt;height:19.7pt;mso-position-horizontal-relative:page;mso-position-vertical-relative:paragraph;z-index:-129486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建科院</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300675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深圳市建筑科学研究院股份有限公司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深圳建科院</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Shenzhen Institute of Building Research Co.,</w:t>
            </w:r>
            <w:r>
              <w:rPr>
                <w:rFonts w:ascii="Times New Roman"/>
                <w:spacing w:val="-12"/>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IBR</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号建科大楼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518049</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www.szibr.com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ibrir@ibrcn.com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深圳市福田区梅林梅坳三路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号建科大 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0755-23950525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0755-23931800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Maohw@ibrcn.com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号四楼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丘运良、丘玉娇</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申万宏源证券承销保荐有限 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北京市西城区太平桥大街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陈靖、康翰震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2017.7.19-2020.12.31</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381,831,957.61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346,125,986.64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280,501,985.47</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33,987,787.76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31,539,638.45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23,330,986.30</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24,170,554.18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23,382,116.51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14,983,443.73</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97,410,702.88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86,889,826.14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-10,140,772.61</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0.2121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0.2121</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691,584,901.89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535,667,956.81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450,202,085.02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418,172,867.42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285,320,793.16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260,821,154.71</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49,997,370.54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92,279,632.04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72,993,060.82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166,561,894.21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-7,009,880.91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10,306,471.49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-34,896.79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30,726,093.97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-7,992,880.20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10,354,679.16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-1,501,591.85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23,310,347.07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-28,750,309.10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-8,325,539.57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11,470,654.15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123,015,896.40</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75,775.18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-4,312.01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11,626,595.75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9,379,816.61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8,992,713.59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49,013.91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181,976.38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666,049.05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1,862,109.08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1,479,498.18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1,306,536.76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-5,599.15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371.30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9,817,233.58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8,157,521.94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8,347,542.57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70"/>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103"/>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54"/>
        <w:jc w:val="left"/>
      </w:pPr>
      <w:r>
        <w:rPr/>
        <w:t>公司是否需要遵守特殊行业的披露要求 否</w:t>
      </w:r>
    </w:p>
    <w:p>
      <w:pPr>
        <w:pStyle w:val="BodyText"/>
        <w:spacing w:line="312" w:lineRule="auto" w:before="25"/>
        <w:ind w:right="103"/>
        <w:jc w:val="left"/>
      </w:pPr>
      <w:r>
        <w:rPr>
          <w:spacing w:val="-2"/>
        </w:rPr>
        <w:t>公司以绿色、生态、低碳理念为指导，以本土化、低成本、精细、适宜的技术路线为特色，以全生命周期服务为手段，面向</w:t>
      </w:r>
      <w:r>
        <w:rPr>
          <w:spacing w:val="-65"/>
        </w:rPr>
        <w:t> </w:t>
      </w:r>
      <w:r>
        <w:rPr>
          <w:spacing w:val="-65"/>
        </w:rPr>
      </w:r>
      <w:r>
        <w:rPr/>
        <w:t>城市绿色发展，提供涵盖规划设计、检测咨询、建设管理以及绿色运营等全过程所需综合解决方案。 </w:t>
      </w:r>
      <w:r>
        <w:rPr>
          <w:spacing w:val="-4"/>
        </w:rPr>
        <w:t>围绕城市和建筑的绿色建设运营，公司提供城市规划、建筑设计等技术咨询服务业务，是公司多年形成的核心主营业务之一。</w:t>
      </w:r>
      <w:r>
        <w:rPr>
          <w:spacing w:val="-44"/>
        </w:rPr>
        <w:t> </w:t>
      </w:r>
      <w:r>
        <w:rPr>
          <w:spacing w:val="-44"/>
        </w:rPr>
      </w:r>
      <w:r>
        <w:rPr>
          <w:spacing w:val="-2"/>
        </w:rPr>
        <w:t>其中城市规划业务，在传统规划的基础上，公司综合生态经济学知识和现代城市规划理论及方法，针对城市生态本底及其与</w:t>
      </w:r>
      <w:r>
        <w:rPr>
          <w:spacing w:val="-63"/>
        </w:rPr>
        <w:t> </w:t>
      </w:r>
      <w:r>
        <w:rPr>
          <w:spacing w:val="-63"/>
        </w:rPr>
      </w:r>
      <w:r>
        <w:rPr/>
        <w:t>产业、社会、人口之间复杂的系统关系进行生态诊断，并为之提出经济可行的基于</w:t>
      </w:r>
      <w:r>
        <w:rPr>
          <w:rFonts w:ascii="Times New Roman" w:hAnsi="Times New Roman" w:cs="Times New Roman" w:eastAsia="Times New Roman" w:hint="default"/>
        </w:rPr>
        <w:t>“</w:t>
      </w:r>
      <w:r>
        <w:rPr/>
        <w:t>生态导向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动态平衡</w:t>
      </w:r>
      <w:r>
        <w:rPr>
          <w:rFonts w:ascii="Times New Roman" w:hAnsi="Times New Roman" w:cs="Times New Roman" w:eastAsia="Times New Roman" w:hint="default"/>
        </w:rPr>
        <w:t>”</w:t>
      </w:r>
      <w:r>
        <w:rPr/>
        <w:t>的规划和建设运 营整体解决方法。 </w:t>
      </w:r>
      <w:r>
        <w:rPr>
          <w:spacing w:val="-2"/>
        </w:rPr>
        <w:t>绿色建筑设计业务，公司形成了独特的共享设计理念和方法，并利用数字化设计，着重量化设计及个性化设计，形成独特的</w:t>
      </w:r>
      <w:r>
        <w:rPr>
          <w:spacing w:val="-64"/>
        </w:rPr>
        <w:t> </w:t>
      </w:r>
      <w:r>
        <w:rPr>
          <w:spacing w:val="-64"/>
        </w:rPr>
      </w:r>
      <w:r>
        <w:rPr>
          <w:spacing w:val="-2"/>
        </w:rPr>
        <w:t>设计风格，致力于为客户打造人与自然和谐共生、更加人性化、更加适宜的各类建筑。公司承担的城市规划和建筑设计项目</w:t>
      </w:r>
      <w:r>
        <w:rPr>
          <w:spacing w:val="-64"/>
        </w:rPr>
        <w:t> </w:t>
      </w:r>
      <w:r>
        <w:rPr>
          <w:spacing w:val="-64"/>
        </w:rPr>
      </w:r>
      <w:r>
        <w:rPr/>
        <w:t>凭借出色的技术水平，先后获得了多项国家、省市甚至国际组织的奖项。 </w:t>
      </w:r>
      <w:r>
        <w:rPr>
          <w:spacing w:val="-2"/>
        </w:rPr>
        <w:t>同时，</w:t>
      </w:r>
      <w:r>
        <w:rPr>
          <w:rFonts w:ascii="Times New Roman" w:hAnsi="Times New Roman" w:cs="Times New Roman" w:eastAsia="Times New Roman" w:hint="default"/>
          <w:spacing w:val="-2"/>
        </w:rPr>
        <w:t>2017</w:t>
      </w:r>
      <w:r>
        <w:rPr>
          <w:spacing w:val="-2"/>
        </w:rPr>
        <w:t>年，公司在整合规划设计、检测服务、项目管理咨询等业务的基础上，以绿色建筑交付为目标的工程总承包服务</w:t>
      </w:r>
      <w:r>
        <w:rPr>
          <w:spacing w:val="-65"/>
        </w:rPr>
        <w:t> </w:t>
      </w:r>
      <w:r>
        <w:rPr>
          <w:spacing w:val="-65"/>
        </w:rPr>
      </w:r>
      <w:r>
        <w:rPr>
          <w:spacing w:val="-2"/>
        </w:rPr>
        <w:t>业务有新的突破，成功中标国际低碳城产业园区配套住房项目、龙岗区委党校加固修缮与整体提升工程、传音控股总部大厦</w:t>
      </w:r>
      <w:r>
        <w:rPr>
          <w:spacing w:val="-63"/>
        </w:rPr>
        <w:t> </w:t>
      </w:r>
      <w:r>
        <w:rPr>
          <w:spacing w:val="-63"/>
        </w:rPr>
      </w:r>
      <w:r>
        <w:rPr/>
        <w:t>等</w:t>
      </w:r>
      <w:r>
        <w:rPr>
          <w:rFonts w:ascii="Times New Roman" w:hAnsi="Times New Roman" w:cs="Times New Roman" w:eastAsia="Times New Roman" w:hint="default"/>
        </w:rPr>
        <w:t>EPC</w:t>
      </w:r>
      <w:r>
        <w:rPr/>
        <w:t>（设计</w:t>
      </w:r>
      <w:r>
        <w:rPr>
          <w:rFonts w:ascii="Times New Roman" w:hAnsi="Times New Roman" w:cs="Times New Roman" w:eastAsia="Times New Roman" w:hint="default"/>
        </w:rPr>
        <w:t>-</w:t>
      </w:r>
      <w:r>
        <w:rPr/>
        <w:t>采购</w:t>
      </w:r>
      <w:r>
        <w:rPr>
          <w:rFonts w:ascii="Times New Roman" w:hAnsi="Times New Roman" w:cs="Times New Roman" w:eastAsia="Times New Roman" w:hint="default"/>
        </w:rPr>
        <w:t>-</w:t>
      </w:r>
      <w:r>
        <w:rPr/>
        <w:t>施工）工程总承包项目，新型业务合同额合计超过</w:t>
      </w:r>
      <w:r>
        <w:rPr>
          <w:rFonts w:ascii="Times New Roman" w:hAnsi="Times New Roman" w:cs="Times New Roman" w:eastAsia="Times New Roman" w:hint="default"/>
        </w:rPr>
        <w:t>5</w:t>
      </w:r>
      <w:r>
        <w:rPr/>
        <w:t>亿元，形成公司新的主营业务增长点。 </w:t>
      </w:r>
      <w:r>
        <w:rPr>
          <w:rFonts w:ascii="Times New Roman" w:hAnsi="Times New Roman" w:cs="Times New Roman" w:eastAsia="Times New Roman" w:hint="default"/>
          <w:spacing w:val="-4"/>
        </w:rPr>
        <w:t>2017</w:t>
      </w:r>
      <w:r>
        <w:rPr>
          <w:spacing w:val="-4"/>
        </w:rPr>
        <w:t>年公司组建了绿色运营子公司，整合公司所有具有运营权的项目，如建科大楼、上海钢琴厂低碳化升级改造及运营项目、</w:t>
      </w:r>
      <w:r>
        <w:rPr>
          <w:spacing w:val="-38"/>
        </w:rPr>
        <w:t> </w:t>
      </w:r>
      <w:r>
        <w:rPr>
          <w:spacing w:val="-38"/>
        </w:rPr>
      </w:r>
      <w:r>
        <w:rPr>
          <w:spacing w:val="-2"/>
        </w:rPr>
        <w:t>深圳国际低碳城会展中心绿色运营项目、常州职教园科技楼设计建设运营一体化项目，开展绿色综合运营服务业务，形成公</w:t>
      </w:r>
      <w:r>
        <w:rPr>
          <w:spacing w:val="-63"/>
        </w:rPr>
        <w:t> </w:t>
      </w:r>
      <w:r>
        <w:rPr>
          <w:spacing w:val="-63"/>
        </w:rPr>
      </w:r>
      <w:r>
        <w:rPr/>
        <w:t>司目前重点培育的业务链延伸业务。 在完成规划设计、建设总包、绿色运营等业务链的构建之后，</w:t>
      </w:r>
      <w:r>
        <w:rPr>
          <w:rFonts w:ascii="Times New Roman" w:hAnsi="Times New Roman" w:cs="Times New Roman" w:eastAsia="Times New Roman" w:hint="default"/>
        </w:rPr>
        <w:t>2017</w:t>
      </w:r>
      <w:r>
        <w:rPr/>
        <w:t>年也进一步加强了</w:t>
      </w:r>
      <w:r>
        <w:rPr>
          <w:rFonts w:ascii="Times New Roman" w:hAnsi="Times New Roman" w:cs="Times New Roman" w:eastAsia="Times New Roman" w:hint="default"/>
        </w:rPr>
        <w:t>DOT</w:t>
      </w:r>
      <w:r>
        <w:rPr/>
        <w:t>（设计－运营－移交）综合服务 业务模式的推广力度。</w:t>
      </w:r>
      <w:r>
        <w:rPr>
          <w:rFonts w:ascii="Times New Roman" w:hAnsi="Times New Roman" w:cs="Times New Roman" w:eastAsia="Times New Roman" w:hint="default"/>
        </w:rPr>
        <w:t>DOT</w:t>
      </w:r>
      <w:r>
        <w:rPr/>
        <w:t>是公司针对绿色建筑、绿色园区提供的业务整合创新，由于</w:t>
      </w:r>
      <w:r>
        <w:rPr>
          <w:spacing w:val="-20"/>
        </w:rPr>
        <w:t> </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不但体现在设计阶段，更重 要体现在建设管理和绿色运营阶段。公司利用自身全过程技术服务的能力，为客户提供绿色建筑、绿色园区的规划、设计、 </w:t>
      </w:r>
      <w:r>
        <w:rPr>
          <w:spacing w:val="-2"/>
        </w:rPr>
        <w:t>建设、运营一体化服务，形成技术服务延伸，实现收益多元化。公司在深圳国际低碳城会展中心</w:t>
      </w:r>
      <w:r>
        <w:rPr>
          <w:rFonts w:ascii="Times New Roman" w:hAnsi="Times New Roman" w:cs="Times New Roman" w:eastAsia="Times New Roman" w:hint="default"/>
          <w:spacing w:val="-2"/>
        </w:rPr>
        <w:t>DOT</w:t>
      </w:r>
      <w:r>
        <w:rPr>
          <w:spacing w:val="-2"/>
        </w:rPr>
        <w:t>模式试点基础上，</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5"/>
        </w:rPr>
        <w:t> </w:t>
      </w:r>
      <w:r>
        <w:rPr/>
        <w:t>年又在荆门科技产业城项目进行了业务模式的推广。 </w:t>
      </w:r>
      <w:r>
        <w:rPr>
          <w:spacing w:val="-2"/>
        </w:rPr>
        <w:t>公信服务是公司另一个核心主营业务领域，公司以检测、检查、监测为基础，以数据为依托，在建筑设计、建造和运营全过</w:t>
      </w:r>
      <w:r>
        <w:rPr>
          <w:spacing w:val="-67"/>
        </w:rPr>
        <w:t> </w:t>
      </w:r>
      <w:r>
        <w:rPr>
          <w:spacing w:val="-67"/>
        </w:rPr>
      </w:r>
      <w:r>
        <w:rPr>
          <w:spacing w:val="-2"/>
        </w:rPr>
        <w:t>程为客户提供预测、评估、咨询和解决方案的品质保障服务。在土木工程、建筑材料与部品、建筑节能、室内外环境等四个</w:t>
      </w:r>
      <w:r>
        <w:rPr>
          <w:spacing w:val="-65"/>
        </w:rPr>
        <w:t> </w:t>
      </w:r>
      <w:r>
        <w:rPr>
          <w:spacing w:val="-65"/>
        </w:rPr>
      </w:r>
      <w:r>
        <w:rPr>
          <w:spacing w:val="-2"/>
        </w:rPr>
        <w:t>专业领域，为城市、建筑、家居等三大服务对象提供各类综合服务，包括：工程建设全过程健康顾问、既有建筑安全体检及</w:t>
      </w:r>
      <w:r>
        <w:rPr>
          <w:spacing w:val="-68"/>
        </w:rPr>
        <w:t> </w:t>
      </w:r>
      <w:r>
        <w:rPr>
          <w:spacing w:val="-68"/>
        </w:rPr>
      </w:r>
      <w:r>
        <w:rPr>
          <w:spacing w:val="-2"/>
        </w:rPr>
        <w:t>诊断、新建建筑质量控制及验收、家居室内环境全过程解决方案等；也为城市、建筑、家居提供各类专项服务，包括：城市</w:t>
      </w:r>
      <w:r>
        <w:rPr>
          <w:spacing w:val="-73"/>
        </w:rPr>
        <w:t> </w:t>
      </w:r>
      <w:r>
        <w:rPr>
          <w:spacing w:val="-73"/>
        </w:rPr>
      </w:r>
      <w:r>
        <w:rPr>
          <w:spacing w:val="-2"/>
        </w:rPr>
        <w:t>安全、城市环境、城市能源、工程安全、建筑材料、建筑能效、建筑环境、房屋结构安全、房屋质量、室内空气品质、室内</w:t>
      </w:r>
      <w:r>
        <w:rPr>
          <w:spacing w:val="-72"/>
        </w:rPr>
        <w:t> </w:t>
      </w:r>
      <w:r>
        <w:rPr>
          <w:spacing w:val="-72"/>
        </w:rPr>
      </w:r>
      <w:r>
        <w:rPr/>
        <w:t>舒适性等。</w:t>
      </w:r>
    </w:p>
    <w:p>
      <w:pPr>
        <w:spacing w:line="240" w:lineRule="auto" w:before="4"/>
        <w:rPr>
          <w:rFonts w:ascii="宋体" w:hAnsi="宋体" w:cs="宋体" w:eastAsia="宋体" w:hint="default"/>
          <w:sz w:val="15"/>
          <w:szCs w:val="15"/>
        </w:rPr>
      </w:pPr>
    </w:p>
    <w:p>
      <w:pPr>
        <w:pStyle w:val="Heading4"/>
        <w:spacing w:line="240" w:lineRule="auto"/>
        <w:ind w:right="103"/>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10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6"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报告期内公司新增股权资产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388.47</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万元，参股设立雄安绿研智库有限公司和荆门玖</w:t>
            </w:r>
            <w:r>
              <w:rPr>
                <w:rFonts w:ascii="宋体" w:hAnsi="宋体" w:cs="宋体" w:eastAsia="宋体" w:hint="default"/>
                <w:sz w:val="18"/>
                <w:szCs w:val="18"/>
              </w:rPr>
              <w:t> 伊园科技有限公司。</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报告期内公司固定资产不存在重大变化。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报告期内公司无形资产不存在重大变化。</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中美低碳建筑与社区创新实验中心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项目持续性投入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1,763.41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至固定资产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465.78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万元。该项目尚处在建设阶段。</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10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57" w:lineRule="auto"/>
        <w:ind w:right="6754"/>
        <w:jc w:val="left"/>
      </w:pPr>
      <w:r>
        <w:rPr/>
        <w:t>公司是否需要遵守特殊行业的披露要求 否</w:t>
      </w:r>
    </w:p>
    <w:p>
      <w:pPr>
        <w:pStyle w:val="BodyText"/>
        <w:spacing w:line="304" w:lineRule="auto" w:before="29"/>
        <w:ind w:right="184"/>
        <w:jc w:val="left"/>
      </w:pPr>
      <w:r>
        <w:rPr/>
        <w:t>（</w:t>
      </w:r>
      <w:r>
        <w:rPr>
          <w:rFonts w:ascii="Times New Roman" w:hAnsi="Times New Roman" w:cs="Times New Roman" w:eastAsia="Times New Roman" w:hint="default"/>
        </w:rPr>
        <w:t>1</w:t>
      </w:r>
      <w:r>
        <w:rPr/>
        <w:t>）城市绿色发展领域全过程技术积累和技术创新优势 </w:t>
      </w:r>
      <w:r>
        <w:rPr>
          <w:spacing w:val="-2"/>
        </w:rPr>
        <w:t>公司十多年来积极推动绿色低碳理念和技术的普及，率先开展规模化的建筑节能、绿色建筑和城市绿色发展实践，先后累计</w:t>
      </w:r>
      <w:r>
        <w:rPr>
          <w:spacing w:val="-62"/>
        </w:rPr>
        <w:t> </w:t>
      </w:r>
      <w:r>
        <w:rPr>
          <w:spacing w:val="-62"/>
        </w:rPr>
      </w:r>
      <w:r>
        <w:rPr/>
        <w:t>承担了国家各级课题研究</w:t>
      </w:r>
      <w:r>
        <w:rPr>
          <w:rFonts w:ascii="Times New Roman" w:hAnsi="Times New Roman" w:cs="Times New Roman" w:eastAsia="Times New Roman" w:hint="default"/>
        </w:rPr>
        <w:t>100</w:t>
      </w:r>
      <w:r>
        <w:rPr/>
        <w:t>多项，参与编制各级行业标准规范</w:t>
      </w:r>
      <w:r>
        <w:rPr>
          <w:rFonts w:ascii="Times New Roman" w:hAnsi="Times New Roman" w:cs="Times New Roman" w:eastAsia="Times New Roman" w:hint="default"/>
        </w:rPr>
        <w:t>100</w:t>
      </w:r>
      <w:r>
        <w:rPr/>
        <w:t>多项，完成国家级示范工程</w:t>
      </w:r>
      <w:r>
        <w:rPr>
          <w:rFonts w:ascii="Times New Roman" w:hAnsi="Times New Roman" w:cs="Times New Roman" w:eastAsia="Times New Roman" w:hint="default"/>
        </w:rPr>
        <w:t>100</w:t>
      </w:r>
      <w:r>
        <w:rPr/>
        <w:t>多个。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日共拥有专利</w:t>
      </w:r>
      <w:r>
        <w:rPr>
          <w:rFonts w:ascii="Times New Roman" w:hAnsi="Times New Roman" w:cs="Times New Roman" w:eastAsia="Times New Roman" w:hint="default"/>
        </w:rPr>
        <w:t>82</w:t>
      </w:r>
      <w:r>
        <w:rPr/>
        <w:t>项（其中发明专利</w:t>
      </w:r>
      <w:r>
        <w:rPr>
          <w:rFonts w:ascii="Times New Roman" w:hAnsi="Times New Roman" w:cs="Times New Roman" w:eastAsia="Times New Roman" w:hint="default"/>
        </w:rPr>
        <w:t>29</w:t>
      </w:r>
      <w:r>
        <w:rPr/>
        <w:t>项），其他子公司</w:t>
      </w:r>
      <w:r>
        <w:rPr>
          <w:rFonts w:ascii="Times New Roman" w:hAnsi="Times New Roman" w:cs="Times New Roman" w:eastAsia="Times New Roman" w:hint="default"/>
        </w:rPr>
        <w:t>13</w:t>
      </w:r>
      <w:r>
        <w:rPr/>
        <w:t>项（其中发明专利</w:t>
      </w:r>
      <w:r>
        <w:rPr>
          <w:rFonts w:ascii="Times New Roman" w:hAnsi="Times New Roman" w:cs="Times New Roman" w:eastAsia="Times New Roman" w:hint="default"/>
        </w:rPr>
        <w:t>8</w:t>
      </w:r>
      <w:r>
        <w:rPr/>
        <w:t>项）以及计算机软件著作权 </w:t>
      </w:r>
      <w:r>
        <w:rPr>
          <w:rFonts w:ascii="Times New Roman" w:hAnsi="Times New Roman" w:cs="Times New Roman" w:eastAsia="Times New Roman" w:hint="default"/>
        </w:rPr>
        <w:t>16</w:t>
      </w:r>
      <w:r>
        <w:rPr/>
        <w:t>项。公司主编、参编了国家、省、市级标准、规范</w:t>
      </w:r>
      <w:r>
        <w:rPr>
          <w:rFonts w:ascii="Times New Roman" w:hAnsi="Times New Roman" w:cs="Times New Roman" w:eastAsia="Times New Roman" w:hint="default"/>
        </w:rPr>
        <w:t>100</w:t>
      </w:r>
      <w:r>
        <w:rPr/>
        <w:t>多项，包括《绿色建筑评价标准》、《公共建筑节能设计标准》、</w:t>
      </w:r>
    </w:p>
    <w:p>
      <w:pPr>
        <w:pStyle w:val="BodyText"/>
        <w:spacing w:line="316" w:lineRule="auto" w:before="9"/>
        <w:ind w:right="94"/>
        <w:jc w:val="left"/>
      </w:pPr>
      <w:r>
        <w:rPr>
          <w:spacing w:val="-2"/>
        </w:rPr>
        <w:t>《节能建筑评价标准》等国家标准，直接参与和推动了全国建筑节能强制实施和绿色建筑的普及。《绿色建筑评价标准》获</w:t>
      </w:r>
      <w:r>
        <w:rPr>
          <w:spacing w:val="-67"/>
        </w:rPr>
        <w:t> </w:t>
      </w:r>
      <w:r>
        <w:rPr>
          <w:spacing w:val="-67"/>
        </w:rPr>
      </w:r>
      <w:r>
        <w:rPr/>
        <w:t>得华夏建设科学技术奖一等奖。经过多年的精耕细作，在持续的研发创新、实验、项目实施基础上，公司掌握了国内领先、 系统完整的城市和建筑绿色建设运营全过程的集成技术体系，能因地制宜的为不同区域、类型的客户提供具有品质、特色、 适宜、能较好实现绿色效益的综合技术服务，形成了系统的技术积累和较好的行业科技品牌影响力。</w:t>
      </w:r>
    </w:p>
    <w:p>
      <w:pPr>
        <w:pStyle w:val="BodyText"/>
        <w:spacing w:line="312" w:lineRule="auto" w:before="19"/>
        <w:ind w:right="103"/>
        <w:jc w:val="left"/>
      </w:pPr>
      <w:r>
        <w:rPr/>
        <w:t>（</w:t>
      </w:r>
      <w:r>
        <w:rPr>
          <w:rFonts w:ascii="Times New Roman" w:hAnsi="Times New Roman" w:cs="Times New Roman" w:eastAsia="Times New Roman" w:hint="default"/>
        </w:rPr>
        <w:t>2</w:t>
      </w:r>
      <w:r>
        <w:rPr/>
        <w:t>）基于研发、实验、数据平台系统的实证能力优势 </w:t>
      </w:r>
      <w:r>
        <w:rPr>
          <w:spacing w:val="-2"/>
        </w:rPr>
        <w:t>公司具有国家认监委颁发的检查机构审查认可证书，中国合格评定国家认可委员会颁发的检查机构认可证书、实验室认可证</w:t>
      </w:r>
      <w:r>
        <w:rPr>
          <w:spacing w:val="-64"/>
        </w:rPr>
        <w:t> </w:t>
      </w:r>
      <w:r>
        <w:rPr>
          <w:spacing w:val="-64"/>
        </w:rPr>
      </w:r>
      <w:r>
        <w:rPr>
          <w:spacing w:val="-2"/>
        </w:rPr>
        <w:t>书，广东省质量技术监督局颁发的计量认证证书，以及拥有多个国家及省市级检测平台及覆盖多项专业检测项目的核心技术</w:t>
      </w:r>
      <w:r>
        <w:rPr>
          <w:spacing w:val="-63"/>
        </w:rPr>
        <w:t> </w:t>
      </w:r>
      <w:r>
        <w:rPr>
          <w:spacing w:val="-63"/>
        </w:rPr>
      </w:r>
      <w:r>
        <w:rPr/>
        <w:t>能力。如：绿色建筑和建筑节能相关的国家级平台</w:t>
      </w:r>
      <w:r>
        <w:rPr>
          <w:rFonts w:ascii="Times New Roman" w:hAnsi="Times New Roman" w:cs="Times New Roman" w:eastAsia="Times New Roman" w:hint="default"/>
        </w:rPr>
        <w:t>3</w:t>
      </w:r>
      <w:r>
        <w:rPr/>
        <w:t>个：国家民用建筑能效测评机构、国家建筑门窗节能性能标识实验室、 </w:t>
      </w:r>
      <w:r>
        <w:rPr>
          <w:spacing w:val="-2"/>
        </w:rPr>
        <w:t>国家可再生能源建筑应用示范项目测评机构；省（市）级平台</w:t>
      </w:r>
      <w:r>
        <w:rPr>
          <w:rFonts w:ascii="Times New Roman" w:hAnsi="Times New Roman" w:cs="Times New Roman" w:eastAsia="Times New Roman" w:hint="default"/>
          <w:spacing w:val="-2"/>
        </w:rPr>
        <w:t>10</w:t>
      </w:r>
      <w:r>
        <w:rPr>
          <w:spacing w:val="-2"/>
        </w:rPr>
        <w:t>个：广东省节能技术服务单位、广东省民用建筑能效测评机</w:t>
      </w:r>
      <w:r>
        <w:rPr>
          <w:spacing w:val="-63"/>
        </w:rPr>
        <w:t> </w:t>
      </w:r>
      <w:r>
        <w:rPr>
          <w:spacing w:val="-63"/>
        </w:rPr>
      </w:r>
      <w:r>
        <w:rPr>
          <w:spacing w:val="-2"/>
        </w:rPr>
        <w:t>构、广东省建筑节能与应用技术重点实验室、深圳市绿色建筑技术研发中心、深圳市建筑节能重点实验室、深圳市节能检测</w:t>
      </w:r>
      <w:r>
        <w:rPr>
          <w:spacing w:val="-65"/>
        </w:rPr>
        <w:t> </w:t>
      </w:r>
      <w:r>
        <w:rPr>
          <w:spacing w:val="-65"/>
        </w:rPr>
      </w:r>
      <w:r>
        <w:rPr>
          <w:spacing w:val="-2"/>
        </w:rPr>
        <w:t>评价中心、深圳市建筑节能检测评价中心、深圳市建筑能耗监测数据中心、深圳市可再生能源示范基地和深圳市住宅产业化</w:t>
      </w:r>
      <w:r>
        <w:rPr>
          <w:spacing w:val="-63"/>
        </w:rPr>
        <w:t> </w:t>
      </w:r>
      <w:r>
        <w:rPr>
          <w:spacing w:val="-63"/>
        </w:rPr>
      </w:r>
      <w:r>
        <w:rPr>
          <w:spacing w:val="-4"/>
        </w:rPr>
        <w:t>示范基地。公司还与包括美国劳伦斯－伯克利国家实验室、美国能源基金会、耶鲁大学、康奈尔大学、雪城大学、牛津大学、</w:t>
      </w:r>
      <w:r>
        <w:rPr>
          <w:spacing w:val="-43"/>
        </w:rPr>
        <w:t> </w:t>
      </w:r>
      <w:r>
        <w:rPr>
          <w:spacing w:val="-43"/>
        </w:rPr>
      </w:r>
      <w:r>
        <w:rPr/>
        <w:t>荷兰应用科学研究院、清华大学等国内外知名机构开展绿色城市、绿色建筑领域研发的深度合作，建立了</w:t>
      </w:r>
      <w:r>
        <w:rPr>
          <w:rFonts w:ascii="Times New Roman" w:hAnsi="Times New Roman" w:cs="Times New Roman" w:eastAsia="Times New Roman" w:hint="default"/>
        </w:rPr>
        <w:t>IBR</w:t>
      </w:r>
      <w:r>
        <w:rPr/>
        <w:t>－</w:t>
      </w:r>
      <w:r>
        <w:rPr>
          <w:rFonts w:ascii="Times New Roman" w:hAnsi="Times New Roman" w:cs="Times New Roman" w:eastAsia="Times New Roman" w:hint="default"/>
        </w:rPr>
        <w:t>LBNL</w:t>
      </w:r>
      <w:r>
        <w:rPr/>
        <w:t>（美</w:t>
      </w:r>
      <w:r>
        <w:rPr>
          <w:spacing w:val="2"/>
        </w:rPr>
        <w:t> </w:t>
      </w:r>
      <w:r>
        <w:rPr>
          <w:spacing w:val="-3"/>
        </w:rPr>
        <w:t>国劳伦斯伯克利国家实验室）联合研究中心、</w:t>
      </w:r>
      <w:r>
        <w:rPr>
          <w:rFonts w:ascii="Times New Roman" w:hAnsi="Times New Roman" w:cs="Times New Roman" w:eastAsia="Times New Roman" w:hint="default"/>
          <w:spacing w:val="-3"/>
        </w:rPr>
        <w:t>IBR</w:t>
      </w:r>
      <w:r>
        <w:rPr>
          <w:spacing w:val="-3"/>
        </w:rPr>
        <w:t>－清华大学绿色人居环境研究中心等。上述研究平台、实验室为公司城市、</w:t>
      </w:r>
      <w:r>
        <w:rPr>
          <w:spacing w:val="-38"/>
        </w:rPr>
        <w:t> </w:t>
      </w:r>
      <w:r>
        <w:rPr>
          <w:spacing w:val="-38"/>
        </w:rPr>
      </w:r>
      <w:r>
        <w:rPr/>
        <w:t>建筑绿色技术的研发和应用效果发挥着重要的支撑作用，确保公司持续技术创新并保持领先水平。 公司从事建设工程检测业务超过</w:t>
      </w:r>
      <w:r>
        <w:rPr>
          <w:rFonts w:ascii="Times New Roman" w:hAnsi="Times New Roman" w:cs="Times New Roman" w:eastAsia="Times New Roman" w:hint="default"/>
        </w:rPr>
        <w:t>20</w:t>
      </w:r>
      <w:r>
        <w:rPr/>
        <w:t>年，检测项目达</w:t>
      </w:r>
      <w:r>
        <w:rPr>
          <w:rFonts w:ascii="Times New Roman" w:hAnsi="Times New Roman" w:cs="Times New Roman" w:eastAsia="Times New Roman" w:hint="default"/>
        </w:rPr>
        <w:t>300</w:t>
      </w:r>
      <w:r>
        <w:rPr/>
        <w:t>多项，可检参数达</w:t>
      </w:r>
      <w:r>
        <w:rPr>
          <w:rFonts w:ascii="Times New Roman" w:hAnsi="Times New Roman" w:cs="Times New Roman" w:eastAsia="Times New Roman" w:hint="default"/>
        </w:rPr>
        <w:t>1,600</w:t>
      </w:r>
      <w:r>
        <w:rPr/>
        <w:t>多个。公司通过多年从事大量的检测、能耗监 </w:t>
      </w:r>
      <w:r>
        <w:rPr>
          <w:spacing w:val="-2"/>
        </w:rPr>
        <w:t>测等公信以及绿色建筑、生态城市技术服务业务和研发实验，公司采集了庞大的涉及城市气候、空气质量、水文、资源、地</w:t>
      </w:r>
      <w:r>
        <w:rPr>
          <w:spacing w:val="-70"/>
        </w:rPr>
        <w:t> </w:t>
      </w:r>
      <w:r>
        <w:rPr>
          <w:spacing w:val="-70"/>
        </w:rPr>
      </w:r>
      <w:r>
        <w:rPr>
          <w:spacing w:val="-2"/>
        </w:rPr>
        <w:t>质、能耗、碳排放、自然植被、交通等城市基底、建筑性能相关的数据并形成数据库，同时建立了具有自有知识产权的城市</w:t>
      </w:r>
      <w:r>
        <w:rPr>
          <w:spacing w:val="-68"/>
        </w:rPr>
        <w:t> </w:t>
      </w:r>
      <w:r>
        <w:rPr>
          <w:spacing w:val="-68"/>
        </w:rPr>
      </w:r>
      <w:r>
        <w:rPr>
          <w:spacing w:val="-2"/>
        </w:rPr>
        <w:t>评估、热岛、能源、碳排放、植物生态数据、生态城评估等软件平台，进行比对、评估分析。例如公司在持续获取的全国五</w:t>
      </w:r>
      <w:r>
        <w:rPr>
          <w:spacing w:val="-65"/>
        </w:rPr>
        <w:t> </w:t>
      </w:r>
      <w:r>
        <w:rPr>
          <w:spacing w:val="-65"/>
        </w:rPr>
      </w:r>
      <w:r>
        <w:rPr/>
        <w:t>大气候区</w:t>
      </w:r>
      <w:r>
        <w:rPr>
          <w:rFonts w:ascii="Times New Roman" w:hAnsi="Times New Roman" w:cs="Times New Roman" w:eastAsia="Times New Roman" w:hint="default"/>
        </w:rPr>
        <w:t>287</w:t>
      </w:r>
      <w:r>
        <w:rPr/>
        <w:t>个城市、</w:t>
      </w:r>
      <w:r>
        <w:rPr>
          <w:rFonts w:ascii="Times New Roman" w:hAnsi="Times New Roman" w:cs="Times New Roman" w:eastAsia="Times New Roman" w:hint="default"/>
        </w:rPr>
        <w:t>259</w:t>
      </w:r>
      <w:r>
        <w:rPr/>
        <w:t>个生态城区、</w:t>
      </w:r>
      <w:r>
        <w:rPr>
          <w:rFonts w:ascii="Times New Roman" w:hAnsi="Times New Roman" w:cs="Times New Roman" w:eastAsia="Times New Roman" w:hint="default"/>
        </w:rPr>
        <w:t>800</w:t>
      </w:r>
      <w:r>
        <w:rPr/>
        <w:t>多栋大型公共建筑、</w:t>
      </w:r>
      <w:r>
        <w:rPr>
          <w:rFonts w:ascii="Times New Roman" w:hAnsi="Times New Roman" w:cs="Times New Roman" w:eastAsia="Times New Roman" w:hint="default"/>
        </w:rPr>
        <w:t>1,000</w:t>
      </w:r>
      <w:r>
        <w:rPr/>
        <w:t>多住户的城市建设运营相关数据基础上建立生态城市建 </w:t>
      </w:r>
      <w:r>
        <w:rPr>
          <w:spacing w:val="-4"/>
        </w:rPr>
        <w:t>设动态评估数据（优地指数），以对生态城市规划实施总体成效进行评估。公司负责和参与中美合作课题、美国能源基金会、</w:t>
      </w:r>
      <w:r>
        <w:rPr>
          <w:spacing w:val="-41"/>
        </w:rPr>
        <w:t> </w:t>
      </w:r>
      <w:r>
        <w:rPr>
          <w:spacing w:val="-41"/>
        </w:rPr>
      </w:r>
      <w:r>
        <w:rPr>
          <w:spacing w:val="-2"/>
        </w:rPr>
        <w:t>国家发改委和深圳市多项碳排放监测和审计相关技术方法研究课题，负责深圳市建筑碳排放交易机制设计，主编建筑碳排放</w:t>
      </w:r>
      <w:r>
        <w:rPr>
          <w:spacing w:val="-64"/>
        </w:rPr>
        <w:t> </w:t>
      </w:r>
      <w:r>
        <w:rPr>
          <w:spacing w:val="-64"/>
        </w:rPr>
      </w:r>
      <w:r>
        <w:rPr/>
        <w:t>核查标准，已开展完成深圳市首批</w:t>
      </w:r>
      <w:r>
        <w:rPr>
          <w:rFonts w:ascii="Times New Roman" w:hAnsi="Times New Roman" w:cs="Times New Roman" w:eastAsia="Times New Roman" w:hint="default"/>
        </w:rPr>
        <w:t>900</w:t>
      </w:r>
      <w:r>
        <w:rPr/>
        <w:t>余栋建筑的碳核查。公司数据库涵盖的范围广泛，时间跨度也较长，是我国绿色建筑 </w:t>
      </w:r>
      <w:r>
        <w:rPr>
          <w:spacing w:val="-2"/>
        </w:rPr>
        <w:t>研究领域收集整理较为完备的数据资料，将为公司未来在全国范围内开展技术服务提供重要的数据支持，形成公司特有的差</w:t>
      </w:r>
      <w:r>
        <w:rPr>
          <w:spacing w:val="-64"/>
        </w:rPr>
        <w:t> </w:t>
      </w:r>
      <w:r>
        <w:rPr>
          <w:spacing w:val="-64"/>
        </w:rPr>
      </w:r>
      <w:r>
        <w:rPr/>
        <w:t>异化竞争优势。</w:t>
      </w:r>
    </w:p>
    <w:p>
      <w:pPr>
        <w:spacing w:after="0" w:line="312"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103"/>
        <w:jc w:val="left"/>
      </w:pPr>
      <w:r>
        <w:rPr/>
        <w:t>（</w:t>
      </w:r>
      <w:r>
        <w:rPr>
          <w:rFonts w:ascii="Times New Roman" w:hAnsi="Times New Roman" w:cs="Times New Roman" w:eastAsia="Times New Roman" w:hint="default"/>
        </w:rPr>
        <w:t>3</w:t>
      </w:r>
      <w:r>
        <w:rPr/>
        <w:t>）灵活、快速响应市场需求的业务模式创新机制优势 公司倡导</w:t>
      </w:r>
      <w:r>
        <w:rPr>
          <w:rFonts w:ascii="Times New Roman" w:hAnsi="Times New Roman" w:cs="Times New Roman" w:eastAsia="Times New Roman" w:hint="default"/>
        </w:rPr>
        <w:t>“</w:t>
      </w:r>
      <w:r>
        <w:rPr/>
        <w:t>价值共享</w:t>
      </w:r>
      <w:r>
        <w:rPr>
          <w:rFonts w:ascii="Times New Roman" w:hAnsi="Times New Roman" w:cs="Times New Roman" w:eastAsia="Times New Roman" w:hint="default"/>
        </w:rPr>
        <w:t>”</w:t>
      </w:r>
      <w:r>
        <w:rPr/>
        <w:t>理念，建立了多点科技创新，业务链灵活组合创新机制，逐步形成了涵盖科研服务、规划设计、公信服 </w:t>
      </w:r>
      <w:r>
        <w:rPr>
          <w:spacing w:val="-2"/>
        </w:rPr>
        <w:t>务、项目管理以及运营服务等全过程的多业务协同和组合格式，共同打造基于提升面向绿色建筑和城市绿色发展全生命周期</w:t>
      </w:r>
      <w:r>
        <w:rPr>
          <w:spacing w:val="-64"/>
        </w:rPr>
        <w:t> </w:t>
      </w:r>
      <w:r>
        <w:rPr>
          <w:spacing w:val="-64"/>
        </w:rPr>
      </w:r>
      <w:r>
        <w:rPr/>
        <w:t>集成服务能力的业务体系，提升公司核心竞争力。 一方面，公司能面向客户需求为其提供上述业务中的单个或创新组合技术服务，如灵活组织输出</w:t>
      </w:r>
      <w:r>
        <w:rPr>
          <w:rFonts w:ascii="Times New Roman" w:hAnsi="Times New Roman" w:cs="Times New Roman" w:eastAsia="Times New Roman" w:hint="default"/>
        </w:rPr>
        <w:t>EPC</w:t>
      </w:r>
      <w:r>
        <w:rPr/>
        <w:t>、设计总监顾问等特色 业务；还能以</w:t>
      </w:r>
      <w:r>
        <w:rPr>
          <w:rFonts w:ascii="Times New Roman" w:hAnsi="Times New Roman" w:cs="Times New Roman" w:eastAsia="Times New Roman" w:hint="default"/>
        </w:rPr>
        <w:t>DOT</w:t>
      </w:r>
      <w:r>
        <w:rPr/>
        <w:t>创新模式为客户提供规划设计运营一体化服务，从而使先进的设计理念、技术能有效贯穿至运营阶段。 </w:t>
      </w:r>
      <w:r>
        <w:rPr>
          <w:spacing w:val="-4"/>
        </w:rPr>
        <w:t>公司上述多途径、全生命周期、具有创新特色的业务模式将更能获得客户认可，增强客户粘性，也有助于提升公司服务溢价，</w:t>
      </w:r>
      <w:r>
        <w:rPr>
          <w:spacing w:val="-46"/>
        </w:rPr>
        <w:t> </w:t>
      </w:r>
      <w:r>
        <w:rPr>
          <w:spacing w:val="-46"/>
        </w:rPr>
      </w:r>
      <w:r>
        <w:rPr>
          <w:spacing w:val="-2"/>
        </w:rPr>
        <w:t>延伸价值链；另一方面，公司以绿色为核心的各业务条块之间能充分发挥协同促进作用。比如科研对公司整体业务起着技术</w:t>
      </w:r>
      <w:r>
        <w:rPr>
          <w:spacing w:val="-66"/>
        </w:rPr>
        <w:t> </w:t>
      </w:r>
      <w:r>
        <w:rPr>
          <w:spacing w:val="-66"/>
        </w:rPr>
      </w:r>
      <w:r>
        <w:rPr>
          <w:spacing w:val="-2"/>
        </w:rPr>
        <w:t>支撑引领作用；公信服务、运营业务能对公司科研、规划、设计、咨询等业务提供数据、信息反馈从而促进技术、产品进一</w:t>
      </w:r>
      <w:r>
        <w:rPr>
          <w:spacing w:val="-73"/>
        </w:rPr>
        <w:t> </w:t>
      </w:r>
      <w:r>
        <w:rPr>
          <w:spacing w:val="-73"/>
        </w:rPr>
      </w:r>
      <w:r>
        <w:rPr>
          <w:spacing w:val="-2"/>
        </w:rPr>
        <w:t>步优化升级；生态城市规划位于产业链的最前端对其他整体业务能起到以点带面铺开的带动作用。公司还依托公信服务平台</w:t>
      </w:r>
      <w:r>
        <w:rPr>
          <w:spacing w:val="-64"/>
        </w:rPr>
        <w:t> </w:t>
      </w:r>
      <w:r>
        <w:rPr>
          <w:spacing w:val="-64"/>
        </w:rPr>
      </w:r>
      <w:r>
        <w:rPr/>
        <w:t>尝试公司业务由</w:t>
      </w:r>
      <w:r>
        <w:rPr>
          <w:rFonts w:ascii="Times New Roman" w:hAnsi="Times New Roman" w:cs="Times New Roman" w:eastAsia="Times New Roman" w:hint="default"/>
        </w:rPr>
        <w:t>B2B</w:t>
      </w:r>
      <w:r>
        <w:rPr/>
        <w:t>延伸至</w:t>
      </w:r>
      <w:r>
        <w:rPr>
          <w:rFonts w:ascii="Times New Roman" w:hAnsi="Times New Roman" w:cs="Times New Roman" w:eastAsia="Times New Roman" w:hint="default"/>
        </w:rPr>
        <w:t>B2C</w:t>
      </w:r>
      <w:r>
        <w:rPr/>
        <w:t>，进一步拓宽了业务服务领域，拓展绿色业务市场空间。</w:t>
      </w:r>
    </w:p>
    <w:p>
      <w:pPr>
        <w:pStyle w:val="BodyText"/>
        <w:spacing w:line="300" w:lineRule="auto" w:before="3"/>
        <w:ind w:right="110"/>
        <w:jc w:val="left"/>
      </w:pPr>
      <w:r>
        <w:rPr/>
        <w:t>（</w:t>
      </w:r>
      <w:r>
        <w:rPr>
          <w:rFonts w:ascii="Times New Roman" w:hAnsi="Times New Roman" w:cs="Times New Roman" w:eastAsia="Times New Roman" w:hint="default"/>
        </w:rPr>
        <w:t>4</w:t>
      </w:r>
      <w:r>
        <w:rPr/>
        <w:t>）建设领域的绿色品牌优势 自</w:t>
      </w:r>
      <w:r>
        <w:rPr>
          <w:rFonts w:ascii="Times New Roman" w:hAnsi="Times New Roman" w:cs="Times New Roman" w:eastAsia="Times New Roman" w:hint="default"/>
        </w:rPr>
        <w:t>2000</w:t>
      </w:r>
      <w:r>
        <w:rPr/>
        <w:t>年公司建立第一个节能建筑实验室并确立以绿色为核心的发展路线以来，公司一直专注于绿色建筑领域技术的研发、 创新及工程应用实践，近年完成了前海深港现代服务业合作区绿色建筑专项规划研究</w:t>
      </w:r>
      <w:r>
        <w:rPr>
          <w:rFonts w:ascii="Times New Roman" w:hAnsi="Times New Roman" w:cs="Times New Roman" w:eastAsia="Times New Roman" w:hint="default"/>
        </w:rPr>
        <w:t>(2016</w:t>
      </w:r>
      <w:r>
        <w:rPr/>
        <w:t>年度全国优秀工程咨询成果三等 奖</w:t>
      </w:r>
      <w:r>
        <w:rPr>
          <w:rFonts w:ascii="Times New Roman" w:hAnsi="Times New Roman" w:cs="Times New Roman" w:eastAsia="Times New Roman" w:hint="default"/>
        </w:rPr>
        <w:t>)</w:t>
      </w:r>
      <w:r>
        <w:rPr/>
        <w:t>、北京用友软件园</w:t>
      </w:r>
      <w:r>
        <w:rPr>
          <w:rFonts w:ascii="Times New Roman" w:hAnsi="Times New Roman" w:cs="Times New Roman" w:eastAsia="Times New Roman" w:hint="default"/>
        </w:rPr>
        <w:t>2</w:t>
      </w:r>
      <w:r>
        <w:rPr/>
        <w:t>号研发中心（</w:t>
      </w:r>
      <w:r>
        <w:rPr>
          <w:rFonts w:ascii="Times New Roman" w:hAnsi="Times New Roman" w:cs="Times New Roman" w:eastAsia="Times New Roman" w:hint="default"/>
        </w:rPr>
        <w:t>2017</w:t>
      </w:r>
      <w:r>
        <w:rPr/>
        <w:t>年度全国绿色建筑创新奖一等奖）、长沙公共资源交易中心建设项目（</w:t>
      </w:r>
      <w:r>
        <w:rPr>
          <w:rFonts w:ascii="Times New Roman" w:hAnsi="Times New Roman" w:cs="Times New Roman" w:eastAsia="Times New Roman" w:hint="default"/>
        </w:rPr>
        <w:t>2017</w:t>
      </w:r>
      <w:r>
        <w:rPr/>
        <w:t>年度全 国绿色建筑创新奖二等奖）、深圳万科第五园（七期）</w:t>
      </w:r>
      <w:r>
        <w:rPr>
          <w:rFonts w:ascii="Times New Roman" w:hAnsi="Times New Roman" w:cs="Times New Roman" w:eastAsia="Times New Roman" w:hint="default"/>
        </w:rPr>
        <w:t>1-3</w:t>
      </w:r>
      <w:r>
        <w:rPr/>
        <w:t>、</w:t>
      </w:r>
      <w:r>
        <w:rPr>
          <w:rFonts w:ascii="Times New Roman" w:hAnsi="Times New Roman" w:cs="Times New Roman" w:eastAsia="Times New Roman" w:hint="default"/>
        </w:rPr>
        <w:t>25-29</w:t>
      </w:r>
      <w:r>
        <w:rPr/>
        <w:t>栋（</w:t>
      </w:r>
      <w:r>
        <w:rPr>
          <w:rFonts w:ascii="Times New Roman" w:hAnsi="Times New Roman" w:cs="Times New Roman" w:eastAsia="Times New Roman" w:hint="default"/>
        </w:rPr>
        <w:t>2017</w:t>
      </w:r>
      <w:r>
        <w:rPr/>
        <w:t>年度全国绿色建筑创新奖三等奖）、福田区环境 检测监控基地大楼项目（</w:t>
      </w:r>
      <w:r>
        <w:rPr>
          <w:rFonts w:ascii="Times New Roman" w:hAnsi="Times New Roman" w:cs="Times New Roman" w:eastAsia="Times New Roman" w:hint="default"/>
        </w:rPr>
        <w:t>2017</w:t>
      </w:r>
      <w:r>
        <w:rPr/>
        <w:t>年度全国优秀工程勘察设计行业奖建筑工程公建二等奖</w:t>
      </w:r>
      <w:r>
        <w:rPr>
          <w:rFonts w:ascii="Times New Roman" w:hAnsi="Times New Roman" w:cs="Times New Roman" w:eastAsia="Times New Roman" w:hint="default"/>
        </w:rPr>
        <w:t>/2017</w:t>
      </w:r>
      <w:r>
        <w:rPr/>
        <w:t>年度全国优秀工程勘察设计行业 奖绿色建筑工程设计二等奖）、上海</w:t>
      </w:r>
      <w:r>
        <w:rPr>
          <w:rFonts w:ascii="Times New Roman" w:hAnsi="Times New Roman" w:cs="Times New Roman" w:eastAsia="Times New Roman" w:hint="default"/>
        </w:rPr>
        <w:t>“E</w:t>
      </w:r>
      <w:r>
        <w:rPr/>
        <w:t>朋汇</w:t>
      </w:r>
      <w:r>
        <w:rPr>
          <w:rFonts w:ascii="Times New Roman" w:hAnsi="Times New Roman" w:cs="Times New Roman" w:eastAsia="Times New Roman" w:hint="default"/>
        </w:rPr>
        <w:t>”</w:t>
      </w:r>
      <w:r>
        <w:rPr/>
        <w:t>（上海市首届既有建筑绿色更新改造金奖）等众多优秀项目的设计咨询工作。 公司凭借技术创新和市场业务方面的优势，先后获得了</w:t>
      </w:r>
      <w:r>
        <w:rPr>
          <w:rFonts w:ascii="Times New Roman" w:hAnsi="Times New Roman" w:cs="Times New Roman" w:eastAsia="Times New Roman" w:hint="default"/>
        </w:rPr>
        <w:t>“</w:t>
      </w:r>
      <w:r>
        <w:rPr/>
        <w:t>中国企业新纪录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全国建筑节能技术创新企业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当代中国建筑 设计百家名院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全国绿色建筑先锋奖</w:t>
      </w:r>
      <w:r>
        <w:rPr>
          <w:rFonts w:ascii="Times New Roman" w:hAnsi="Times New Roman" w:cs="Times New Roman" w:eastAsia="Times New Roman" w:hint="default"/>
        </w:rPr>
        <w:t>”</w:t>
      </w:r>
      <w:r>
        <w:rPr/>
        <w:t>等多项荣誉。公司已发展成为我国绿色建筑、生态城市领域的知名企业，具有很好 的行业品牌影响力。</w:t>
      </w:r>
    </w:p>
    <w:p>
      <w:pPr>
        <w:pStyle w:val="BodyText"/>
        <w:spacing w:line="309" w:lineRule="auto" w:before="31"/>
        <w:ind w:right="94"/>
        <w:jc w:val="left"/>
      </w:pPr>
      <w:r>
        <w:rPr/>
        <w:t>（</w:t>
      </w:r>
      <w:r>
        <w:rPr>
          <w:rFonts w:ascii="Times New Roman" w:hAnsi="Times New Roman" w:cs="Times New Roman" w:eastAsia="Times New Roman" w:hint="default"/>
        </w:rPr>
        <w:t>5</w:t>
      </w:r>
      <w:r>
        <w:rPr/>
        <w:t>）管理优势 </w:t>
      </w:r>
      <w:r>
        <w:rPr>
          <w:spacing w:val="-2"/>
        </w:rPr>
        <w:t>公司在长期发展的过程中，为更好配合整体发展需要，多年来一直努力持续引进、创新各种先进的管理理念和机制，不断提</w:t>
      </w:r>
      <w:r>
        <w:rPr>
          <w:spacing w:val="-65"/>
        </w:rPr>
        <w:t> </w:t>
      </w:r>
      <w:r>
        <w:rPr>
          <w:spacing w:val="-65"/>
        </w:rPr>
      </w:r>
      <w:r>
        <w:rPr/>
        <w:t>升管理效能，逐步形成了独特的管理优势。 </w:t>
      </w:r>
      <w:r>
        <w:rPr>
          <w:spacing w:val="-2"/>
        </w:rPr>
        <w:t>公司整体上形成了以客户和市场为导向的业务和质量控制组织模式，实施扁平化的组织架构，采用端到端的流程式和矩阵式</w:t>
      </w:r>
      <w:r>
        <w:rPr>
          <w:spacing w:val="-64"/>
        </w:rPr>
        <w:t> </w:t>
      </w:r>
      <w:r>
        <w:rPr>
          <w:spacing w:val="-64"/>
        </w:rPr>
      </w:r>
      <w:r>
        <w:rPr/>
        <w:t>经营管理模式。公司以项目为核心，由项目主任牵头总负责，质控部门进行全过程质量把控，各部门、专业人员密切配合， 充分实现资源、管理的协同。公司建立了</w:t>
      </w:r>
      <w:r>
        <w:rPr>
          <w:rFonts w:ascii="Times New Roman" w:hAnsi="Times New Roman" w:cs="Times New Roman" w:eastAsia="Times New Roman" w:hint="default"/>
        </w:rPr>
        <w:t>“</w:t>
      </w:r>
      <w:r>
        <w:rPr/>
        <w:t>三合一</w:t>
      </w:r>
      <w:r>
        <w:rPr>
          <w:rFonts w:ascii="Times New Roman" w:hAnsi="Times New Roman" w:cs="Times New Roman" w:eastAsia="Times New Roman" w:hint="default"/>
        </w:rPr>
        <w:t>”</w:t>
      </w:r>
      <w:r>
        <w:rPr/>
        <w:t>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环境管理体系认证、</w:t>
      </w:r>
      <w:r>
        <w:rPr>
          <w:rFonts w:ascii="Times New Roman" w:hAnsi="Times New Roman" w:cs="Times New Roman" w:eastAsia="Times New Roman" w:hint="default"/>
        </w:rPr>
        <w:t>ISO9001:2008</w:t>
      </w:r>
      <w:r>
        <w:rPr/>
        <w:t>质量管理体 系认证、</w:t>
      </w:r>
      <w:r>
        <w:rPr>
          <w:rFonts w:ascii="Times New Roman" w:hAnsi="Times New Roman" w:cs="Times New Roman" w:eastAsia="Times New Roman" w:hint="default"/>
        </w:rPr>
        <w:t>OHSAS18001:2007</w:t>
      </w:r>
      <w:r>
        <w:rPr/>
        <w:t>职业健康安全管理体系认证）。公司还建立了规范的监督、评估和升级体系，包括管理审计、 </w:t>
      </w:r>
      <w:r>
        <w:rPr>
          <w:spacing w:val="-6"/>
        </w:rPr>
        <w:t>技术审计、财务审计、合同与产品质量的第三方后评估等制度，保障了公司管理体制的有效运行。公司运用平衡积分卡（</w:t>
      </w:r>
      <w:r>
        <w:rPr>
          <w:rFonts w:ascii="Times New Roman" w:hAnsi="Times New Roman" w:cs="Times New Roman" w:eastAsia="Times New Roman" w:hint="default"/>
          <w:spacing w:val="-6"/>
        </w:rPr>
        <w:t>BSC</w:t>
      </w:r>
      <w:r>
        <w:rPr>
          <w:spacing w:val="-6"/>
        </w:rPr>
        <w:t>）</w:t>
      </w:r>
      <w:r>
        <w:rPr>
          <w:spacing w:val="-85"/>
        </w:rPr>
        <w:t> </w:t>
      </w:r>
      <w:r>
        <w:rPr>
          <w:spacing w:val="-2"/>
        </w:rPr>
        <w:t>工具进行战略管理，将战略目标进行分解细化，并进行多维度综合考核评估，注重财务与非财务、长期目标与短期目标、外</w:t>
      </w:r>
      <w:r>
        <w:rPr>
          <w:spacing w:val="-67"/>
        </w:rPr>
        <w:t> </w:t>
      </w:r>
      <w:r>
        <w:rPr>
          <w:spacing w:val="-67"/>
        </w:rPr>
      </w:r>
      <w:r>
        <w:rPr/>
        <w:t>部和内部、结果和过程等之间的平衡，确保战略目标的实现。 公司基于</w:t>
      </w:r>
      <w:r>
        <w:rPr>
          <w:rFonts w:ascii="Times New Roman" w:hAnsi="Times New Roman" w:cs="Times New Roman" w:eastAsia="Times New Roman" w:hint="default"/>
        </w:rPr>
        <w:t>“</w:t>
      </w:r>
      <w:r>
        <w:rPr/>
        <w:t>企业与员工共享</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快乐工作、绿色生活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让员工成长和工作价值最大化</w:t>
      </w:r>
      <w:r>
        <w:rPr>
          <w:rFonts w:ascii="Times New Roman" w:hAnsi="Times New Roman" w:cs="Times New Roman" w:eastAsia="Times New Roman" w:hint="default"/>
        </w:rPr>
        <w:t>”</w:t>
      </w:r>
      <w:r>
        <w:rPr/>
        <w:t>等企业文化理念，于</w:t>
      </w:r>
      <w:r>
        <w:rPr>
          <w:rFonts w:ascii="Times New Roman" w:hAnsi="Times New Roman" w:cs="Times New Roman" w:eastAsia="Times New Roman" w:hint="default"/>
        </w:rPr>
        <w:t>2013</w:t>
      </w:r>
      <w:r>
        <w:rPr/>
        <w:t>年自主开发 乐活平台系统，构筑了</w:t>
      </w:r>
      <w:r>
        <w:rPr>
          <w:rFonts w:ascii="Times New Roman" w:hAnsi="Times New Roman" w:cs="Times New Roman" w:eastAsia="Times New Roman" w:hint="default"/>
        </w:rPr>
        <w:t>“</w:t>
      </w:r>
      <w:r>
        <w:rPr/>
        <w:t>乐活工社</w:t>
      </w:r>
      <w:r>
        <w:rPr>
          <w:rFonts w:ascii="Times New Roman" w:hAnsi="Times New Roman" w:cs="Times New Roman" w:eastAsia="Times New Roman" w:hint="default"/>
        </w:rPr>
        <w:t>”</w:t>
      </w:r>
      <w:r>
        <w:rPr/>
        <w:t>的新型组织工作模式。该模式的核心是</w:t>
      </w:r>
      <w:r>
        <w:rPr>
          <w:rFonts w:ascii="Times New Roman" w:hAnsi="Times New Roman" w:cs="Times New Roman" w:eastAsia="Times New Roman" w:hint="default"/>
        </w:rPr>
        <w:t>“</w:t>
      </w:r>
      <w:r>
        <w:rPr/>
        <w:t>员工自主管理、自我承诺，倡导主人意识；坚持 平等，共享企业、强化团队精神</w:t>
      </w:r>
      <w:r>
        <w:rPr>
          <w:rFonts w:ascii="Times New Roman" w:hAnsi="Times New Roman" w:cs="Times New Roman" w:eastAsia="Times New Roman" w:hint="default"/>
        </w:rPr>
        <w:t>”</w:t>
      </w:r>
      <w:r>
        <w:rPr/>
        <w:t>。依靠乐活平台系统，员工能更多了解公司经营信息，并可参与相关事项的决策，还可通 过竞争任务包的形式自由选择参与项目。公司对中层以上管理干部、核心业务骨干实行关键绩效指标（</w:t>
      </w:r>
      <w:r>
        <w:rPr>
          <w:rFonts w:ascii="Times New Roman" w:hAnsi="Times New Roman" w:cs="Times New Roman" w:eastAsia="Times New Roman" w:hint="default"/>
        </w:rPr>
        <w:t>KPI</w:t>
      </w:r>
      <w:r>
        <w:rPr/>
        <w:t>）和个人绩效承</w:t>
      </w:r>
      <w:r>
        <w:rPr>
          <w:w w:val="99"/>
        </w:rPr>
        <w:t> </w:t>
      </w:r>
      <w:r>
        <w:rPr/>
        <w:t>诺（</w:t>
      </w:r>
      <w:r>
        <w:rPr>
          <w:rFonts w:ascii="Times New Roman" w:hAnsi="Times New Roman" w:cs="Times New Roman" w:eastAsia="Times New Roman" w:hint="default"/>
        </w:rPr>
        <w:t>PBC</w:t>
      </w:r>
      <w:r>
        <w:rPr/>
        <w:t>）相结合方式进行考核，公司其他员工则在乐活平台上采用以</w:t>
      </w:r>
      <w:r>
        <w:rPr>
          <w:rFonts w:ascii="Times New Roman" w:hAnsi="Times New Roman" w:cs="Times New Roman" w:eastAsia="Times New Roman" w:hint="default"/>
        </w:rPr>
        <w:t>“</w:t>
      </w:r>
      <w:r>
        <w:rPr/>
        <w:t>艾币</w:t>
      </w:r>
      <w:r>
        <w:rPr>
          <w:rFonts w:ascii="Times New Roman" w:hAnsi="Times New Roman" w:cs="Times New Roman" w:eastAsia="Times New Roman" w:hint="default"/>
        </w:rPr>
        <w:t>”</w:t>
      </w:r>
      <w:r>
        <w:rPr/>
        <w:t>进行考核。公司据此逐步建立了一种新型的绩 效考核和长效激励机制，员工主观能动性以及成本意识、绩效意识进一步提升。 </w:t>
      </w:r>
      <w:r>
        <w:rPr>
          <w:spacing w:val="-2"/>
        </w:rPr>
        <w:t>公司一直以来十分重视信息化建设，在建立协同办公系统、财务管理系统、科研项目管理系统、档案管理系统、客户资源管</w:t>
      </w:r>
      <w:r>
        <w:rPr>
          <w:spacing w:val="-67"/>
        </w:rPr>
        <w:t> </w:t>
      </w:r>
      <w:r>
        <w:rPr>
          <w:spacing w:val="-67"/>
        </w:rPr>
      </w:r>
      <w:r>
        <w:rPr/>
        <w:t>理（</w:t>
      </w:r>
      <w:r>
        <w:rPr>
          <w:rFonts w:ascii="Times New Roman" w:hAnsi="Times New Roman" w:cs="Times New Roman" w:eastAsia="Times New Roman" w:hint="default"/>
        </w:rPr>
        <w:t>CRM</w:t>
      </w:r>
      <w:r>
        <w:rPr/>
        <w:t>）系统及</w:t>
      </w:r>
      <w:r>
        <w:rPr>
          <w:rFonts w:ascii="Times New Roman" w:hAnsi="Times New Roman" w:cs="Times New Roman" w:eastAsia="Times New Roman" w:hint="default"/>
        </w:rPr>
        <w:t>“</w:t>
      </w:r>
      <w:r>
        <w:rPr/>
        <w:t>乐活</w:t>
      </w:r>
      <w:r>
        <w:rPr>
          <w:rFonts w:ascii="Times New Roman" w:hAnsi="Times New Roman" w:cs="Times New Roman" w:eastAsia="Times New Roman" w:hint="default"/>
        </w:rPr>
        <w:t>”</w:t>
      </w:r>
      <w:r>
        <w:rPr/>
        <w:t>系统后，又继续完善和建设了实验室信息管理系统（</w:t>
      </w:r>
      <w:r>
        <w:rPr>
          <w:rFonts w:ascii="Times New Roman" w:hAnsi="Times New Roman" w:cs="Times New Roman" w:eastAsia="Times New Roman" w:hint="default"/>
        </w:rPr>
        <w:t>LIMS</w:t>
      </w:r>
      <w:r>
        <w:rPr/>
        <w:t>）、设计生产管理系统，并实现各系统 </w:t>
      </w:r>
      <w:r>
        <w:rPr>
          <w:spacing w:val="-2"/>
        </w:rPr>
        <w:t>之间的有效对接。公司现已基本搭建出一套完整的信息化业务管理体系，有利于更好实现内部信息及时传递、共享，充分发</w:t>
      </w:r>
      <w:r>
        <w:rPr>
          <w:spacing w:val="-64"/>
        </w:rPr>
        <w:t> </w:t>
      </w:r>
      <w:r>
        <w:rPr>
          <w:spacing w:val="-64"/>
        </w:rPr>
      </w:r>
      <w:r>
        <w:rPr/>
        <w:t>挥各业务、部门协同效应，加强内部控制，提升管理效率。</w:t>
      </w:r>
    </w:p>
    <w:p>
      <w:pPr>
        <w:pStyle w:val="BodyText"/>
        <w:spacing w:line="309" w:lineRule="auto" w:before="24"/>
        <w:ind w:right="94"/>
        <w:jc w:val="left"/>
      </w:pPr>
      <w:r>
        <w:rPr/>
        <w:t>（</w:t>
      </w:r>
      <w:r>
        <w:rPr>
          <w:rFonts w:ascii="Times New Roman" w:hAnsi="Times New Roman" w:cs="Times New Roman" w:eastAsia="Times New Roman" w:hint="default"/>
        </w:rPr>
        <w:t>6</w:t>
      </w:r>
      <w:r>
        <w:rPr/>
        <w:t>）资质优势 公司在发展的过程中不断积累和壮大，获得了业内的广泛认可，取得了各类资质，为公司业务发展提供了重要支撑。目前， </w:t>
      </w:r>
      <w:r>
        <w:rPr>
          <w:spacing w:val="-2"/>
        </w:rPr>
        <w:t>公司拥有城乡规划编制甲级、工程设计建筑行业（建筑工程）甲级、工程咨询单位甲级、房屋建筑工程监理甲级、工程设计</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4" w:lineRule="auto" w:before="44"/>
        <w:ind w:right="0"/>
        <w:jc w:val="left"/>
      </w:pPr>
      <w:r>
        <w:rPr>
          <w:spacing w:val="-2"/>
        </w:rPr>
        <w:t>市政行业（给水工程、桥梁工程、道路工程、排水工程）专业乙级、风景园林工程设计专项乙级、工程勘察专业类（岩土工</w:t>
      </w:r>
      <w:r>
        <w:rPr>
          <w:spacing w:val="-65"/>
        </w:rPr>
        <w:t> </w:t>
      </w:r>
      <w:r>
        <w:rPr>
          <w:spacing w:val="-65"/>
        </w:rPr>
      </w:r>
      <w:r>
        <w:rPr>
          <w:spacing w:val="-2"/>
        </w:rPr>
        <w:t>程）乙级、建设工程质量检测机构资质、计量认证、地质灾害治理工程设计丙级、地质灾害危险性评估单位丙级、地质灾害</w:t>
      </w:r>
      <w:r>
        <w:rPr>
          <w:spacing w:val="-68"/>
        </w:rPr>
        <w:t> </w:t>
      </w:r>
      <w:r>
        <w:rPr>
          <w:spacing w:val="-68"/>
        </w:rPr>
      </w:r>
      <w:r>
        <w:rPr>
          <w:spacing w:val="-2"/>
        </w:rPr>
        <w:t>治理工程监理丙级、深圳市环境保护工程技术（废水乙、废气丙、噪声丙）等资质；还获得了中国合格评定国家认可委员会</w:t>
      </w:r>
      <w:r>
        <w:rPr>
          <w:spacing w:val="-68"/>
        </w:rPr>
        <w:t> </w:t>
      </w:r>
      <w:r>
        <w:rPr>
          <w:spacing w:val="-68"/>
        </w:rPr>
      </w:r>
      <w:r>
        <w:rPr/>
        <w:t>实验室认可证书（</w:t>
      </w:r>
      <w:r>
        <w:rPr>
          <w:rFonts w:ascii="Times New Roman" w:hAnsi="Times New Roman" w:cs="Times New Roman" w:eastAsia="Times New Roman" w:hint="default"/>
        </w:rPr>
        <w:t>CNAS</w:t>
      </w:r>
      <w:r>
        <w:rPr/>
        <w:t>）、检查机构认可（</w:t>
      </w:r>
      <w:r>
        <w:rPr>
          <w:rFonts w:ascii="Times New Roman" w:hAnsi="Times New Roman" w:cs="Times New Roman" w:eastAsia="Times New Roman" w:hint="default"/>
        </w:rPr>
        <w:t>CNAS</w:t>
      </w:r>
      <w:r>
        <w:rPr/>
        <w:t>）、检查机构审查认可等证书。 </w:t>
      </w:r>
      <w:r>
        <w:rPr>
          <w:spacing w:val="-2"/>
        </w:rPr>
        <w:t>完善的资质和认可体系是企业综合实力的体现，特别是在工程技术服务行业中，资质往往是业务开展和项目招投标的基本条</w:t>
      </w:r>
      <w:r>
        <w:rPr>
          <w:spacing w:val="-64"/>
        </w:rPr>
        <w:t> </w:t>
      </w:r>
      <w:r>
        <w:rPr>
          <w:spacing w:val="-64"/>
        </w:rPr>
      </w:r>
      <w:r>
        <w:rPr>
          <w:spacing w:val="-2"/>
        </w:rPr>
        <w:t>件，公司资质和认可涵盖了建筑工程、市政等领域，涉及到设计、咨询、管理和检测等多个环节，且核心业务资质都是最高</w:t>
      </w:r>
      <w:r>
        <w:rPr>
          <w:spacing w:val="-67"/>
        </w:rPr>
        <w:t> </w:t>
      </w:r>
      <w:r>
        <w:rPr>
          <w:spacing w:val="-67"/>
        </w:rPr>
      </w:r>
      <w:r>
        <w:rPr/>
        <w:t>级别，这将为公司全面开拓市场提供了强有力的资质保证。</w:t>
      </w:r>
    </w:p>
    <w:p>
      <w:pPr>
        <w:spacing w:after="0" w:line="314"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103"/>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103"/>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right="109"/>
        <w:jc w:val="left"/>
      </w:pPr>
      <w:r>
        <w:rPr/>
        <w:t>报告期内，公司围绕年度经营目标，有序推进各项工作，取得销售收入</w:t>
      </w:r>
      <w:r>
        <w:rPr>
          <w:rFonts w:ascii="Times New Roman" w:hAnsi="Times New Roman" w:cs="Times New Roman" w:eastAsia="Times New Roman" w:hint="default"/>
        </w:rPr>
        <w:t>38,183.20</w:t>
      </w:r>
      <w:r>
        <w:rPr/>
        <w:t>万元，较上年同期增加</w:t>
      </w:r>
      <w:r>
        <w:rPr>
          <w:rFonts w:ascii="Times New Roman" w:hAnsi="Times New Roman" w:cs="Times New Roman" w:eastAsia="Times New Roman" w:hint="default"/>
        </w:rPr>
        <w:t>3,570.60</w:t>
      </w:r>
      <w:r>
        <w:rPr/>
        <w:t>万元，增长 </w:t>
      </w:r>
      <w:r>
        <w:rPr>
          <w:rFonts w:ascii="Times New Roman" w:hAnsi="Times New Roman" w:cs="Times New Roman" w:eastAsia="Times New Roman" w:hint="default"/>
        </w:rPr>
        <w:t>10.32%</w:t>
      </w:r>
      <w:r>
        <w:rPr/>
        <w:t>，实现利润总额</w:t>
      </w:r>
      <w:r>
        <w:rPr>
          <w:rFonts w:ascii="Times New Roman" w:hAnsi="Times New Roman" w:cs="Times New Roman" w:eastAsia="Times New Roman" w:hint="default"/>
        </w:rPr>
        <w:t>4,074.46</w:t>
      </w:r>
      <w:r>
        <w:rPr/>
        <w:t>万元，较上年同期增加</w:t>
      </w:r>
      <w:r>
        <w:rPr>
          <w:rFonts w:ascii="Times New Roman" w:hAnsi="Times New Roman" w:cs="Times New Roman" w:eastAsia="Times New Roman" w:hint="default"/>
        </w:rPr>
        <w:t>533.97</w:t>
      </w:r>
      <w:r>
        <w:rPr/>
        <w:t>万元，增长</w:t>
      </w:r>
      <w:r>
        <w:rPr>
          <w:rFonts w:ascii="Times New Roman" w:hAnsi="Times New Roman" w:cs="Times New Roman" w:eastAsia="Times New Roman" w:hint="default"/>
        </w:rPr>
        <w:t>15.08%</w:t>
      </w:r>
      <w:r>
        <w:rPr/>
        <w:t>，实现归属于母公司的净利润</w:t>
      </w:r>
      <w:r>
        <w:rPr>
          <w:rFonts w:ascii="Times New Roman" w:hAnsi="Times New Roman" w:cs="Times New Roman" w:eastAsia="Times New Roman" w:hint="default"/>
        </w:rPr>
        <w:t>3,398.78</w:t>
      </w:r>
      <w:r>
        <w:rPr/>
        <w:t>万元， 较上年增加</w:t>
      </w:r>
      <w:r>
        <w:rPr>
          <w:rFonts w:ascii="Times New Roman" w:hAnsi="Times New Roman" w:cs="Times New Roman" w:eastAsia="Times New Roman" w:hint="default"/>
        </w:rPr>
        <w:t>244.81</w:t>
      </w:r>
      <w:r>
        <w:rPr/>
        <w:t>万元，增长</w:t>
      </w:r>
      <w:r>
        <w:rPr>
          <w:rFonts w:ascii="Times New Roman" w:hAnsi="Times New Roman" w:cs="Times New Roman" w:eastAsia="Times New Roman" w:hint="default"/>
        </w:rPr>
        <w:t>7.76%</w:t>
      </w:r>
      <w:r>
        <w:rPr/>
        <w:t>。</w:t>
      </w:r>
    </w:p>
    <w:p>
      <w:pPr>
        <w:pStyle w:val="BodyText"/>
        <w:spacing w:line="319" w:lineRule="auto" w:before="13"/>
        <w:ind w:right="103"/>
        <w:jc w:val="left"/>
      </w:pPr>
      <w:r>
        <w:rPr/>
        <w:t>一、积极开拓市场，提升盈利能力 </w:t>
      </w:r>
      <w:r>
        <w:rPr>
          <w:spacing w:val="-4"/>
        </w:rPr>
        <w:t>城市规划业务特别是城市绿色发展规划业务，顺应国家绿色发展趋势，紧跟各重点城市的业务需求，提供包括绿色发展研究、</w:t>
      </w:r>
      <w:r>
        <w:rPr>
          <w:spacing w:val="-44"/>
        </w:rPr>
        <w:t> </w:t>
      </w:r>
      <w:r>
        <w:rPr>
          <w:spacing w:val="-44"/>
        </w:rPr>
      </w:r>
      <w:r>
        <w:rPr>
          <w:spacing w:val="-2"/>
        </w:rPr>
        <w:t>各类生态规划以及规划实施管理体系等在内的系统性生态规划服务。其中，以海绵城市建设为需求的相关海绵专项研发与规</w:t>
      </w:r>
      <w:r>
        <w:rPr>
          <w:spacing w:val="-64"/>
        </w:rPr>
        <w:t> </w:t>
      </w:r>
      <w:r>
        <w:rPr>
          <w:spacing w:val="-64"/>
        </w:rPr>
      </w:r>
      <w:r>
        <w:rPr>
          <w:spacing w:val="-2"/>
        </w:rPr>
        <w:t>划设计领域业务增长迅速，同时，市政和水工程的规划咨询设计业务也得到快速发展，使得城市规划业务营业收入同比增长</w:t>
      </w:r>
      <w:r>
        <w:rPr>
          <w:spacing w:val="-63"/>
        </w:rPr>
        <w:t> </w:t>
      </w:r>
      <w:r>
        <w:rPr>
          <w:spacing w:val="-63"/>
        </w:rPr>
      </w:r>
      <w:r>
        <w:rPr>
          <w:rFonts w:ascii="Times New Roman" w:hAnsi="Times New Roman" w:cs="Times New Roman" w:eastAsia="Times New Roman" w:hint="default"/>
        </w:rPr>
        <w:t>9.52%</w:t>
      </w:r>
      <w:r>
        <w:rPr/>
        <w:t>。</w:t>
      </w:r>
    </w:p>
    <w:p>
      <w:pPr>
        <w:pStyle w:val="BodyText"/>
        <w:spacing w:line="309" w:lineRule="auto"/>
        <w:ind w:right="94"/>
        <w:jc w:val="left"/>
      </w:pPr>
      <w:r>
        <w:rPr>
          <w:rFonts w:ascii="Times New Roman" w:hAnsi="Times New Roman" w:cs="Times New Roman" w:eastAsia="Times New Roman" w:hint="default"/>
        </w:rPr>
        <w:t>2017</w:t>
      </w:r>
      <w:r>
        <w:rPr/>
        <w:t>年公司加大了绿色建筑设计业务与其他业务协同和服务延伸。特别是建筑设计向代建、</w:t>
      </w:r>
      <w:r>
        <w:rPr>
          <w:rFonts w:ascii="Times New Roman" w:hAnsi="Times New Roman" w:cs="Times New Roman" w:eastAsia="Times New Roman" w:hint="default"/>
        </w:rPr>
        <w:t>EPC</w:t>
      </w:r>
      <w:r>
        <w:rPr/>
        <w:t>等工程总包服务延伸，</w:t>
      </w:r>
      <w:r>
        <w:rPr>
          <w:rFonts w:ascii="Times New Roman" w:hAnsi="Times New Roman" w:cs="Times New Roman" w:eastAsia="Times New Roman" w:hint="default"/>
        </w:rPr>
        <w:t>2017 </w:t>
      </w:r>
      <w:r>
        <w:rPr>
          <w:spacing w:val="-2"/>
        </w:rPr>
        <w:t>年取得了很好的突破；另一方面设计业务也加强了与规划业务、咨询服务业务的协同，所以建筑设计业务增加更多的业务渠</w:t>
      </w:r>
      <w:r>
        <w:rPr>
          <w:spacing w:val="-66"/>
        </w:rPr>
        <w:t> </w:t>
      </w:r>
      <w:r>
        <w:rPr>
          <w:spacing w:val="-66"/>
        </w:rPr>
      </w:r>
      <w:r>
        <w:rPr/>
        <w:t>道。同时公司以绿色为理念和核心特色为客户提供建筑设计服务，也进一步获得市场的认可、品牌影响也有所增强。因此， 建筑设计业务营业收入同比增长</w:t>
      </w:r>
      <w:r>
        <w:rPr>
          <w:rFonts w:ascii="Times New Roman" w:hAnsi="Times New Roman" w:cs="Times New Roman" w:eastAsia="Times New Roman" w:hint="default"/>
        </w:rPr>
        <w:t>21.13%</w:t>
      </w:r>
      <w:r>
        <w:rPr/>
        <w:t>。 </w:t>
      </w:r>
      <w:r>
        <w:rPr>
          <w:spacing w:val="-2"/>
        </w:rPr>
        <w:t>随着绿色建筑普及推广，单纯的绿色建筑技术顾问和标识认证的咨询服务逐步与规划设计服务合并，同时市场价格竞争也日</w:t>
      </w:r>
      <w:r>
        <w:rPr>
          <w:spacing w:val="-64"/>
        </w:rPr>
        <w:t> </w:t>
      </w:r>
      <w:r>
        <w:rPr>
          <w:spacing w:val="-64"/>
        </w:rPr>
      </w:r>
      <w:r>
        <w:rPr/>
        <w:t>趋激烈，单纯的绿色建筑咨询业务呈下降趋势，公司建筑咨询板块营业收入同比下降</w:t>
      </w:r>
      <w:r>
        <w:rPr>
          <w:rFonts w:ascii="Times New Roman" w:hAnsi="Times New Roman" w:cs="Times New Roman" w:eastAsia="Times New Roman" w:hint="default"/>
        </w:rPr>
        <w:t>11.14%</w:t>
      </w:r>
      <w:r>
        <w:rPr/>
        <w:t>。针对市场形势调整，公司的 绿色建筑咨询业务逐步开始融合到公信检测和规划设计业务中，提供更具市场竞争力的综合服务方式。 </w:t>
      </w:r>
      <w:r>
        <w:rPr>
          <w:spacing w:val="-2"/>
        </w:rPr>
        <w:t>基于公司对历史项目的经验总结，配套项目运营管理系统工具的逐步完善，公司对项目管控能力逐步提升，对项目预算控制</w:t>
      </w:r>
      <w:r>
        <w:rPr>
          <w:spacing w:val="-63"/>
        </w:rPr>
        <w:t> </w:t>
      </w:r>
      <w:r>
        <w:rPr>
          <w:spacing w:val="-63"/>
        </w:rPr>
      </w:r>
      <w:r>
        <w:rPr>
          <w:spacing w:val="-4"/>
        </w:rPr>
        <w:t>的实施产生积极效果，伴随项目交付效率和质量稳步提高，在各项业务增长的同时，成本费用并未出现大幅增长，城市规划、</w:t>
      </w:r>
      <w:r>
        <w:rPr>
          <w:spacing w:val="-46"/>
        </w:rPr>
        <w:t> </w:t>
      </w:r>
      <w:r>
        <w:rPr>
          <w:spacing w:val="-46"/>
        </w:rPr>
      </w:r>
      <w:r>
        <w:rPr/>
        <w:t>建筑设计和建筑咨询业务板块毛利均较上年有所增长。 </w:t>
      </w:r>
      <w:r>
        <w:rPr>
          <w:rFonts w:ascii="Times New Roman" w:hAnsi="Times New Roman" w:cs="Times New Roman" w:eastAsia="Times New Roman" w:hint="default"/>
        </w:rPr>
        <w:t>2017</w:t>
      </w:r>
      <w:r>
        <w:rPr/>
        <w:t>年公司公信业务基于建科院的技术服务实力及检测服务的公信力和市场口碑，利用</w:t>
      </w:r>
      <w:r>
        <w:rPr>
          <w:rFonts w:ascii="Times New Roman" w:hAnsi="Times New Roman" w:cs="Times New Roman" w:eastAsia="Times New Roman" w:hint="default"/>
        </w:rPr>
        <w:t>2017</w:t>
      </w:r>
      <w:r>
        <w:rPr/>
        <w:t>年深圳</w:t>
      </w:r>
      <w:r>
        <w:rPr>
          <w:rFonts w:ascii="Times New Roman" w:hAnsi="Times New Roman" w:cs="Times New Roman" w:eastAsia="Times New Roman" w:hint="default"/>
        </w:rPr>
        <w:t>“</w:t>
      </w:r>
      <w:r>
        <w:rPr/>
        <w:t>城市质量提升年</w:t>
      </w:r>
      <w:r>
        <w:rPr>
          <w:rFonts w:ascii="Times New Roman" w:hAnsi="Times New Roman" w:cs="Times New Roman" w:eastAsia="Times New Roman" w:hint="default"/>
        </w:rPr>
        <w:t>”</w:t>
      </w:r>
      <w:r>
        <w:rPr/>
        <w:t>时机， </w:t>
      </w:r>
      <w:r>
        <w:rPr>
          <w:spacing w:val="-2"/>
        </w:rPr>
        <w:t>抓住在建工程质量提升和房屋安全隐患排查业务机会，扩大了产品检测及土木检测业在深圳市场的业务量。同时，</w:t>
      </w:r>
      <w:r>
        <w:rPr>
          <w:rFonts w:ascii="Times New Roman" w:hAnsi="Times New Roman" w:cs="Times New Roman" w:eastAsia="Times New Roman" w:hint="default"/>
          <w:spacing w:val="-2"/>
        </w:rPr>
        <w:t>2017</w:t>
      </w:r>
      <w:r>
        <w:rPr>
          <w:spacing w:val="-2"/>
        </w:rPr>
        <w:t>年积</w:t>
      </w:r>
      <w:r>
        <w:rPr>
          <w:spacing w:val="-61"/>
        </w:rPr>
        <w:t> </w:t>
      </w:r>
      <w:r>
        <w:rPr/>
        <w:t>极在上海、珠海等地建立实验室，开拓新兴市场，并创新服务模式，如</w:t>
      </w:r>
      <w:r>
        <w:rPr>
          <w:rFonts w:ascii="Times New Roman" w:hAnsi="Times New Roman" w:cs="Times New Roman" w:eastAsia="Times New Roman" w:hint="default"/>
        </w:rPr>
        <w:t>B2C</w:t>
      </w:r>
      <w:r>
        <w:rPr/>
        <w:t>检测服务、甲控品质管理服务等。所以，</w:t>
      </w:r>
      <w:r>
        <w:rPr>
          <w:rFonts w:ascii="Times New Roman" w:hAnsi="Times New Roman" w:cs="Times New Roman" w:eastAsia="Times New Roman" w:hint="default"/>
        </w:rPr>
        <w:t>2017 </w:t>
      </w:r>
      <w:r>
        <w:rPr/>
        <w:t>年公信服务营业收入同比增长</w:t>
      </w:r>
      <w:r>
        <w:rPr>
          <w:rFonts w:ascii="Times New Roman" w:hAnsi="Times New Roman" w:cs="Times New Roman" w:eastAsia="Times New Roman" w:hint="default"/>
        </w:rPr>
        <w:t>7.72%</w:t>
      </w:r>
      <w:r>
        <w:rPr/>
        <w:t>。但随着异地公信业务布局的扩大，新设实验室场地及设备的投入、人员的增加、异地 </w:t>
      </w:r>
      <w:r>
        <w:rPr>
          <w:spacing w:val="-2"/>
        </w:rPr>
        <w:t>材料送检次数的增加，导致相关成本费用均有较大增长，致使公信业务的毛利率同比有所下降。业务增长与成本费用控制的</w:t>
      </w:r>
      <w:r>
        <w:rPr>
          <w:spacing w:val="-63"/>
        </w:rPr>
        <w:t> </w:t>
      </w:r>
      <w:r>
        <w:rPr>
          <w:spacing w:val="-63"/>
        </w:rPr>
      </w:r>
      <w:r>
        <w:rPr/>
        <w:t>平衡将成为公司公信业务生产经营的重点。 报告期内，公司其他业务营业收入同比增长</w:t>
      </w:r>
      <w:r>
        <w:rPr>
          <w:rFonts w:ascii="Times New Roman" w:hAnsi="Times New Roman" w:cs="Times New Roman" w:eastAsia="Times New Roman" w:hint="default"/>
        </w:rPr>
        <w:t>23.99%</w:t>
      </w:r>
      <w:r>
        <w:rPr/>
        <w:t>，主要得益于上海钢琴厂和建科大楼租赁业务的增长。同时，除了为第 </w:t>
      </w:r>
      <w:r>
        <w:rPr>
          <w:spacing w:val="-2"/>
        </w:rPr>
        <w:t>五届深圳国际低碳城论坛提供后勤综合保障服务外，还承办了</w:t>
      </w:r>
      <w:r>
        <w:rPr>
          <w:rFonts w:ascii="Times New Roman" w:hAnsi="Times New Roman" w:cs="Times New Roman" w:eastAsia="Times New Roman" w:hint="default"/>
          <w:spacing w:val="-2"/>
        </w:rPr>
        <w:t>2017</w:t>
      </w:r>
      <w:r>
        <w:rPr>
          <w:spacing w:val="-2"/>
        </w:rPr>
        <w:t>年国际社工联合会亚太区会议会务服务，并成立深圳市九</w:t>
      </w:r>
      <w:r>
        <w:rPr>
          <w:spacing w:val="-61"/>
        </w:rPr>
        <w:t> </w:t>
      </w:r>
      <w:r>
        <w:rPr>
          <w:spacing w:val="-61"/>
        </w:rPr>
      </w:r>
      <w:r>
        <w:rPr/>
        <w:t>一绿色运营有限公司，使得绿色运营朝着专业化发展。 </w:t>
      </w:r>
      <w:r>
        <w:rPr>
          <w:spacing w:val="-2"/>
        </w:rPr>
        <w:t>通过建科大楼和深圳国际低碳城会展中心两个具有绿色建筑理念和技术展示的核心平台，公司不断整合南方地区资源，促进</w:t>
      </w:r>
      <w:r>
        <w:rPr>
          <w:spacing w:val="-64"/>
        </w:rPr>
        <w:t> </w:t>
      </w:r>
      <w:r>
        <w:rPr>
          <w:spacing w:val="-64"/>
        </w:rPr>
      </w:r>
      <w:r>
        <w:rPr>
          <w:spacing w:val="-4"/>
        </w:rPr>
        <w:t>适宜南方地区气候环境的绿色建筑体系和成套技术的形成与推广。从经营区域看，公司的业务的重心仍然在深圳及周边地区，</w:t>
      </w:r>
      <w:r>
        <w:rPr>
          <w:spacing w:val="-44"/>
        </w:rPr>
        <w:t> </w:t>
      </w:r>
      <w:r>
        <w:rPr>
          <w:spacing w:val="-44"/>
        </w:rPr>
      </w:r>
      <w:r>
        <w:rPr>
          <w:spacing w:val="-1"/>
        </w:rPr>
        <w:t>并呈在粤港澳大湾区内快速扩展的趋势，</w:t>
      </w:r>
      <w:r>
        <w:rPr>
          <w:rFonts w:ascii="Times New Roman" w:hAnsi="Times New Roman" w:cs="Times New Roman" w:eastAsia="Times New Roman" w:hint="default"/>
          <w:spacing w:val="-1"/>
        </w:rPr>
        <w:t>2017</w:t>
      </w:r>
      <w:r>
        <w:rPr>
          <w:spacing w:val="-1"/>
        </w:rPr>
        <w:t>年华南地区的营业收入实现同比增长</w:t>
      </w:r>
      <w:r>
        <w:rPr>
          <w:rFonts w:ascii="Times New Roman" w:hAnsi="Times New Roman" w:cs="Times New Roman" w:eastAsia="Times New Roman" w:hint="default"/>
          <w:spacing w:val="-1"/>
        </w:rPr>
        <w:t>20.66%</w:t>
      </w:r>
      <w:r>
        <w:rPr>
          <w:spacing w:val="-1"/>
        </w:rPr>
        <w:t>。随着国家雄安新区建设的推进，</w:t>
      </w:r>
      <w:r>
        <w:rPr>
          <w:spacing w:val="-40"/>
        </w:rPr>
        <w:t> </w:t>
      </w:r>
      <w:r>
        <w:rPr>
          <w:spacing w:val="-40"/>
        </w:rPr>
      </w:r>
      <w:r>
        <w:rPr/>
        <w:t>华北地区市场将成为公司市场拓展的重要区域。</w:t>
      </w:r>
    </w:p>
    <w:p>
      <w:pPr>
        <w:pStyle w:val="BodyText"/>
        <w:spacing w:line="309" w:lineRule="auto" w:before="24"/>
        <w:ind w:right="103"/>
        <w:jc w:val="left"/>
      </w:pPr>
      <w:r>
        <w:rPr/>
        <w:t>二、持续加强自主创新能力，培育公司发展动能 </w:t>
      </w:r>
      <w:r>
        <w:rPr>
          <w:spacing w:val="-2"/>
        </w:rPr>
        <w:t>报告期内，公司积极部署</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国家重点研发计划课题，申请各类国家级和省部级等科研问题，加强与国内外高校、企事</w:t>
      </w:r>
      <w:r>
        <w:rPr>
          <w:spacing w:val="-45"/>
        </w:rPr>
        <w:t> </w:t>
      </w:r>
      <w:r>
        <w:rPr>
          <w:spacing w:val="-45"/>
        </w:rPr>
      </w:r>
      <w:r>
        <w:rPr>
          <w:spacing w:val="-2"/>
        </w:rPr>
        <w:t>业单位的合作。继续推进集成研发平台项目</w:t>
      </w:r>
      <w:r>
        <w:rPr>
          <w:rFonts w:ascii="Times New Roman" w:hAnsi="Times New Roman" w:cs="Times New Roman" w:eastAsia="Times New Roman" w:hint="default"/>
          <w:spacing w:val="-2"/>
        </w:rPr>
        <w:t>——</w:t>
      </w:r>
      <w:r>
        <w:rPr>
          <w:spacing w:val="-2"/>
        </w:rPr>
        <w:t>中美低碳建筑与社区创新实验中心的建设和投入，同时公司在研究方向上更</w:t>
      </w:r>
      <w:r>
        <w:rPr>
          <w:spacing w:val="-63"/>
        </w:rPr>
        <w:t> </w:t>
      </w:r>
      <w:r>
        <w:rPr>
          <w:spacing w:val="-63"/>
        </w:rPr>
      </w:r>
      <w:r>
        <w:rPr/>
        <w:t>注重集成产品和工具的开发，形成了一批具有资本化特性和产业化前景的研究成果，为未来形成新的业务点打下基础。 三、坚持管理创新，不断提升管理水平 </w:t>
      </w:r>
      <w:r>
        <w:rPr>
          <w:rFonts w:ascii="Times New Roman" w:hAnsi="Times New Roman" w:cs="Times New Roman" w:eastAsia="Times New Roman" w:hint="default"/>
          <w:spacing w:val="-2"/>
        </w:rPr>
        <w:t>2017</w:t>
      </w:r>
      <w:r>
        <w:rPr>
          <w:spacing w:val="-2"/>
        </w:rPr>
        <w:t>年公司内部管理平台雏形搭建完成，主营业务链实现从端到端的线上运转，完成了人力资源系统、供应商管理系统、财</w:t>
      </w:r>
      <w:r>
        <w:rPr>
          <w:spacing w:val="-62"/>
        </w:rPr>
        <w:t> </w:t>
      </w:r>
      <w:r>
        <w:rPr>
          <w:spacing w:val="-62"/>
        </w:rPr>
      </w:r>
      <w:r>
        <w:rPr/>
        <w:t>务管理系统、</w:t>
      </w:r>
      <w:r>
        <w:rPr>
          <w:rFonts w:ascii="Times New Roman" w:hAnsi="Times New Roman" w:cs="Times New Roman" w:eastAsia="Times New Roman" w:hint="default"/>
        </w:rPr>
        <w:t>LIMS</w:t>
      </w:r>
      <w:r>
        <w:rPr/>
        <w:t>系统等辅助管理系统的初步建设。同时，加大了各项业务统计报表的开发力度，为个人管理和公司经营</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50"/>
        <w:jc w:val="both"/>
      </w:pPr>
      <w:r>
        <w:rPr>
          <w:spacing w:val="-2"/>
        </w:rPr>
        <w:t>决策提供支持数据。全面提升了公司行政事务的运作效率，各项工作衔接更为顺畅。探索构建以员工自主管理为核心，成本</w:t>
      </w:r>
      <w:r>
        <w:rPr>
          <w:spacing w:val="-65"/>
        </w:rPr>
        <w:t> </w:t>
      </w:r>
      <w:r>
        <w:rPr>
          <w:spacing w:val="-65"/>
        </w:rPr>
      </w:r>
      <w:r>
        <w:rPr>
          <w:spacing w:val="-2"/>
        </w:rPr>
        <w:t>和绩效为导向的项目管理、内部考核与结算机制，提高了员工主管能动性及成本意识。从而公司的各类成本费用构成更趋合</w:t>
      </w:r>
      <w:r>
        <w:rPr>
          <w:spacing w:val="-63"/>
        </w:rPr>
        <w:t> </w:t>
      </w:r>
      <w:r>
        <w:rPr>
          <w:spacing w:val="-63"/>
        </w:rPr>
      </w:r>
      <w:r>
        <w:rPr/>
        <w:t>理。</w:t>
      </w: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5"/>
        <w:spacing w:line="332"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5994"/>
        <w:jc w:val="left"/>
      </w:pPr>
      <w:r>
        <w:rPr/>
        <w:t>公司是否需要遵守光伏产业链相关业的披露要求 否</w:t>
      </w:r>
    </w:p>
    <w:p>
      <w:pPr>
        <w:pStyle w:val="BodyText"/>
        <w:spacing w:line="340" w:lineRule="auto" w:before="25"/>
        <w:ind w:right="41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57"/>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381,831,957.61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346,125,986.64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381,831,957.61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346,125,986.64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93,660,421.94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85,519,236.14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92,813,948.52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86,164,258.31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102,893,835.72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84,948,076.98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46,802,842.66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52,667,595.87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45,660,908.77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36,826,819.34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25,931,030.00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24,394,999.82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26,955,504.07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25,883,413.43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297,854,775.62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246,856,640.88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22,079,714.91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37,895,334.94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166,415.09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397,641.50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8,844,517.92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10,697,956.07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381,831,957.61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236,545,289.44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城市规划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93,660,421.94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56,145,990.35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92,813,948.52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47,116,460.17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102,893,835.72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62,148,497.68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建筑咨询</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46,802,842.66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27,201,827.61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-11.14%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-18.92%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45,660,908.77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43,932,513.64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25,931,030.00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14,992,374.80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26,955,504.07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18,392,476.87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297,854,775.62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181,133,223.55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22,079,714.91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16,220,705.03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166,415.09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8,844,517.92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5,725,047.59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-3.96%</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both"/>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8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00" w:lineRule="auto" w:before="43"/>
        <w:ind w:right="188"/>
        <w:jc w:val="both"/>
      </w:pPr>
      <w:r>
        <w:rPr>
          <w:spacing w:val="-1"/>
        </w:rPr>
        <w:t>公司与深圳市龙岗区住房和建设局于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月签署了《国际低碳城产业园区配套住房项目</w:t>
      </w:r>
      <w:r>
        <w:rPr>
          <w:rFonts w:ascii="Times New Roman" w:hAnsi="Times New Roman" w:cs="Times New Roman" w:eastAsia="Times New Roman" w:hint="default"/>
          <w:spacing w:val="-1"/>
        </w:rPr>
        <w:t>EPC</w:t>
      </w:r>
      <w:r>
        <w:rPr>
          <w:spacing w:val="-1"/>
        </w:rPr>
        <w:t>总承包合同》，本项目合同</w:t>
      </w:r>
      <w:r>
        <w:rPr>
          <w:spacing w:val="-88"/>
        </w:rPr>
        <w:t> </w:t>
      </w:r>
      <w:r>
        <w:rPr>
          <w:spacing w:val="-88"/>
        </w:rPr>
      </w:r>
      <w:r>
        <w:rPr>
          <w:spacing w:val="-2"/>
        </w:rPr>
        <w:t>总价暂定人民币</w:t>
      </w:r>
      <w:r>
        <w:rPr>
          <w:rFonts w:ascii="Times New Roman" w:hAnsi="Times New Roman" w:cs="Times New Roman" w:eastAsia="Times New Roman" w:hint="default"/>
          <w:spacing w:val="-2"/>
        </w:rPr>
        <w:t>39,957.37</w:t>
      </w:r>
      <w:r>
        <w:rPr>
          <w:spacing w:val="-2"/>
        </w:rPr>
        <w:t>万元，最终以项目审计结果进行决算。目前合同正常履行，具体内容详见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日在中国证</w:t>
      </w:r>
      <w:r>
        <w:rPr>
          <w:spacing w:val="-54"/>
        </w:rPr>
        <w:t> </w:t>
      </w:r>
      <w:r>
        <w:rPr>
          <w:spacing w:val="-54"/>
        </w:rPr>
      </w:r>
      <w:r>
        <w:rPr>
          <w:spacing w:val="-1"/>
        </w:rPr>
        <w:t>监会指定的创业板信息披露网站上刊登的《关于签署</w:t>
      </w:r>
      <w:r>
        <w:rPr>
          <w:rFonts w:ascii="Times New Roman" w:hAnsi="Times New Roman" w:cs="Times New Roman" w:eastAsia="Times New Roman" w:hint="default"/>
          <w:spacing w:val="-1"/>
        </w:rPr>
        <w:t>“</w:t>
      </w:r>
      <w:r>
        <w:rPr>
          <w:spacing w:val="-1"/>
        </w:rPr>
        <w:t>国际低碳城产业园区配套住房项目</w:t>
      </w:r>
      <w:r>
        <w:rPr>
          <w:rFonts w:ascii="Times New Roman" w:hAnsi="Times New Roman" w:cs="Times New Roman" w:eastAsia="Times New Roman" w:hint="default"/>
          <w:spacing w:val="-1"/>
        </w:rPr>
        <w:t>EPC</w:t>
      </w:r>
      <w:r>
        <w:rPr>
          <w:spacing w:val="-1"/>
        </w:rPr>
        <w:t>总承包</w:t>
      </w:r>
      <w:r>
        <w:rPr>
          <w:rFonts w:ascii="Times New Roman" w:hAnsi="Times New Roman" w:cs="Times New Roman" w:eastAsia="Times New Roman" w:hint="default"/>
          <w:spacing w:val="-1"/>
        </w:rPr>
        <w:t>”</w:t>
      </w:r>
      <w:r>
        <w:rPr>
          <w:spacing w:val="-1"/>
        </w:rPr>
        <w:t>项目合同的公告》（公</w:t>
      </w:r>
      <w:r>
        <w:rPr>
          <w:spacing w:val="-66"/>
        </w:rPr>
        <w:t> </w:t>
      </w:r>
      <w:r>
        <w:rPr>
          <w:spacing w:val="-66"/>
        </w:rPr>
      </w:r>
      <w:r>
        <w:rPr/>
        <w:t>告编号：</w:t>
      </w:r>
      <w:r>
        <w:rPr>
          <w:rFonts w:ascii="Times New Roman" w:hAnsi="Times New Roman" w:cs="Times New Roman" w:eastAsia="Times New Roman" w:hint="default"/>
        </w:rPr>
        <w:t>2017-039</w:t>
      </w:r>
      <w:r>
        <w:rPr/>
        <w:t>）</w:t>
      </w: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4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2" w:equalWidth="0">
            <w:col w:w="873" w:space="8047"/>
            <w:col w:w="107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102,376,755.09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113,613,569.64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49,935,200.47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42,660,654.54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17,312,007.51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9,694,260.83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13,776,783.79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9,979,123.31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53,144,542.58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45,877,007.32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15.84%</w:t>
            </w:r>
          </w:p>
        </w:tc>
      </w:tr>
    </w:tbl>
    <w:p>
      <w:pPr>
        <w:pStyle w:val="BodyText"/>
        <w:spacing w:line="240" w:lineRule="auto" w:before="49"/>
        <w:ind w:right="103"/>
        <w:jc w:val="left"/>
      </w:pPr>
      <w:r>
        <w:rPr/>
        <w:t>说明</w:t>
      </w:r>
    </w:p>
    <w:p>
      <w:pPr>
        <w:spacing w:line="240" w:lineRule="auto" w:before="12"/>
        <w:rPr>
          <w:rFonts w:ascii="宋体" w:hAnsi="宋体" w:cs="宋体" w:eastAsia="宋体" w:hint="default"/>
          <w:sz w:val="21"/>
          <w:szCs w:val="21"/>
        </w:rPr>
      </w:pPr>
    </w:p>
    <w:p>
      <w:pPr>
        <w:pStyle w:val="Heading5"/>
        <w:spacing w:line="240" w:lineRule="auto"/>
        <w:ind w:right="10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6"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本报告期内合并范围包括：本公司、市政中心、迪赛恩、艾科筑业、深圳艾科城、北京艾科城、建研检测、常州城建艾科、 上海爱轲、深圳九一、雄安玖壹、绿研检验，较上期合并范围增加深圳九一、雄安玖壹、绿研检验，具体变动情况如下：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月，公司新设成立了控股子公司深圳九一，并自成立之日起将深圳九一纳入合并范围；</w:t>
      </w:r>
    </w:p>
    <w:p>
      <w:pPr>
        <w:pStyle w:val="BodyText"/>
        <w:spacing w:line="240" w:lineRule="exact"/>
        <w:ind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月，公司新设成立了全资子公司雄安玖壹，并自成立之日起将雄安玖壹纳入合并范围；</w:t>
      </w:r>
    </w:p>
    <w:p>
      <w:pPr>
        <w:pStyle w:val="BodyText"/>
        <w:spacing w:line="240" w:lineRule="auto" w:before="63"/>
        <w:ind w:right="1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月，公司新设成立了全资子公司绿研检验，并自成立之日起将绿研检验纳入合并范围。</w:t>
      </w:r>
    </w:p>
    <w:p>
      <w:pPr>
        <w:spacing w:line="240" w:lineRule="auto" w:before="1"/>
        <w:rPr>
          <w:rFonts w:ascii="宋体" w:hAnsi="宋体" w:cs="宋体" w:eastAsia="宋体" w:hint="default"/>
          <w:sz w:val="21"/>
          <w:szCs w:val="21"/>
        </w:rPr>
      </w:pPr>
    </w:p>
    <w:p>
      <w:pPr>
        <w:pStyle w:val="Heading5"/>
        <w:spacing w:line="240" w:lineRule="auto"/>
        <w:ind w:right="10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54,533,942.55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深圳市住宅工程管理站</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18,681,060.38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深圳市建筑设计研究总院有限公司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9,826,812.75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715"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7"/>
              <w:jc w:val="left"/>
              <w:rPr>
                <w:rFonts w:ascii="宋体" w:hAnsi="宋体" w:cs="宋体" w:eastAsia="宋体" w:hint="default"/>
                <w:sz w:val="18"/>
                <w:szCs w:val="18"/>
              </w:rPr>
            </w:pPr>
            <w:r>
              <w:rPr>
                <w:rFonts w:ascii="宋体" w:hAnsi="宋体" w:cs="宋体" w:eastAsia="宋体" w:hint="default"/>
                <w:sz w:val="18"/>
                <w:szCs w:val="18"/>
              </w:rPr>
              <w:t>深圳市龙华区政府投资工程项目前期工作 办公室</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9,607,018.87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深圳市龙岗区住房和建设局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8,487,550.56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深圳市龙岗区水污染治理办公室</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7,931,500.00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2.08%</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54,533,942.55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14.32%</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37,237,278.81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上海杨浦知识创新区投资发展有限公司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11,151,389.76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深圳市投控物业管理有限公司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6,962,795.74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朔黄铁路发展有限责任公司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6,770,968.02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汕头市达濠建筑总公司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6,317,098.09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深圳市汇宁建筑劳务分包有限公司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6,035,027.20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37,237,278.81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2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47,390,255.84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44,039,588.14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7.61%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销售费用本期发生额较上期发生额 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7.61%</w:t>
            </w:r>
            <w:r>
              <w:rPr>
                <w:rFonts w:ascii="宋体" w:hAnsi="宋体" w:cs="宋体" w:eastAsia="宋体" w:hint="default"/>
                <w:sz w:val="18"/>
                <w:szCs w:val="18"/>
              </w:rPr>
              <w:t>，主要原因是报告期内公 </w:t>
            </w:r>
            <w:r>
              <w:rPr>
                <w:rFonts w:ascii="宋体" w:hAnsi="宋体" w:cs="宋体" w:eastAsia="宋体" w:hint="default"/>
                <w:spacing w:val="-2"/>
                <w:sz w:val="18"/>
                <w:szCs w:val="18"/>
              </w:rPr>
              <w:t>司加大市场开拓力度，相关的人工成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本、业务费、差旅费、广告宣传费等</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增长。</w:t>
            </w:r>
          </w:p>
        </w:tc>
      </w:tr>
      <w:tr>
        <w:trPr>
          <w:trHeight w:val="227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46,634,198.36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35,162,944.62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理费用本期发生额较上期发生额增 长</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32.62%</w:t>
            </w:r>
            <w:r>
              <w:rPr>
                <w:rFonts w:ascii="宋体" w:hAnsi="宋体" w:cs="宋体" w:eastAsia="宋体" w:hint="default"/>
                <w:spacing w:val="-5"/>
                <w:sz w:val="18"/>
                <w:szCs w:val="18"/>
              </w:rPr>
              <w:t>，主要原因：一是公司内部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组织机构调整和中高层人才引进，导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致人工成本同比增长；二是公司上市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导致中介费、差旅费同比增长；三是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国家</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课题逐步开展，研发费 用同比增长。</w:t>
            </w:r>
          </w:p>
        </w:tc>
      </w:tr>
      <w:tr>
        <w:trPr>
          <w:trHeight w:val="165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3,482,317.95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5,457,694.30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财务费用本期发生额较上期发生额 下降</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36.19%</w:t>
            </w:r>
            <w:r>
              <w:rPr>
                <w:rFonts w:ascii="宋体" w:hAnsi="宋体" w:cs="宋体" w:eastAsia="宋体" w:hint="default"/>
                <w:spacing w:val="-5"/>
                <w:sz w:val="18"/>
                <w:szCs w:val="18"/>
              </w:rPr>
              <w:t>，主要原因是本报告期内</w:t>
            </w:r>
            <w:r>
              <w:rPr>
                <w:rFonts w:ascii="宋体" w:hAnsi="宋体" w:cs="宋体" w:eastAsia="宋体" w:hint="default"/>
                <w:sz w:val="18"/>
                <w:szCs w:val="18"/>
              </w:rPr>
              <w:t> 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发行股份募集资金，募集资</w:t>
            </w:r>
            <w:r>
              <w:rPr>
                <w:rFonts w:ascii="宋体" w:hAnsi="宋体" w:cs="宋体" w:eastAsia="宋体" w:hint="default"/>
                <w:sz w:val="18"/>
                <w:szCs w:val="18"/>
              </w:rPr>
              <w:t> </w:t>
            </w:r>
            <w:r>
              <w:rPr>
                <w:rFonts w:ascii="宋体" w:hAnsi="宋体" w:cs="宋体" w:eastAsia="宋体" w:hint="default"/>
                <w:spacing w:val="-2"/>
                <w:sz w:val="18"/>
                <w:szCs w:val="18"/>
              </w:rPr>
              <w:t>金置换补充了短期流动性，导致利息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支出减少所致。</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2"/>
        </w:rPr>
        <w:t>2017</w:t>
      </w:r>
      <w:r>
        <w:rPr>
          <w:spacing w:val="-2"/>
        </w:rPr>
        <w:t>年，建科院的研究工作既加强纵向课题创新实践，又坚持横向课题产业转化。一方面，积极部署</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国家重点研发</w:t>
      </w:r>
      <w:r>
        <w:rPr>
          <w:spacing w:val="-39"/>
        </w:rPr>
        <w:t> </w:t>
      </w:r>
      <w:r>
        <w:rPr>
          <w:spacing w:val="-2"/>
        </w:rPr>
        <w:t>计划课题，申请各类国家级和省部级等科研课题，加强与国内外高校、企事业单位的合作。另一方面，充分发掘自主研发课</w:t>
      </w:r>
      <w:r>
        <w:rPr>
          <w:spacing w:val="-67"/>
        </w:rPr>
        <w:t> </w:t>
      </w:r>
      <w:r>
        <w:rPr>
          <w:spacing w:val="-67"/>
        </w:rPr>
      </w:r>
      <w:r>
        <w:rPr/>
        <w:t>题的研究成果，尤其是产品、设备仪器和无形资产的价值，促使课题成果向业务转化，形成新的增长点。 </w:t>
      </w:r>
      <w:r>
        <w:rPr>
          <w:spacing w:val="-2"/>
        </w:rPr>
        <w:t>从研究内容上看，研究工作主要聚焦在生态城市与绿建节能两方面。在城市绿色发展板块，集中国家课题、省市课题、国际</w:t>
      </w:r>
      <w:r>
        <w:rPr>
          <w:spacing w:val="-65"/>
        </w:rPr>
        <w:t> </w:t>
      </w:r>
      <w:r>
        <w:rPr>
          <w:spacing w:val="-65"/>
        </w:rPr>
      </w:r>
      <w:r>
        <w:rPr>
          <w:spacing w:val="-2"/>
        </w:rPr>
        <w:t>合作、自主研发等资源，积极运用课题成果进行实践，对珠三角低碳发展、雄安新区绿色规划、张家口老城区生态诊断等进</w:t>
      </w:r>
      <w:r>
        <w:rPr>
          <w:spacing w:val="-67"/>
        </w:rPr>
        <w:t> </w:t>
      </w:r>
      <w:r>
        <w:rPr>
          <w:spacing w:val="-67"/>
        </w:rPr>
      </w:r>
      <w:r>
        <w:rPr>
          <w:spacing w:val="-2"/>
        </w:rPr>
        <w:t>行应用。在绿建节能板块，依托未来立方建筑和中美清洁能源联合研究中心项目，开展建筑直流供电安全性、稳定性的研究</w:t>
      </w:r>
      <w:r>
        <w:rPr>
          <w:spacing w:val="-64"/>
        </w:rPr>
        <w:t> </w:t>
      </w:r>
      <w:r>
        <w:rPr>
          <w:spacing w:val="-64"/>
        </w:rPr>
      </w:r>
      <w:r>
        <w:rPr/>
        <w:t>和能耗分析。 </w:t>
      </w:r>
      <w:r>
        <w:rPr>
          <w:rFonts w:ascii="Times New Roman" w:hAnsi="Times New Roman" w:cs="Times New Roman" w:eastAsia="Times New Roman" w:hint="default"/>
          <w:spacing w:val="-2"/>
        </w:rPr>
        <w:t>2017</w:t>
      </w:r>
      <w:r>
        <w:rPr>
          <w:spacing w:val="-2"/>
        </w:rPr>
        <w:t>年公司新增科研课题</w:t>
      </w:r>
      <w:r>
        <w:rPr>
          <w:rFonts w:ascii="Times New Roman" w:hAnsi="Times New Roman" w:cs="Times New Roman" w:eastAsia="Times New Roman" w:hint="default"/>
          <w:spacing w:val="-2"/>
        </w:rPr>
        <w:t>20</w:t>
      </w:r>
      <w:r>
        <w:rPr>
          <w:spacing w:val="-2"/>
        </w:rPr>
        <w:t>项，其中国家级课题（含子课题）</w:t>
      </w:r>
      <w:r>
        <w:rPr>
          <w:rFonts w:ascii="Times New Roman" w:hAnsi="Times New Roman" w:cs="Times New Roman" w:eastAsia="Times New Roman" w:hint="default"/>
          <w:spacing w:val="-2"/>
        </w:rPr>
        <w:t>11</w:t>
      </w:r>
      <w:r>
        <w:rPr>
          <w:spacing w:val="-2"/>
        </w:rPr>
        <w:t>项，省部级课题</w:t>
      </w:r>
      <w:r>
        <w:rPr>
          <w:rFonts w:ascii="Times New Roman" w:hAnsi="Times New Roman" w:cs="Times New Roman" w:eastAsia="Times New Roman" w:hint="default"/>
          <w:spacing w:val="-2"/>
        </w:rPr>
        <w:t>2</w:t>
      </w:r>
      <w:r>
        <w:rPr>
          <w:spacing w:val="-2"/>
        </w:rPr>
        <w:t>项；新增主编地方标准</w:t>
      </w:r>
      <w:r>
        <w:rPr>
          <w:rFonts w:ascii="Times New Roman" w:hAnsi="Times New Roman" w:cs="Times New Roman" w:eastAsia="Times New Roman" w:hint="default"/>
          <w:spacing w:val="-2"/>
        </w:rPr>
        <w:t>2</w:t>
      </w:r>
      <w:r>
        <w:rPr>
          <w:spacing w:val="-2"/>
        </w:rPr>
        <w:t>项；新增授权专利</w:t>
      </w:r>
    </w:p>
    <w:p>
      <w:pPr>
        <w:pStyle w:val="BodyText"/>
        <w:spacing w:line="300" w:lineRule="auto"/>
        <w:ind w:right="144"/>
        <w:jc w:val="left"/>
      </w:pPr>
      <w:r>
        <w:rPr>
          <w:rFonts w:ascii="Times New Roman" w:hAnsi="Times New Roman" w:cs="Times New Roman" w:eastAsia="Times New Roman" w:hint="default"/>
        </w:rPr>
        <w:t>9</w:t>
      </w:r>
      <w:r>
        <w:rPr/>
        <w:t>项，其中发明专利</w:t>
      </w:r>
      <w:r>
        <w:rPr>
          <w:rFonts w:ascii="Times New Roman" w:hAnsi="Times New Roman" w:cs="Times New Roman" w:eastAsia="Times New Roman" w:hint="default"/>
        </w:rPr>
        <w:t>4</w:t>
      </w:r>
      <w:r>
        <w:rPr/>
        <w:t>项，实用新型</w:t>
      </w:r>
      <w:r>
        <w:rPr>
          <w:rFonts w:ascii="Times New Roman" w:hAnsi="Times New Roman" w:cs="Times New Roman" w:eastAsia="Times New Roman" w:hint="default"/>
        </w:rPr>
        <w:t>4</w:t>
      </w:r>
      <w:r>
        <w:rPr/>
        <w:t>项，外观设计</w:t>
      </w:r>
      <w:r>
        <w:rPr>
          <w:rFonts w:ascii="Times New Roman" w:hAnsi="Times New Roman" w:cs="Times New Roman" w:eastAsia="Times New Roman" w:hint="default"/>
        </w:rPr>
        <w:t>1</w:t>
      </w:r>
      <w:r>
        <w:rPr/>
        <w:t>项；新增软件著作权</w:t>
      </w:r>
      <w:r>
        <w:rPr>
          <w:rFonts w:ascii="Times New Roman" w:hAnsi="Times New Roman" w:cs="Times New Roman" w:eastAsia="Times New Roman" w:hint="default"/>
        </w:rPr>
        <w:t>5</w:t>
      </w:r>
      <w:r>
        <w:rPr/>
        <w:t>项。《绿色建筑评价标准》获得华夏建设科学技术 奖一等奖。</w:t>
      </w:r>
    </w:p>
    <w:p>
      <w:pPr>
        <w:pStyle w:val="BodyText"/>
        <w:spacing w:line="240" w:lineRule="auto" w:before="72"/>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33,922,160.18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25,702,295.78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27,974,961.76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3,755,849.63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4"/>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spacing w:after="0" w:line="3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28"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公司在研究方向上更注重集成产品和工具的开发，形成了一批具有资本化特性和产业化前景的研究成果，如：线上运营平台</w:t>
      </w:r>
      <w:r>
        <w:rPr>
          <w:spacing w:val="-66"/>
        </w:rPr>
        <w:t> </w:t>
      </w:r>
      <w:r>
        <w:rPr>
          <w:spacing w:val="-66"/>
        </w:rPr>
      </w:r>
      <w:r>
        <w:rPr/>
        <w:t>及乐活系统建设项目、室内环境监测系统</w:t>
      </w:r>
      <w:r>
        <w:rPr>
          <w:rFonts w:ascii="Times New Roman" w:hAnsi="Times New Roman" w:cs="Times New Roman" w:eastAsia="Times New Roman" w:hint="default"/>
        </w:rPr>
        <w:t>My</w:t>
      </w:r>
      <w:r>
        <w:rPr>
          <w:rFonts w:ascii="Times New Roman" w:hAnsi="Times New Roman" w:cs="Times New Roman" w:eastAsia="Times New Roman" w:hint="default"/>
          <w:spacing w:val="-2"/>
        </w:rPr>
        <w:t> </w:t>
      </w:r>
      <w:r>
        <w:rPr>
          <w:rFonts w:ascii="Times New Roman" w:hAnsi="Times New Roman" w:cs="Times New Roman" w:eastAsia="Times New Roman" w:hint="default"/>
        </w:rPr>
        <w:t>Air</w:t>
      </w:r>
      <w:r>
        <w:rPr/>
        <w:t>，为未来形成新的业务点打下基础。</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411,086,249.29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379,149,475.95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313,675,546.41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292,259,649.81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97,410,702.88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86,889,826.14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8,509.00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6,671,793.70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34,577,077.42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37,215,564.05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-34,568,568.42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-30,543,770.35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209,497,622.00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149,620,166.71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223,433,271.98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59,877,455.29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-8,433,271.98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122,716,152.74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47,911,877.18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156.13%</w:t>
            </w:r>
          </w:p>
        </w:tc>
      </w:tr>
    </w:tbl>
    <w:p>
      <w:pPr>
        <w:pStyle w:val="BodyText"/>
        <w:spacing w:line="240" w:lineRule="auto" w:before="49"/>
        <w:ind w:right="0"/>
        <w:jc w:val="left"/>
      </w:pPr>
      <w:r>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jc w:val="left"/>
      </w:pPr>
      <w:r>
        <w:rPr>
          <w:spacing w:val="-1"/>
        </w:rPr>
        <w:t>（</w:t>
      </w:r>
      <w:r>
        <w:rPr>
          <w:rFonts w:ascii="Times New Roman" w:hAnsi="Times New Roman" w:cs="Times New Roman" w:eastAsia="Times New Roman" w:hint="default"/>
          <w:spacing w:val="-1"/>
        </w:rPr>
        <w:t>1</w:t>
      </w:r>
      <w:r>
        <w:rPr>
          <w:spacing w:val="-1"/>
        </w:rPr>
        <w:t>）投资活动现金流入本期发生额较上期发生额下降</w:t>
      </w:r>
      <w:r>
        <w:rPr>
          <w:rFonts w:ascii="Times New Roman" w:hAnsi="Times New Roman" w:cs="Times New Roman" w:eastAsia="Times New Roman" w:hint="default"/>
          <w:spacing w:val="-1"/>
        </w:rPr>
        <w:t>99.87%</w:t>
      </w:r>
      <w:r>
        <w:rPr>
          <w:spacing w:val="-1"/>
        </w:rPr>
        <w:t>，主要原因是公司上期理财资金到期收回及处置子公司股权收</w:t>
      </w:r>
      <w:r>
        <w:rPr>
          <w:spacing w:val="-43"/>
        </w:rPr>
        <w:t> </w:t>
      </w:r>
      <w:r>
        <w:rPr>
          <w:spacing w:val="-43"/>
        </w:rPr>
      </w:r>
      <w:r>
        <w:rPr/>
        <w:t>回投资所致；</w:t>
      </w:r>
    </w:p>
    <w:p>
      <w:pPr>
        <w:pStyle w:val="BodyText"/>
        <w:spacing w:line="240" w:lineRule="auto" w:before="31"/>
        <w:ind w:right="0"/>
        <w:jc w:val="left"/>
      </w:pPr>
      <w:r>
        <w:rPr/>
        <w:t>（</w:t>
      </w:r>
      <w:r>
        <w:rPr>
          <w:rFonts w:ascii="Times New Roman" w:hAnsi="Times New Roman" w:cs="Times New Roman" w:eastAsia="Times New Roman" w:hint="default"/>
        </w:rPr>
        <w:t>2</w:t>
      </w:r>
      <w:r>
        <w:rPr/>
        <w:t>）筹资活动现金流出本期发生额较上期发生额下降</w:t>
      </w:r>
      <w:r>
        <w:rPr>
          <w:rFonts w:ascii="Times New Roman" w:hAnsi="Times New Roman" w:cs="Times New Roman" w:eastAsia="Times New Roman" w:hint="default"/>
        </w:rPr>
        <w:t>33.04%</w:t>
      </w:r>
      <w:r>
        <w:rPr/>
        <w:t>，主要原因是公司本期偿还的短期借款较上期减少所致；</w:t>
      </w:r>
    </w:p>
    <w:p>
      <w:pPr>
        <w:pStyle w:val="BodyText"/>
        <w:spacing w:line="300" w:lineRule="auto" w:before="63"/>
        <w:ind w:right="169"/>
        <w:jc w:val="left"/>
      </w:pPr>
      <w:r>
        <w:rPr/>
        <w:t>（</w:t>
      </w:r>
      <w:r>
        <w:rPr>
          <w:rFonts w:ascii="Times New Roman" w:hAnsi="Times New Roman" w:cs="Times New Roman" w:eastAsia="Times New Roman" w:hint="default"/>
        </w:rPr>
        <w:t>3</w:t>
      </w:r>
      <w:r>
        <w:rPr/>
        <w:t>）筹资活动产生的现金流量净额本期发生额较上期发生额增加</w:t>
      </w:r>
      <w:r>
        <w:rPr>
          <w:rFonts w:ascii="Times New Roman" w:hAnsi="Times New Roman" w:cs="Times New Roman" w:eastAsia="Times New Roman" w:hint="default"/>
        </w:rPr>
        <w:t>6831.07</w:t>
      </w:r>
      <w:r>
        <w:rPr/>
        <w:t>万元，主要原因是公司本期</w:t>
      </w:r>
      <w:r>
        <w:rPr>
          <w:rFonts w:ascii="Times New Roman" w:hAnsi="Times New Roman" w:cs="Times New Roman" w:eastAsia="Times New Roman" w:hint="default"/>
        </w:rPr>
        <w:t>IPO</w:t>
      </w:r>
      <w:r>
        <w:rPr/>
        <w:t>发行股份募集的资 金到账所致。</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4</w:t>
      </w:r>
      <w:r>
        <w:rPr>
          <w:spacing w:val="-1"/>
        </w:rPr>
        <w:t>）现金及现金等价物净增加额本期发生额较上期发生额增长</w:t>
      </w:r>
      <w:r>
        <w:rPr>
          <w:rFonts w:ascii="Times New Roman" w:hAnsi="Times New Roman" w:cs="Times New Roman" w:eastAsia="Times New Roman" w:hint="default"/>
          <w:spacing w:val="-1"/>
        </w:rPr>
        <w:t>156.13%</w:t>
      </w:r>
      <w:r>
        <w:rPr>
          <w:spacing w:val="-1"/>
        </w:rPr>
        <w:t>，主要原因是公司本期</w:t>
      </w:r>
      <w:r>
        <w:rPr>
          <w:rFonts w:ascii="Times New Roman" w:hAnsi="Times New Roman" w:cs="Times New Roman" w:eastAsia="Times New Roman" w:hint="default"/>
          <w:spacing w:val="-1"/>
        </w:rPr>
        <w:t>IPO</w:t>
      </w:r>
      <w:r>
        <w:rPr>
          <w:spacing w:val="-1"/>
        </w:rPr>
        <w:t>发行股份募集资金增加现</w:t>
      </w:r>
      <w:r>
        <w:rPr>
          <w:spacing w:val="-60"/>
        </w:rPr>
        <w:t> </w:t>
      </w:r>
      <w:r>
        <w:rPr/>
        <w:t>金流入所致。</w:t>
      </w:r>
    </w:p>
    <w:p>
      <w:pPr>
        <w:pStyle w:val="BodyText"/>
        <w:spacing w:line="240" w:lineRule="auto" w:before="72"/>
        <w:ind w:right="0"/>
        <w:jc w:val="left"/>
      </w:pPr>
      <w:r>
        <w:rPr/>
        <w:t>报告期内公司经营活动产生的现金净流量与本年度净利润存在重大差异的原因说明</w:t>
      </w:r>
    </w:p>
    <w:p>
      <w:pPr>
        <w:pStyle w:val="BodyText"/>
        <w:spacing w:line="328"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报告期内公司经营活动产生的现金流量与本年度净利润差异较大的原因主要是：本报告期内公司加强应收账款管理，项目回</w:t>
      </w:r>
      <w:r>
        <w:rPr>
          <w:spacing w:val="-64"/>
        </w:rPr>
        <w:t> </w:t>
      </w:r>
      <w:r>
        <w:rPr>
          <w:spacing w:val="-64"/>
        </w:rPr>
      </w:r>
      <w:r>
        <w:rPr/>
        <w:t>款有所改善；同时，应付供应商款项增加。</w:t>
      </w:r>
    </w:p>
    <w:p>
      <w:pPr>
        <w:spacing w:line="240" w:lineRule="auto" w:before="4"/>
        <w:rPr>
          <w:rFonts w:ascii="宋体" w:hAnsi="宋体" w:cs="宋体" w:eastAsia="宋体" w:hint="default"/>
          <w:sz w:val="14"/>
          <w:szCs w:val="14"/>
        </w:rPr>
      </w:pPr>
    </w:p>
    <w:p>
      <w:pPr>
        <w:pStyle w:val="Heading4"/>
        <w:spacing w:line="240" w:lineRule="auto"/>
        <w:ind w:right="0"/>
        <w:jc w:val="left"/>
        <w:rPr>
          <w:b w:val="0"/>
          <w:bCs w:val="0"/>
        </w:rPr>
      </w:pPr>
      <w:r>
        <w:rPr/>
        <w:t>三、非主营业务情况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7"/>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7"/>
        <w:gridCol w:w="2341"/>
      </w:tblGrid>
      <w:tr>
        <w:trPr>
          <w:trHeight w:val="133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-115,347.57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系本期新增股权投资权益 </w:t>
            </w:r>
            <w:r>
              <w:rPr>
                <w:rFonts w:ascii="宋体" w:hAnsi="宋体" w:cs="宋体" w:eastAsia="宋体" w:hint="default"/>
                <w:spacing w:val="-5"/>
                <w:sz w:val="18"/>
                <w:szCs w:val="18"/>
              </w:rPr>
              <w:t>法确认的投资收益。因新设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公司业务正处于起步阶段， 故本期形成损失。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15,562,794.63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1"/>
              <w:jc w:val="left"/>
              <w:rPr>
                <w:rFonts w:ascii="宋体" w:hAnsi="宋体" w:cs="宋体" w:eastAsia="宋体" w:hint="default"/>
                <w:sz w:val="18"/>
                <w:szCs w:val="18"/>
              </w:rPr>
            </w:pPr>
            <w:r>
              <w:rPr>
                <w:rFonts w:ascii="宋体" w:hAnsi="宋体" w:cs="宋体" w:eastAsia="宋体" w:hint="default"/>
                <w:sz w:val="18"/>
                <w:szCs w:val="18"/>
              </w:rPr>
              <w:t>系本期计提应收款项坏账 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4,874,616.55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11.96%</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系收到的政府补助等。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117,130.66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0.29%</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系其他非经常性支出。</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44"/>
        <w:ind w:left="0" w:right="159"/>
        <w:jc w:val="right"/>
      </w:pPr>
      <w:r>
        <w:rPr/>
        <w:pict>
          <v:shape style="position:absolute;margin-left:56.400002pt;margin-top:-259.588318pt;width:479.3pt;height:279.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5"/>
                    <w:gridCol w:w="1063"/>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221,508,379.4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98,880,226.75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系本期公司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发行股份募集资金到 账所致。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193,229,666.9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179,593,452.13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系本期公司加强应收账款管理，项目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回款改善所致。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120,623.06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10,055,409.22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10,607,261.74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3,884,652.43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系本期新增对荆门玖伊园及绿研智 库的股权投资所致。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81,377,899.89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72,592,854.50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33,803,802.75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20,827,502.96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系本期公司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发行股份募集资金置 </w:t>
                        </w:r>
                        <w:r>
                          <w:rPr>
                            <w:rFonts w:ascii="宋体" w:hAnsi="宋体" w:cs="宋体" w:eastAsia="宋体" w:hint="default"/>
                            <w:spacing w:val="-7"/>
                            <w:sz w:val="18"/>
                            <w:szCs w:val="18"/>
                          </w:rPr>
                          <w:t>换，现金流得到补充，借款减少所致</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5"/>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2" w:right="6309" w:firstLine="0"/>
        <w:jc w:val="left"/>
        <w:rPr>
          <w:rFonts w:ascii="宋体" w:hAnsi="宋体" w:cs="宋体" w:eastAsia="宋体" w:hint="default"/>
          <w:sz w:val="18"/>
          <w:szCs w:val="18"/>
        </w:rPr>
      </w:pPr>
      <w:r>
        <w:rPr/>
        <w:pict>
          <v:shape style="position:absolute;margin-left:56.279999pt;margin-top:76.391693pt;width:272.150pt;height:43.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1"/>
                    <w:gridCol w:w="1621"/>
                    <w:gridCol w:w="1479"/>
                  </w:tblGrid>
                  <w:tr>
                    <w:trPr>
                      <w:trHeight w:val="427"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71"/>
                          <w:jc w:val="right"/>
                          <w:rPr>
                            <w:rFonts w:ascii="宋体" w:hAnsi="宋体" w:cs="宋体" w:eastAsia="宋体" w:hint="default"/>
                            <w:sz w:val="18"/>
                            <w:szCs w:val="18"/>
                          </w:rPr>
                        </w:pPr>
                        <w:r>
                          <w:rPr>
                            <w:rFonts w:ascii="宋体" w:hAnsi="宋体" w:cs="宋体" w:eastAsia="宋体" w:hint="default"/>
                            <w:sz w:val="18"/>
                            <w:szCs w:val="18"/>
                          </w:rPr>
                          <w:t>项目</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041"/>
                          <w:jc w:val="right"/>
                          <w:rPr>
                            <w:rFonts w:ascii="宋体" w:hAnsi="宋体" w:cs="宋体" w:eastAsia="宋体" w:hint="default"/>
                            <w:sz w:val="18"/>
                            <w:szCs w:val="18"/>
                          </w:rPr>
                        </w:pPr>
                        <w:r>
                          <w:rPr>
                            <w:rFonts w:ascii="宋体" w:hAnsi="宋体" w:cs="宋体" w:eastAsia="宋体" w:hint="default"/>
                            <w:sz w:val="18"/>
                            <w:szCs w:val="18"/>
                          </w:rPr>
                          <w:t>货币资金（元）</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58" w:right="0"/>
                          <w:jc w:val="left"/>
                          <w:rPr>
                            <w:rFonts w:ascii="Times New Roman" w:hAnsi="Times New Roman" w:cs="Times New Roman" w:eastAsia="Times New Roman" w:hint="default"/>
                            <w:sz w:val="18"/>
                            <w:szCs w:val="18"/>
                          </w:rPr>
                        </w:pPr>
                        <w:r>
                          <w:rPr>
                            <w:rFonts w:ascii="Times New Roman"/>
                            <w:sz w:val="18"/>
                          </w:rPr>
                          <w:t>1,041,646.87</w:t>
                        </w:r>
                      </w:p>
                    </w:tc>
                    <w:tc>
                      <w:tcPr>
                        <w:tcW w:w="1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left="561"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、截至报告期末的资产权利受限情况</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z w:val="18"/>
          <w:szCs w:val="18"/>
        </w:rPr>
        <w:t>所有权或使用权受限制的资产：</w:t>
      </w:r>
    </w:p>
    <w:p>
      <w:pPr>
        <w:spacing w:after="0" w:line="48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21"/>
        <w:gridCol w:w="1621"/>
        <w:gridCol w:w="1479"/>
      </w:tblGrid>
      <w:tr>
        <w:trPr>
          <w:trHeight w:val="428"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投资性房地产（元）</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10,055,409.22</w:t>
            </w:r>
          </w:p>
        </w:tc>
        <w:tc>
          <w:tcPr>
            <w:tcW w:w="1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8"/>
              <w:jc w:val="right"/>
              <w:rPr>
                <w:rFonts w:ascii="宋体" w:hAnsi="宋体" w:cs="宋体" w:eastAsia="宋体" w:hint="default"/>
                <w:sz w:val="18"/>
                <w:szCs w:val="18"/>
              </w:rPr>
            </w:pPr>
            <w:r>
              <w:rPr>
                <w:rFonts w:ascii="宋体" w:hAnsi="宋体" w:cs="宋体" w:eastAsia="宋体" w:hint="default"/>
                <w:sz w:val="18"/>
                <w:szCs w:val="18"/>
              </w:rPr>
              <w:t>见如下备注</w:t>
            </w:r>
          </w:p>
        </w:tc>
      </w:tr>
      <w:tr>
        <w:trPr>
          <w:trHeight w:val="427"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固定资产（元）</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53,092,724.38</w:t>
            </w:r>
          </w:p>
        </w:tc>
        <w:tc>
          <w:tcPr>
            <w:tcW w:w="1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8"/>
              <w:jc w:val="right"/>
              <w:rPr>
                <w:rFonts w:ascii="宋体" w:hAnsi="宋体" w:cs="宋体" w:eastAsia="宋体" w:hint="default"/>
                <w:sz w:val="18"/>
                <w:szCs w:val="18"/>
              </w:rPr>
            </w:pPr>
            <w:r>
              <w:rPr>
                <w:rFonts w:ascii="宋体" w:hAnsi="宋体" w:cs="宋体" w:eastAsia="宋体" w:hint="default"/>
                <w:sz w:val="18"/>
                <w:szCs w:val="18"/>
              </w:rPr>
              <w:t>见如下备注</w:t>
            </w:r>
          </w:p>
        </w:tc>
      </w:tr>
      <w:tr>
        <w:trPr>
          <w:trHeight w:val="427"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无形资产（元）</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13,247,106.03</w:t>
            </w:r>
          </w:p>
        </w:tc>
        <w:tc>
          <w:tcPr>
            <w:tcW w:w="1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8"/>
              <w:jc w:val="right"/>
              <w:rPr>
                <w:rFonts w:ascii="宋体" w:hAnsi="宋体" w:cs="宋体" w:eastAsia="宋体" w:hint="default"/>
                <w:sz w:val="18"/>
                <w:szCs w:val="18"/>
              </w:rPr>
            </w:pPr>
            <w:r>
              <w:rPr>
                <w:rFonts w:ascii="宋体" w:hAnsi="宋体" w:cs="宋体" w:eastAsia="宋体" w:hint="default"/>
                <w:sz w:val="18"/>
                <w:szCs w:val="18"/>
              </w:rPr>
              <w:t>见如下备注</w:t>
            </w:r>
          </w:p>
        </w:tc>
      </w:tr>
      <w:tr>
        <w:trPr>
          <w:trHeight w:val="427" w:hRule="exact"/>
        </w:trPr>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77,436,886.50</w:t>
            </w:r>
          </w:p>
        </w:tc>
        <w:tc>
          <w:tcPr>
            <w:tcW w:w="1479" w:type="dxa"/>
            <w:tcBorders>
              <w:top w:val="single" w:sz="6" w:space="0" w:color="000000"/>
              <w:left w:val="single" w:sz="6" w:space="0" w:color="000000"/>
              <w:bottom w:val="single" w:sz="6" w:space="0" w:color="000000"/>
              <w:right w:val="nil" w:sz="6" w:space="0" w:color="auto"/>
            </w:tcBorders>
          </w:tcPr>
          <w:p>
            <w:pPr/>
          </w:p>
        </w:tc>
      </w:tr>
    </w:tbl>
    <w:p>
      <w:pPr>
        <w:pStyle w:val="BodyText"/>
        <w:spacing w:line="300" w:lineRule="auto" w:before="8"/>
        <w:ind w:right="151"/>
        <w:jc w:val="left"/>
      </w:pPr>
      <w:r>
        <w:rPr/>
        <w:t>公司以福田区上梅林梅坳三路</w:t>
      </w:r>
      <w:r>
        <w:rPr>
          <w:rFonts w:ascii="Times New Roman" w:hAnsi="Times New Roman" w:cs="Times New Roman" w:eastAsia="Times New Roman" w:hint="default"/>
        </w:rPr>
        <w:t>29</w:t>
      </w:r>
      <w:r>
        <w:rPr/>
        <w:t>号建科大楼资产抵押向招商银行梅林支行借款，借款抵押合同编号：</w:t>
      </w:r>
      <w:r>
        <w:rPr>
          <w:rFonts w:ascii="Times New Roman" w:hAnsi="Times New Roman" w:cs="Times New Roman" w:eastAsia="Times New Roman" w:hint="default"/>
        </w:rPr>
        <w:t>2016</w:t>
      </w:r>
      <w:r>
        <w:rPr/>
        <w:t>年战</w:t>
      </w:r>
      <w:r>
        <w:rPr>
          <w:rFonts w:ascii="Times New Roman" w:hAnsi="Times New Roman" w:cs="Times New Roman" w:eastAsia="Times New Roman" w:hint="default"/>
        </w:rPr>
        <w:t>-</w:t>
      </w:r>
      <w:r>
        <w:rPr/>
        <w:t>字第</w:t>
      </w:r>
      <w:r>
        <w:rPr>
          <w:spacing w:val="-86"/>
        </w:rPr>
        <w:t> </w:t>
      </w:r>
      <w:r>
        <w:rPr>
          <w:rFonts w:ascii="Times New Roman" w:hAnsi="Times New Roman" w:cs="Times New Roman" w:eastAsia="Times New Roman" w:hint="default"/>
        </w:rPr>
        <w:t>0016110037</w:t>
      </w:r>
      <w:r>
        <w:rPr/>
        <w:t>号，截止报告期末，抵押借款金额</w:t>
      </w:r>
      <w:r>
        <w:rPr>
          <w:rFonts w:ascii="Times New Roman" w:hAnsi="Times New Roman" w:cs="Times New Roman" w:eastAsia="Times New Roman" w:hint="default"/>
        </w:rPr>
        <w:t>7,000.00</w:t>
      </w:r>
      <w:r>
        <w:rPr/>
        <w:t>万元，具体借款明细如下：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日与招商银行梅林支行签订编号为</w:t>
      </w:r>
      <w:r>
        <w:rPr>
          <w:rFonts w:ascii="Times New Roman" w:hAnsi="Times New Roman" w:cs="Times New Roman" w:eastAsia="Times New Roman" w:hint="default"/>
          <w:spacing w:val="-1"/>
        </w:rPr>
        <w:t>2017</w:t>
      </w:r>
      <w:r>
        <w:rPr>
          <w:spacing w:val="-1"/>
        </w:rPr>
        <w:t>年战</w:t>
      </w:r>
      <w:r>
        <w:rPr>
          <w:rFonts w:ascii="Times New Roman" w:hAnsi="Times New Roman" w:cs="Times New Roman" w:eastAsia="Times New Roman" w:hint="default"/>
          <w:spacing w:val="-1"/>
        </w:rPr>
        <w:t>-</w:t>
      </w:r>
      <w:r>
        <w:rPr>
          <w:spacing w:val="-1"/>
        </w:rPr>
        <w:t>字第</w:t>
      </w:r>
      <w:r>
        <w:rPr>
          <w:rFonts w:ascii="Times New Roman" w:hAnsi="Times New Roman" w:cs="Times New Roman" w:eastAsia="Times New Roman" w:hint="default"/>
          <w:spacing w:val="-1"/>
        </w:rPr>
        <w:t>1017110010</w:t>
      </w:r>
      <w:r>
        <w:rPr>
          <w:spacing w:val="-1"/>
        </w:rPr>
        <w:t>号的借款合同，借款金额</w:t>
      </w:r>
      <w:r>
        <w:rPr>
          <w:rFonts w:ascii="Times New Roman" w:hAnsi="Times New Roman" w:cs="Times New Roman" w:eastAsia="Times New Roman" w:hint="default"/>
          <w:spacing w:val="-1"/>
        </w:rPr>
        <w:t>5,000.00</w:t>
      </w:r>
      <w:r>
        <w:rPr>
          <w:spacing w:val="-1"/>
        </w:rPr>
        <w:t>万元，期限</w:t>
      </w:r>
      <w:r>
        <w:rPr>
          <w:spacing w:val="-86"/>
        </w:rPr>
        <w:t> </w:t>
      </w:r>
      <w:r>
        <w:rPr>
          <w:spacing w:val="-86"/>
        </w:rPr>
      </w:r>
      <w:r>
        <w:rPr>
          <w:rFonts w:ascii="Times New Roman" w:hAnsi="Times New Roman" w:cs="Times New Roman" w:eastAsia="Times New Roman" w:hint="default"/>
        </w:rPr>
        <w:t>1</w:t>
      </w:r>
      <w:r>
        <w:rPr/>
        <w:t>年；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日与招商银行梅林支行签订编号为</w:t>
      </w:r>
      <w:r>
        <w:rPr>
          <w:rFonts w:ascii="Times New Roman" w:hAnsi="Times New Roman" w:cs="Times New Roman" w:eastAsia="Times New Roman" w:hint="default"/>
        </w:rPr>
        <w:t>2017</w:t>
      </w:r>
      <w:r>
        <w:rPr/>
        <w:t>年战一字第</w:t>
      </w:r>
      <w:r>
        <w:rPr>
          <w:rFonts w:ascii="Times New Roman" w:hAnsi="Times New Roman" w:cs="Times New Roman" w:eastAsia="Times New Roman" w:hint="default"/>
        </w:rPr>
        <w:t>1017110020</w:t>
      </w:r>
      <w:r>
        <w:rPr/>
        <w:t>号的借款合同，借款金额</w:t>
      </w:r>
      <w:r>
        <w:rPr>
          <w:rFonts w:ascii="Times New Roman" w:hAnsi="Times New Roman" w:cs="Times New Roman" w:eastAsia="Times New Roman" w:hint="default"/>
        </w:rPr>
        <w:t>,1,000.00</w:t>
      </w:r>
      <w:r>
        <w:rPr/>
        <w:t>万元， 期限</w:t>
      </w:r>
      <w:r>
        <w:rPr>
          <w:rFonts w:ascii="Times New Roman" w:hAnsi="Times New Roman" w:cs="Times New Roman" w:eastAsia="Times New Roman" w:hint="default"/>
        </w:rPr>
        <w:t>1</w:t>
      </w:r>
      <w:r>
        <w:rPr/>
        <w:t>年；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日与招商银行梅林支行签订编号为</w:t>
      </w:r>
      <w:r>
        <w:rPr>
          <w:rFonts w:ascii="Times New Roman" w:hAnsi="Times New Roman" w:cs="Times New Roman" w:eastAsia="Times New Roman" w:hint="default"/>
          <w:spacing w:val="-2"/>
        </w:rPr>
        <w:t>2017</w:t>
      </w:r>
      <w:r>
        <w:rPr>
          <w:spacing w:val="-2"/>
        </w:rPr>
        <w:t>年战一字第</w:t>
      </w:r>
      <w:r>
        <w:rPr>
          <w:rFonts w:ascii="Times New Roman" w:hAnsi="Times New Roman" w:cs="Times New Roman" w:eastAsia="Times New Roman" w:hint="default"/>
          <w:spacing w:val="-2"/>
        </w:rPr>
        <w:t>1017110034</w:t>
      </w:r>
      <w:r>
        <w:rPr>
          <w:spacing w:val="-2"/>
        </w:rPr>
        <w:t>号的借款合同，借款金额</w:t>
      </w:r>
      <w:r>
        <w:rPr>
          <w:rFonts w:ascii="Times New Roman" w:hAnsi="Times New Roman" w:cs="Times New Roman" w:eastAsia="Times New Roman" w:hint="default"/>
          <w:spacing w:val="-2"/>
        </w:rPr>
        <w:t>1,000.00</w:t>
      </w:r>
      <w:r>
        <w:rPr>
          <w:spacing w:val="-2"/>
        </w:rPr>
        <w:t>万元，期</w:t>
      </w:r>
      <w:r>
        <w:rPr>
          <w:spacing w:val="-47"/>
        </w:rPr>
        <w:t> </w:t>
      </w:r>
      <w:r>
        <w:rPr>
          <w:spacing w:val="-47"/>
        </w:rPr>
      </w:r>
      <w:r>
        <w:rPr/>
        <w:t>限</w:t>
      </w:r>
      <w:r>
        <w:rPr>
          <w:rFonts w:ascii="Times New Roman" w:hAnsi="Times New Roman" w:cs="Times New Roman" w:eastAsia="Times New Roman" w:hint="default"/>
        </w:rPr>
        <w:t>1</w:t>
      </w:r>
      <w:r>
        <w:rPr/>
        <w:t>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21,634,082.33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19,269,049.21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12.27%</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6"/>
        <w:gridCol w:w="653"/>
        <w:gridCol w:w="650"/>
        <w:gridCol w:w="653"/>
        <w:gridCol w:w="653"/>
        <w:gridCol w:w="650"/>
        <w:gridCol w:w="653"/>
      </w:tblGrid>
      <w:tr>
        <w:trPr>
          <w:trHeight w:val="1652"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50"/>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5"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8"/>
              <w:jc w:val="both"/>
              <w:rPr>
                <w:rFonts w:ascii="宋体" w:hAnsi="宋体" w:cs="宋体" w:eastAsia="宋体" w:hint="default"/>
                <w:sz w:val="18"/>
                <w:szCs w:val="18"/>
              </w:rPr>
            </w:pPr>
            <w:r>
              <w:rPr>
                <w:rFonts w:ascii="宋体" w:hAnsi="宋体" w:cs="宋体" w:eastAsia="宋体" w:hint="default"/>
                <w:sz w:val="18"/>
                <w:szCs w:val="18"/>
              </w:rPr>
              <w:t>中美低碳建筑 与社区创新实 验中心</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建筑设计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17,634,0</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82.33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33,803,8</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02.75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9"/>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5"/>
                <w:sz w:val="18"/>
                <w:szCs w:val="18"/>
              </w:rPr>
              <w:t>金、银行</w:t>
            </w:r>
            <w:r>
              <w:rPr>
                <w:rFonts w:ascii="宋体" w:hAnsi="宋体" w:cs="宋体" w:eastAsia="宋体" w:hint="default"/>
                <w:sz w:val="18"/>
                <w:szCs w:val="18"/>
              </w:rPr>
              <w:t> </w:t>
            </w:r>
            <w:r>
              <w:rPr>
                <w:rFonts w:ascii="宋体" w:hAnsi="宋体" w:cs="宋体" w:eastAsia="宋体" w:hint="default"/>
                <w:spacing w:val="-15"/>
                <w:sz w:val="18"/>
                <w:szCs w:val="18"/>
              </w:rPr>
              <w:t>借款、募</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8.02%</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6"/>
        <w:gridCol w:w="653"/>
        <w:gridCol w:w="650"/>
        <w:gridCol w:w="655"/>
        <w:gridCol w:w="652"/>
        <w:gridCol w:w="650"/>
        <w:gridCol w:w="653"/>
      </w:tblGrid>
      <w:tr>
        <w:trPr>
          <w:trHeight w:val="363" w:hRule="exact"/>
        </w:trPr>
        <w:tc>
          <w:tcPr>
            <w:tcW w:w="1163"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7"/>
              <w:jc w:val="center"/>
              <w:rPr>
                <w:rFonts w:ascii="宋体" w:hAnsi="宋体" w:cs="宋体" w:eastAsia="宋体" w:hint="default"/>
                <w:sz w:val="18"/>
                <w:szCs w:val="18"/>
              </w:rPr>
            </w:pPr>
            <w:r>
              <w:rPr>
                <w:rFonts w:ascii="宋体" w:hAnsi="宋体" w:cs="宋体" w:eastAsia="宋体" w:hint="default"/>
                <w:sz w:val="18"/>
                <w:szCs w:val="18"/>
              </w:rPr>
              <w:t>集资金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17,634,0</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82.33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33,803,8</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02.75</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5,298.83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5,298.83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5,477.73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存放在公 司的募集 资金专户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center"/>
              <w:rPr>
                <w:rFonts w:ascii="Times New Roman" w:hAnsi="Times New Roman" w:cs="Times New Roman" w:eastAsia="Times New Roman" w:hint="default"/>
                <w:sz w:val="18"/>
                <w:szCs w:val="18"/>
              </w:rPr>
            </w:pPr>
            <w:r>
              <w:rPr>
                <w:rFonts w:ascii="Times New Roman"/>
                <w:sz w:val="18"/>
              </w:rPr>
              <w:t>10,739.76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5,298.83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5,298.83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5,477.73</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5,298.83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万元，其中：公司于募集资金到位之前利用自有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资金先期投入募集资金项目人民币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4,819.44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万元，该自筹投入资金经立信会计师事务所（特殊普通合伙）出具</w:t>
            </w:r>
            <w:r>
              <w:rPr>
                <w:rFonts w:ascii="Times New Roman" w:hAnsi="Times New Roman" w:cs="Times New Roman" w:eastAsia="Times New Roman" w:hint="default"/>
                <w:sz w:val="18"/>
                <w:szCs w:val="18"/>
              </w:rPr>
              <w:t>“</w:t>
            </w:r>
            <w:r>
              <w:rPr>
                <w:rFonts w:ascii="宋体" w:hAnsi="宋体" w:cs="宋体" w:eastAsia="宋体" w:hint="default"/>
                <w:sz w:val="18"/>
                <w:szCs w:val="18"/>
              </w:rPr>
              <w:t>信会师报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[2017]10675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鉴证报告确认；本期使用募集资金投入承诺投资项目人民币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5,298.83</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日止募集资金专户收到利息收入扣除手续费净额人民币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日，募集资金余额为人</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5,477.73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0"/>
        <w:gridCol w:w="780"/>
        <w:gridCol w:w="780"/>
        <w:gridCol w:w="780"/>
        <w:gridCol w:w="780"/>
        <w:gridCol w:w="780"/>
        <w:gridCol w:w="781"/>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0"/>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上海钢琴厂低碳化升 级改造及运营</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DOT</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4,750.81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4,750.81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线上运营平台及乐活 系统建设项目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低碳建筑研究及社区 级应用服务实验基地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5,298.83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5,298.83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10,739.76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5,298.83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5,298.83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上海钢琴厂低碳化升级改造及运营（ </w:t>
            </w:r>
            <w:r>
              <w:rPr>
                <w:rFonts w:ascii="Times New Roman" w:hAnsi="Times New Roman" w:cs="Times New Roman" w:eastAsia="Times New Roman" w:hint="default"/>
                <w:spacing w:val="-3"/>
                <w:sz w:val="18"/>
                <w:szCs w:val="18"/>
              </w:rPr>
              <w:t>DOT</w:t>
            </w:r>
            <w:r>
              <w:rPr>
                <w:rFonts w:ascii="宋体" w:hAnsi="宋体" w:cs="宋体" w:eastAsia="宋体" w:hint="default"/>
                <w:spacing w:val="-3"/>
                <w:sz w:val="18"/>
                <w:szCs w:val="18"/>
              </w:rPr>
              <w:t>）项目预计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年完成；</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线上运营平台及乐活系统 建设项目在募集资金到位后，项目正式全面启动，预计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年完成； </w:t>
            </w:r>
            <w:r>
              <w:rPr>
                <w:rFonts w:ascii="Times New Roman" w:hAnsi="Times New Roman" w:cs="Times New Roman" w:eastAsia="Times New Roman" w:hint="default"/>
                <w:sz w:val="18"/>
                <w:szCs w:val="18"/>
              </w:rPr>
              <w:t>3.</w:t>
            </w:r>
            <w:r>
              <w:rPr>
                <w:rFonts w:ascii="宋体" w:hAnsi="宋体" w:cs="宋体" w:eastAsia="宋体" w:hint="default"/>
                <w:sz w:val="18"/>
                <w:szCs w:val="18"/>
              </w:rPr>
              <w:t>低碳建筑研究及社区级应 用服务实验基地项目募集资金已全部使用完毕，项目尚在建设中。</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公司于募集资金到位之前利用自有资金先期投入募集资金项目人民币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pacing w:val="-3"/>
                <w:sz w:val="18"/>
                <w:szCs w:val="18"/>
              </w:rPr>
              <w:t>经</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日召开的第二届董事会第二次定期会议、第二届监事会第三次会议审议通过，并经保荐人</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核查同意，公司以募集资金置换预先已投入募集资金投资项目的自筹资金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48,194,430.82</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元，上述置</w:t>
            </w:r>
            <w:r>
              <w:rPr>
                <w:rFonts w:ascii="宋体" w:hAnsi="宋体" w:cs="宋体" w:eastAsia="宋体" w:hint="default"/>
                <w:sz w:val="18"/>
                <w:szCs w:val="18"/>
              </w:rPr>
              <w:t> </w:t>
            </w:r>
            <w:r>
              <w:rPr>
                <w:rFonts w:ascii="宋体" w:hAnsi="宋体" w:cs="宋体" w:eastAsia="宋体" w:hint="default"/>
                <w:spacing w:val="-2"/>
                <w:sz w:val="18"/>
                <w:szCs w:val="18"/>
              </w:rPr>
              <w:t>换事项及置换金额业经立信会计师事务所（特殊普通合伙）出具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信会师报字</w:t>
            </w:r>
            <w:r>
              <w:rPr>
                <w:rFonts w:ascii="Times New Roman" w:hAnsi="Times New Roman" w:cs="Times New Roman" w:eastAsia="Times New Roman" w:hint="default"/>
                <w:spacing w:val="-2"/>
                <w:sz w:val="18"/>
                <w:szCs w:val="18"/>
              </w:rPr>
              <w:t>[2017]10675</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鉴证报</w:t>
            </w:r>
            <w:r>
              <w:rPr>
                <w:rFonts w:ascii="宋体" w:hAnsi="宋体" w:cs="宋体" w:eastAsia="宋体" w:hint="default"/>
                <w:spacing w:val="-53"/>
                <w:sz w:val="18"/>
                <w:szCs w:val="18"/>
              </w:rPr>
              <w:t> </w:t>
            </w:r>
            <w:r>
              <w:rPr>
                <w:rFonts w:ascii="宋体" w:hAnsi="宋体" w:cs="宋体" w:eastAsia="宋体" w:hint="default"/>
                <w:sz w:val="18"/>
                <w:szCs w:val="18"/>
              </w:rPr>
              <w:t>告确认。</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尚未使用的募集资金将根据项目进度陆续投入使用，现存放于募集资金专户中。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用途及去向</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募集资金使用中的其他情况： （</w:t>
            </w:r>
            <w:r>
              <w:rPr>
                <w:rFonts w:ascii="Times New Roman" w:hAnsi="Times New Roman" w:cs="Times New Roman" w:eastAsia="Times New Roman" w:hint="default"/>
                <w:sz w:val="18"/>
                <w:szCs w:val="18"/>
              </w:rPr>
              <w:t>1</w:t>
            </w:r>
            <w:r>
              <w:rPr>
                <w:rFonts w:ascii="宋体" w:hAnsi="宋体" w:cs="宋体" w:eastAsia="宋体" w:hint="default"/>
                <w:sz w:val="18"/>
                <w:szCs w:val="18"/>
              </w:rPr>
              <w:t>）本年度支付发行费用时，发行手续费等费用 </w:t>
            </w:r>
            <w:r>
              <w:rPr>
                <w:rFonts w:ascii="Times New Roman" w:hAnsi="Times New Roman" w:cs="Times New Roman" w:eastAsia="Times New Roman" w:hint="default"/>
                <w:sz w:val="18"/>
                <w:szCs w:val="18"/>
              </w:rPr>
              <w:t>86,320.77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元从公 </w:t>
            </w:r>
            <w:r>
              <w:rPr>
                <w:rFonts w:ascii="宋体" w:hAnsi="宋体" w:cs="宋体" w:eastAsia="宋体" w:hint="default"/>
                <w:spacing w:val="-1"/>
                <w:sz w:val="18"/>
                <w:szCs w:val="18"/>
              </w:rPr>
              <w:t>司一般账户中支付，尚未从募集资金专户中转出；</w:t>
            </w:r>
            <w:r>
              <w:rPr>
                <w:rFonts w:ascii="宋体" w:hAnsi="宋体" w:cs="宋体" w:eastAsia="宋体" w:hint="default"/>
                <w:spacing w:val="3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）根据信会师报字</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10675</w:t>
            </w:r>
            <w:r>
              <w:rPr>
                <w:rFonts w:ascii="Times New Roman" w:hAnsi="Times New Roman" w:cs="Times New Roman" w:eastAsia="Times New Roman" w:hint="default"/>
                <w:spacing w:val="4"/>
                <w:sz w:val="18"/>
                <w:szCs w:val="18"/>
              </w:rPr>
              <w:t> </w:t>
            </w:r>
            <w:r>
              <w:rPr>
                <w:rFonts w:ascii="宋体" w:hAnsi="宋体" w:cs="宋体" w:eastAsia="宋体" w:hint="default"/>
                <w:spacing w:val="-22"/>
                <w:sz w:val="18"/>
                <w:szCs w:val="18"/>
              </w:rPr>
              <w:t>号）《深圳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市建筑科学研究院股份有限公司募集资金置换专项审核报告》，自筹资金预先投入低碳建筑研究及社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区级应用服务实验基地项目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89,622.00 </w:t>
            </w:r>
            <w:r>
              <w:rPr>
                <w:rFonts w:ascii="宋体" w:hAnsi="宋体" w:cs="宋体" w:eastAsia="宋体" w:hint="default"/>
                <w:sz w:val="18"/>
                <w:szCs w:val="18"/>
              </w:rPr>
              <w:t>元，可用募集资金进行置换。截止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w:t>
            </w:r>
          </w:p>
          <w:p>
            <w:pPr>
              <w:pStyle w:val="TableParagraph"/>
              <w:spacing w:line="300" w:lineRule="auto" w:before="7"/>
              <w:ind w:left="24" w:right="60"/>
              <w:jc w:val="both"/>
              <w:rPr>
                <w:rFonts w:ascii="宋体" w:hAnsi="宋体" w:cs="宋体" w:eastAsia="宋体" w:hint="default"/>
                <w:sz w:val="18"/>
                <w:szCs w:val="18"/>
              </w:rPr>
            </w:pPr>
            <w:r>
              <w:rPr>
                <w:rFonts w:ascii="宋体" w:hAnsi="宋体" w:cs="宋体" w:eastAsia="宋体" w:hint="default"/>
                <w:sz w:val="18"/>
                <w:szCs w:val="18"/>
              </w:rPr>
              <w:t>置换资金未从募集资金转户转出，实际转出时间为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上述行为不属于募集资金</w:t>
            </w:r>
            <w:r>
              <w:rPr>
                <w:rFonts w:ascii="宋体" w:hAnsi="宋体" w:cs="宋体" w:eastAsia="宋体" w:hint="default"/>
                <w:sz w:val="18"/>
                <w:szCs w:val="18"/>
              </w:rPr>
              <w:t> 的不当使用，未对募集资金使用和管理产生重大影响。</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3"/>
          <w:szCs w:val="13"/>
        </w:rPr>
      </w:pPr>
    </w:p>
    <w:p>
      <w:pPr>
        <w:pStyle w:val="Heading4"/>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80"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5"/>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深圳市建研 检测有限公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建筑工程、 建筑材料及 部品检测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53,955,400.4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13,249,230.5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76,211,357.8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7,477,434.01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6,628,743.58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深圳市市政 工程咨询中 心有限公司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市政建设及 规划咨询</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27,757,752.6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17,131,660.1</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38,420,732.3</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5,255,323.11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4,441,549.60</w:t>
            </w:r>
          </w:p>
        </w:tc>
      </w:tr>
    </w:tbl>
    <w:p>
      <w:pPr>
        <w:pStyle w:val="BodyText"/>
        <w:spacing w:line="240" w:lineRule="auto" w:before="49"/>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深圳市九一绿色运营管理有限公司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3192"/>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49"/>
        <w:ind w:right="103"/>
        <w:jc w:val="left"/>
      </w:pPr>
      <w:r>
        <w:rPr/>
        <w:t>主要控股参股公司情况说明</w:t>
      </w:r>
    </w:p>
    <w:p>
      <w:pPr>
        <w:pStyle w:val="BodyText"/>
        <w:spacing w:line="300" w:lineRule="auto" w:before="115"/>
        <w:ind w:right="184"/>
        <w:jc w:val="left"/>
      </w:pPr>
      <w:r>
        <w:rPr>
          <w:spacing w:val="-1"/>
        </w:rPr>
        <w:t>深圳市建研检测有限公司：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日成立，为公司全资子公司。</w:t>
      </w:r>
      <w:r>
        <w:rPr>
          <w:rFonts w:ascii="Times New Roman" w:hAnsi="Times New Roman" w:cs="Times New Roman" w:eastAsia="Times New Roman" w:hint="default"/>
          <w:spacing w:val="-1"/>
        </w:rPr>
        <w:t>2016</w:t>
      </w:r>
      <w:r>
        <w:rPr>
          <w:spacing w:val="-1"/>
        </w:rPr>
        <w:t>年其对公司的净利润贡献为</w:t>
      </w:r>
      <w:r>
        <w:rPr>
          <w:rFonts w:ascii="Times New Roman" w:hAnsi="Times New Roman" w:cs="Times New Roman" w:eastAsia="Times New Roman" w:hint="default"/>
          <w:spacing w:val="-1"/>
        </w:rPr>
        <w:t>411.75</w:t>
      </w:r>
      <w:r>
        <w:rPr>
          <w:spacing w:val="-1"/>
        </w:rPr>
        <w:t>万元。</w:t>
      </w:r>
      <w:r>
        <w:rPr>
          <w:rFonts w:ascii="Times New Roman" w:hAnsi="Times New Roman" w:cs="Times New Roman" w:eastAsia="Times New Roman" w:hint="default"/>
          <w:spacing w:val="-1"/>
        </w:rPr>
        <w:t>2017</w:t>
      </w:r>
      <w:r>
        <w:rPr>
          <w:spacing w:val="-1"/>
        </w:rPr>
        <w:t>年其</w:t>
      </w:r>
      <w:r>
        <w:rPr>
          <w:spacing w:val="-76"/>
        </w:rPr>
        <w:t> </w:t>
      </w:r>
      <w:r>
        <w:rPr/>
        <w:t>对公司的净利润贡献为</w:t>
      </w:r>
      <w:r>
        <w:rPr>
          <w:rFonts w:ascii="Times New Roman" w:hAnsi="Times New Roman" w:cs="Times New Roman" w:eastAsia="Times New Roman" w:hint="default"/>
        </w:rPr>
        <w:t>662.87</w:t>
      </w:r>
      <w:r>
        <w:rPr/>
        <w:t>万元。 </w:t>
      </w:r>
      <w:r>
        <w:rPr>
          <w:spacing w:val="-1"/>
        </w:rPr>
        <w:t>深圳市市政工程咨询中心有限公司：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日根据深国资委</w:t>
      </w:r>
      <w:r>
        <w:rPr>
          <w:rFonts w:ascii="Times New Roman" w:hAnsi="Times New Roman" w:cs="Times New Roman" w:eastAsia="Times New Roman" w:hint="default"/>
          <w:spacing w:val="-1"/>
        </w:rPr>
        <w:t>[2011]93</w:t>
      </w:r>
      <w:r>
        <w:rPr>
          <w:spacing w:val="-1"/>
        </w:rPr>
        <w:t>号《关于深圳市市政工程咨询中心有限公司股权</w:t>
      </w:r>
      <w:r>
        <w:rPr>
          <w:spacing w:val="-56"/>
        </w:rPr>
        <w:t> </w:t>
      </w:r>
      <w:r>
        <w:rPr>
          <w:spacing w:val="-56"/>
        </w:rPr>
      </w:r>
      <w:r>
        <w:rPr/>
        <w:t>无偿划转事宜的批复》，深圳市投资控股有限公司将深圳市市政工程咨询中心有限公司</w:t>
      </w:r>
      <w:r>
        <w:rPr>
          <w:rFonts w:ascii="Times New Roman" w:hAnsi="Times New Roman" w:cs="Times New Roman" w:eastAsia="Times New Roman" w:hint="default"/>
        </w:rPr>
        <w:t>100%</w:t>
      </w:r>
      <w:r>
        <w:rPr/>
        <w:t>股权无偿划转给本公司，已于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日办理工商登记变更。</w:t>
      </w:r>
      <w:r>
        <w:rPr>
          <w:rFonts w:ascii="Times New Roman" w:hAnsi="Times New Roman" w:cs="Times New Roman" w:eastAsia="Times New Roman" w:hint="default"/>
        </w:rPr>
        <w:t>2016</w:t>
      </w:r>
      <w:r>
        <w:rPr/>
        <w:t>年其对公司的净利润贡献为</w:t>
      </w:r>
      <w:r>
        <w:rPr>
          <w:rFonts w:ascii="Times New Roman" w:hAnsi="Times New Roman" w:cs="Times New Roman" w:eastAsia="Times New Roman" w:hint="default"/>
        </w:rPr>
        <w:t>160.01</w:t>
      </w:r>
      <w:r>
        <w:rPr/>
        <w:t>万元。</w:t>
      </w:r>
      <w:r>
        <w:rPr>
          <w:rFonts w:ascii="Times New Roman" w:hAnsi="Times New Roman" w:cs="Times New Roman" w:eastAsia="Times New Roman" w:hint="default"/>
        </w:rPr>
        <w:t>2017</w:t>
      </w:r>
      <w:r>
        <w:rPr/>
        <w:t>年其对公司的净利润贡献为</w:t>
      </w:r>
      <w:r>
        <w:rPr>
          <w:rFonts w:ascii="Times New Roman" w:hAnsi="Times New Roman" w:cs="Times New Roman" w:eastAsia="Times New Roman" w:hint="default"/>
        </w:rPr>
        <w:t>444.15</w:t>
      </w:r>
      <w:r>
        <w:rPr/>
        <w:t>万 元。</w:t>
      </w:r>
    </w:p>
    <w:p>
      <w:pPr>
        <w:spacing w:line="240" w:lineRule="auto" w:before="13"/>
        <w:rPr>
          <w:rFonts w:ascii="宋体" w:hAnsi="宋体" w:cs="宋体" w:eastAsia="宋体" w:hint="default"/>
          <w:sz w:val="15"/>
          <w:szCs w:val="15"/>
        </w:rPr>
      </w:pPr>
    </w:p>
    <w:p>
      <w:pPr>
        <w:pStyle w:val="Heading4"/>
        <w:spacing w:line="240" w:lineRule="auto"/>
        <w:ind w:right="103"/>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4"/>
        <w:spacing w:line="240" w:lineRule="auto"/>
        <w:ind w:right="103"/>
        <w:jc w:val="left"/>
        <w:rPr>
          <w:b w:val="0"/>
          <w:bCs w:val="0"/>
        </w:rPr>
      </w:pPr>
      <w:r>
        <w:rPr/>
        <w:t>九、公司未来发展的展望</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
        <w:jc w:val="left"/>
      </w:pPr>
      <w:r>
        <w:rPr/>
        <w:t>（一）行业发展趋势</w:t>
      </w:r>
    </w:p>
    <w:p>
      <w:pPr>
        <w:pStyle w:val="BodyText"/>
        <w:spacing w:line="314" w:lineRule="auto" w:before="76"/>
        <w:ind w:right="94"/>
        <w:jc w:val="left"/>
      </w:pPr>
      <w:r>
        <w:rPr>
          <w:rFonts w:ascii="Times New Roman" w:hAnsi="Times New Roman" w:cs="Times New Roman" w:eastAsia="Times New Roman" w:hint="default"/>
        </w:rPr>
        <w:t>1.</w:t>
      </w:r>
      <w:r>
        <w:rPr/>
        <w:t>政策层面 </w:t>
      </w:r>
      <w:r>
        <w:rPr>
          <w:spacing w:val="-2"/>
        </w:rPr>
        <w:t>十八大以来，国家陆续出台了一系列国家政策，新型城镇化、城市绿色发展等成为城市建设领域未来发展的重点。如《中共</w:t>
      </w:r>
      <w:r>
        <w:rPr>
          <w:spacing w:val="-67"/>
        </w:rPr>
        <w:t> </w:t>
      </w:r>
      <w:r>
        <w:rPr>
          <w:spacing w:val="-67"/>
        </w:rPr>
      </w:r>
      <w:r>
        <w:rPr>
          <w:spacing w:val="-2"/>
        </w:rPr>
        <w:t>中央国务院关于进一步加强城市规划建设管理工作的若干意见》指出牢固树立和贯彻落实创新、协调、绿色、开放、共享的</w:t>
      </w:r>
      <w:r>
        <w:rPr>
          <w:spacing w:val="-65"/>
        </w:rPr>
        <w:t> </w:t>
      </w:r>
      <w:r>
        <w:rPr>
          <w:spacing w:val="-65"/>
        </w:rPr>
      </w:r>
      <w:r>
        <w:rPr>
          <w:spacing w:val="-2"/>
        </w:rPr>
        <w:t>发展理念，走中国特色城市发展道路要求。为建设领域企业未来业务空间提出了指引，特别是城市生态规划、绿色与工业化</w:t>
      </w:r>
      <w:r>
        <w:rPr>
          <w:spacing w:val="-65"/>
        </w:rPr>
        <w:t> </w:t>
      </w:r>
      <w:r>
        <w:rPr>
          <w:spacing w:val="-65"/>
        </w:rPr>
      </w:r>
      <w:r>
        <w:rPr/>
        <w:t>建筑、建筑性能和安全管理、水安全和生态市政、绿色交通和智能城市和城市生态安全等方面将迎来重大历史机遇。 同时，行业监管政策表明，未来建设领域招投标管理和政府采购制度向更市场化方向转变；行业资质准入制度进一步放开，</w:t>
      </w:r>
      <w:r>
        <w:rPr/>
        <w:t> 国内市场竞争将更趋激烈；工程建设一体化服务、工程总承包服务成为新趋势。</w:t>
      </w:r>
    </w:p>
    <w:p>
      <w:pPr>
        <w:pStyle w:val="BodyText"/>
        <w:spacing w:line="314" w:lineRule="auto" w:before="20"/>
        <w:ind w:right="103"/>
        <w:jc w:val="left"/>
      </w:pPr>
      <w:r>
        <w:rPr>
          <w:rFonts w:ascii="Times New Roman" w:hAnsi="Times New Roman" w:cs="Times New Roman" w:eastAsia="Times New Roman" w:hint="default"/>
        </w:rPr>
        <w:t>2.</w:t>
      </w:r>
      <w:r>
        <w:rPr/>
        <w:t>行业层面 </w:t>
      </w:r>
      <w:r>
        <w:rPr>
          <w:spacing w:val="-2"/>
        </w:rPr>
        <w:t>宏观经济和行业发展的市场化改革进入深水区，以增强内生动力为方向的质量效益型发展方式成为必然选择。随着市场化进</w:t>
      </w:r>
      <w:r>
        <w:rPr>
          <w:spacing w:val="-64"/>
        </w:rPr>
        <w:t> </w:t>
      </w:r>
      <w:r>
        <w:rPr>
          <w:spacing w:val="-64"/>
        </w:rPr>
      </w:r>
      <w:r>
        <w:rPr>
          <w:spacing w:val="-2"/>
        </w:rPr>
        <w:t>程的加快，政府部门从监管部门向服务部门转变，行业格局将产生较大的变化。建立公平开放透明的市场规则，由市场决定</w:t>
      </w:r>
      <w:r>
        <w:rPr>
          <w:spacing w:val="-65"/>
        </w:rPr>
        <w:t> </w:t>
      </w:r>
      <w:r>
        <w:rPr>
          <w:spacing w:val="-65"/>
        </w:rPr>
      </w:r>
      <w:r>
        <w:rPr/>
        <w:t>价格将加剧竞争，这要求企业转变增长方式，提升创新能力，实现资源配置的效益最大化和效率最优化。 </w:t>
      </w:r>
      <w:r>
        <w:rPr>
          <w:spacing w:val="-2"/>
        </w:rPr>
        <w:t>国家加强地方政府性债务管理，地方政府举债能力减弱，平台融资能力受限，固定资产投资不足，增速持续减缓，使得在公</w:t>
      </w:r>
      <w:r>
        <w:rPr>
          <w:spacing w:val="-66"/>
        </w:rPr>
        <w:t> </w:t>
      </w:r>
      <w:r>
        <w:rPr>
          <w:spacing w:val="-66"/>
        </w:rPr>
      </w:r>
      <w:r>
        <w:rPr>
          <w:spacing w:val="-2"/>
        </w:rPr>
        <w:t>共服务、资源环境、生态建设、基础设施等领域进一步创新投融资机制，充分发挥社会资本的作用愈发重要，这为建科院在</w:t>
      </w:r>
      <w:r>
        <w:rPr>
          <w:spacing w:val="-67"/>
        </w:rPr>
        <w:t> </w:t>
      </w:r>
      <w:r>
        <w:rPr>
          <w:spacing w:val="-67"/>
        </w:rPr>
      </w:r>
      <w:r>
        <w:rPr>
          <w:rFonts w:ascii="Times New Roman" w:hAnsi="Times New Roman" w:cs="Times New Roman" w:eastAsia="Times New Roman" w:hint="default"/>
        </w:rPr>
        <w:t>IPO</w:t>
      </w:r>
      <w:r>
        <w:rPr/>
        <w:t>后切入市场提供了契机。</w:t>
      </w:r>
    </w:p>
    <w:p>
      <w:pPr>
        <w:pStyle w:val="BodyText"/>
        <w:spacing w:line="312" w:lineRule="auto" w:before="1"/>
        <w:ind w:right="103"/>
        <w:jc w:val="left"/>
      </w:pPr>
      <w:r>
        <w:rPr>
          <w:rFonts w:ascii="Times New Roman" w:hAnsi="Times New Roman" w:cs="Times New Roman" w:eastAsia="Times New Roman" w:hint="default"/>
        </w:rPr>
        <w:t>3.</w:t>
      </w:r>
      <w:r>
        <w:rPr/>
        <w:t>技术层面 </w:t>
      </w:r>
      <w:r>
        <w:rPr>
          <w:spacing w:val="-2"/>
        </w:rPr>
        <w:t>国家全面深化改革对工程建设行业提出了转型发展的新要求，住宅产业现代化、新型建筑工业化和建筑产业化成为发展的趋</w:t>
      </w:r>
      <w:r>
        <w:rPr>
          <w:spacing w:val="-64"/>
        </w:rPr>
        <w:t> </w:t>
      </w:r>
      <w:r>
        <w:rPr>
          <w:spacing w:val="-64"/>
        </w:rPr>
      </w:r>
      <w:r>
        <w:rPr>
          <w:spacing w:val="-2"/>
        </w:rPr>
        <w:t>势，信息化与建筑工业化的深度融合，基础性技术、标准的研究和制定，建筑工业化、产业化标准体系与实施机制的研究正</w:t>
      </w:r>
      <w:r>
        <w:rPr>
          <w:spacing w:val="-67"/>
        </w:rPr>
        <w:t> </w:t>
      </w:r>
      <w:r>
        <w:rPr>
          <w:spacing w:val="-67"/>
        </w:rPr>
      </w:r>
      <w:r>
        <w:rPr/>
        <w:t>在不断深化，这要求建科院紧跟行业技术前沿，不断提升技术创新能力。</w:t>
      </w:r>
    </w:p>
    <w:p>
      <w:pPr>
        <w:pStyle w:val="BodyText"/>
        <w:spacing w:line="319" w:lineRule="auto" w:before="22"/>
        <w:ind w:right="103"/>
        <w:jc w:val="left"/>
      </w:pPr>
      <w:r>
        <w:rPr/>
        <w:t>（二）发展战略及经营策略 </w:t>
      </w:r>
      <w:r>
        <w:rPr>
          <w:spacing w:val="-2"/>
        </w:rPr>
        <w:t>公司持续推进城市绿色发展和绿色建筑领域全过程技术服务能力的创新，使公司的科技创新能力、市场服务能力和资源整合</w:t>
      </w:r>
      <w:r>
        <w:rPr>
          <w:spacing w:val="-64"/>
        </w:rPr>
        <w:t> </w:t>
      </w:r>
      <w:r>
        <w:rPr>
          <w:spacing w:val="-64"/>
        </w:rPr>
      </w:r>
      <w:r>
        <w:rPr/>
        <w:t>能力迈上一个新的台阶。具体如下：</w:t>
      </w:r>
    </w:p>
    <w:p>
      <w:pPr>
        <w:pStyle w:val="BodyText"/>
        <w:spacing w:line="304" w:lineRule="auto" w:before="17"/>
        <w:ind w:right="172"/>
        <w:jc w:val="left"/>
      </w:pPr>
      <w:r>
        <w:rPr>
          <w:rFonts w:ascii="Times New Roman" w:hAnsi="Times New Roman" w:cs="Times New Roman" w:eastAsia="Times New Roman" w:hint="default"/>
        </w:rPr>
        <w:t>1.</w:t>
      </w:r>
      <w:r>
        <w:rPr/>
        <w:t>深化公司业务链整合创新，形成新的收入增长点 公司将跟进国家绿色发展战略和市场需求，对现有业务类型进行合理的链式整合，形成核心业务链拓展</w:t>
      </w:r>
      <w:r>
        <w:rPr>
          <w:rFonts w:ascii="Times New Roman" w:hAnsi="Times New Roman" w:cs="Times New Roman" w:eastAsia="Times New Roman" w:hint="default"/>
        </w:rPr>
        <w:t>+</w:t>
      </w:r>
      <w:r>
        <w:rPr/>
        <w:t>多点业务创新协同 发展。第一，加强规划设计、建设管理、绿色运营业务的协同和业务整合创新，在进一步加强绿色工程项目总包业务（如 </w:t>
      </w:r>
      <w:r>
        <w:rPr>
          <w:rFonts w:ascii="Times New Roman" w:hAnsi="Times New Roman" w:cs="Times New Roman" w:eastAsia="Times New Roman" w:hint="default"/>
          <w:spacing w:val="-2"/>
        </w:rPr>
        <w:t>EPC</w:t>
      </w:r>
      <w:r>
        <w:rPr>
          <w:spacing w:val="-2"/>
        </w:rPr>
        <w:t>、代建）和绿色运营业务，形成公司新的收入增长点，同时也加大全过程组合业务的推广力度（如</w:t>
      </w:r>
      <w:r>
        <w:rPr>
          <w:rFonts w:ascii="Times New Roman" w:hAnsi="Times New Roman" w:cs="Times New Roman" w:eastAsia="Times New Roman" w:hint="default"/>
          <w:spacing w:val="-2"/>
        </w:rPr>
        <w:t>DOT</w:t>
      </w:r>
      <w:r>
        <w:rPr>
          <w:spacing w:val="-2"/>
        </w:rPr>
        <w:t>），促进业务规</w:t>
      </w:r>
      <w:r>
        <w:rPr>
          <w:spacing w:val="-46"/>
        </w:rPr>
        <w:t> </w:t>
      </w:r>
      <w:r>
        <w:rPr>
          <w:spacing w:val="-46"/>
        </w:rPr>
      </w:r>
      <w:r>
        <w:rPr>
          <w:spacing w:val="-1"/>
        </w:rPr>
        <w:t>模和客户结构优化上新台阶；第二，加大检测和技术咨询（解决方案）整合力度，促使公信业务链的成熟，并加大</w:t>
      </w:r>
      <w:r>
        <w:rPr>
          <w:rFonts w:ascii="Times New Roman" w:hAnsi="Times New Roman" w:cs="Times New Roman" w:eastAsia="Times New Roman" w:hint="default"/>
          <w:spacing w:val="-1"/>
        </w:rPr>
        <w:t>B2C</w:t>
      </w:r>
      <w:r>
        <w:rPr>
          <w:spacing w:val="-1"/>
        </w:rPr>
        <w:t>业务</w:t>
      </w:r>
      <w:r>
        <w:rPr/>
        <w:t> 模式的创新力度，使之成为公司新的收入增长点。</w:t>
      </w:r>
    </w:p>
    <w:p>
      <w:pPr>
        <w:pStyle w:val="BodyText"/>
        <w:spacing w:line="240" w:lineRule="auto" w:before="28"/>
        <w:ind w:right="103"/>
        <w:jc w:val="left"/>
      </w:pPr>
      <w:r>
        <w:rPr>
          <w:rFonts w:ascii="Times New Roman" w:hAnsi="Times New Roman" w:cs="Times New Roman" w:eastAsia="Times New Roman" w:hint="default"/>
        </w:rPr>
        <w:t>2.</w:t>
      </w:r>
      <w:r>
        <w:rPr/>
        <w:t>加强公司综合创新平台的建设，提升公司核心竞争力</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103"/>
        <w:jc w:val="left"/>
      </w:pPr>
      <w:r>
        <w:rPr/>
        <w:t>公司始终注重科技创新，坚持</w:t>
      </w:r>
      <w:r>
        <w:rPr>
          <w:rFonts w:ascii="Times New Roman" w:hAnsi="Times New Roman" w:cs="Times New Roman" w:eastAsia="Times New Roman" w:hint="default"/>
        </w:rPr>
        <w:t>“</w:t>
      </w:r>
      <w:r>
        <w:rPr/>
        <w:t>自主创新</w:t>
      </w:r>
      <w:r>
        <w:rPr>
          <w:rFonts w:ascii="Times New Roman" w:hAnsi="Times New Roman" w:cs="Times New Roman" w:eastAsia="Times New Roman" w:hint="default"/>
        </w:rPr>
        <w:t>”</w:t>
      </w:r>
      <w:r>
        <w:rPr/>
        <w:t>的经营策略，持续加大研发费用投入，特别是研究平台的建设，公司将重点推进建 </w:t>
      </w:r>
      <w:r>
        <w:rPr>
          <w:spacing w:val="-2"/>
        </w:rPr>
        <w:t>筑级、建筑群级和园区级的三级集成研究和中试平台的建设。并且继续推动与欧美多个战略合作伙伴的合作，加强一流科研</w:t>
      </w:r>
      <w:r>
        <w:rPr>
          <w:spacing w:val="-63"/>
        </w:rPr>
        <w:t> </w:t>
      </w:r>
      <w:r>
        <w:rPr>
          <w:spacing w:val="-63"/>
        </w:rPr>
      </w:r>
      <w:r>
        <w:rPr/>
        <w:t>人才与技术资源整合。 </w:t>
      </w:r>
      <w:r>
        <w:rPr>
          <w:spacing w:val="-2"/>
        </w:rPr>
        <w:t>从创新管理来看，</w:t>
      </w:r>
      <w:r>
        <w:rPr>
          <w:rFonts w:ascii="Times New Roman" w:hAnsi="Times New Roman" w:cs="Times New Roman" w:eastAsia="Times New Roman" w:hint="default"/>
          <w:spacing w:val="-2"/>
        </w:rPr>
        <w:t>2018</w:t>
      </w:r>
      <w:r>
        <w:rPr>
          <w:spacing w:val="-2"/>
        </w:rPr>
        <w:t>年将基本建立董事会专门委员会（包括充实董事会市场与技术委员会及其办公室，以及在董事会战略</w:t>
      </w:r>
      <w:r>
        <w:rPr>
          <w:spacing w:val="-59"/>
        </w:rPr>
        <w:t> </w:t>
      </w:r>
      <w:r>
        <w:rPr>
          <w:spacing w:val="-59"/>
        </w:rPr>
      </w:r>
      <w:r>
        <w:rPr>
          <w:spacing w:val="-4"/>
        </w:rPr>
        <w:t>委员会下设顾问组）、城市绿色发展研究院、相关部门（研创中心、质量管理中心（总师室））为核心的三级研创管理体系，</w:t>
      </w:r>
      <w:r>
        <w:rPr>
          <w:spacing w:val="-46"/>
        </w:rPr>
        <w:t> </w:t>
      </w:r>
      <w:r>
        <w:rPr>
          <w:spacing w:val="-46"/>
        </w:rPr>
      </w:r>
      <w:r>
        <w:rPr>
          <w:spacing w:val="-2"/>
        </w:rPr>
        <w:t>组织和领导公司的市场模式和业务链整合创新、科技创新、技术和质量管理工作，打造公司的科技和创新核心能力，真正推</w:t>
      </w:r>
      <w:r>
        <w:rPr>
          <w:spacing w:val="-64"/>
        </w:rPr>
        <w:t> </w:t>
      </w:r>
      <w:r>
        <w:rPr>
          <w:spacing w:val="-64"/>
        </w:rPr>
      </w:r>
      <w:r>
        <w:rPr/>
        <w:t>动公司市场和业务转型实质性突破。</w:t>
      </w:r>
    </w:p>
    <w:p>
      <w:pPr>
        <w:pStyle w:val="BodyText"/>
        <w:spacing w:line="309" w:lineRule="auto" w:before="22"/>
        <w:ind w:right="103"/>
        <w:jc w:val="left"/>
      </w:pPr>
      <w:r>
        <w:rPr>
          <w:rFonts w:ascii="Times New Roman" w:hAnsi="Times New Roman" w:cs="Times New Roman" w:eastAsia="Times New Roman" w:hint="default"/>
        </w:rPr>
        <w:t>3.</w:t>
      </w:r>
      <w:r>
        <w:rPr/>
        <w:t>完善区域市场，提升品牌知名度，促进业务发展 </w:t>
      </w:r>
      <w:r>
        <w:rPr>
          <w:spacing w:val="-2"/>
        </w:rPr>
        <w:t>继续加大力度建设以城市级和战略级客户为核心的区域市场体系建设，启动公司新的品牌规划，提升品牌影响力。一是继续</w:t>
      </w:r>
      <w:r>
        <w:rPr>
          <w:spacing w:val="-66"/>
        </w:rPr>
        <w:t> </w:t>
      </w:r>
      <w:r>
        <w:rPr>
          <w:spacing w:val="-66"/>
        </w:rPr>
      </w:r>
      <w:r>
        <w:rPr>
          <w:spacing w:val="-2"/>
        </w:rPr>
        <w:t>完善区域市场和事业部的营销职能和资源配置，增强激励和约束机制，</w:t>
      </w:r>
      <w:r>
        <w:rPr>
          <w:rFonts w:ascii="Times New Roman" w:hAnsi="Times New Roman" w:cs="Times New Roman" w:eastAsia="Times New Roman" w:hint="default"/>
          <w:spacing w:val="-2"/>
        </w:rPr>
        <w:t>2018</w:t>
      </w:r>
      <w:r>
        <w:rPr>
          <w:spacing w:val="-2"/>
        </w:rPr>
        <w:t>年基本完成事业部运作方式的顺利转换。二是重</w:t>
      </w:r>
      <w:r>
        <w:rPr>
          <w:spacing w:val="-59"/>
        </w:rPr>
        <w:t> </w:t>
      </w:r>
      <w:r>
        <w:rPr>
          <w:spacing w:val="-59"/>
        </w:rPr>
      </w:r>
      <w:r>
        <w:rPr>
          <w:spacing w:val="-2"/>
        </w:rPr>
        <w:t>点提升市场策划团队客户开拓和服务能力，特别是提高雄安、西南、华东等市场的服务能力和市场份额，例如在目前参与雄</w:t>
      </w:r>
      <w:r>
        <w:rPr>
          <w:spacing w:val="-64"/>
        </w:rPr>
        <w:t> </w:t>
      </w:r>
      <w:r>
        <w:rPr>
          <w:spacing w:val="-64"/>
        </w:rPr>
      </w:r>
      <w:r>
        <w:rPr>
          <w:spacing w:val="-4"/>
        </w:rPr>
        <w:t>安绿色规划和公信服务的基础上，继续拓展在雄安的业务类型，并以雄安示范为业务和品牌的制高点带动其他地区业务拓展。</w:t>
      </w:r>
      <w:r>
        <w:rPr>
          <w:spacing w:val="-44"/>
        </w:rPr>
        <w:t> </w:t>
      </w:r>
      <w:r>
        <w:rPr>
          <w:spacing w:val="-44"/>
        </w:rPr>
      </w:r>
      <w:r>
        <w:rPr>
          <w:spacing w:val="-2"/>
        </w:rPr>
        <w:t>三是要全方位推进公司的品牌建设，建设展示与客户服务平台，以服务和体验方式传播公司品牌形象，</w:t>
      </w:r>
      <w:r>
        <w:rPr>
          <w:rFonts w:ascii="Times New Roman" w:hAnsi="Times New Roman" w:cs="Times New Roman" w:eastAsia="Times New Roman" w:hint="default"/>
          <w:spacing w:val="-2"/>
        </w:rPr>
        <w:t>2018</w:t>
      </w:r>
      <w:r>
        <w:rPr>
          <w:spacing w:val="-2"/>
        </w:rPr>
        <w:t>年要重点完成公</w:t>
      </w:r>
      <w:r>
        <w:rPr>
          <w:spacing w:val="-59"/>
        </w:rPr>
        <w:t> </w:t>
      </w:r>
      <w:r>
        <w:rPr>
          <w:spacing w:val="-59"/>
        </w:rPr>
      </w:r>
      <w:r>
        <w:rPr/>
        <w:t>司品牌的重新梳理，以及新的网站、</w:t>
      </w:r>
      <w:r>
        <w:rPr>
          <w:rFonts w:ascii="Times New Roman" w:hAnsi="Times New Roman" w:cs="Times New Roman" w:eastAsia="Times New Roman" w:hint="default"/>
        </w:rPr>
        <w:t>VI</w:t>
      </w:r>
      <w:r>
        <w:rPr/>
        <w:t>设计等里程碑工作。</w:t>
      </w:r>
    </w:p>
    <w:p>
      <w:pPr>
        <w:pStyle w:val="BodyText"/>
        <w:spacing w:line="312" w:lineRule="auto" w:before="5"/>
        <w:ind w:right="184"/>
        <w:jc w:val="left"/>
      </w:pPr>
      <w:r>
        <w:rPr>
          <w:rFonts w:ascii="Times New Roman" w:hAnsi="Times New Roman" w:cs="Times New Roman" w:eastAsia="Times New Roman" w:hint="default"/>
        </w:rPr>
        <w:t>4.</w:t>
      </w:r>
      <w:r>
        <w:rPr/>
        <w:t>启动</w:t>
      </w:r>
      <w:r>
        <w:rPr>
          <w:rFonts w:ascii="Times New Roman" w:hAnsi="Times New Roman" w:cs="Times New Roman" w:eastAsia="Times New Roman" w:hint="default"/>
        </w:rPr>
        <w:t>“</w:t>
      </w:r>
      <w:r>
        <w:rPr/>
        <w:t>重新定义</w:t>
      </w:r>
      <w:r>
        <w:rPr>
          <w:rFonts w:ascii="Times New Roman" w:hAnsi="Times New Roman" w:cs="Times New Roman" w:eastAsia="Times New Roman" w:hint="default"/>
        </w:rPr>
        <w:t>IBR”</w:t>
      </w:r>
      <w:r>
        <w:rPr/>
        <w:t>管理变革和流程再造计划，提升业务能力和效率，形成对人才的长效激励机制 </w:t>
      </w:r>
      <w:r>
        <w:rPr>
          <w:spacing w:val="-2"/>
        </w:rPr>
        <w:t>根据公司战略，推动两条业务线、三个平台的运作，重点关注事业部运营方式的实施，构建新的作战逻辑与运作方式：从机</w:t>
      </w:r>
      <w:r>
        <w:rPr>
          <w:spacing w:val="-67"/>
        </w:rPr>
        <w:t> </w:t>
      </w:r>
      <w:r>
        <w:rPr>
          <w:spacing w:val="-67"/>
        </w:rPr>
      </w:r>
      <w:r>
        <w:rPr>
          <w:spacing w:val="-2"/>
        </w:rPr>
        <w:t>会主义的项目到基于解决方案产品化的主动市场拓展，从快速响应客户需求到引导客户需求并实现客户价值创造，从解决生</w:t>
      </w:r>
      <w:r>
        <w:rPr>
          <w:spacing w:val="-64"/>
        </w:rPr>
        <w:t> </w:t>
      </w:r>
      <w:r>
        <w:rPr>
          <w:spacing w:val="-64"/>
        </w:rPr>
      </w:r>
      <w:r>
        <w:rPr>
          <w:spacing w:val="-2"/>
        </w:rPr>
        <w:t>存问题的灵活作战方式到利出一孔打大战的组织，从差异化业务模式到相对可复制标准组件式产品业务模式，从被动响应式</w:t>
      </w:r>
      <w:r>
        <w:rPr>
          <w:spacing w:val="-64"/>
        </w:rPr>
        <w:t> </w:t>
      </w:r>
      <w:r>
        <w:rPr>
          <w:spacing w:val="-64"/>
        </w:rPr>
      </w:r>
      <w:r>
        <w:rPr/>
        <w:t>业务流程模式向主动的规划和计划指挥转型，从综合能力要求高的人才需求到专业化人才组合作战方式。 </w:t>
      </w:r>
      <w:r>
        <w:rPr>
          <w:spacing w:val="-2"/>
        </w:rPr>
        <w:t>要保证上述转型，一是要重点提升董事会与经营班子的协作水平，加强对经营班子落实战略实施能力和效率的考核。二是重</w:t>
      </w:r>
      <w:r>
        <w:rPr>
          <w:spacing w:val="-62"/>
        </w:rPr>
        <w:t> </w:t>
      </w:r>
      <w:r>
        <w:rPr>
          <w:spacing w:val="-62"/>
        </w:rPr>
      </w:r>
      <w:r>
        <w:rPr/>
        <w:t>点关注上市后一年的管理者和骨干员工持股人员持股解禁可能带来的冲击，在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月前完成预案，做好平稳过渡，通过 </w:t>
      </w:r>
      <w:r>
        <w:rPr>
          <w:spacing w:val="-2"/>
        </w:rPr>
        <w:t>新的长效激励机制来吸引人才、发挥人才的能动性。三是必须加快高级经营和管理人才、各业务领域创新型技术人才的引进</w:t>
      </w:r>
      <w:r>
        <w:rPr>
          <w:spacing w:val="-66"/>
        </w:rPr>
        <w:t> </w:t>
      </w:r>
      <w:r>
        <w:rPr>
          <w:spacing w:val="-66"/>
        </w:rPr>
      </w:r>
      <w:r>
        <w:rPr>
          <w:spacing w:val="-2"/>
        </w:rPr>
        <w:t>及培养，并对公司现有职业通道及职位体系进行回顾和优化，借鉴标杆，修订任职资格标准，开展人才评估和能力认证，通</w:t>
      </w:r>
      <w:r>
        <w:rPr>
          <w:spacing w:val="-67"/>
        </w:rPr>
        <w:t> </w:t>
      </w:r>
      <w:r>
        <w:rPr>
          <w:spacing w:val="-67"/>
        </w:rPr>
      </w:r>
      <w:r>
        <w:rPr/>
        <w:t>过乐活工社的自我管理平台，同步改革公司整体的薪酬体系，建立具有公司特色的考核激励机制。 </w:t>
      </w:r>
      <w:r>
        <w:rPr>
          <w:rFonts w:ascii="Times New Roman" w:hAnsi="Times New Roman" w:cs="Times New Roman" w:eastAsia="Times New Roman" w:hint="default"/>
        </w:rPr>
        <w:t>5.</w:t>
      </w:r>
      <w:r>
        <w:rPr/>
        <w:t>试点业务链并购，实现跨越式发展 </w:t>
      </w:r>
      <w:r>
        <w:rPr>
          <w:spacing w:val="-2"/>
        </w:rPr>
        <w:t>完善公司战略投资机制和体系建设，加强战略投资和产业整合能力，优化公司战略决策程序，提升公司资本运作效率。关注</w:t>
      </w:r>
      <w:r>
        <w:rPr>
          <w:spacing w:val="-63"/>
        </w:rPr>
        <w:t> </w:t>
      </w:r>
      <w:r>
        <w:rPr>
          <w:spacing w:val="-63"/>
        </w:rPr>
      </w:r>
      <w:r>
        <w:rPr>
          <w:spacing w:val="-2"/>
        </w:rPr>
        <w:t>国内外行业发展状况，从</w:t>
      </w:r>
      <w:r>
        <w:rPr>
          <w:rFonts w:ascii="Times New Roman" w:hAnsi="Times New Roman" w:cs="Times New Roman" w:eastAsia="Times New Roman" w:hint="default"/>
          <w:spacing w:val="-2"/>
        </w:rPr>
        <w:t>2018</w:t>
      </w:r>
      <w:r>
        <w:rPr>
          <w:spacing w:val="-2"/>
        </w:rPr>
        <w:t>年起尝试充分利用上市后的品牌和资金优势，寻求行业并购机会，选择符合公司发展战略，与</w:t>
      </w:r>
      <w:r>
        <w:rPr>
          <w:spacing w:val="-61"/>
        </w:rPr>
        <w:t> </w:t>
      </w:r>
      <w:r>
        <w:rPr>
          <w:spacing w:val="-61"/>
        </w:rPr>
      </w:r>
      <w:r>
        <w:rPr/>
        <w:t>公司业务有协同效应的目标公司进行强强联合，实现跨越式发展。</w:t>
      </w:r>
    </w:p>
    <w:p>
      <w:pPr>
        <w:pStyle w:val="BodyText"/>
        <w:spacing w:line="304" w:lineRule="auto" w:before="22"/>
        <w:ind w:right="103"/>
        <w:jc w:val="left"/>
      </w:pPr>
      <w:r>
        <w:rPr>
          <w:rFonts w:ascii="Times New Roman" w:hAnsi="Times New Roman" w:cs="Times New Roman" w:eastAsia="Times New Roman" w:hint="default"/>
        </w:rPr>
        <w:t>6.</w:t>
      </w:r>
      <w:r>
        <w:rPr/>
        <w:t>加强公司的规范运作和风险管理 </w:t>
      </w:r>
      <w:r>
        <w:rPr>
          <w:spacing w:val="-2"/>
        </w:rPr>
        <w:t>建立全面风险管理建设，</w:t>
      </w:r>
      <w:r>
        <w:rPr>
          <w:rFonts w:ascii="Times New Roman" w:hAnsi="Times New Roman" w:cs="Times New Roman" w:eastAsia="Times New Roman" w:hint="default"/>
          <w:spacing w:val="-2"/>
        </w:rPr>
        <w:t>2018</w:t>
      </w:r>
      <w:r>
        <w:rPr>
          <w:spacing w:val="-2"/>
        </w:rPr>
        <w:t>年重点关注针对创新业务的安全风险、重大事项的决策风险、廉政风险、集团化管理风险、知</w:t>
      </w:r>
      <w:r>
        <w:rPr>
          <w:spacing w:val="-64"/>
        </w:rPr>
        <w:t> </w:t>
      </w:r>
      <w:r>
        <w:rPr>
          <w:spacing w:val="-64"/>
        </w:rPr>
      </w:r>
      <w:r>
        <w:rPr>
          <w:spacing w:val="-2"/>
        </w:rPr>
        <w:t>识产权风险等，通过加强董事会办公室、审计部人员配置，加强风险主动防控水平，加强日常的巡查和管理审计工作，对风</w:t>
      </w:r>
      <w:r>
        <w:rPr>
          <w:spacing w:val="-67"/>
        </w:rPr>
        <w:t> </w:t>
      </w:r>
      <w:r>
        <w:rPr>
          <w:spacing w:val="-67"/>
        </w:rPr>
      </w:r>
      <w:r>
        <w:rPr/>
        <w:t>险和战略要求落实情况进行预防和监督，并启动企业知识产权国家标准的试点实施，为公司战略转型和发展保驾护航。 </w:t>
      </w:r>
      <w:r>
        <w:rPr>
          <w:rFonts w:ascii="Times New Roman" w:hAnsi="Times New Roman" w:cs="Times New Roman" w:eastAsia="Times New Roman" w:hint="default"/>
        </w:rPr>
        <w:t>7.</w:t>
      </w:r>
      <w:r>
        <w:rPr/>
        <w:t>依据公司章程，董事会与党委协同加强党建： 一是推进</w:t>
      </w:r>
      <w:r>
        <w:rPr>
          <w:rFonts w:ascii="Times New Roman" w:hAnsi="Times New Roman" w:cs="Times New Roman" w:eastAsia="Times New Roman" w:hint="default"/>
        </w:rPr>
        <w:t>“</w:t>
      </w:r>
      <w:r>
        <w:rPr/>
        <w:t>两学一做</w:t>
      </w:r>
      <w:r>
        <w:rPr>
          <w:rFonts w:ascii="Times New Roman" w:hAnsi="Times New Roman" w:cs="Times New Roman" w:eastAsia="Times New Roman" w:hint="default"/>
        </w:rPr>
        <w:t>”</w:t>
      </w:r>
      <w:r>
        <w:rPr/>
        <w:t>学习教育常态化制度化，每次召开党的会议，都要把学习习近平新时代中国特色社会主义思想作为</w:t>
      </w:r>
      <w:r>
        <w:rPr>
          <w:rFonts w:ascii="Times New Roman" w:hAnsi="Times New Roman" w:cs="Times New Roman" w:eastAsia="Times New Roman" w:hint="default"/>
        </w:rPr>
        <w:t>“</w:t>
      </w:r>
      <w:r>
        <w:rPr/>
        <w:t>第 </w:t>
      </w:r>
      <w:r>
        <w:rPr>
          <w:spacing w:val="-3"/>
        </w:rPr>
        <w:t>一议题</w:t>
      </w:r>
      <w:r>
        <w:rPr>
          <w:rFonts w:ascii="Times New Roman" w:hAnsi="Times New Roman" w:cs="Times New Roman" w:eastAsia="Times New Roman" w:hint="default"/>
          <w:spacing w:val="-3"/>
        </w:rPr>
        <w:t>”</w:t>
      </w:r>
      <w:r>
        <w:rPr>
          <w:spacing w:val="-3"/>
        </w:rPr>
        <w:t>。二是开展一次</w:t>
      </w:r>
      <w:r>
        <w:rPr>
          <w:rFonts w:ascii="Times New Roman" w:hAnsi="Times New Roman" w:cs="Times New Roman" w:eastAsia="Times New Roman" w:hint="default"/>
          <w:spacing w:val="-3"/>
        </w:rPr>
        <w:t>“</w:t>
      </w:r>
      <w:r>
        <w:rPr>
          <w:spacing w:val="-3"/>
        </w:rPr>
        <w:t>我的初心</w:t>
      </w:r>
      <w:r>
        <w:rPr>
          <w:rFonts w:ascii="Times New Roman" w:hAnsi="Times New Roman" w:cs="Times New Roman" w:eastAsia="Times New Roman" w:hint="default"/>
          <w:spacing w:val="-3"/>
        </w:rPr>
        <w:t>”</w:t>
      </w:r>
      <w:r>
        <w:rPr>
          <w:spacing w:val="-3"/>
        </w:rPr>
        <w:t>主题党日活动。三是建立健全企业党组织会议议事规则，制订企业党组织参与</w:t>
      </w:r>
      <w:r>
        <w:rPr>
          <w:rFonts w:ascii="Times New Roman" w:hAnsi="Times New Roman" w:cs="Times New Roman" w:eastAsia="Times New Roman" w:hint="default"/>
          <w:spacing w:val="-3"/>
        </w:rPr>
        <w:t>“</w:t>
      </w:r>
      <w:r>
        <w:rPr>
          <w:spacing w:val="-3"/>
        </w:rPr>
        <w:t>三重一大</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 </w:t>
      </w:r>
      <w:r>
        <w:rPr>
          <w:spacing w:val="-2"/>
        </w:rPr>
        <w:t>事项决策清单，进一步完善</w:t>
      </w:r>
      <w:r>
        <w:rPr>
          <w:rFonts w:ascii="Times New Roman" w:hAnsi="Times New Roman" w:cs="Times New Roman" w:eastAsia="Times New Roman" w:hint="default"/>
          <w:spacing w:val="-2"/>
        </w:rPr>
        <w:t>“</w:t>
      </w:r>
      <w:r>
        <w:rPr>
          <w:spacing w:val="-2"/>
        </w:rPr>
        <w:t>三重一大</w:t>
      </w:r>
      <w:r>
        <w:rPr>
          <w:rFonts w:ascii="Times New Roman" w:hAnsi="Times New Roman" w:cs="Times New Roman" w:eastAsia="Times New Roman" w:hint="default"/>
          <w:spacing w:val="-2"/>
        </w:rPr>
        <w:t>”</w:t>
      </w:r>
      <w:r>
        <w:rPr>
          <w:spacing w:val="-2"/>
        </w:rPr>
        <w:t>事项决策的内容、规则和程序。四是按照要求设置党务工作机构，配齐配强专职党务</w:t>
      </w:r>
      <w:r>
        <w:rPr>
          <w:spacing w:val="-42"/>
        </w:rPr>
        <w:t> </w:t>
      </w:r>
      <w:r>
        <w:rPr>
          <w:spacing w:val="-42"/>
        </w:rPr>
      </w:r>
      <w:r>
        <w:rPr/>
        <w:t>工作人员。五是将党建工作经费纳入集团预算。六是成立青年工作委员会，党组织分管领导担任主任。七是</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日前完成党群服务中心建设。</w:t>
      </w:r>
    </w:p>
    <w:p>
      <w:pPr>
        <w:pStyle w:val="BodyText"/>
        <w:spacing w:line="312" w:lineRule="auto" w:before="28"/>
        <w:ind w:right="139"/>
        <w:jc w:val="left"/>
      </w:pPr>
      <w:r>
        <w:rPr/>
        <w:t>（三）面临的主要风险及困难 </w:t>
      </w:r>
      <w:r>
        <w:rPr>
          <w:rFonts w:ascii="Times New Roman" w:hAnsi="Times New Roman" w:cs="Times New Roman" w:eastAsia="Times New Roman" w:hint="default"/>
          <w:spacing w:val="-1"/>
        </w:rPr>
        <w:t>1.</w:t>
      </w:r>
      <w:r>
        <w:rPr>
          <w:spacing w:val="-1"/>
        </w:rPr>
        <w:t>技术风险：科研成果以及转化是重要的业务创新支撑，也意味着要保持一定的技术投入，客观上面临技术投入无法转化成</w:t>
      </w:r>
      <w:r>
        <w:rPr>
          <w:spacing w:val="-75"/>
        </w:rPr>
        <w:t> </w:t>
      </w:r>
      <w:r>
        <w:rPr>
          <w:spacing w:val="-75"/>
        </w:rPr>
      </w:r>
      <w:r>
        <w:rPr/>
        <w:t>技术成果或者科研产业化失败的风险。 </w:t>
      </w:r>
      <w:r>
        <w:rPr>
          <w:rFonts w:ascii="Times New Roman" w:hAnsi="Times New Roman" w:cs="Times New Roman" w:eastAsia="Times New Roman" w:hint="default"/>
        </w:rPr>
        <w:t>2.</w:t>
      </w:r>
      <w:r>
        <w:rPr/>
        <w:t>业务运作风险：不同于传统的设计咨询项目，未来的项目类型更加多元化，新的工程项目、运营项目、投资项目受市场、 政策、管理等方面的因素影响，周期长、协调环节多、运作更为复杂，客观存在项目运作风险。 </w:t>
      </w:r>
      <w:r>
        <w:rPr>
          <w:rFonts w:ascii="Times New Roman" w:hAnsi="Times New Roman" w:cs="Times New Roman" w:eastAsia="Times New Roman" w:hint="default"/>
          <w:spacing w:val="-1"/>
        </w:rPr>
        <w:t>3.</w:t>
      </w:r>
      <w:r>
        <w:rPr>
          <w:spacing w:val="-1"/>
        </w:rPr>
        <w:t>人才风险：公司新的业务模式需要大量的新型人才，重点包括资本类人才、产业运营类人才、高级研发人才等，这类人才</w:t>
      </w:r>
    </w:p>
    <w:p>
      <w:pPr>
        <w:spacing w:after="0" w:line="312"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0"/>
        <w:jc w:val="left"/>
      </w:pPr>
      <w:r>
        <w:rPr/>
        <w:t>的特点与现有的技术类人才有较大的差异性，客观上存在人才的招募、激励、使用等方面的风险。 </w:t>
      </w:r>
      <w:r>
        <w:rPr>
          <w:rFonts w:ascii="Times New Roman" w:hAnsi="Times New Roman" w:cs="Times New Roman" w:eastAsia="Times New Roman" w:hint="default"/>
          <w:spacing w:val="-1"/>
        </w:rPr>
        <w:t>4.</w:t>
      </w:r>
      <w:r>
        <w:rPr>
          <w:spacing w:val="-1"/>
        </w:rPr>
        <w:t>市场竞争风险：行业受行业政策、业主需求变化等因素的直接影响，此外，随着行业资质管理改革的深入，行业市场化进</w:t>
      </w:r>
      <w:r>
        <w:rPr>
          <w:spacing w:val="-76"/>
        </w:rPr>
        <w:t> </w:t>
      </w:r>
      <w:r>
        <w:rPr>
          <w:spacing w:val="-76"/>
        </w:rPr>
      </w:r>
      <w:r>
        <w:rPr>
          <w:spacing w:val="-2"/>
        </w:rPr>
        <w:t>程将进一步推进，新成立的企业不断进入，公司将面临更为激烈的市场竞争环境，存在因市场竞争加剧导致盈利水平下降的</w:t>
      </w:r>
      <w:r>
        <w:rPr>
          <w:spacing w:val="-63"/>
        </w:rPr>
        <w:t> </w:t>
      </w:r>
      <w:r>
        <w:rPr>
          <w:spacing w:val="-63"/>
        </w:rPr>
      </w:r>
      <w:r>
        <w:rPr/>
        <w:t>风险。 </w:t>
      </w:r>
      <w:r>
        <w:rPr>
          <w:rFonts w:ascii="Times New Roman" w:hAnsi="Times New Roman" w:cs="Times New Roman" w:eastAsia="Times New Roman" w:hint="default"/>
          <w:spacing w:val="-1"/>
        </w:rPr>
        <w:t>5.</w:t>
      </w:r>
      <w:r>
        <w:rPr>
          <w:spacing w:val="-1"/>
        </w:rPr>
        <w:t>管理风险：公司变革发展、开展新业务进入新领域、通过投资及合作开展新扩展、成立更多子公司等，都不可避免地带来</w:t>
      </w:r>
      <w:r>
        <w:rPr>
          <w:spacing w:val="-75"/>
        </w:rPr>
        <w:t> </w:t>
      </w:r>
      <w:r>
        <w:rPr>
          <w:spacing w:val="-75"/>
        </w:rPr>
      </w:r>
      <w:r>
        <w:rPr/>
        <w:t>不熟悉领域的新的管理风险。</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建科院：</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 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建科院：</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 系活动记录表</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65"/>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103"/>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
        <w:jc w:val="left"/>
      </w:pPr>
      <w:r>
        <w:rPr/>
        <w:t>报告期内普通股利润分配政策，特别是现金分红政策的制定、执行或调整情况</w:t>
      </w:r>
    </w:p>
    <w:p>
      <w:pPr>
        <w:pStyle w:val="BodyText"/>
        <w:spacing w:line="319" w:lineRule="auto" w:before="117"/>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报告期内，公司为了充分维护全体股东的利益，严格按照《公司章程》相关利润分配政策和审议程序审议利润分配方案，分</w:t>
      </w:r>
      <w:r>
        <w:rPr>
          <w:spacing w:val="-67"/>
        </w:rPr>
        <w:t> </w:t>
      </w:r>
      <w:r>
        <w:rPr>
          <w:spacing w:val="-67"/>
        </w:rPr>
      </w:r>
      <w:r>
        <w:rPr/>
        <w:t>红标准和分红比例明确清晰，相关的决策程序和机制完备。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日召开第二届董事会第二次定期会议及第二届监事会第三次会议，于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日召开公司</w:t>
      </w:r>
      <w:r>
        <w:rPr>
          <w:rFonts w:ascii="Times New Roman" w:hAnsi="Times New Roman" w:cs="Times New Roman" w:eastAsia="Times New Roman" w:hint="default"/>
          <w:spacing w:val="-2"/>
        </w:rPr>
        <w:t>2017</w:t>
      </w:r>
      <w:r>
        <w:rPr>
          <w:spacing w:val="-2"/>
        </w:rPr>
        <w:t>年第三</w:t>
      </w:r>
      <w:r>
        <w:rPr>
          <w:spacing w:val="-48"/>
        </w:rPr>
        <w:t> </w:t>
      </w:r>
      <w:r>
        <w:rPr/>
        <w:t>次临时股东大会，审议通过了《关于</w:t>
      </w:r>
      <w:r>
        <w:rPr>
          <w:rFonts w:ascii="Times New Roman" w:hAnsi="Times New Roman" w:cs="Times New Roman" w:eastAsia="Times New Roman" w:hint="default"/>
        </w:rPr>
        <w:t>&lt;2016</w:t>
      </w:r>
      <w:r>
        <w:rPr/>
        <w:t>年度利润分配方案</w:t>
      </w:r>
      <w:r>
        <w:rPr>
          <w:rFonts w:ascii="Times New Roman" w:hAnsi="Times New Roman" w:cs="Times New Roman" w:eastAsia="Times New Roman" w:hint="default"/>
        </w:rPr>
        <w:t>&gt;</w:t>
      </w:r>
      <w:r>
        <w:rPr/>
        <w:t>的议案》：以公司现有总股本</w:t>
      </w:r>
      <w:r>
        <w:rPr>
          <w:rFonts w:ascii="Times New Roman" w:hAnsi="Times New Roman" w:cs="Times New Roman" w:eastAsia="Times New Roman" w:hint="default"/>
        </w:rPr>
        <w:t>146,666,700</w:t>
      </w:r>
      <w:r>
        <w:rPr/>
        <w:t>股为基数，向全体</w:t>
      </w:r>
    </w:p>
    <w:p>
      <w:pPr>
        <w:pStyle w:val="BodyText"/>
        <w:spacing w:line="300" w:lineRule="auto"/>
        <w:ind w:right="94"/>
        <w:jc w:val="left"/>
      </w:pPr>
      <w:r>
        <w:rPr/>
        <w:t>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0.65</w:t>
      </w:r>
      <w:r>
        <w:rPr/>
        <w:t>元人民币现金（含税）。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日，公司发布《</w:t>
      </w:r>
      <w:r>
        <w:rPr>
          <w:rFonts w:ascii="Times New Roman" w:hAnsi="Times New Roman" w:cs="Times New Roman" w:eastAsia="Times New Roman" w:hint="default"/>
        </w:rPr>
        <w:t>2016</w:t>
      </w:r>
      <w:r>
        <w:rPr/>
        <w:t>年年度权益分派实施公告》，权益分派的股权 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 公司</w:t>
      </w:r>
      <w:r>
        <w:rPr>
          <w:rFonts w:ascii="Times New Roman" w:hAnsi="Times New Roman" w:cs="Times New Roman" w:eastAsia="Times New Roman" w:hint="default"/>
        </w:rPr>
        <w:t>2016</w:t>
      </w:r>
      <w:r>
        <w:rPr/>
        <w:t>年度利润分配方案严格按照《公司章程》中关于现金分红政策执行，经公司董事会、监事会和股东大会审议通过， 独立董事发表了专项意见，履行了相关决策程序，并在规定的时间内实施，切实保证了全体股东的利益。</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7"/>
        <w:ind w:right="103"/>
        <w:jc w:val="left"/>
      </w:pPr>
      <w:r>
        <w:rPr/>
        <w:t>公司报告期利润分配预案及资本公积金转增股本预案与公司章程和分红管理办法等的相关规定一致</w:t>
      </w:r>
    </w:p>
    <w:p>
      <w:pPr>
        <w:pStyle w:val="BodyText"/>
        <w:spacing w:line="350" w:lineRule="auto" w:before="115"/>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146,666,700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9,533,335.50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113,265,704.52</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1"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公司拟以截至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146,666,700 </w:t>
            </w:r>
            <w:r>
              <w:rPr>
                <w:rFonts w:ascii="宋体" w:hAnsi="宋体" w:cs="宋体" w:eastAsia="宋体" w:hint="default"/>
                <w:sz w:val="18"/>
                <w:szCs w:val="18"/>
              </w:rPr>
              <w:t>股为基数，向全体股东进行现金分红，每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股分配现金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t>，共计分配现金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，不进行资本公积转增股本，不送红股。此利润分配预案已经公司第二届</w:t>
            </w:r>
          </w:p>
          <w:p>
            <w:pPr>
              <w:pStyle w:val="TableParagraph"/>
              <w:spacing w:line="309" w:lineRule="auto" w:before="63"/>
              <w:ind w:left="24" w:right="24"/>
              <w:jc w:val="both"/>
              <w:rPr>
                <w:rFonts w:ascii="宋体" w:hAnsi="宋体" w:cs="宋体" w:eastAsia="宋体" w:hint="default"/>
                <w:sz w:val="18"/>
                <w:szCs w:val="18"/>
              </w:rPr>
            </w:pPr>
            <w:r>
              <w:rPr>
                <w:rFonts w:ascii="宋体" w:hAnsi="宋体" w:cs="宋体" w:eastAsia="宋体" w:hint="default"/>
                <w:sz w:val="18"/>
                <w:szCs w:val="18"/>
              </w:rPr>
              <w:t>董事会第三次定期会议审议通过，尚需提交公司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年年度股东大会审议，公司独立董事对此方案发表了同意意见，方 </w:t>
            </w:r>
            <w:r>
              <w:rPr>
                <w:rFonts w:ascii="宋体" w:hAnsi="宋体" w:cs="宋体" w:eastAsia="宋体" w:hint="default"/>
                <w:spacing w:val="-4"/>
                <w:sz w:val="18"/>
                <w:szCs w:val="18"/>
              </w:rPr>
              <w:t>案内容及审议程序符合《公司法》、《公司章程》等有关规定，符合公司当前的实际情况，有利于与全体股东分享公司成长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的经营成果，与公司业绩相匹配，与公司成长性相符，有利于公司的持续稳定健康发展。</w:t>
            </w:r>
          </w:p>
        </w:tc>
      </w:tr>
    </w:tbl>
    <w:p>
      <w:pPr>
        <w:pStyle w:val="BodyText"/>
        <w:spacing w:line="319" w:lineRule="auto" w:before="49"/>
        <w:ind w:right="0"/>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2"/>
        </w:rPr>
        <w:t> </w:t>
      </w:r>
      <w:r>
        <w:rPr>
          <w:spacing w:val="-62"/>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年度利润分配方案 </w:t>
      </w:r>
      <w:r>
        <w:rPr>
          <w:spacing w:val="-4"/>
        </w:rPr>
        <w:t>根据立信会计师事务所（特殊普通合伙）为公司出具的《</w:t>
      </w:r>
      <w:r>
        <w:rPr>
          <w:rFonts w:ascii="Times New Roman" w:hAnsi="Times New Roman" w:cs="Times New Roman" w:eastAsia="Times New Roman" w:hint="default"/>
          <w:spacing w:val="-4"/>
        </w:rPr>
        <w:t>2017</w:t>
      </w:r>
      <w:r>
        <w:rPr>
          <w:spacing w:val="-4"/>
        </w:rPr>
        <w:t>年度审计报告》，母公司实现净利润</w:t>
      </w:r>
      <w:r>
        <w:rPr>
          <w:rFonts w:ascii="Times New Roman" w:hAnsi="Times New Roman" w:cs="Times New Roman" w:eastAsia="Times New Roman" w:hint="default"/>
          <w:spacing w:val="-4"/>
        </w:rPr>
        <w:t>22,558,672.52</w:t>
      </w:r>
      <w:r>
        <w:rPr>
          <w:spacing w:val="-4"/>
        </w:rPr>
        <w:t>元，截止</w:t>
      </w:r>
      <w:r>
        <w:rPr>
          <w:rFonts w:ascii="Times New Roman" w:hAnsi="Times New Roman" w:cs="Times New Roman" w:eastAsia="Times New Roman" w:hint="default"/>
          <w:spacing w:val="-4"/>
        </w:rPr>
        <w:t>2017</w:t>
      </w:r>
    </w:p>
    <w:p>
      <w:pPr>
        <w:pStyle w:val="BodyText"/>
        <w:spacing w:line="300" w:lineRule="auto"/>
        <w:ind w:right="0"/>
        <w:jc w:val="left"/>
      </w:pP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日母公司可供股东分配利润</w:t>
      </w:r>
      <w:r>
        <w:rPr>
          <w:rFonts w:ascii="Times New Roman" w:hAnsi="Times New Roman" w:cs="Times New Roman" w:eastAsia="Times New Roman" w:hint="default"/>
          <w:spacing w:val="-2"/>
        </w:rPr>
        <w:t>113,265,704.52</w:t>
      </w:r>
      <w:r>
        <w:rPr>
          <w:spacing w:val="-2"/>
        </w:rPr>
        <w:t>元，向全体股东每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0.65</w:t>
      </w:r>
      <w:r>
        <w:rPr>
          <w:spacing w:val="-2"/>
        </w:rPr>
        <w:t>元人民币现金（含税），合计分</w:t>
      </w:r>
      <w:r>
        <w:rPr>
          <w:spacing w:val="-49"/>
        </w:rPr>
        <w:t> </w:t>
      </w:r>
      <w:r>
        <w:rPr>
          <w:spacing w:val="-49"/>
        </w:rPr>
      </w:r>
      <w:r>
        <w:rPr/>
        <w:t>配股利</w:t>
      </w:r>
      <w:r>
        <w:rPr>
          <w:rFonts w:ascii="Times New Roman" w:hAnsi="Times New Roman" w:cs="Times New Roman" w:eastAsia="Times New Roman" w:hint="default"/>
        </w:rPr>
        <w:t>9,533,335.50</w:t>
      </w:r>
      <w:r>
        <w:rPr/>
        <w:t>元。</w:t>
      </w:r>
    </w:p>
    <w:p>
      <w:pPr>
        <w:pStyle w:val="BodyText"/>
        <w:spacing w:line="300" w:lineRule="auto" w:before="1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年度利润分配方案 </w:t>
      </w:r>
      <w:r>
        <w:rPr>
          <w:spacing w:val="-1"/>
        </w:rPr>
        <w:t>根据立信会计师事务所（特殊普通合伙）为公司出具的《</w:t>
      </w:r>
      <w:r>
        <w:rPr>
          <w:rFonts w:ascii="Times New Roman" w:hAnsi="Times New Roman" w:cs="Times New Roman" w:eastAsia="Times New Roman" w:hint="default"/>
          <w:spacing w:val="-1"/>
        </w:rPr>
        <w:t>2016</w:t>
      </w:r>
      <w:r>
        <w:rPr>
          <w:spacing w:val="-1"/>
        </w:rPr>
        <w:t>年度审计报告》，母公司</w:t>
      </w:r>
      <w:r>
        <w:rPr>
          <w:rFonts w:ascii="Times New Roman" w:hAnsi="Times New Roman" w:cs="Times New Roman" w:eastAsia="Times New Roman" w:hint="default"/>
          <w:spacing w:val="-1"/>
        </w:rPr>
        <w:t>2016</w:t>
      </w:r>
      <w:r>
        <w:rPr>
          <w:spacing w:val="-1"/>
        </w:rPr>
        <w:t>年度实现的净利润</w:t>
      </w:r>
      <w:r>
        <w:rPr>
          <w:rFonts w:ascii="Times New Roman" w:hAnsi="Times New Roman" w:cs="Times New Roman" w:eastAsia="Times New Roman" w:hint="default"/>
          <w:spacing w:val="-1"/>
        </w:rPr>
        <w:t>25,876,888.50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2"/>
        </w:rPr>
        <w:t>元，截止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日未分配利润</w:t>
      </w:r>
      <w:r>
        <w:rPr>
          <w:rFonts w:ascii="Times New Roman" w:hAnsi="Times New Roman" w:cs="Times New Roman" w:eastAsia="Times New Roman" w:hint="default"/>
          <w:spacing w:val="-2"/>
        </w:rPr>
        <w:t>102,496,234.75</w:t>
      </w:r>
      <w:r>
        <w:rPr>
          <w:spacing w:val="-2"/>
        </w:rPr>
        <w:t>元，向全体股东每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0.65</w:t>
      </w:r>
      <w:r>
        <w:rPr>
          <w:spacing w:val="-2"/>
        </w:rPr>
        <w:t>元人民币现金（含税），合计分</w:t>
      </w:r>
      <w:r>
        <w:rPr>
          <w:spacing w:val="-46"/>
        </w:rPr>
        <w:t> </w:t>
      </w:r>
      <w:r>
        <w:rPr>
          <w:spacing w:val="-46"/>
        </w:rPr>
      </w:r>
      <w:r>
        <w:rPr/>
        <w:t>配股利</w:t>
      </w:r>
      <w:r>
        <w:rPr>
          <w:rFonts w:ascii="Times New Roman" w:hAnsi="Times New Roman" w:cs="Times New Roman" w:eastAsia="Times New Roman" w:hint="default"/>
        </w:rPr>
        <w:t>9,533,335.50</w:t>
      </w:r>
      <w:r>
        <w:rPr/>
        <w:t>元。</w:t>
      </w:r>
    </w:p>
    <w:p>
      <w:pPr>
        <w:pStyle w:val="BodyText"/>
        <w:spacing w:line="300" w:lineRule="auto" w:before="13"/>
        <w:ind w:right="14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年度利润分配方案 </w:t>
      </w:r>
      <w:r>
        <w:rPr>
          <w:spacing w:val="-1"/>
        </w:rPr>
        <w:t>根据立信会计师事务所（特殊普通合伙）为公司出具的《</w:t>
      </w:r>
      <w:r>
        <w:rPr>
          <w:rFonts w:ascii="Times New Roman" w:hAnsi="Times New Roman" w:cs="Times New Roman" w:eastAsia="Times New Roman" w:hint="default"/>
          <w:spacing w:val="-1"/>
        </w:rPr>
        <w:t>2015</w:t>
      </w:r>
      <w:r>
        <w:rPr>
          <w:spacing w:val="-1"/>
        </w:rPr>
        <w:t>年度审计报告》，母公司</w:t>
      </w:r>
      <w:r>
        <w:rPr>
          <w:rFonts w:ascii="Times New Roman" w:hAnsi="Times New Roman" w:cs="Times New Roman" w:eastAsia="Times New Roman" w:hint="default"/>
          <w:spacing w:val="-1"/>
        </w:rPr>
        <w:t>2015</w:t>
      </w:r>
      <w:r>
        <w:rPr>
          <w:spacing w:val="-1"/>
        </w:rPr>
        <w:t>年度实现的净利润</w:t>
      </w:r>
      <w:r>
        <w:rPr>
          <w:rFonts w:ascii="Times New Roman" w:hAnsi="Times New Roman" w:cs="Times New Roman" w:eastAsia="Times New Roman" w:hint="default"/>
          <w:spacing w:val="-1"/>
        </w:rPr>
        <w:t>22,899,821.11</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日未分配利润</w:t>
      </w:r>
      <w:r>
        <w:rPr>
          <w:rFonts w:ascii="Times New Roman" w:hAnsi="Times New Roman" w:cs="Times New Roman" w:eastAsia="Times New Roman" w:hint="default"/>
        </w:rPr>
        <w:t>86,247,035.10</w:t>
      </w:r>
      <w:r>
        <w:rPr/>
        <w:t>元，向全体股东每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0.64</w:t>
      </w:r>
      <w:r>
        <w:rPr/>
        <w:t>元人民币现金（含税），合计分 配股利</w:t>
      </w:r>
      <w:r>
        <w:rPr>
          <w:rFonts w:ascii="Times New Roman" w:hAnsi="Times New Roman" w:cs="Times New Roman" w:eastAsia="Times New Roman" w:hint="default"/>
        </w:rPr>
        <w:t>7,040,000.00</w:t>
      </w:r>
      <w:r>
        <w:rPr/>
        <w:t>元。</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9,533,335.50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33,987,787.76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9,533,335.50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31,539,638.45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23,330,986.30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5"/>
        <w:spacing w:line="312" w:lineRule="exact"/>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72.47998pt;width:61.95pt;height:643.7pt;mso-position-horizontal-relative:page;mso-position-vertical-relative:page;z-index:-1294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367.630005pt;margin-top:72.47998pt;width:55.8pt;height:643.7pt;mso-position-horizontal-relative:page;mso-position-vertical-relative:page;z-index:-1294768" coordorigin="7353,1450" coordsize="1116,12874">
            <v:group style="position:absolute;left:7353;top:1450;width:1116;height:12874" coordorigin="7353,1450" coordsize="1116,12874">
              <v:shape style="position:absolute;left:7353;top:1450;width:1116;height:12874" coordorigin="7353,1450" coordsize="1116,12874" path="m7353,14323l8469,14323,8469,1450,7353,1450,7353,14323xe" filled="true" fillcolor="#ffffff" stroked="false">
                <v:path arrowok="t"/>
                <v:fill type="solid"/>
              </v:shape>
            </v:group>
            <v:group style="position:absolute;left:7377;top:7535;width:1071;height:353" coordorigin="7377,7535" coordsize="1071,353">
              <v:shape style="position:absolute;left:7377;top:7535;width:1071;height:353" coordorigin="7377,7535" coordsize="1071,353" path="m7377,7887l8447,7887,8447,7535,7377,7535,7377,7887xe" filled="true" fillcolor="#ffffff" stroked="false">
                <v:path arrowok="t"/>
                <v:fill type="solid"/>
              </v:shape>
            </v:group>
            <v:group style="position:absolute;left:7377;top:7887;width:1071;height:351" coordorigin="7377,7887" coordsize="1071,351">
              <v:shape style="position:absolute;left:7377;top:7887;width:1071;height:351" coordorigin="7377,7887" coordsize="1071,351" path="m7377,8238l8447,8238,8447,7887,7377,7887,7377,823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883"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深圳市远致 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 股票上市之 日起三十六 个月内，不转 让或者委托 他人管理所 持有的发行 人公开发行 股份前已发 行的股份，也 不由发行人 回购该等股 份；</w:t>
            </w:r>
            <w:r>
              <w:rPr>
                <w:rFonts w:ascii="宋体" w:hAnsi="宋体" w:cs="宋体" w:eastAsia="宋体" w:hint="default"/>
                <w:spacing w:val="18"/>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、发行</w:t>
            </w:r>
            <w:r>
              <w:rPr>
                <w:rFonts w:ascii="宋体" w:hAnsi="宋体" w:cs="宋体" w:eastAsia="宋体" w:hint="default"/>
                <w:sz w:val="18"/>
                <w:szCs w:val="18"/>
              </w:rPr>
              <w:t> 人股票上市 后六个月内 如公司股票 连续二十个 交易日的收 盘价均低于 发行价（发行 人股票上市 后六个月内 如有派息、送 股、资本公积 金转增股本、 增发新股等 除权除息事 项的，发行价 将相应进行 调整，下同） 或者上市后 六个月期末 收盘价低于 发行价，本公 司持有发行 人股票的锁 定期限在原 有锁定期限 基础上自动 延长六个月。</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2020-07-18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7"/>
              <w:jc w:val="both"/>
              <w:rPr>
                <w:rFonts w:ascii="宋体" w:hAnsi="宋体" w:cs="宋体" w:eastAsia="宋体" w:hint="default"/>
                <w:sz w:val="18"/>
                <w:szCs w:val="18"/>
              </w:rPr>
            </w:pPr>
            <w:r>
              <w:rPr>
                <w:rFonts w:ascii="宋体" w:hAnsi="宋体" w:cs="宋体" w:eastAsia="宋体" w:hint="default"/>
                <w:sz w:val="18"/>
                <w:szCs w:val="18"/>
              </w:rPr>
              <w:t>深圳市创新 投资集团有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自发行人股 票上市之日 起十二个月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2018-07-18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215.42598pt;width:55.8pt;height:548.15pt;mso-position-horizontal-relative:page;mso-position-vertical-relative:page;z-index:-1294744" coordorigin="7353,4309" coordsize="1116,10963">
            <v:group style="position:absolute;left:7353;top:4309;width:1116;height:10963" coordorigin="7353,4309" coordsize="1116,10963">
              <v:shape style="position:absolute;left:7353;top:4309;width:1116;height:10963" coordorigin="7353,4309" coordsize="1116,10963" path="m7353,15271l8469,15271,8469,4309,7353,4309,7353,15271xe" filled="true" fillcolor="#ffffff" stroked="false">
                <v:path arrowok="t"/>
                <v:fill type="solid"/>
              </v:shape>
            </v:group>
            <v:group style="position:absolute;left:7377;top:9438;width:1071;height:351" coordorigin="7377,9438" coordsize="1071,351">
              <v:shape style="position:absolute;left:7377;top:9438;width:1071;height:351" coordorigin="7377,9438" coordsize="1071,351" path="m7377,9789l8447,9789,8447,9438,7377,9438,7377,9789xe" filled="true" fillcolor="#ffffff" stroked="false">
                <v:path arrowok="t"/>
                <v:fill type="solid"/>
              </v:shape>
            </v:group>
            <v:group style="position:absolute;left:7377;top:9789;width:1071;height:353" coordorigin="7377,9789" coordsize="1071,353">
              <v:shape style="position:absolute;left:7377;top:9789;width:1071;height:353" coordorigin="7377,9789" coordsize="1071,353" path="m7377,10141l8447,10141,8447,9789,7377,9789,7377,101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85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市建科投资 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深圳市英 龙建安（集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中关村发展 集团有限公 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管理所持有 的发行人公 开发行股份 前已发行的 </w:t>
            </w:r>
            <w:r>
              <w:rPr>
                <w:rFonts w:ascii="宋体" w:hAnsi="宋体" w:cs="宋体" w:eastAsia="宋体" w:hint="default"/>
                <w:spacing w:val="-2"/>
                <w:sz w:val="18"/>
                <w:szCs w:val="18"/>
              </w:rPr>
              <w:t>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发行人回购 该等股份。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86"/>
              <w:jc w:val="both"/>
              <w:rPr>
                <w:rFonts w:ascii="宋体" w:hAnsi="宋体" w:cs="宋体" w:eastAsia="宋体" w:hint="default"/>
                <w:sz w:val="18"/>
                <w:szCs w:val="18"/>
              </w:rPr>
            </w:pPr>
            <w:r>
              <w:rPr>
                <w:rFonts w:ascii="宋体" w:hAnsi="宋体" w:cs="宋体" w:eastAsia="宋体" w:hint="default"/>
                <w:sz w:val="18"/>
                <w:szCs w:val="18"/>
              </w:rPr>
              <w:t>陈泽广</w:t>
            </w:r>
            <w:r>
              <w:rPr>
                <w:rFonts w:ascii="Times New Roman" w:hAnsi="Times New Roman" w:cs="Times New Roman" w:eastAsia="Times New Roman" w:hint="default"/>
                <w:sz w:val="18"/>
                <w:szCs w:val="18"/>
              </w:rPr>
              <w:t>;</w:t>
            </w:r>
            <w:r>
              <w:rPr>
                <w:rFonts w:ascii="宋体" w:hAnsi="宋体" w:cs="宋体" w:eastAsia="宋体" w:hint="default"/>
                <w:sz w:val="18"/>
                <w:szCs w:val="18"/>
              </w:rPr>
              <w:t>蓝虹</w:t>
            </w:r>
            <w:r>
              <w:rPr>
                <w:rFonts w:ascii="Times New Roman" w:hAnsi="Times New Roman" w:cs="Times New Roman" w:eastAsia="Times New Roman" w:hint="default"/>
                <w:sz w:val="18"/>
                <w:szCs w:val="18"/>
              </w:rPr>
              <w:t>; </w:t>
            </w:r>
            <w:r>
              <w:rPr>
                <w:rFonts w:ascii="宋体" w:hAnsi="宋体" w:cs="宋体" w:eastAsia="宋体" w:hint="default"/>
                <w:sz w:val="18"/>
                <w:szCs w:val="18"/>
              </w:rPr>
              <w:t>刘俊跃</w:t>
            </w:r>
            <w:r>
              <w:rPr>
                <w:rFonts w:ascii="Times New Roman" w:hAnsi="Times New Roman" w:cs="Times New Roman" w:eastAsia="Times New Roman" w:hint="default"/>
                <w:sz w:val="18"/>
                <w:szCs w:val="18"/>
              </w:rPr>
              <w:t>;</w:t>
            </w:r>
            <w:r>
              <w:rPr>
                <w:rFonts w:ascii="宋体" w:hAnsi="宋体" w:cs="宋体" w:eastAsia="宋体" w:hint="default"/>
                <w:sz w:val="18"/>
                <w:szCs w:val="18"/>
              </w:rPr>
              <w:t>毛洪 伟</w:t>
            </w:r>
            <w:r>
              <w:rPr>
                <w:rFonts w:ascii="Times New Roman" w:hAnsi="Times New Roman" w:cs="Times New Roman" w:eastAsia="Times New Roman" w:hint="default"/>
                <w:sz w:val="18"/>
                <w:szCs w:val="18"/>
              </w:rPr>
              <w:t>;</w:t>
            </w:r>
            <w:r>
              <w:rPr>
                <w:rFonts w:ascii="宋体" w:hAnsi="宋体" w:cs="宋体" w:eastAsia="宋体" w:hint="default"/>
                <w:sz w:val="18"/>
                <w:szCs w:val="18"/>
              </w:rPr>
              <w:t>莫福光</w:t>
            </w:r>
            <w:r>
              <w:rPr>
                <w:rFonts w:ascii="Times New Roman" w:hAnsi="Times New Roman" w:cs="Times New Roman" w:eastAsia="Times New Roman" w:hint="default"/>
                <w:sz w:val="18"/>
                <w:szCs w:val="18"/>
              </w:rPr>
              <w:t>;</w:t>
            </w:r>
            <w:r>
              <w:rPr>
                <w:rFonts w:ascii="宋体" w:hAnsi="宋体" w:cs="宋体" w:eastAsia="宋体" w:hint="default"/>
                <w:sz w:val="18"/>
                <w:szCs w:val="18"/>
              </w:rPr>
              <w:t>姚 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 股票上市之 日起十二个 月内，不转让 或者委托他 人管理本人 间接持有的 发行人公开 发行股份前 已发行的股 份，也不由发 行人回购该 等股份；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在上述期限 届满后，本人 在发行人任 职期间每年 转让直接或 间接持有发 行人股份不 超过本人直 接或间接持 有建科院股 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、在</w:t>
            </w:r>
            <w:r>
              <w:rPr>
                <w:rFonts w:ascii="宋体" w:hAnsi="宋体" w:cs="宋体" w:eastAsia="宋体" w:hint="default"/>
                <w:spacing w:val="-15"/>
                <w:sz w:val="18"/>
                <w:szCs w:val="18"/>
              </w:rPr>
              <w:t> </w:t>
            </w:r>
            <w:r>
              <w:rPr>
                <w:rFonts w:ascii="宋体" w:hAnsi="宋体" w:cs="宋体" w:eastAsia="宋体" w:hint="default"/>
                <w:sz w:val="18"/>
                <w:szCs w:val="18"/>
              </w:rPr>
              <w:t>离职半年内，</w:t>
            </w:r>
            <w:r>
              <w:rPr>
                <w:rFonts w:ascii="宋体" w:hAnsi="宋体" w:cs="宋体" w:eastAsia="宋体" w:hint="default"/>
                <w:sz w:val="18"/>
                <w:szCs w:val="18"/>
              </w:rPr>
              <w:t> 本人不转让 所直接或间 接持有的发 行人股份；</w:t>
            </w:r>
          </w:p>
          <w:p>
            <w:pPr>
              <w:pStyle w:val="TableParagraph"/>
              <w:spacing w:line="314" w:lineRule="auto" w:before="19"/>
              <w:ind w:left="24" w:right="19" w:firstLine="139"/>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、在发行人</w:t>
            </w:r>
            <w:r>
              <w:rPr>
                <w:rFonts w:ascii="宋体" w:hAnsi="宋体" w:cs="宋体" w:eastAsia="宋体" w:hint="default"/>
                <w:sz w:val="18"/>
                <w:szCs w:val="18"/>
              </w:rPr>
              <w:t> 股票上市之 日起六个月 内本人申报 </w:t>
            </w:r>
            <w:r>
              <w:rPr>
                <w:rFonts w:ascii="宋体" w:hAnsi="宋体" w:cs="宋体" w:eastAsia="宋体" w:hint="default"/>
                <w:spacing w:val="-2"/>
                <w:sz w:val="18"/>
                <w:szCs w:val="18"/>
              </w:rPr>
              <w:t>离职的，自申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2018-07-18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346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报离职之日 起十八个月 内不转让本 人直接或间 接持有的发 行人股份；在 建科院股票 上市之日起 七个月至十 二个月之间 申报离职的， 自申报离职 之日起十二 个月内本人 不转让直接 或间接持有 的发行人股 份；</w:t>
            </w:r>
            <w:r>
              <w:rPr>
                <w:rFonts w:ascii="宋体" w:hAnsi="宋体" w:cs="宋体" w:eastAsia="宋体" w:hint="default"/>
                <w:spacing w:val="18"/>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、发行</w:t>
            </w:r>
            <w:r>
              <w:rPr>
                <w:rFonts w:ascii="宋体" w:hAnsi="宋体" w:cs="宋体" w:eastAsia="宋体" w:hint="default"/>
                <w:sz w:val="18"/>
                <w:szCs w:val="18"/>
              </w:rPr>
              <w:t> 人上市后六 个月内如股 票连续二十 个交易日的 收盘价均低 于发行价，或 者上市后六 个月期末收 盘价低于发 行价，上述锁 定期限届满 后自动延长 六个月的锁 定期；</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6</w:t>
            </w:r>
            <w:r>
              <w:rPr>
                <w:rFonts w:ascii="宋体" w:hAnsi="宋体" w:cs="宋体" w:eastAsia="宋体" w:hint="default"/>
                <w:spacing w:val="-21"/>
                <w:sz w:val="18"/>
                <w:szCs w:val="18"/>
              </w:rPr>
              <w:t>、所</w:t>
            </w:r>
            <w:r>
              <w:rPr>
                <w:rFonts w:ascii="宋体" w:hAnsi="宋体" w:cs="宋体" w:eastAsia="宋体" w:hint="default"/>
                <w:spacing w:val="-32"/>
                <w:sz w:val="18"/>
                <w:szCs w:val="18"/>
              </w:rPr>
              <w:t> </w:t>
            </w:r>
            <w:r>
              <w:rPr>
                <w:rFonts w:ascii="宋体" w:hAnsi="宋体" w:cs="宋体" w:eastAsia="宋体" w:hint="default"/>
                <w:sz w:val="18"/>
                <w:szCs w:val="18"/>
              </w:rPr>
              <w:t>持发行人股</w:t>
            </w:r>
            <w:r>
              <w:rPr>
                <w:rFonts w:ascii="宋体" w:hAnsi="宋体" w:cs="宋体" w:eastAsia="宋体" w:hint="default"/>
                <w:sz w:val="18"/>
                <w:szCs w:val="18"/>
              </w:rPr>
              <w:t> 票在锁定期 满后两年内 减持的，其减 持价格不低 于发行价；</w:t>
            </w:r>
          </w:p>
          <w:p>
            <w:pPr>
              <w:pStyle w:val="TableParagraph"/>
              <w:spacing w:line="314" w:lineRule="auto" w:before="19"/>
              <w:ind w:left="24" w:right="19" w:firstLine="1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、本人不因</w:t>
            </w:r>
            <w:r>
              <w:rPr>
                <w:rFonts w:ascii="宋体" w:hAnsi="宋体" w:cs="宋体" w:eastAsia="宋体" w:hint="default"/>
                <w:sz w:val="18"/>
                <w:szCs w:val="18"/>
              </w:rPr>
              <w:t> </w:t>
            </w:r>
            <w:r>
              <w:rPr>
                <w:rFonts w:ascii="宋体" w:hAnsi="宋体" w:cs="宋体" w:eastAsia="宋体" w:hint="default"/>
                <w:spacing w:val="-2"/>
                <w:sz w:val="18"/>
                <w:szCs w:val="18"/>
              </w:rPr>
              <w:t>职务变更、离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职等原因而 放弃履行该 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深圳市远致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股份减持承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本公司对发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284"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7"/>
              <w:jc w:val="left"/>
              <w:rPr>
                <w:rFonts w:ascii="宋体" w:hAnsi="宋体" w:cs="宋体" w:eastAsia="宋体" w:hint="default"/>
                <w:sz w:val="18"/>
                <w:szCs w:val="18"/>
              </w:rPr>
            </w:pPr>
            <w:r>
              <w:rPr>
                <w:rFonts w:ascii="宋体" w:hAnsi="宋体" w:cs="宋体" w:eastAsia="宋体" w:hint="default"/>
                <w:sz w:val="18"/>
                <w:szCs w:val="18"/>
              </w:rPr>
              <w:t>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行人的发展 前景充满信 心，拟长期持 有发行人的 股份。在股份 锁定期满后 两年内，本公 司无减持所 持有的发行 人股票的计 划。但若出现 法律法规、政 策变化、自然 灾害等自身 无法控制的 客观原因，本 公司需在锁 定期满后两 年内减持的， 减持价格将 不低于发行 价，并将通过 深圳证券交 易所竞价交 易系统、大宗 交易平台或 深圳证券交 易所允许的 其他转让方 式合法转让 发行人股票， 实施减持时 将提前三个 交易日通过 发行人予以 公告。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深圳市建科 投资股份有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本公司对发 行人的发展 前景充满信 </w:t>
            </w:r>
            <w:r>
              <w:rPr>
                <w:rFonts w:ascii="宋体" w:hAnsi="宋体" w:cs="宋体" w:eastAsia="宋体" w:hint="default"/>
                <w:spacing w:val="-2"/>
                <w:sz w:val="18"/>
                <w:szCs w:val="18"/>
              </w:rPr>
              <w:t>心，拟长期持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有发行人的 </w:t>
            </w:r>
            <w:r>
              <w:rPr>
                <w:rFonts w:ascii="宋体" w:hAnsi="宋体" w:cs="宋体" w:eastAsia="宋体" w:hint="default"/>
                <w:spacing w:val="-2"/>
                <w:sz w:val="18"/>
                <w:szCs w:val="18"/>
              </w:rPr>
              <w:t>股份。本公司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所持发行人 股票锁定期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2020-07-18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届满后的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
                <w:sz w:val="18"/>
                <w:szCs w:val="18"/>
              </w:rPr>
              <w:t>个月内，减持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股票数量不 超过本公司 所持发行人 股票锁定期 届满时本公 司持有可减 持股票数量 的</w:t>
            </w:r>
            <w:r>
              <w:rPr>
                <w:rFonts w:ascii="宋体" w:hAnsi="宋体" w:cs="宋体" w:eastAsia="宋体" w:hint="default"/>
                <w:spacing w:val="2"/>
                <w:sz w:val="18"/>
                <w:szCs w:val="18"/>
              </w:rPr>
              <w:t> </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；锁定</w:t>
            </w:r>
            <w:r>
              <w:rPr>
                <w:rFonts w:ascii="宋体" w:hAnsi="宋体" w:cs="宋体" w:eastAsia="宋体" w:hint="default"/>
                <w:sz w:val="18"/>
                <w:szCs w:val="18"/>
              </w:rPr>
              <w:t> 期届满后的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个月内，本</w:t>
            </w:r>
            <w:r>
              <w:rPr>
                <w:rFonts w:ascii="宋体" w:hAnsi="宋体" w:cs="宋体" w:eastAsia="宋体" w:hint="default"/>
                <w:sz w:val="18"/>
                <w:szCs w:val="18"/>
              </w:rPr>
              <w:t> 公司减持股 票数量不超 过锁定期届 满时本公司 持有可减持 股票数量的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23" w:right="137"/>
              <w:jc w:val="both"/>
              <w:rPr>
                <w:rFonts w:ascii="宋体" w:hAnsi="宋体" w:cs="宋体" w:eastAsia="宋体" w:hint="default"/>
                <w:sz w:val="18"/>
                <w:szCs w:val="18"/>
              </w:rPr>
            </w:pPr>
            <w:r>
              <w:rPr>
                <w:rFonts w:ascii="宋体" w:hAnsi="宋体" w:cs="宋体" w:eastAsia="宋体" w:hint="default"/>
                <w:sz w:val="18"/>
                <w:szCs w:val="18"/>
              </w:rPr>
              <w:t>深圳市创新 投资集团有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市英龙建安</w:t>
            </w:r>
          </w:p>
          <w:p>
            <w:pPr>
              <w:pStyle w:val="TableParagraph"/>
              <w:spacing w:line="312" w:lineRule="auto" w:before="22"/>
              <w:ind w:left="23" w:right="19"/>
              <w:jc w:val="left"/>
              <w:rPr>
                <w:rFonts w:ascii="宋体" w:hAnsi="宋体" w:cs="宋体" w:eastAsia="宋体" w:hint="default"/>
                <w:sz w:val="18"/>
                <w:szCs w:val="18"/>
              </w:rPr>
            </w:pPr>
            <w:r>
              <w:rPr>
                <w:rFonts w:ascii="宋体" w:hAnsi="宋体" w:cs="宋体" w:eastAsia="宋体" w:hint="default"/>
                <w:spacing w:val="-3"/>
                <w:sz w:val="18"/>
                <w:szCs w:val="18"/>
              </w:rPr>
              <w:t>（集团）有限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中关村 发展集团股 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本公司对发 行人的发展 前景充满信 心，拟长期持 有发行人的 股份。如因自 身资金需求、 实现投资收 益、公司股票 价格波动等 原因，在不违 反本公司在 本次公开发 行时所作出 的公开承诺 的前提下，本 公司可依法 减持发行人 公开发行股 票前所持有 发行人的股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7"/>
              <w:jc w:val="both"/>
              <w:rPr>
                <w:rFonts w:ascii="宋体" w:hAnsi="宋体" w:cs="宋体" w:eastAsia="宋体" w:hint="default"/>
                <w:sz w:val="18"/>
                <w:szCs w:val="18"/>
              </w:rPr>
            </w:pPr>
            <w:r>
              <w:rPr>
                <w:rFonts w:ascii="宋体" w:hAnsi="宋体" w:cs="宋体" w:eastAsia="宋体" w:hint="default"/>
                <w:sz w:val="18"/>
                <w:szCs w:val="18"/>
              </w:rPr>
              <w:t>深圳市建筑 科学研究院 股份有限公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本次发行后 的利润分配 政策和股东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4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分红回报规 划</w:t>
            </w:r>
            <w:r>
              <w:rPr>
                <w:rFonts w:ascii="宋体" w:hAnsi="宋体" w:cs="宋体" w:eastAsia="宋体" w:hint="default"/>
                <w:spacing w:val="49"/>
                <w:sz w:val="18"/>
                <w:szCs w:val="18"/>
              </w:rPr>
              <w:t> </w:t>
            </w:r>
            <w:r>
              <w:rPr>
                <w:rFonts w:ascii="宋体" w:hAnsi="宋体" w:cs="宋体" w:eastAsia="宋体" w:hint="default"/>
                <w:sz w:val="18"/>
                <w:szCs w:val="18"/>
              </w:rPr>
              <w:t>（一）本</w:t>
            </w:r>
            <w:r>
              <w:rPr>
                <w:rFonts w:ascii="宋体" w:hAnsi="宋体" w:cs="宋体" w:eastAsia="宋体" w:hint="default"/>
                <w:sz w:val="18"/>
                <w:szCs w:val="18"/>
              </w:rPr>
              <w:t> 次发行前滚 存利润分配 方案</w:t>
            </w:r>
            <w:r>
              <w:rPr>
                <w:rFonts w:ascii="宋体" w:hAnsi="宋体" w:cs="宋体" w:eastAsia="宋体" w:hint="default"/>
                <w:spacing w:val="49"/>
                <w:sz w:val="18"/>
                <w:szCs w:val="18"/>
              </w:rPr>
              <w:t> </w:t>
            </w:r>
            <w:r>
              <w:rPr>
                <w:rFonts w:ascii="宋体" w:hAnsi="宋体" w:cs="宋体" w:eastAsia="宋体" w:hint="default"/>
                <w:sz w:val="18"/>
                <w:szCs w:val="18"/>
              </w:rPr>
              <w:t>根据公</w:t>
            </w:r>
            <w:r>
              <w:rPr>
                <w:rFonts w:ascii="宋体" w:hAnsi="宋体" w:cs="宋体" w:eastAsia="宋体" w:hint="default"/>
                <w:sz w:val="18"/>
                <w:szCs w:val="18"/>
              </w:rPr>
              <w:t>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股东大会审 </w:t>
            </w:r>
            <w:r>
              <w:rPr>
                <w:rFonts w:ascii="宋体" w:hAnsi="宋体" w:cs="宋体" w:eastAsia="宋体" w:hint="default"/>
                <w:spacing w:val="-2"/>
                <w:sz w:val="18"/>
                <w:szCs w:val="18"/>
              </w:rPr>
              <w:t>议通过的《关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于公司本次 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股前 滚存利润分 配方案的议 </w:t>
            </w:r>
            <w:r>
              <w:rPr>
                <w:rFonts w:ascii="宋体" w:hAnsi="宋体" w:cs="宋体" w:eastAsia="宋体" w:hint="default"/>
                <w:spacing w:val="-16"/>
                <w:sz w:val="18"/>
                <w:szCs w:val="18"/>
              </w:rPr>
              <w:t>案》，公司首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次公开发行 股票前的滚 存利润由发 行后的新老 股东按照发 行后的股份 比例共享。</w:t>
            </w:r>
          </w:p>
          <w:p>
            <w:pPr>
              <w:pStyle w:val="TableParagraph"/>
              <w:spacing w:line="314"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（二）本次发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行后利润分 配政策</w:t>
            </w:r>
            <w:r>
              <w:rPr>
                <w:rFonts w:ascii="宋体" w:hAnsi="宋体" w:cs="宋体" w:eastAsia="宋体" w:hint="default"/>
                <w:spacing w:val="49"/>
                <w:sz w:val="18"/>
                <w:szCs w:val="18"/>
              </w:rPr>
              <w:t> </w:t>
            </w:r>
            <w:r>
              <w:rPr>
                <w:rFonts w:ascii="宋体" w:hAnsi="宋体" w:cs="宋体" w:eastAsia="宋体" w:hint="default"/>
                <w:sz w:val="18"/>
                <w:szCs w:val="18"/>
              </w:rPr>
              <w:t>根据</w:t>
            </w:r>
            <w:r>
              <w:rPr>
                <w:rFonts w:ascii="宋体" w:hAnsi="宋体" w:cs="宋体" w:eastAsia="宋体" w:hint="default"/>
                <w:sz w:val="18"/>
                <w:szCs w:val="18"/>
              </w:rPr>
              <w:t>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度股东大会 审议通过的</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p>
            <w:pPr>
              <w:pStyle w:val="TableParagraph"/>
              <w:spacing w:line="312" w:lineRule="auto" w:before="76"/>
              <w:ind w:left="24" w:right="-39"/>
              <w:jc w:val="left"/>
              <w:rPr>
                <w:rFonts w:ascii="宋体" w:hAnsi="宋体" w:cs="宋体" w:eastAsia="宋体" w:hint="default"/>
                <w:sz w:val="18"/>
                <w:szCs w:val="18"/>
              </w:rPr>
            </w:pPr>
            <w:r>
              <w:rPr>
                <w:rFonts w:ascii="宋体" w:hAnsi="宋体" w:cs="宋体" w:eastAsia="宋体" w:hint="default"/>
                <w:spacing w:val="-28"/>
                <w:sz w:val="18"/>
                <w:szCs w:val="18"/>
              </w:rPr>
              <w:t>（草案）》，公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司发行后的 利润分配政 策如下：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基本原则</w:t>
            </w:r>
            <w:r>
              <w:rPr>
                <w:rFonts w:ascii="宋体" w:hAnsi="宋体" w:cs="宋体" w:eastAsia="宋体" w:hint="default"/>
                <w:spacing w:val="49"/>
                <w:sz w:val="18"/>
                <w:szCs w:val="18"/>
              </w:rPr>
              <w:t> </w:t>
            </w:r>
            <w:r>
              <w:rPr>
                <w:rFonts w:ascii="宋体" w:hAnsi="宋体" w:cs="宋体" w:eastAsia="宋体" w:hint="default"/>
                <w:sz w:val="18"/>
                <w:szCs w:val="18"/>
              </w:rPr>
              <w:t>公</w:t>
            </w:r>
            <w:r>
              <w:rPr>
                <w:rFonts w:ascii="宋体" w:hAnsi="宋体" w:cs="宋体" w:eastAsia="宋体" w:hint="default"/>
                <w:sz w:val="18"/>
                <w:szCs w:val="18"/>
              </w:rPr>
              <w:t> 司应着眼于 长远和可持 续发展</w:t>
            </w:r>
            <w:r>
              <w:rPr>
                <w:rFonts w:ascii="Times New Roman" w:hAnsi="Times New Roman" w:cs="Times New Roman" w:eastAsia="Times New Roman" w:hint="default"/>
                <w:sz w:val="18"/>
                <w:szCs w:val="18"/>
              </w:rPr>
              <w:t>,</w:t>
            </w:r>
            <w:r>
              <w:rPr>
                <w:rFonts w:ascii="宋体" w:hAnsi="宋体" w:cs="宋体" w:eastAsia="宋体" w:hint="default"/>
                <w:sz w:val="18"/>
                <w:szCs w:val="18"/>
              </w:rPr>
              <w:t>以股 东利益最大 化为公司价 值目标</w:t>
            </w:r>
            <w:r>
              <w:rPr>
                <w:rFonts w:ascii="Times New Roman" w:hAnsi="Times New Roman" w:cs="Times New Roman" w:eastAsia="Times New Roman" w:hint="default"/>
                <w:sz w:val="18"/>
                <w:szCs w:val="18"/>
              </w:rPr>
              <w:t>,</w:t>
            </w:r>
            <w:r>
              <w:rPr>
                <w:rFonts w:ascii="宋体" w:hAnsi="宋体" w:cs="宋体" w:eastAsia="宋体" w:hint="default"/>
                <w:sz w:val="18"/>
                <w:szCs w:val="18"/>
              </w:rPr>
              <w:t>持续 采取积极的 现金及股票 股利分配政 策</w:t>
            </w:r>
            <w:r>
              <w:rPr>
                <w:rFonts w:ascii="Times New Roman" w:hAnsi="Times New Roman" w:cs="Times New Roman" w:eastAsia="Times New Roman" w:hint="default"/>
                <w:sz w:val="18"/>
                <w:szCs w:val="18"/>
              </w:rPr>
              <w:t>,</w:t>
            </w:r>
            <w:r>
              <w:rPr>
                <w:rFonts w:ascii="宋体" w:hAnsi="宋体" w:cs="宋体" w:eastAsia="宋体" w:hint="default"/>
                <w:sz w:val="18"/>
                <w:szCs w:val="18"/>
              </w:rPr>
              <w:t>注重对投 资者回报</w:t>
            </w:r>
            <w:r>
              <w:rPr>
                <w:rFonts w:ascii="Times New Roman" w:hAnsi="Times New Roman" w:cs="Times New Roman" w:eastAsia="Times New Roman" w:hint="default"/>
                <w:sz w:val="18"/>
                <w:szCs w:val="18"/>
              </w:rPr>
              <w:t>,</w:t>
            </w:r>
            <w:r>
              <w:rPr>
                <w:rFonts w:ascii="宋体" w:hAnsi="宋体" w:cs="宋体" w:eastAsia="宋体" w:hint="default"/>
                <w:sz w:val="18"/>
                <w:szCs w:val="18"/>
              </w:rPr>
              <w:t>切 实履行上市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公司社会责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w:t>
            </w:r>
            <w:r>
              <w:rPr>
                <w:rFonts w:ascii="宋体" w:hAnsi="宋体" w:cs="宋体" w:eastAsia="宋体" w:hint="default"/>
                <w:sz w:val="18"/>
                <w:szCs w:val="18"/>
              </w:rPr>
              <w:t>严格按照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《证券法》以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所有关规定</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建立对投资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者持续、稳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定、科学的回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报机制。公司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注重对股东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的合理投资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回报并兼顾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公司的持续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主要采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取现金分红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的方式进行</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策应保持连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性。公司当年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将用于生产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经营或者留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待以后年度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进行分配。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的形式和比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例、发放股票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股利的条件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以及利润分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配的期间间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隔</w:t>
            </w:r>
            <w:r>
              <w:rPr>
                <w:rFonts w:ascii="宋体" w:hAnsi="宋体" w:cs="宋体" w:eastAsia="宋体" w:hint="default"/>
                <w:spacing w:val="49"/>
                <w:sz w:val="18"/>
                <w:szCs w:val="18"/>
              </w:rPr>
              <w:t> </w:t>
            </w:r>
            <w:r>
              <w:rPr>
                <w:rFonts w:ascii="宋体" w:hAnsi="宋体" w:cs="宋体" w:eastAsia="宋体" w:hint="default"/>
                <w:sz w:val="18"/>
                <w:szCs w:val="18"/>
              </w:rPr>
              <w:t>公司采用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现金与股票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相结合或者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许的其他方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式分配股利</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并优先采用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配：公司每年</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以现金形式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不少于当年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实现的可供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，且分配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金额不低于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按合并会计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报表口径计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算的当年实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现的可分配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5"/>
              <w:jc w:val="left"/>
              <w:rPr>
                <w:rFonts w:ascii="宋体" w:hAnsi="宋体" w:cs="宋体" w:eastAsia="宋体" w:hint="default"/>
                <w:sz w:val="18"/>
                <w:szCs w:val="18"/>
              </w:rPr>
            </w:pPr>
            <w:r>
              <w:rPr>
                <w:rFonts w:ascii="宋体" w:hAnsi="宋体" w:cs="宋体" w:eastAsia="宋体" w:hint="default"/>
                <w:sz w:val="18"/>
                <w:szCs w:val="18"/>
              </w:rPr>
              <w:t>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在完成上述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配后，若公司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达到或超过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时，公司可实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施股票股利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分配，采用股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票股利进行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应当具有公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司成长性、每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股净资产的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摊薄等真实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合理因素；除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上述年度股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利分配外，公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司可进行中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段属成熟期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且无重大资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分配时，现金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分红在该次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所占比例最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低应达到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熟期且有重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大资金支出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安排的，进行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该次利润分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3"/>
                <w:sz w:val="18"/>
                <w:szCs w:val="18"/>
              </w:rPr>
              <w:t> </w:t>
            </w:r>
            <w:r>
              <w:rPr>
                <w:rFonts w:ascii="Times New Roman" w:hAnsi="Times New Roman" w:cs="Times New Roman" w:eastAsia="Times New Roman" w:hint="default"/>
                <w:spacing w:val="-12"/>
                <w:sz w:val="18"/>
                <w:szCs w:val="18"/>
              </w:rPr>
              <w:t>40%</w:t>
            </w:r>
            <w:r>
              <w:rPr>
                <w:rFonts w:ascii="宋体" w:hAnsi="宋体" w:cs="宋体" w:eastAsia="宋体" w:hint="default"/>
                <w:spacing w:val="-12"/>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发展阶段属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成长期或不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易区分且有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重大资金支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出安排的，进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在该次利润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分配中所占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比例最低应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达到</w:t>
            </w:r>
            <w:r>
              <w:rPr>
                <w:rFonts w:ascii="宋体" w:hAnsi="宋体" w:cs="宋体" w:eastAsia="宋体" w:hint="default"/>
                <w:spacing w:val="1"/>
                <w:sz w:val="18"/>
                <w:szCs w:val="18"/>
              </w:rPr>
              <w:t> </w:t>
            </w:r>
            <w:r>
              <w:rPr>
                <w:rFonts w:ascii="Times New Roman" w:hAnsi="Times New Roman" w:cs="Times New Roman" w:eastAsia="Times New Roman" w:hint="default"/>
                <w:spacing w:val="-28"/>
                <w:sz w:val="18"/>
                <w:szCs w:val="18"/>
              </w:rPr>
              <w:t>20%</w:t>
            </w:r>
            <w:r>
              <w:rPr>
                <w:rFonts w:ascii="宋体" w:hAnsi="宋体" w:cs="宋体" w:eastAsia="宋体" w:hint="default"/>
                <w:spacing w:val="-28"/>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条所称</w:t>
            </w:r>
            <w:r>
              <w:rPr>
                <w:rFonts w:ascii="Times New Roman" w:hAnsi="Times New Roman" w:cs="Times New Roman" w:eastAsia="Times New Roman" w:hint="default"/>
                <w:sz w:val="18"/>
                <w:szCs w:val="18"/>
              </w:rPr>
              <w:t>“</w:t>
            </w:r>
            <w:r>
              <w:rPr>
                <w:rFonts w:ascii="宋体" w:hAnsi="宋体" w:cs="宋体" w:eastAsia="宋体" w:hint="default"/>
                <w:sz w:val="18"/>
                <w:szCs w:val="18"/>
              </w:rPr>
              <w:t>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资金支出</w:t>
            </w:r>
            <w:r>
              <w:rPr>
                <w:rFonts w:ascii="Times New Roman" w:hAnsi="Times New Roman" w:cs="Times New Roman" w:eastAsia="Times New Roman" w:hint="default"/>
                <w:sz w:val="18"/>
                <w:szCs w:val="18"/>
              </w:rPr>
              <w:t>”</w:t>
            </w:r>
            <w:r>
              <w:rPr>
                <w:rFonts w:ascii="宋体" w:hAnsi="宋体" w:cs="宋体" w:eastAsia="宋体" w:hint="default"/>
                <w:sz w:val="18"/>
                <w:szCs w:val="18"/>
              </w:rPr>
              <w:t>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预计在未来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一个会计年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度一次性或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累计资金支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出超过</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3,000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49"/>
                <w:sz w:val="18"/>
                <w:szCs w:val="18"/>
              </w:rPr>
              <w:t> </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董事会未作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出现金分配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预案的，应当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在定期报告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中披露原因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及留存资金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的具体用途，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当对此发表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、股利分配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的决策程序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公司在每个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会计年度结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束后，由公司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董事会提出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公司及全资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子公司的利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润分配议案，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董事会应当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认真研究和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论证公司现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金分红的时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机、条件、最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低比例、调整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的条件及其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决策程序要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求等事宜，独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立董事可以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征集中小股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东的意见，提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出分红提案，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并直接提交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董事会审议，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方案论证过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程中，需与独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立董事充分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讨论，董事会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在考虑对全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体股东持续、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稳定、科学的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回报基础上</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7"/>
              <w:jc w:val="center"/>
              <w:rPr>
                <w:rFonts w:ascii="宋体" w:hAnsi="宋体" w:cs="宋体" w:eastAsia="宋体" w:hint="default"/>
                <w:sz w:val="18"/>
                <w:szCs w:val="18"/>
              </w:rPr>
            </w:pPr>
            <w:r>
              <w:rPr>
                <w:rFonts w:ascii="宋体" w:hAnsi="宋体" w:cs="宋体" w:eastAsia="宋体" w:hint="default"/>
                <w:sz w:val="18"/>
                <w:szCs w:val="18"/>
              </w:rPr>
              <w:t>形成利润分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配预案；在经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公司二分之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一以上独立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董事同意后，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方能提交公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司董事会、监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事会审议，并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最终提交股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表决。涉及股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利分配相关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议案，公司独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立董事可在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股东大会召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开前向公司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股东征集其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上的投票权，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使上述职权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应当取得全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的二分之一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以上同意；公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司审议利润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分配方案时，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应为股东提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供网络投票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4</w:t>
            </w:r>
            <w:r>
              <w:rPr>
                <w:rFonts w:ascii="宋体" w:hAnsi="宋体" w:cs="宋体" w:eastAsia="宋体" w:hint="default"/>
                <w:spacing w:val="-21"/>
                <w:sz w:val="18"/>
                <w:szCs w:val="18"/>
              </w:rPr>
              <w:t>、利</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调整程序</w:t>
            </w:r>
            <w:r>
              <w:rPr>
                <w:rFonts w:ascii="宋体" w:hAnsi="宋体" w:cs="宋体" w:eastAsia="宋体" w:hint="default"/>
                <w:spacing w:val="49"/>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司如需调整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策不得违反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定；有关调整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策的议案需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经二分之一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以上独立董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事同意后提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交董事会、监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事会和股东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大会批准。公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司审议利润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分配政策变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更事项时，应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为股东提供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网络投票方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w:t>
            </w:r>
            <w:r>
              <w:rPr>
                <w:rFonts w:ascii="宋体" w:hAnsi="宋体" w:cs="宋体" w:eastAsia="宋体" w:hint="default"/>
                <w:spacing w:val="49"/>
                <w:sz w:val="18"/>
                <w:szCs w:val="18"/>
              </w:rPr>
              <w:t> </w:t>
            </w:r>
            <w:r>
              <w:rPr>
                <w:rFonts w:ascii="宋体" w:hAnsi="宋体" w:cs="宋体" w:eastAsia="宋体" w:hint="default"/>
                <w:sz w:val="18"/>
                <w:szCs w:val="18"/>
              </w:rPr>
              <w:t>（三）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上市后未来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三年股利分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配规划</w:t>
            </w:r>
            <w:r>
              <w:rPr>
                <w:rFonts w:ascii="宋体" w:hAnsi="宋体" w:cs="宋体" w:eastAsia="宋体" w:hint="default"/>
                <w:spacing w:val="49"/>
                <w:sz w:val="18"/>
                <w:szCs w:val="18"/>
              </w:rPr>
              <w:t> </w:t>
            </w:r>
            <w:r>
              <w:rPr>
                <w:rFonts w:ascii="宋体" w:hAnsi="宋体" w:cs="宋体" w:eastAsia="宋体" w:hint="default"/>
                <w:sz w:val="18"/>
                <w:szCs w:val="18"/>
              </w:rPr>
              <w:t>为明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确公司股东</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94696"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分红回报规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划，进一步细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化《公司章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z w:val="18"/>
                <w:szCs w:val="18"/>
              </w:rPr>
              <w:t>（草案）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条款，公司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通过了《上市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后未来三年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股东分红回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报规划》对上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市后未来三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年的股利分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配进行了规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划，具体内容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1</w:t>
            </w:r>
            <w:r>
              <w:rPr>
                <w:rFonts w:ascii="宋体" w:hAnsi="宋体" w:cs="宋体" w:eastAsia="宋体" w:hint="default"/>
                <w:spacing w:val="-21"/>
                <w:sz w:val="18"/>
                <w:szCs w:val="18"/>
              </w:rPr>
              <w:t>、制</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定股东回报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规划的考虑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因素</w:t>
            </w:r>
            <w:r>
              <w:rPr>
                <w:rFonts w:ascii="宋体" w:hAnsi="宋体" w:cs="宋体" w:eastAsia="宋体" w:hint="default"/>
                <w:spacing w:val="49"/>
                <w:sz w:val="18"/>
                <w:szCs w:val="18"/>
              </w:rPr>
              <w:t> </w:t>
            </w:r>
            <w:r>
              <w:rPr>
                <w:rFonts w:ascii="宋体" w:hAnsi="宋体" w:cs="宋体" w:eastAsia="宋体" w:hint="default"/>
                <w:sz w:val="18"/>
                <w:szCs w:val="18"/>
              </w:rPr>
              <w:t>公司着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眼于长远和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可持续发展，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综合考虑公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司盈利情况、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经营发展目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标、股东回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报、社会资金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成本及外部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融资环境等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因素，建立对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投资者持续、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稳定、科学的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回报规划制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度，以保证股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利分配政策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的连续性和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稳定性。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制定股东回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报规划的原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49"/>
                <w:sz w:val="18"/>
                <w:szCs w:val="18"/>
              </w:rPr>
              <w:t> </w:t>
            </w:r>
            <w:r>
              <w:rPr>
                <w:rFonts w:ascii="宋体" w:hAnsi="宋体" w:cs="宋体" w:eastAsia="宋体" w:hint="default"/>
                <w:sz w:val="18"/>
                <w:szCs w:val="18"/>
              </w:rPr>
              <w:t>公司股东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回报规划充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分考虑和听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取股东（特别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是公众投资</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pacing w:val="-92"/>
                <w:sz w:val="18"/>
                <w:szCs w:val="18"/>
              </w:rPr>
              <w:t>）</w:t>
            </w:r>
            <w:r>
              <w:rPr>
                <w:rFonts w:ascii="宋体" w:hAnsi="宋体" w:cs="宋体" w:eastAsia="宋体" w:hint="default"/>
                <w:sz w:val="18"/>
                <w:szCs w:val="18"/>
              </w:rPr>
              <w:t>、独立董</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事和监事的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意见，坚持现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这一基本原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回报规划审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阅与修改程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49"/>
                <w:sz w:val="18"/>
                <w:szCs w:val="18"/>
              </w:rPr>
              <w:t> </w:t>
            </w:r>
            <w:r>
              <w:rPr>
                <w:rFonts w:ascii="宋体" w:hAnsi="宋体" w:cs="宋体" w:eastAsia="宋体" w:hint="default"/>
                <w:sz w:val="18"/>
                <w:szCs w:val="18"/>
              </w:rPr>
              <w:t>公司至少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每三年重新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审阅一次《股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东分红回报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规划</w:t>
            </w:r>
            <w:r>
              <w:rPr>
                <w:rFonts w:ascii="宋体" w:hAnsi="宋体" w:cs="宋体" w:eastAsia="宋体" w:hint="default"/>
                <w:spacing w:val="-92"/>
                <w:sz w:val="18"/>
                <w:szCs w:val="18"/>
              </w:rPr>
              <w:t>》</w:t>
            </w:r>
            <w:r>
              <w:rPr>
                <w:rFonts w:ascii="宋体" w:hAnsi="宋体" w:cs="宋体" w:eastAsia="宋体" w:hint="default"/>
                <w:sz w:val="18"/>
                <w:szCs w:val="18"/>
              </w:rPr>
              <w:t>，结合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股东（特别是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w:t>
            </w:r>
            <w:r>
              <w:rPr>
                <w:rFonts w:ascii="宋体" w:hAnsi="宋体" w:cs="宋体" w:eastAsia="宋体" w:hint="default"/>
                <w:spacing w:val="-92"/>
                <w:sz w:val="18"/>
                <w:szCs w:val="18"/>
              </w:rPr>
              <w:t>）</w:t>
            </w:r>
            <w:r>
              <w:rPr>
                <w:rFonts w:ascii="宋体" w:hAnsi="宋体" w:cs="宋体" w:eastAsia="宋体" w:hint="default"/>
                <w:sz w:val="18"/>
                <w:szCs w:val="18"/>
              </w:rPr>
              <w:t>、独立董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事和监事的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意见对公司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正在实施的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股利分配政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策作出适当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且必要的修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改，确定该时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段的股东分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红回报计划，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但公司保证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调整后的股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东分红回报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计划不得违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反公司章程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确定的利润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、上市后三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年股东分红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回报计划</w:t>
            </w:r>
            <w:r>
              <w:rPr>
                <w:rFonts w:ascii="宋体" w:hAnsi="宋体" w:cs="宋体" w:eastAsia="宋体" w:hint="default"/>
                <w:spacing w:val="49"/>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可采取现金、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股票、现金与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股票相结合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规允许的其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他方式。公司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盈利年度在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满足正常生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产经营和重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大投资的资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金需求情况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下，公司应当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采取现金方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不少于当年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实现的可供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、利</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润分配方案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的制定及执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9"/>
                <w:sz w:val="18"/>
                <w:szCs w:val="18"/>
              </w:rPr>
              <w:t> </w:t>
            </w:r>
            <w:r>
              <w:rPr>
                <w:rFonts w:ascii="宋体" w:hAnsi="宋体" w:cs="宋体" w:eastAsia="宋体" w:hint="default"/>
                <w:sz w:val="18"/>
                <w:szCs w:val="18"/>
              </w:rPr>
              <w:t>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会结合具体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经营数据，充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分考虑公司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盈利规模、现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金流量状况、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发展阶段及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当期资金需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求，并结合股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东（特别是公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众投资者</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制定年度或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中期分红方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案，并经公司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股东大会表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决通过后实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施。在制定现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方案时，董事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会应当认真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研究和论证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红的时机、条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件、最低比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例、调整的条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件及其决策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程序要求等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事宜，独立董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22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事应当发表 明确意见。 独立董事可 以征集中小 股东的意见， 提出分红提 案，并直接提 交董事会审 议。股东大会 对现金分红 具体方案进 行审议前，应 当通过多种 渠道主动与 股东特别是 中小股东进 行沟通和交 流，充分听取 中小股东的 意见和诉求， 及时答复中 小股东关心 的问题。</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87"/>
              <w:jc w:val="both"/>
              <w:rPr>
                <w:rFonts w:ascii="宋体" w:hAnsi="宋体" w:cs="宋体" w:eastAsia="宋体" w:hint="default"/>
                <w:sz w:val="18"/>
                <w:szCs w:val="18"/>
              </w:rPr>
            </w:pPr>
            <w:r>
              <w:rPr>
                <w:rFonts w:ascii="宋体" w:hAnsi="宋体" w:cs="宋体" w:eastAsia="宋体" w:hint="default"/>
                <w:sz w:val="18"/>
                <w:szCs w:val="18"/>
              </w:rPr>
              <w:t>深圳市远致 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（一）关于避</w:t>
            </w:r>
            <w:r>
              <w:rPr>
                <w:rFonts w:ascii="宋体" w:hAnsi="宋体" w:cs="宋体" w:eastAsia="宋体" w:hint="default"/>
                <w:sz w:val="18"/>
                <w:szCs w:val="18"/>
              </w:rPr>
              <w:t> 免同业竞争 的承诺</w:t>
            </w:r>
            <w:r>
              <w:rPr>
                <w:rFonts w:ascii="宋体" w:hAnsi="宋体" w:cs="宋体" w:eastAsia="宋体" w:hint="default"/>
                <w:spacing w:val="49"/>
                <w:sz w:val="18"/>
                <w:szCs w:val="18"/>
              </w:rPr>
              <w:t> </w:t>
            </w:r>
            <w:r>
              <w:rPr>
                <w:rFonts w:ascii="宋体" w:hAnsi="宋体" w:cs="宋体" w:eastAsia="宋体" w:hint="default"/>
                <w:sz w:val="18"/>
                <w:szCs w:val="18"/>
              </w:rPr>
              <w:t>为避</w:t>
            </w:r>
            <w:r>
              <w:rPr>
                <w:rFonts w:ascii="宋体" w:hAnsi="宋体" w:cs="宋体" w:eastAsia="宋体" w:hint="default"/>
                <w:sz w:val="18"/>
                <w:szCs w:val="18"/>
              </w:rPr>
              <w:t> 免未来可能 发生的同业 竞争，公司控 股股东远致 投资向本公 司出具《关于 避免同业竞 争的承诺 </w:t>
            </w:r>
            <w:r>
              <w:rPr>
                <w:rFonts w:ascii="宋体" w:hAnsi="宋体" w:cs="宋体" w:eastAsia="宋体" w:hint="default"/>
                <w:spacing w:val="-16"/>
                <w:sz w:val="18"/>
                <w:szCs w:val="18"/>
              </w:rPr>
              <w:t>函》，向本公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司做出如下 承诺：</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1</w:t>
            </w:r>
            <w:r>
              <w:rPr>
                <w:rFonts w:ascii="宋体" w:hAnsi="宋体" w:cs="宋体" w:eastAsia="宋体" w:hint="default"/>
                <w:spacing w:val="-21"/>
                <w:sz w:val="18"/>
                <w:szCs w:val="18"/>
              </w:rPr>
              <w:t>、在</w:t>
            </w:r>
            <w:r>
              <w:rPr>
                <w:rFonts w:ascii="宋体" w:hAnsi="宋体" w:cs="宋体" w:eastAsia="宋体" w:hint="default"/>
                <w:spacing w:val="-32"/>
                <w:sz w:val="18"/>
                <w:szCs w:val="18"/>
              </w:rPr>
              <w:t> </w:t>
            </w:r>
            <w:r>
              <w:rPr>
                <w:rFonts w:ascii="宋体" w:hAnsi="宋体" w:cs="宋体" w:eastAsia="宋体" w:hint="default"/>
                <w:sz w:val="18"/>
                <w:szCs w:val="18"/>
              </w:rPr>
              <w:t>本承诺函签</w:t>
            </w:r>
            <w:r>
              <w:rPr>
                <w:rFonts w:ascii="宋体" w:hAnsi="宋体" w:cs="宋体" w:eastAsia="宋体" w:hint="default"/>
                <w:sz w:val="18"/>
                <w:szCs w:val="18"/>
              </w:rPr>
              <w:t> 署之日，本企 业不存在且 不从事任何 与建科院及 其子公司主 营业务相同、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相似或构成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也未直接或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间接经营任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何与建科院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2</w:t>
            </w:r>
            <w:r>
              <w:rPr>
                <w:rFonts w:ascii="宋体" w:hAnsi="宋体" w:cs="宋体" w:eastAsia="宋体" w:hint="default"/>
                <w:spacing w:val="-21"/>
                <w:sz w:val="18"/>
                <w:szCs w:val="18"/>
              </w:rPr>
              <w:t>、自</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署之日起，本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企业将不以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任何方式从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事，包括与他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人合作直接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与建科院及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其子公司相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同、相似或在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任何方面构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之日起，本企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业将尽一切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可能之努力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使本企业其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不从事与建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科院及其子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公司相同、相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似或在任何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起，本企业不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投资控股于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业务与建科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院及其子公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司相同、相似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或在任何方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面构成竞争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94672"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的公司、企业</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或其他机构、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组织；</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5</w:t>
            </w:r>
            <w:r>
              <w:rPr>
                <w:rFonts w:ascii="宋体" w:hAnsi="宋体" w:cs="宋体" w:eastAsia="宋体" w:hint="default"/>
                <w:spacing w:val="-21"/>
                <w:sz w:val="18"/>
                <w:szCs w:val="18"/>
              </w:rPr>
              <w:t>、自</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署之日起，本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企业不向其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他业务与建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科院及其子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公司相同、相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似或在任何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争的公司、企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业或其他机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构、组织或个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人提供专有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技术或提供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销售渠道、客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户信息等商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业秘密；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如果未来本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企业拟从事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的业务可能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与建科院及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其子公司存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将本着建科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院及其子公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司优先的原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则与建科院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协商解决；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、不利用建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科院的控股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股东的地位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直接或通过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本企业控制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以借款、代偿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债务、代垫款</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项或者其他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方式占用建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科院资金；若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因建科院与</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本企业控制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之间的资金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往来致使建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科院遭受任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何责任或处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罚，或因此给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建科院造成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任何损失的，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均由本企业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承担全部责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企业作为建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科院股东或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关联方期间，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本承诺函为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有效之承诺。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被证明是不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真实或未被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遵守，本企业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将向建科院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赔偿一切直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接和间接损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失，并承担相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9"/>
                <w:sz w:val="18"/>
                <w:szCs w:val="18"/>
              </w:rPr>
              <w:t> </w:t>
            </w:r>
            <w:r>
              <w:rPr>
                <w:rFonts w:ascii="宋体" w:hAnsi="宋体" w:cs="宋体" w:eastAsia="宋体" w:hint="default"/>
                <w:sz w:val="18"/>
                <w:szCs w:val="18"/>
              </w:rPr>
              <w:t>（二）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规范和减少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49"/>
                <w:sz w:val="18"/>
                <w:szCs w:val="18"/>
              </w:rPr>
              <w:t> </w:t>
            </w:r>
            <w:r>
              <w:rPr>
                <w:rFonts w:ascii="宋体" w:hAnsi="宋体" w:cs="宋体" w:eastAsia="宋体" w:hint="default"/>
                <w:sz w:val="18"/>
                <w:szCs w:val="18"/>
              </w:rPr>
              <w:t>公司根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据《公司法》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的规定建立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了规范、健全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的法人治理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结构，公司制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会议事规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议事规则</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工作制度</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管理制度》等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规章制度，对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决策权限、决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策程序及信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息披露进行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了详细的规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定，有利于公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司规范和减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少关联交易，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保证关联交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易的公平、公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此外，本公司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致投资已向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《关于规范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105"/>
                <w:sz w:val="18"/>
                <w:szCs w:val="18"/>
              </w:rPr>
              <w:t>诺：</w:t>
            </w:r>
            <w:r>
              <w:rPr>
                <w:rFonts w:ascii="Times New Roman" w:hAnsi="Times New Roman" w:cs="Times New Roman" w:eastAsia="Times New Roman" w:hint="default"/>
                <w:w w:val="105"/>
                <w:sz w:val="18"/>
                <w:szCs w:val="18"/>
              </w:rPr>
              <w:t>□“1</w:t>
            </w:r>
            <w:r>
              <w:rPr>
                <w:rFonts w:ascii="宋体" w:hAnsi="宋体" w:cs="宋体" w:eastAsia="宋体" w:hint="default"/>
                <w:w w:val="105"/>
                <w:sz w:val="18"/>
                <w:szCs w:val="18"/>
              </w:rPr>
              <w:t>、截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至本承诺函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出具之日，除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已经披露的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情形外，本公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与建科院之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间不存在其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本公司将善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意履行作为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建科院控股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不利用控股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股东地位影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响建科院的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独立性、故意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促使建科院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对与本公司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业的任何关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联交易采取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任何行动、故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意促使建科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院的股东大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会或董事会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做出侵犯其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他股东合法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权益的决议。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如果建科院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必须与本公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企业发生任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何关联交易，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则本公司承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诺将促使上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述交易按照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公平合理和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正常商业交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易的条件进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将不会要求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或接受建科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院给予比在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任何一项市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场公平交易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中第三者更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优惠的条件。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将严格和善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意地履行与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建科院签订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的各种关联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交易协议。本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不会向建科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院谋求任何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超出上述协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议规定以外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的利益或收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29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司对上述承 诺的真实性 及合法性负 全部法律责 </w:t>
            </w:r>
            <w:r>
              <w:rPr>
                <w:rFonts w:ascii="宋体" w:hAnsi="宋体" w:cs="宋体" w:eastAsia="宋体" w:hint="default"/>
                <w:spacing w:val="-2"/>
                <w:sz w:val="18"/>
                <w:szCs w:val="18"/>
              </w:rPr>
              <w:t>任，如果本公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司及本公司 控制的其他 企业违反上 </w:t>
            </w:r>
            <w:r>
              <w:rPr>
                <w:rFonts w:ascii="宋体" w:hAnsi="宋体" w:cs="宋体" w:eastAsia="宋体" w:hint="default"/>
                <w:spacing w:val="-2"/>
                <w:sz w:val="18"/>
                <w:szCs w:val="18"/>
              </w:rPr>
              <w:t>述声明、保证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与承诺，并造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成建科院经 </w:t>
            </w:r>
            <w:r>
              <w:rPr>
                <w:rFonts w:ascii="宋体" w:hAnsi="宋体" w:cs="宋体" w:eastAsia="宋体" w:hint="default"/>
                <w:spacing w:val="-2"/>
                <w:sz w:val="18"/>
                <w:szCs w:val="18"/>
              </w:rPr>
              <w:t>济损失的，本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公司同意赔 偿相应的损 失。</w:t>
            </w:r>
            <w:r>
              <w:rPr>
                <w:rFonts w:ascii="宋体" w:hAnsi="宋体" w:cs="宋体" w:eastAsia="宋体" w:hint="default"/>
                <w:spacing w:val="18"/>
                <w:sz w:val="18"/>
                <w:szCs w:val="18"/>
              </w:rPr>
              <w:t> </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、本承</w:t>
            </w:r>
            <w:r>
              <w:rPr>
                <w:rFonts w:ascii="宋体" w:hAnsi="宋体" w:cs="宋体" w:eastAsia="宋体" w:hint="default"/>
                <w:sz w:val="18"/>
                <w:szCs w:val="18"/>
              </w:rPr>
              <w:t> 诺将持续有 </w:t>
            </w:r>
            <w:r>
              <w:rPr>
                <w:rFonts w:ascii="宋体" w:hAnsi="宋体" w:cs="宋体" w:eastAsia="宋体" w:hint="default"/>
                <w:spacing w:val="-2"/>
                <w:sz w:val="18"/>
                <w:szCs w:val="18"/>
              </w:rPr>
              <w:t>效，直至本公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司不再作为 建科院的股 东。</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41"/>
              <w:ind w:left="23" w:right="36"/>
              <w:jc w:val="left"/>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陈泽广</w:t>
            </w:r>
            <w:r>
              <w:rPr>
                <w:rFonts w:ascii="Times New Roman" w:hAnsi="Times New Roman" w:cs="Times New Roman" w:eastAsia="Times New Roman" w:hint="default"/>
                <w:sz w:val="18"/>
                <w:szCs w:val="18"/>
              </w:rPr>
              <w:t>; </w:t>
            </w:r>
            <w:r>
              <w:rPr>
                <w:rFonts w:ascii="宋体" w:hAnsi="宋体" w:cs="宋体" w:eastAsia="宋体" w:hint="default"/>
                <w:sz w:val="18"/>
                <w:szCs w:val="18"/>
              </w:rPr>
              <w:t>蓝虹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林晓春</w:t>
            </w:r>
            <w:r>
              <w:rPr>
                <w:rFonts w:ascii="Times New Roman" w:hAnsi="Times New Roman" w:cs="Times New Roman" w:eastAsia="Times New Roman" w:hint="default"/>
                <w:sz w:val="18"/>
                <w:szCs w:val="18"/>
              </w:rPr>
              <w:t>; </w:t>
            </w:r>
            <w:r>
              <w:rPr>
                <w:rFonts w:ascii="宋体" w:hAnsi="宋体" w:cs="宋体" w:eastAsia="宋体" w:hint="default"/>
                <w:sz w:val="18"/>
                <w:szCs w:val="18"/>
              </w:rPr>
              <w:t>刘俊跃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 </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w:t>
            </w:r>
            <w:r>
              <w:rPr>
                <w:rFonts w:ascii="宋体" w:hAnsi="宋体" w:cs="宋体" w:eastAsia="宋体" w:hint="default"/>
                <w:sz w:val="18"/>
                <w:szCs w:val="18"/>
              </w:rPr>
              <w:t>莫福 光</w:t>
            </w:r>
            <w:r>
              <w:rPr>
                <w:rFonts w:ascii="Times New Roman" w:hAnsi="Times New Roman" w:cs="Times New Roman" w:eastAsia="Times New Roman" w:hint="default"/>
                <w:sz w:val="18"/>
                <w:szCs w:val="18"/>
              </w:rPr>
              <w:t>;</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圳市建筑科 学研究院股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深圳市远致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沈武</w:t>
            </w:r>
            <w:r>
              <w:rPr>
                <w:rFonts w:ascii="Times New Roman" w:hAnsi="Times New Roman" w:cs="Times New Roman" w:eastAsia="Times New Roman" w:hint="default"/>
                <w:sz w:val="18"/>
                <w:szCs w:val="18"/>
              </w:rPr>
              <w:t>;</w:t>
            </w:r>
            <w:r>
              <w:rPr>
                <w:rFonts w:ascii="宋体" w:hAnsi="宋体" w:cs="宋体" w:eastAsia="宋体" w:hint="default"/>
                <w:sz w:val="18"/>
                <w:szCs w:val="18"/>
              </w:rPr>
              <w:t>吴硕 贤</w:t>
            </w:r>
            <w:r>
              <w:rPr>
                <w:rFonts w:ascii="Times New Roman" w:hAnsi="Times New Roman" w:cs="Times New Roman" w:eastAsia="Times New Roman" w:hint="default"/>
                <w:sz w:val="18"/>
                <w:szCs w:val="18"/>
              </w:rPr>
              <w:t>;</w:t>
            </w:r>
            <w:r>
              <w:rPr>
                <w:rFonts w:ascii="宋体" w:hAnsi="宋体" w:cs="宋体" w:eastAsia="宋体" w:hint="default"/>
                <w:sz w:val="18"/>
                <w:szCs w:val="18"/>
              </w:rPr>
              <w:t>姚培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r>
              <w:rPr>
                <w:rFonts w:ascii="Times New Roman" w:hAnsi="Times New Roman" w:cs="Times New Roman" w:eastAsia="Times New Roman" w:hint="default"/>
                <w:sz w:val="18"/>
                <w:szCs w:val="18"/>
              </w:rPr>
              <w:t>; </w:t>
            </w:r>
            <w:r>
              <w:rPr>
                <w:rFonts w:ascii="宋体" w:hAnsi="宋体" w:cs="宋体" w:eastAsia="宋体" w:hint="default"/>
                <w:sz w:val="18"/>
                <w:szCs w:val="18"/>
              </w:rPr>
              <w:t>余庆</w:t>
            </w:r>
            <w:r>
              <w:rPr>
                <w:rFonts w:ascii="Times New Roman" w:hAnsi="Times New Roman" w:cs="Times New Roman" w:eastAsia="Times New Roman" w:hint="default"/>
                <w:sz w:val="18"/>
                <w:szCs w:val="18"/>
              </w:rPr>
              <w:t>;</w:t>
            </w:r>
            <w:r>
              <w:rPr>
                <w:rFonts w:ascii="宋体" w:hAnsi="宋体" w:cs="宋体" w:eastAsia="宋体" w:hint="default"/>
                <w:sz w:val="18"/>
                <w:szCs w:val="18"/>
              </w:rPr>
              <w:t>詹辉轮</w:t>
            </w:r>
            <w:r>
              <w:rPr>
                <w:rFonts w:ascii="Times New Roman" w:hAnsi="Times New Roman" w:cs="Times New Roman" w:eastAsia="Times New Roman" w:hint="default"/>
                <w:sz w:val="18"/>
                <w:szCs w:val="18"/>
              </w:rPr>
              <w:t>; </w:t>
            </w:r>
            <w:r>
              <w:rPr>
                <w:rFonts w:ascii="宋体" w:hAnsi="宋体" w:cs="宋体" w:eastAsia="宋体" w:hint="default"/>
                <w:sz w:val="18"/>
                <w:szCs w:val="18"/>
              </w:rPr>
              <w:t>郑学定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0"/>
              <w:ind w:left="26"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（一）稳定股</w:t>
            </w:r>
            <w:r>
              <w:rPr>
                <w:rFonts w:ascii="宋体" w:hAnsi="宋体" w:cs="宋体" w:eastAsia="宋体" w:hint="default"/>
                <w:sz w:val="18"/>
                <w:szCs w:val="18"/>
              </w:rPr>
              <w:t> 价预案的启 动条件</w:t>
            </w:r>
            <w:r>
              <w:rPr>
                <w:rFonts w:ascii="宋体" w:hAnsi="宋体" w:cs="宋体" w:eastAsia="宋体" w:hint="default"/>
                <w:spacing w:val="49"/>
                <w:sz w:val="18"/>
                <w:szCs w:val="18"/>
              </w:rPr>
              <w:t> </w:t>
            </w:r>
            <w:r>
              <w:rPr>
                <w:rFonts w:ascii="宋体" w:hAnsi="宋体" w:cs="宋体" w:eastAsia="宋体" w:hint="default"/>
                <w:sz w:val="18"/>
                <w:szCs w:val="18"/>
              </w:rPr>
              <w:t>公司</w:t>
            </w:r>
            <w:r>
              <w:rPr>
                <w:rFonts w:ascii="宋体" w:hAnsi="宋体" w:cs="宋体" w:eastAsia="宋体" w:hint="default"/>
                <w:sz w:val="18"/>
                <w:szCs w:val="18"/>
              </w:rPr>
              <w:t> 上市后三年 </w:t>
            </w:r>
            <w:r>
              <w:rPr>
                <w:rFonts w:ascii="宋体" w:hAnsi="宋体" w:cs="宋体" w:eastAsia="宋体" w:hint="default"/>
                <w:spacing w:val="-2"/>
                <w:sz w:val="18"/>
                <w:szCs w:val="18"/>
              </w:rPr>
              <w:t>内，如果公司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股票收盘价 连续二十个 交易日低于 上一会计年 度经审计的 每股净资产</w:t>
            </w:r>
          </w:p>
          <w:p>
            <w:pPr>
              <w:pStyle w:val="TableParagraph"/>
              <w:spacing w:line="316" w:lineRule="auto" w:before="19"/>
              <w:ind w:left="24" w:right="11"/>
              <w:jc w:val="left"/>
              <w:rPr>
                <w:rFonts w:ascii="宋体" w:hAnsi="宋体" w:cs="宋体" w:eastAsia="宋体" w:hint="default"/>
                <w:sz w:val="18"/>
                <w:szCs w:val="18"/>
              </w:rPr>
            </w:pPr>
            <w:r>
              <w:rPr>
                <w:rFonts w:ascii="宋体" w:hAnsi="宋体" w:cs="宋体" w:eastAsia="宋体" w:hint="default"/>
                <w:sz w:val="18"/>
                <w:szCs w:val="18"/>
              </w:rPr>
              <w:t>（因利润分 配、资本公积 金转增股本、 增发、配股等 除权除息事 项导致公司 净资产或股 份总数发生 变化的，每股 净资产进行 相应调整，下 </w:t>
            </w:r>
            <w:r>
              <w:rPr>
                <w:rFonts w:ascii="宋体" w:hAnsi="宋体" w:cs="宋体" w:eastAsia="宋体" w:hint="default"/>
                <w:spacing w:val="-16"/>
                <w:sz w:val="18"/>
                <w:szCs w:val="18"/>
              </w:rPr>
              <w:t>同），即触及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启动稳定股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sz w:val="18"/>
              </w:rPr>
              <w:t>2020-07-18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价预案的条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件，公司应在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发生上述情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形的最后一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个交易日起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十个交易日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内，严格按照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上市后三年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内公司股价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稳定预案》的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规定启动稳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定股价措施，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票。由公司董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事会制定具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并提前三个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交易日公告。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hAnsi="宋体" w:cs="宋体" w:eastAsia="宋体" w:hint="default"/>
                <w:sz w:val="18"/>
                <w:szCs w:val="18"/>
              </w:rPr>
              <w:t>（二）稳定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股价具体措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49"/>
                <w:sz w:val="18"/>
                <w:szCs w:val="18"/>
              </w:rPr>
              <w:t> </w:t>
            </w:r>
            <w:r>
              <w:rPr>
                <w:rFonts w:ascii="宋体" w:hAnsi="宋体" w:cs="宋体" w:eastAsia="宋体" w:hint="default"/>
                <w:sz w:val="18"/>
                <w:szCs w:val="18"/>
              </w:rPr>
              <w:t>公司稳定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股价的具体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措施为：本公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司回购公司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股股东增持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司董事和高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9"/>
                <w:sz w:val="18"/>
                <w:szCs w:val="18"/>
              </w:rPr>
              <w:t> </w:t>
            </w:r>
            <w:r>
              <w:rPr>
                <w:rFonts w:ascii="宋体" w:hAnsi="宋体" w:cs="宋体" w:eastAsia="宋体" w:hint="default"/>
                <w:sz w:val="18"/>
                <w:szCs w:val="18"/>
              </w:rPr>
              <w:t>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定措施的实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施顺序如下：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、第一选择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为公司回购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股票，但如公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司回购股票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将导致公司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不满足法定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上市条件，则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第一选择为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公司为稳定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股价之目的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回购股份，应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符合《上市公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司回购社会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公众股份管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理办法（试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92"/>
                <w:sz w:val="18"/>
                <w:szCs w:val="18"/>
              </w:rPr>
              <w:t>）</w:t>
            </w:r>
            <w:r>
              <w:rPr>
                <w:rFonts w:ascii="宋体" w:hAnsi="宋体" w:cs="宋体" w:eastAsia="宋体" w:hint="default"/>
                <w:sz w:val="18"/>
                <w:szCs w:val="18"/>
              </w:rPr>
              <w:t>》等相关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规定。公司以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要约方式回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区间参考公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司上一会计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年度末经审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资产并结合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公司当时的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财务状况和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经营状况决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定。公司实施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案时，拟用于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回购资金应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为自筹资金。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单次回购的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公司股份数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量不超过公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司总股本的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。并且，公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司单次回购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总金额不少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但如果单次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回购总金额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不少于人民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的要求将导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致单次回购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数量超过公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2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的，则可以少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、第二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选择为控股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司股票。在下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列情形之一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出现时将启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动第二选择：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法实施回购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股票或回购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股票议案未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获得公司股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实施股票回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购计划但仍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未满足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盘价均已高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于公司最近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一年经审计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之条件。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稳定股价之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目的增持股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份，应符合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法》等相关法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律、法规的规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单次用于增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金金额不低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于自公司上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市后累计从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公司所获得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现金分红金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20%</w:t>
            </w:r>
            <w:r>
              <w:rPr>
                <w:rFonts w:ascii="宋体" w:hAnsi="宋体" w:cs="宋体" w:eastAsia="宋体" w:hint="default"/>
                <w:spacing w:val="-10"/>
                <w:sz w:val="18"/>
                <w:szCs w:val="18"/>
              </w:rPr>
              <w:t>；单</w:t>
            </w:r>
            <w:r>
              <w:rPr>
                <w:rFonts w:ascii="宋体" w:hAnsi="宋体" w:cs="宋体" w:eastAsia="宋体" w:hint="default"/>
                <w:sz w:val="18"/>
                <w:szCs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一年度用于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后累计从公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司所获得现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金分红金额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上述标准的，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价措施在当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年度不再继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续实施，但下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一年度继续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出现需要启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时，将继续按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照上述原则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执行。</w:t>
            </w:r>
            <w:r>
              <w:rPr>
                <w:rFonts w:ascii="宋体" w:hAnsi="宋体" w:cs="宋体" w:eastAsia="宋体" w:hint="default"/>
                <w:spacing w:val="18"/>
                <w:sz w:val="18"/>
                <w:szCs w:val="18"/>
              </w:rPr>
              <w:t> </w:t>
            </w:r>
            <w:r>
              <w:rPr>
                <w:rFonts w:ascii="Times New Roman" w:hAnsi="Times New Roman" w:cs="Times New Roman" w:eastAsia="Times New Roman" w:hint="default"/>
                <w:spacing w:val="-21"/>
                <w:sz w:val="18"/>
                <w:szCs w:val="18"/>
              </w:rPr>
              <w:t>3</w:t>
            </w:r>
            <w:r>
              <w:rPr>
                <w:rFonts w:ascii="宋体" w:hAnsi="宋体" w:cs="宋体" w:eastAsia="宋体" w:hint="default"/>
                <w:spacing w:val="-21"/>
                <w:sz w:val="18"/>
                <w:szCs w:val="18"/>
              </w:rPr>
              <w:t>、第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三选择为董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司股票。启动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该选择的条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件为：控股股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东增持股票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成后，如公司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股票仍未满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足</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均已高于公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司最近一年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经审计的每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条件，并且董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事和高级管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公司股票不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会致使公司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29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将不满足法</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定上市条件。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公司董事及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员为稳定股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价之目的增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持股份，应符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法》等相关法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律、法规的规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人员实施稳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定股价议案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时，用于增持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股份的货币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资金不少于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年度薪酬总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，但</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稳定股价措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施实施的具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体程序</w:t>
            </w:r>
            <w:r>
              <w:rPr>
                <w:rFonts w:ascii="宋体" w:hAnsi="宋体" w:cs="宋体" w:eastAsia="宋体" w:hint="default"/>
                <w:spacing w:val="50"/>
                <w:sz w:val="18"/>
                <w:szCs w:val="18"/>
              </w:rPr>
              <w:t> </w:t>
            </w:r>
            <w:r>
              <w:rPr>
                <w:rFonts w:ascii="Times New Roman" w:hAnsi="Times New Roman" w:cs="Times New Roman" w:eastAsia="Times New Roman" w:hint="default"/>
                <w:spacing w:val="-40"/>
                <w:sz w:val="18"/>
                <w:szCs w:val="18"/>
              </w:rPr>
              <w:t>1</w:t>
            </w:r>
            <w:r>
              <w:rPr>
                <w:rFonts w:ascii="宋体" w:hAnsi="宋体" w:cs="宋体" w:eastAsia="宋体" w:hint="default"/>
                <w:spacing w:val="-40"/>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司回购</w:t>
            </w:r>
            <w:r>
              <w:rPr>
                <w:rFonts w:ascii="宋体" w:hAnsi="宋体" w:cs="宋体" w:eastAsia="宋体" w:hint="default"/>
                <w:spacing w:val="49"/>
                <w:sz w:val="18"/>
                <w:szCs w:val="18"/>
              </w:rPr>
              <w:t> </w:t>
            </w:r>
            <w:r>
              <w:rPr>
                <w:rFonts w:ascii="宋体" w:hAnsi="宋体" w:cs="宋体" w:eastAsia="宋体" w:hint="default"/>
                <w:sz w:val="18"/>
                <w:szCs w:val="18"/>
              </w:rPr>
              <w:t>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司出现应启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预案情形，本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公司应在收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到通知后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工作日内启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动决策程序，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决议通过后，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依法通知债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权人和履行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备案程序。公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司将采取深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交易方式、要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94600"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约等方式回</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购股份。回购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毕后，公司应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内公告公司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股份变动报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告，并在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股份，办理工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手续。</w:t>
            </w:r>
            <w:r>
              <w:rPr>
                <w:rFonts w:ascii="宋体" w:hAnsi="宋体" w:cs="宋体" w:eastAsia="宋体" w:hint="default"/>
                <w:spacing w:val="49"/>
                <w:sz w:val="18"/>
                <w:szCs w:val="18"/>
              </w:rPr>
              <w:t> </w:t>
            </w:r>
            <w:r>
              <w:rPr>
                <w:rFonts w:ascii="宋体" w:hAnsi="宋体" w:cs="宋体" w:eastAsia="宋体" w:hint="default"/>
                <w:sz w:val="18"/>
                <w:szCs w:val="18"/>
              </w:rPr>
              <w:t>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回购股份议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案需经董事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决议通过，其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须经出席会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议的股东所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持表决权的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上通过。公司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董事承诺就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该等回购事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宜在董事会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中投赞成票；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控股股东承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诺就该等回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购事宜在股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东大会中投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赞成票。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控股股东增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9"/>
                <w:sz w:val="18"/>
                <w:szCs w:val="18"/>
              </w:rPr>
              <w:t> </w:t>
            </w:r>
            <w:r>
              <w:rPr>
                <w:rFonts w:ascii="宋体" w:hAnsi="宋体" w:cs="宋体" w:eastAsia="宋体" w:hint="default"/>
                <w:sz w:val="18"/>
                <w:szCs w:val="18"/>
              </w:rPr>
              <w:t>在公司出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现应启动预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案情形时，公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应在收到通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知后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日内启动内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部决策程序，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就其是否有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票的具体计</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划书面通知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公司并由公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司进行公告，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公告应披露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拟增持的数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量范围、价格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区间、总金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额、完成时间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等信息。增持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毕后，公司应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人员增持</w:t>
            </w:r>
            <w:r>
              <w:rPr>
                <w:rFonts w:ascii="宋体" w:hAnsi="宋体" w:cs="宋体" w:eastAsia="宋体" w:hint="default"/>
                <w:spacing w:val="49"/>
                <w:sz w:val="18"/>
                <w:szCs w:val="18"/>
              </w:rPr>
              <w:t> </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公司出现应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启动预案情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形时，公司董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事及高级管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理人员应在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收到通知后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个工作日内，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就其是否有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票的具体计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划书面通知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公司并由公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司进行公告，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公告应披露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拟增持的数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量范围、价格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区间、总金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额、完成时间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等信息。增持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方案实施完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毕后，公司应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内公告公司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股份变动报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人员应根据</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预案的规定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签署相关承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年内拟新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聘任董事和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员时，公司将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促使该新聘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任的董事和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员根据预案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的规定签署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相关承诺。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（四）股价稳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定预案未实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施的约束机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50"/>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自愿接受主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管机关对其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上述股价稳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定措施的制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定、实施等进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行监督，并承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、如公司控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股股东违反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预案及相关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承诺函所述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义务的，公司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有权将控股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股东应履行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相等金额的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应付控股股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予以截留，直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至控股股东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履行其增持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义务；如已经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连续两次以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上存在上述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情形时，则公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司可将与控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股股东履行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72.475983pt;width:55.8pt;height:686.5pt;mso-position-horizontal-relative:page;mso-position-vertical-relative:page;z-index:-1294576" coordorigin="7353,1450" coordsize="1116,13730">
            <v:shape style="position:absolute;left:7353;top:1450;width:1116;height:13730" coordorigin="7353,1450" coordsize="1116,13730" path="m7353,15180l8469,15180,8469,1450,7353,1450,7353,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7"/>
              <w:jc w:val="center"/>
              <w:rPr>
                <w:rFonts w:ascii="宋体" w:hAnsi="宋体" w:cs="宋体" w:eastAsia="宋体" w:hint="default"/>
                <w:sz w:val="18"/>
                <w:szCs w:val="18"/>
              </w:rPr>
            </w:pPr>
            <w:r>
              <w:rPr>
                <w:rFonts w:ascii="宋体" w:hAnsi="宋体" w:cs="宋体" w:eastAsia="宋体" w:hint="default"/>
                <w:sz w:val="18"/>
                <w:szCs w:val="18"/>
              </w:rPr>
              <w:t>其增持义务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相等金额的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应付控股股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予以截留用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于股份回购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计划，控股股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东丧失对相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应金额现金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分红的追索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权。对于应当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截留应付控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股股东的现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金分红，公司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董事（包括独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应当敦促公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司按时足额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截留，未履行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敦促义务的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董事（包括独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pacing w:val="-92"/>
                <w:sz w:val="18"/>
                <w:szCs w:val="18"/>
              </w:rPr>
              <w:t>）</w:t>
            </w:r>
            <w:r>
              <w:rPr>
                <w:rFonts w:ascii="宋体" w:hAnsi="宋体" w:cs="宋体" w:eastAsia="宋体" w:hint="default"/>
                <w:sz w:val="18"/>
                <w:szCs w:val="18"/>
              </w:rPr>
              <w:t>、高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应当向中小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股东承担赔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偿责任，中小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股东有权向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人民法院提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6"/>
              <w:jc w:val="center"/>
              <w:rPr>
                <w:rFonts w:ascii="Times New Roman" w:hAnsi="Times New Roman" w:cs="Times New Roman" w:eastAsia="Times New Roman" w:hint="default"/>
                <w:sz w:val="18"/>
                <w:szCs w:val="18"/>
              </w:rPr>
            </w:pPr>
            <w:r>
              <w:rPr>
                <w:rFonts w:ascii="宋体" w:hAnsi="宋体" w:cs="宋体" w:eastAsia="宋体" w:hint="default"/>
                <w:sz w:val="18"/>
                <w:szCs w:val="18"/>
              </w:rPr>
              <w:t>起诉讼；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如公司董事、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员违反预案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及相关承诺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函所述义务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的公司有权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将其履行增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持义务相等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金额的工资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薪酬（仅包括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其在公司领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取的工资薪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酬扣除当地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7"/>
              <w:jc w:val="center"/>
              <w:rPr>
                <w:rFonts w:ascii="宋体" w:hAnsi="宋体" w:cs="宋体" w:eastAsia="宋体" w:hint="default"/>
                <w:sz w:val="18"/>
                <w:szCs w:val="18"/>
              </w:rPr>
            </w:pPr>
            <w:r>
              <w:rPr>
                <w:rFonts w:ascii="宋体" w:hAnsi="宋体" w:cs="宋体" w:eastAsia="宋体" w:hint="default"/>
                <w:sz w:val="18"/>
                <w:szCs w:val="18"/>
              </w:rPr>
              <w:t>最低工资标</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97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准后的部分） 代其履行增 持义务；如个 人在任职期 间连续两次 以上未能主 动履行其增 持义务，由控 股股东或董 事会、监事 会、半数以上 的独立董事 提请股东大 会同意更换 相关董事，由 公司董事会 解聘相关高 级管理人员。</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北京德恒律 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立 信会计师事 </w:t>
            </w:r>
            <w:r>
              <w:rPr>
                <w:rFonts w:ascii="宋体" w:hAnsi="宋体" w:cs="宋体" w:eastAsia="宋体" w:hint="default"/>
                <w:spacing w:val="-3"/>
                <w:sz w:val="18"/>
                <w:szCs w:val="18"/>
              </w:rPr>
              <w:t>务所（特殊普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通合伙）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申万</w:t>
            </w:r>
            <w:r>
              <w:rPr>
                <w:rFonts w:ascii="宋体" w:hAnsi="宋体" w:cs="宋体" w:eastAsia="宋体" w:hint="default"/>
                <w:spacing w:val="-87"/>
                <w:sz w:val="18"/>
                <w:szCs w:val="18"/>
              </w:rPr>
              <w:t> </w:t>
            </w:r>
            <w:r>
              <w:rPr>
                <w:rFonts w:ascii="宋体" w:hAnsi="宋体" w:cs="宋体" w:eastAsia="宋体" w:hint="default"/>
                <w:sz w:val="18"/>
                <w:szCs w:val="18"/>
              </w:rPr>
              <w:t>宏源证券承 销保荐有限 责任公司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保荐机构申 万宏源承诺： 因发行人招 股说明书及 其他信息披 露资料有虚 假记载、误导 性陈述或者 重大遗漏，致 使投资者在 证券发行和 交易中遭受 损失的，将先 行赔偿投资 者损失。因本 机构为发行 人首次公开 发行制作、出 具的文件有 虚假记载、误 导性陈述或 者重大遗漏， 给投资者造 成损失的，将 先行赔偿投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资者损失。 律师事务所 德恒律师承 </w:t>
            </w:r>
            <w:r>
              <w:rPr>
                <w:rFonts w:ascii="宋体" w:hAnsi="宋体" w:cs="宋体" w:eastAsia="宋体" w:hint="default"/>
                <w:spacing w:val="-2"/>
                <w:sz w:val="18"/>
                <w:szCs w:val="18"/>
              </w:rPr>
              <w:t>诺：由于本所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为发行人首 次公开发行 </w:t>
            </w:r>
            <w:r>
              <w:rPr>
                <w:rFonts w:ascii="宋体" w:hAnsi="宋体" w:cs="宋体" w:eastAsia="宋体" w:hint="default"/>
                <w:spacing w:val="-2"/>
                <w:sz w:val="18"/>
                <w:szCs w:val="18"/>
              </w:rPr>
              <w:t>制作、出具的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文件有虚假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大遗漏，给投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资者造成损 </w:t>
            </w:r>
            <w:r>
              <w:rPr>
                <w:rFonts w:ascii="宋体" w:hAnsi="宋体" w:cs="宋体" w:eastAsia="宋体" w:hint="default"/>
                <w:spacing w:val="-2"/>
                <w:sz w:val="18"/>
                <w:szCs w:val="18"/>
              </w:rPr>
              <w:t>失的，本所将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依法赔偿投 资者损失。 会计师事务 所立信会计 </w:t>
            </w:r>
            <w:r>
              <w:rPr>
                <w:rFonts w:ascii="宋体" w:hAnsi="宋体" w:cs="宋体" w:eastAsia="宋体" w:hint="default"/>
                <w:spacing w:val="-2"/>
                <w:sz w:val="18"/>
                <w:szCs w:val="18"/>
              </w:rPr>
              <w:t>师承诺：因本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所为发行人 首次公开发 </w:t>
            </w:r>
            <w:r>
              <w:rPr>
                <w:rFonts w:ascii="宋体" w:hAnsi="宋体" w:cs="宋体" w:eastAsia="宋体" w:hint="default"/>
                <w:spacing w:val="-2"/>
                <w:sz w:val="18"/>
                <w:szCs w:val="18"/>
              </w:rPr>
              <w:t>行制作、出具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的文件有虚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投资者造成 </w:t>
            </w:r>
            <w:r>
              <w:rPr>
                <w:rFonts w:ascii="宋体" w:hAnsi="宋体" w:cs="宋体" w:eastAsia="宋体" w:hint="default"/>
                <w:spacing w:val="-2"/>
                <w:sz w:val="18"/>
                <w:szCs w:val="18"/>
              </w:rPr>
              <w:t>损失的，将依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法赔偿投资 者损失。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深圳市建筑 科学研究院 股份有限公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关于填补本 次发行股票 被摊薄即期 回报的措施 与承诺</w:t>
            </w:r>
            <w:r>
              <w:rPr>
                <w:rFonts w:ascii="宋体" w:hAnsi="宋体" w:cs="宋体" w:eastAsia="宋体" w:hint="default"/>
                <w:spacing w:val="49"/>
                <w:sz w:val="18"/>
                <w:szCs w:val="18"/>
              </w:rPr>
              <w:t> </w:t>
            </w:r>
            <w:r>
              <w:rPr>
                <w:rFonts w:ascii="宋体" w:hAnsi="宋体" w:cs="宋体" w:eastAsia="宋体" w:hint="default"/>
                <w:sz w:val="18"/>
                <w:szCs w:val="18"/>
              </w:rPr>
              <w:t>为降</w:t>
            </w:r>
            <w:r>
              <w:rPr>
                <w:rFonts w:ascii="宋体" w:hAnsi="宋体" w:cs="宋体" w:eastAsia="宋体" w:hint="default"/>
                <w:sz w:val="18"/>
                <w:szCs w:val="18"/>
              </w:rPr>
              <w:t> 低本次公开 发行股票对 公司即期回 报摊薄的风 </w:t>
            </w:r>
            <w:r>
              <w:rPr>
                <w:rFonts w:ascii="宋体" w:hAnsi="宋体" w:cs="宋体" w:eastAsia="宋体" w:hint="default"/>
                <w:spacing w:val="-2"/>
                <w:sz w:val="18"/>
                <w:szCs w:val="18"/>
              </w:rPr>
              <w:t>险，公司拟通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过大力发展 </w:t>
            </w:r>
            <w:r>
              <w:rPr>
                <w:rFonts w:ascii="宋体" w:hAnsi="宋体" w:cs="宋体" w:eastAsia="宋体" w:hint="default"/>
                <w:spacing w:val="-2"/>
                <w:sz w:val="18"/>
                <w:szCs w:val="18"/>
              </w:rPr>
              <w:t>主营业务、加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强募集资金 </w:t>
            </w:r>
            <w:r>
              <w:rPr>
                <w:rFonts w:ascii="宋体" w:hAnsi="宋体" w:cs="宋体" w:eastAsia="宋体" w:hint="default"/>
                <w:spacing w:val="-2"/>
                <w:sz w:val="18"/>
                <w:szCs w:val="18"/>
              </w:rPr>
              <w:t>管理、加快募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投项目投资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66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进度、加大市 场开拓力度、 加强内部控 制、强化投资 者回报机制 等措施，提高 公司整体市 场竞争力和 盈利能力，以 填补被摊薄 即期回报。</w:t>
            </w:r>
          </w:p>
          <w:p>
            <w:pPr>
              <w:pStyle w:val="TableParagraph"/>
              <w:spacing w:line="319" w:lineRule="auto" w:before="19"/>
              <w:ind w:left="24" w:right="19"/>
              <w:jc w:val="left"/>
              <w:rPr>
                <w:rFonts w:ascii="宋体" w:hAnsi="宋体" w:cs="宋体" w:eastAsia="宋体" w:hint="default"/>
                <w:sz w:val="18"/>
                <w:szCs w:val="18"/>
              </w:rPr>
            </w:pPr>
            <w:r>
              <w:rPr>
                <w:rFonts w:ascii="宋体" w:hAnsi="宋体" w:cs="宋体" w:eastAsia="宋体" w:hint="default"/>
                <w:spacing w:val="-2"/>
                <w:sz w:val="18"/>
                <w:szCs w:val="18"/>
              </w:rPr>
              <w:t>（一）公司现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有业务板块 </w:t>
            </w:r>
            <w:r>
              <w:rPr>
                <w:rFonts w:ascii="宋体" w:hAnsi="宋体" w:cs="宋体" w:eastAsia="宋体" w:hint="default"/>
                <w:spacing w:val="-2"/>
                <w:sz w:val="18"/>
                <w:szCs w:val="18"/>
              </w:rPr>
              <w:t>运营状况、发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展态势，面临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的主要风险 及改进措施</w:t>
            </w:r>
          </w:p>
          <w:p>
            <w:pPr>
              <w:pStyle w:val="TableParagraph"/>
              <w:spacing w:line="240" w:lineRule="auto" w:before="59"/>
              <w:ind w:left="163" w:right="0"/>
              <w:jc w:val="left"/>
              <w:rPr>
                <w:rFonts w:ascii="Times New Roman" w:hAnsi="Times New Roman" w:cs="Times New Roman" w:eastAsia="Times New Roman" w:hint="default"/>
                <w:sz w:val="18"/>
                <w:szCs w:val="18"/>
              </w:rPr>
            </w:pPr>
            <w:r>
              <w:rPr>
                <w:rFonts w:ascii="Times New Roman"/>
                <w:sz w:val="18"/>
              </w:rPr>
              <w:t>1.</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3" w:right="187"/>
              <w:jc w:val="both"/>
              <w:rPr>
                <w:rFonts w:ascii="宋体" w:hAnsi="宋体" w:cs="宋体" w:eastAsia="宋体" w:hint="default"/>
                <w:sz w:val="18"/>
                <w:szCs w:val="18"/>
              </w:rPr>
            </w:pPr>
            <w:r>
              <w:rPr>
                <w:rFonts w:ascii="宋体" w:hAnsi="宋体" w:cs="宋体" w:eastAsia="宋体" w:hint="default"/>
                <w:sz w:val="18"/>
                <w:szCs w:val="18"/>
              </w:rPr>
              <w:t>深圳市建筑 科学研究院 股份有限公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若本公司招 股说明书有 虚假记载、误 导性陈述或 者重大遗漏， 对判断本公 司是否符合 法律规定的 发行条件构 成重大、实质 影响的，公司 将依法回购 首次公开发 行的全部新 股，回购价格 不低于公司 首次公开发 行股份的发 行价，期间公 司如有派发 股利、送股、 转增股本等 除权除息事 项，上述价格 相应调整，并 在有权部门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9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宋体" w:hAnsi="宋体" w:cs="宋体" w:eastAsia="宋体" w:hint="default"/>
                <w:sz w:val="18"/>
                <w:szCs w:val="18"/>
              </w:rPr>
            </w:pPr>
            <w:r>
              <w:rPr>
                <w:rFonts w:ascii="宋体" w:hAnsi="宋体" w:cs="宋体" w:eastAsia="宋体" w:hint="default"/>
                <w:sz w:val="18"/>
                <w:szCs w:val="18"/>
              </w:rPr>
              <w:t>作出行政处 罚或人民法 院作出相关 判决之日起 启动回购决 策程序，在公 司股东大会 决议做出之 日起次日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 实施完毕。若 本公司招股 说明书有虚 假记载、误导 性陈述或者 重大遗漏，致 使投资者在 证券交易中 遭受损失的， 本公司将依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深圳市远致 投资有限公 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公司实际控 制人深圳市 国资委承诺： 远致投资作 为发行人的 控股股东，已 就发行人上 市招股说明 书事宜作出 公开承诺。如 经中国证监 会等有权监 管机构或司 法机构认定， 发行人上市 的招股说明 书有虚假记 载、误导性陈 述或者重大 遗漏，导致对 判断发行人 是否符合法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行条件构成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实质影响的，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或者致使投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损失并因此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触发发行人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回购首次公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开发行的全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部新股责任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的，或者触发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股东、董事、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监事和高级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管理人员的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赔偿责任的，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我委将依法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督促发行人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及远致公司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履行相关义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务并承担相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关责任。</w:t>
            </w:r>
            <w:r>
              <w:rPr>
                <w:rFonts w:ascii="宋体" w:hAnsi="宋体" w:cs="宋体" w:eastAsia="宋体" w:hint="default"/>
                <w:spacing w:val="49"/>
                <w:sz w:val="18"/>
                <w:szCs w:val="18"/>
              </w:rPr>
              <w:t> </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远致投资承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诺：因发行人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漏，致使投资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者在证券交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易中遭受损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失的，本公司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投资者损失。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因发行人招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股说明书有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重大遗漏，对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判断发行人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是否符合法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律规定的发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10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行条件构成 重大、实质影 响，并已由有 权部门作出 行政处罚或 人民法院作 出相关判决 的，本公司利 用发行人控 股股东地位， 促使发行人 依法回购首 次公开发行 的全部新股， 同时本公司 将按照二级 市场的价格 依法购回已 转让的原限 售股份。本公 司购回股票 时将依照《公 </w:t>
            </w:r>
            <w:r>
              <w:rPr>
                <w:rFonts w:ascii="宋体" w:hAnsi="宋体" w:cs="宋体" w:eastAsia="宋体" w:hint="default"/>
                <w:spacing w:val="-28"/>
                <w:sz w:val="18"/>
                <w:szCs w:val="18"/>
              </w:rPr>
              <w:t>司法》、《证券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sz w:val="18"/>
                <w:szCs w:val="18"/>
              </w:rPr>
              <w:t>法》、中国证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监会和深圳 证券交易所 的相关规定 以及《公司章</w:t>
            </w:r>
            <w:r>
              <w:rPr>
                <w:rFonts w:ascii="宋体" w:hAnsi="宋体" w:cs="宋体" w:eastAsia="宋体" w:hint="default"/>
                <w:sz w:val="18"/>
                <w:szCs w:val="18"/>
              </w:rPr>
              <w:t> 程》执行。</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3" w:right="36"/>
              <w:jc w:val="left"/>
              <w:rPr>
                <w:rFonts w:ascii="宋体" w:hAnsi="宋体" w:cs="宋体" w:eastAsia="宋体" w:hint="default"/>
                <w:sz w:val="18"/>
                <w:szCs w:val="18"/>
              </w:rPr>
            </w:pPr>
            <w:r>
              <w:rPr>
                <w:rFonts w:ascii="宋体" w:hAnsi="宋体" w:cs="宋体" w:eastAsia="宋体" w:hint="default"/>
                <w:sz w:val="18"/>
                <w:szCs w:val="18"/>
              </w:rPr>
              <w:t>曹翔</w:t>
            </w:r>
            <w:r>
              <w:rPr>
                <w:rFonts w:ascii="Times New Roman" w:hAnsi="Times New Roman" w:cs="Times New Roman" w:eastAsia="Times New Roman" w:hint="default"/>
                <w:sz w:val="18"/>
                <w:szCs w:val="18"/>
              </w:rPr>
              <w:t>;</w:t>
            </w:r>
            <w:r>
              <w:rPr>
                <w:rFonts w:ascii="宋体" w:hAnsi="宋体" w:cs="宋体" w:eastAsia="宋体" w:hint="default"/>
                <w:sz w:val="18"/>
                <w:szCs w:val="18"/>
              </w:rPr>
              <w:t>陈泽广</w:t>
            </w:r>
            <w:r>
              <w:rPr>
                <w:rFonts w:ascii="Times New Roman" w:hAnsi="Times New Roman" w:cs="Times New Roman" w:eastAsia="Times New Roman" w:hint="default"/>
                <w:sz w:val="18"/>
                <w:szCs w:val="18"/>
              </w:rPr>
              <w:t>; </w:t>
            </w:r>
            <w:r>
              <w:rPr>
                <w:rFonts w:ascii="宋体" w:hAnsi="宋体" w:cs="宋体" w:eastAsia="宋体" w:hint="default"/>
                <w:sz w:val="18"/>
                <w:szCs w:val="18"/>
              </w:rPr>
              <w:t>蓝虹</w:t>
            </w:r>
            <w:r>
              <w:rPr>
                <w:rFonts w:ascii="Times New Roman" w:hAnsi="Times New Roman" w:cs="Times New Roman" w:eastAsia="Times New Roman" w:hint="default"/>
                <w:sz w:val="18"/>
                <w:szCs w:val="18"/>
              </w:rPr>
              <w:t>;</w:t>
            </w:r>
            <w:r>
              <w:rPr>
                <w:rFonts w:ascii="宋体" w:hAnsi="宋体" w:cs="宋体" w:eastAsia="宋体" w:hint="default"/>
                <w:sz w:val="18"/>
                <w:szCs w:val="18"/>
              </w:rPr>
              <w:t>林晓春</w:t>
            </w:r>
            <w:r>
              <w:rPr>
                <w:rFonts w:ascii="Times New Roman" w:hAnsi="Times New Roman" w:cs="Times New Roman" w:eastAsia="Times New Roman" w:hint="default"/>
                <w:sz w:val="18"/>
                <w:szCs w:val="18"/>
              </w:rPr>
              <w:t>; </w:t>
            </w:r>
            <w:r>
              <w:rPr>
                <w:rFonts w:ascii="宋体" w:hAnsi="宋体" w:cs="宋体" w:eastAsia="宋体" w:hint="default"/>
                <w:sz w:val="18"/>
                <w:szCs w:val="18"/>
              </w:rPr>
              <w:t>刘俊跃</w:t>
            </w:r>
            <w:r>
              <w:rPr>
                <w:rFonts w:ascii="Times New Roman" w:hAnsi="Times New Roman" w:cs="Times New Roman" w:eastAsia="Times New Roman" w:hint="default"/>
                <w:sz w:val="18"/>
                <w:szCs w:val="18"/>
              </w:rPr>
              <w:t>;</w:t>
            </w:r>
            <w:r>
              <w:rPr>
                <w:rFonts w:ascii="宋体" w:hAnsi="宋体" w:cs="宋体" w:eastAsia="宋体" w:hint="default"/>
                <w:sz w:val="18"/>
                <w:szCs w:val="18"/>
              </w:rPr>
              <w:t>刘丽</w:t>
            </w:r>
            <w:r>
              <w:rPr>
                <w:rFonts w:ascii="Times New Roman" w:hAnsi="Times New Roman" w:cs="Times New Roman" w:eastAsia="Times New Roman" w:hint="default"/>
                <w:sz w:val="18"/>
                <w:szCs w:val="18"/>
              </w:rPr>
              <w:t>; </w:t>
            </w:r>
            <w:r>
              <w:rPr>
                <w:rFonts w:ascii="宋体" w:hAnsi="宋体" w:cs="宋体" w:eastAsia="宋体" w:hint="default"/>
                <w:sz w:val="18"/>
                <w:szCs w:val="18"/>
              </w:rPr>
              <w:t>毛洪伟</w:t>
            </w:r>
            <w:r>
              <w:rPr>
                <w:rFonts w:ascii="Times New Roman" w:hAnsi="Times New Roman" w:cs="Times New Roman" w:eastAsia="Times New Roman" w:hint="default"/>
                <w:sz w:val="18"/>
                <w:szCs w:val="18"/>
              </w:rPr>
              <w:t>;</w:t>
            </w:r>
            <w:r>
              <w:rPr>
                <w:rFonts w:ascii="宋体" w:hAnsi="宋体" w:cs="宋体" w:eastAsia="宋体" w:hint="default"/>
                <w:sz w:val="18"/>
                <w:szCs w:val="18"/>
              </w:rPr>
              <w:t>莫福 光</w:t>
            </w:r>
            <w:r>
              <w:rPr>
                <w:rFonts w:ascii="Times New Roman" w:hAnsi="Times New Roman" w:cs="Times New Roman" w:eastAsia="Times New Roman" w:hint="default"/>
                <w:sz w:val="18"/>
                <w:szCs w:val="18"/>
              </w:rPr>
              <w:t>;</w:t>
            </w:r>
            <w:r>
              <w:rPr>
                <w:rFonts w:ascii="宋体" w:hAnsi="宋体" w:cs="宋体" w:eastAsia="宋体" w:hint="default"/>
                <w:sz w:val="18"/>
                <w:szCs w:val="18"/>
              </w:rPr>
              <w:t>邵顺昌</w:t>
            </w:r>
            <w:r>
              <w:rPr>
                <w:rFonts w:ascii="Times New Roman" w:hAnsi="Times New Roman" w:cs="Times New Roman" w:eastAsia="Times New Roman" w:hint="default"/>
                <w:sz w:val="18"/>
                <w:szCs w:val="18"/>
              </w:rPr>
              <w:t>;</w:t>
            </w:r>
            <w:r>
              <w:rPr>
                <w:rFonts w:ascii="宋体" w:hAnsi="宋体" w:cs="宋体" w:eastAsia="宋体" w:hint="default"/>
                <w:sz w:val="18"/>
                <w:szCs w:val="18"/>
              </w:rPr>
              <w:t>沈 武</w:t>
            </w:r>
            <w:r>
              <w:rPr>
                <w:rFonts w:ascii="Times New Roman" w:hAnsi="Times New Roman" w:cs="Times New Roman" w:eastAsia="Times New Roman" w:hint="default"/>
                <w:sz w:val="18"/>
                <w:szCs w:val="18"/>
              </w:rPr>
              <w:t>;</w:t>
            </w:r>
            <w:r>
              <w:rPr>
                <w:rFonts w:ascii="宋体" w:hAnsi="宋体" w:cs="宋体" w:eastAsia="宋体" w:hint="default"/>
                <w:sz w:val="18"/>
                <w:szCs w:val="18"/>
              </w:rPr>
              <w:t>吴硕贤</w:t>
            </w:r>
            <w:r>
              <w:rPr>
                <w:rFonts w:ascii="Times New Roman" w:hAnsi="Times New Roman" w:cs="Times New Roman" w:eastAsia="Times New Roman" w:hint="default"/>
                <w:sz w:val="18"/>
                <w:szCs w:val="18"/>
              </w:rPr>
              <w:t>;</w:t>
            </w:r>
            <w:r>
              <w:rPr>
                <w:rFonts w:ascii="宋体" w:hAnsi="宋体" w:cs="宋体" w:eastAsia="宋体" w:hint="default"/>
                <w:sz w:val="18"/>
                <w:szCs w:val="18"/>
              </w:rPr>
              <w:t>姚 培</w:t>
            </w:r>
            <w:r>
              <w:rPr>
                <w:rFonts w:ascii="Times New Roman" w:hAnsi="Times New Roman" w:cs="Times New Roman" w:eastAsia="Times New Roman" w:hint="default"/>
                <w:sz w:val="18"/>
                <w:szCs w:val="18"/>
              </w:rPr>
              <w:t>;</w:t>
            </w:r>
            <w:r>
              <w:rPr>
                <w:rFonts w:ascii="宋体" w:hAnsi="宋体" w:cs="宋体" w:eastAsia="宋体" w:hint="default"/>
                <w:sz w:val="18"/>
                <w:szCs w:val="18"/>
              </w:rPr>
              <w:t>叶青</w:t>
            </w:r>
            <w:r>
              <w:rPr>
                <w:rFonts w:ascii="Times New Roman" w:hAnsi="Times New Roman" w:cs="Times New Roman" w:eastAsia="Times New Roman" w:hint="default"/>
                <w:sz w:val="18"/>
                <w:szCs w:val="18"/>
              </w:rPr>
              <w:t>;</w:t>
            </w:r>
            <w:r>
              <w:rPr>
                <w:rFonts w:ascii="宋体" w:hAnsi="宋体" w:cs="宋体" w:eastAsia="宋体" w:hint="default"/>
                <w:sz w:val="18"/>
                <w:szCs w:val="18"/>
              </w:rPr>
              <w:t>余庆</w:t>
            </w:r>
            <w:r>
              <w:rPr>
                <w:rFonts w:ascii="Times New Roman" w:hAnsi="Times New Roman" w:cs="Times New Roman" w:eastAsia="Times New Roman" w:hint="default"/>
                <w:sz w:val="18"/>
                <w:szCs w:val="18"/>
              </w:rPr>
              <w:t>; </w:t>
            </w:r>
            <w:r>
              <w:rPr>
                <w:rFonts w:ascii="宋体" w:hAnsi="宋体" w:cs="宋体" w:eastAsia="宋体" w:hint="default"/>
                <w:sz w:val="18"/>
                <w:szCs w:val="18"/>
              </w:rPr>
              <w:t>詹辉轮</w:t>
            </w:r>
            <w:r>
              <w:rPr>
                <w:rFonts w:ascii="Times New Roman" w:hAnsi="Times New Roman" w:cs="Times New Roman" w:eastAsia="Times New Roman" w:hint="default"/>
                <w:sz w:val="18"/>
                <w:szCs w:val="18"/>
              </w:rPr>
              <w:t>;</w:t>
            </w:r>
            <w:r>
              <w:rPr>
                <w:rFonts w:ascii="宋体" w:hAnsi="宋体" w:cs="宋体" w:eastAsia="宋体" w:hint="default"/>
                <w:sz w:val="18"/>
                <w:szCs w:val="18"/>
              </w:rPr>
              <w:t>郑学 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发行人招股 说明书有虚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性陈述或重 </w:t>
            </w:r>
            <w:r>
              <w:rPr>
                <w:rFonts w:ascii="宋体" w:hAnsi="宋体" w:cs="宋体" w:eastAsia="宋体" w:hint="default"/>
                <w:spacing w:val="-2"/>
                <w:sz w:val="18"/>
                <w:szCs w:val="18"/>
              </w:rPr>
              <w:t>大遗漏，致使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投资者在证 券交易中遭 </w:t>
            </w:r>
            <w:r>
              <w:rPr>
                <w:rFonts w:ascii="宋体" w:hAnsi="宋体" w:cs="宋体" w:eastAsia="宋体" w:hint="default"/>
                <w:spacing w:val="-2"/>
                <w:sz w:val="18"/>
                <w:szCs w:val="18"/>
              </w:rPr>
              <w:t>受损失的，发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行人董事、监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人员将依法 赔偿投资者 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7"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pStyle w:val="Heading5"/>
        <w:spacing w:line="312" w:lineRule="exact" w:before="32"/>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会计政策变更</w:t>
      </w:r>
    </w:p>
    <w:p>
      <w:pPr>
        <w:pStyle w:val="BodyText"/>
        <w:spacing w:line="307" w:lineRule="auto" w:before="63"/>
        <w:ind w:right="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28</w:t>
      </w:r>
      <w:r>
        <w:rPr>
          <w:spacing w:val="-4"/>
        </w:rPr>
        <w:t>日，财政部颁布《关于印发</w:t>
      </w:r>
      <w:r>
        <w:rPr>
          <w:rFonts w:ascii="Times New Roman" w:hAnsi="Times New Roman" w:cs="Times New Roman" w:eastAsia="Times New Roman" w:hint="default"/>
          <w:spacing w:val="-4"/>
        </w:rPr>
        <w:t>&lt;</w:t>
      </w:r>
      <w:r>
        <w:rPr>
          <w:spacing w:val="-4"/>
        </w:rPr>
        <w:t>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w:t>
      </w:r>
      <w:r>
        <w:rPr>
          <w:rFonts w:ascii="Times New Roman" w:hAnsi="Times New Roman" w:cs="Times New Roman" w:eastAsia="Times New Roman" w:hint="default"/>
          <w:spacing w:val="-4"/>
        </w:rPr>
        <w:t>&gt;</w:t>
      </w:r>
      <w:r>
        <w:rPr>
          <w:spacing w:val="-4"/>
        </w:rPr>
        <w:t>的通知》（财</w:t>
      </w:r>
      <w:r>
        <w:rPr>
          <w:spacing w:val="-52"/>
        </w:rPr>
        <w:t> </w:t>
      </w:r>
      <w:r>
        <w:rPr>
          <w:spacing w:val="-52"/>
        </w:rPr>
      </w:r>
      <w:r>
        <w:rPr/>
        <w:t>会</w:t>
      </w:r>
      <w:r>
        <w:rPr>
          <w:rFonts w:ascii="Times New Roman" w:hAnsi="Times New Roman" w:cs="Times New Roman" w:eastAsia="Times New Roman" w:hint="default"/>
        </w:rPr>
        <w:t>[2017]13</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日起施行。对于执行日存在的持有待售的非流动资产、处置组和终止经营，要求采用未来 适用法处理。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日，财政部颁布《关于印发修订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的通知》（财会</w:t>
      </w:r>
      <w:r>
        <w:rPr>
          <w:rFonts w:ascii="Times New Roman" w:hAnsi="Times New Roman" w:cs="Times New Roman" w:eastAsia="Times New Roman" w:hint="default"/>
          <w:spacing w:val="-1"/>
        </w:rPr>
        <w:t>[2017]15</w:t>
      </w:r>
      <w:r>
        <w:rPr>
          <w:spacing w:val="-1"/>
        </w:rPr>
        <w:t>号），自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39"/>
        </w:rPr>
        <w:t> </w:t>
      </w:r>
      <w:r>
        <w:rPr>
          <w:spacing w:val="-2"/>
        </w:rPr>
        <w:t>月</w:t>
      </w:r>
      <w:r>
        <w:rPr>
          <w:rFonts w:ascii="Times New Roman" w:hAnsi="Times New Roman" w:cs="Times New Roman" w:eastAsia="Times New Roman" w:hint="default"/>
          <w:spacing w:val="-2"/>
        </w:rPr>
        <w:t>12</w:t>
      </w:r>
      <w:r>
        <w:rPr>
          <w:spacing w:val="-2"/>
        </w:rPr>
        <w:t>日起施行。根据新政府补助准则要求，对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日起存在的政府补助采用未来适用法处理，与企业日常活动相关的</w:t>
      </w:r>
      <w:r>
        <w:rPr>
          <w:spacing w:val="-59"/>
        </w:rPr>
        <w:t> </w:t>
      </w:r>
      <w:r>
        <w:rPr>
          <w:spacing w:val="-59"/>
        </w:rPr>
      </w:r>
      <w:r>
        <w:rPr>
          <w:spacing w:val="-2"/>
        </w:rPr>
        <w:t>政府补助应当按照经济业务实质，计入其他收益或冲减相关的成本费用；与企业日常活动无关的政府补助，应当计入营业外</w:t>
      </w:r>
      <w:r>
        <w:rPr>
          <w:spacing w:val="-63"/>
        </w:rPr>
        <w:t> </w:t>
      </w:r>
      <w:r>
        <w:rPr>
          <w:spacing w:val="-63"/>
        </w:rPr>
      </w:r>
      <w:r>
        <w:rPr/>
        <w:t>收入，企业应当在</w:t>
      </w:r>
      <w:r>
        <w:rPr>
          <w:rFonts w:ascii="Times New Roman" w:hAnsi="Times New Roman" w:cs="Times New Roman" w:eastAsia="Times New Roman" w:hint="default"/>
        </w:rPr>
        <w:t>“</w:t>
      </w:r>
      <w:r>
        <w:rPr/>
        <w:t>利润表</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项目，反映计入其他收益的政府补助。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日，财政部颁布《财政部关于修订印发一般企业财务报表格式的通知》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w:t>
      </w:r>
      <w:r>
        <w:rPr/>
        <w:t>号</w:t>
      </w:r>
      <w:r>
        <w:rPr>
          <w:rFonts w:ascii="Times New Roman" w:hAnsi="Times New Roman" w:cs="Times New Roman" w:eastAsia="Times New Roman" w:hint="default"/>
        </w:rPr>
        <w:t>)</w:t>
      </w:r>
      <w:r>
        <w:rPr/>
        <w:t>。新修订的财务报表 </w:t>
      </w:r>
      <w:r>
        <w:rPr>
          <w:spacing w:val="-1"/>
        </w:rPr>
        <w:t>格式除上述提及新修订的企业会计准则对报表项目的影响外，在</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之上新增</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w:t>
      </w:r>
      <w:r>
        <w:rPr>
          <w:spacing w:val="-1"/>
        </w:rPr>
        <w:t>项目，反映企业出售划</w:t>
      </w:r>
      <w:r>
        <w:rPr>
          <w:spacing w:val="-77"/>
        </w:rPr>
        <w:t> </w:t>
      </w:r>
      <w:r>
        <w:rPr>
          <w:spacing w:val="-77"/>
        </w:rPr>
      </w:r>
      <w:r>
        <w:rPr>
          <w:spacing w:val="-1"/>
        </w:rPr>
        <w:t>分为持有待售的非流动资产</w:t>
      </w:r>
      <w:r>
        <w:rPr>
          <w:rFonts w:ascii="Times New Roman" w:hAnsi="Times New Roman" w:cs="Times New Roman" w:eastAsia="Times New Roman" w:hint="default"/>
          <w:spacing w:val="-1"/>
        </w:rPr>
        <w:t>(</w:t>
      </w:r>
      <w:r>
        <w:rPr>
          <w:spacing w:val="-1"/>
        </w:rPr>
        <w:t>金融工具、长期股权投资和投资性房地产除外</w:t>
      </w:r>
      <w:r>
        <w:rPr>
          <w:rFonts w:ascii="Times New Roman" w:hAnsi="Times New Roman" w:cs="Times New Roman" w:eastAsia="Times New Roman" w:hint="default"/>
          <w:spacing w:val="-1"/>
        </w:rPr>
        <w:t>)</w:t>
      </w:r>
      <w:r>
        <w:rPr>
          <w:spacing w:val="-1"/>
        </w:rPr>
        <w:t>或处置组确认的处置利得或损失、以及处置未划</w:t>
      </w:r>
      <w:r>
        <w:rPr>
          <w:spacing w:val="-56"/>
        </w:rPr>
        <w:t> </w:t>
      </w:r>
      <w:r>
        <w:rPr>
          <w:spacing w:val="-56"/>
        </w:rPr>
      </w:r>
      <w:r>
        <w:rPr>
          <w:spacing w:val="-2"/>
        </w:rPr>
        <w:t>为持有待售的固定资产、在建工程、生产性生物资产及无形资产而产生的处置利得或损失；债务重组中因处置非流动资产产</w:t>
      </w:r>
      <w:r>
        <w:rPr>
          <w:spacing w:val="-63"/>
        </w:rPr>
        <w:t> </w:t>
      </w:r>
      <w:r>
        <w:rPr>
          <w:spacing w:val="-63"/>
        </w:rPr>
      </w:r>
      <w:r>
        <w:rPr/>
        <w:t>生的利得或损失和非货币性资产交换产生的利得或损失。 上述变更仅对财务报表项目列示产生影响，对公司损益、总资产、净资产不产生影响。</w:t>
      </w:r>
    </w:p>
    <w:p>
      <w:pPr>
        <w:pStyle w:val="BodyText"/>
        <w:spacing w:line="304" w:lineRule="auto" w:before="26"/>
        <w:ind w:right="151"/>
        <w:jc w:val="left"/>
      </w:pPr>
      <w:r>
        <w:rPr/>
        <w:t>对财务报表列示影响如下： </w:t>
      </w:r>
      <w:r>
        <w:rPr>
          <w:spacing w:val="-2"/>
        </w:rPr>
        <w:t>列示持续经营净利润本年金额</w:t>
      </w:r>
      <w:r>
        <w:rPr>
          <w:rFonts w:ascii="Times New Roman" w:hAnsi="Times New Roman" w:cs="Times New Roman" w:eastAsia="Times New Roman" w:hint="default"/>
          <w:spacing w:val="-2"/>
        </w:rPr>
        <w:t>33,904,614.66</w:t>
      </w:r>
      <w:r>
        <w:rPr>
          <w:spacing w:val="-2"/>
        </w:rPr>
        <w:t>元，终止经营净利润本年金额</w:t>
      </w:r>
      <w:r>
        <w:rPr>
          <w:rFonts w:ascii="Times New Roman" w:hAnsi="Times New Roman" w:cs="Times New Roman" w:eastAsia="Times New Roman" w:hint="default"/>
          <w:spacing w:val="-2"/>
        </w:rPr>
        <w:t>0.00</w:t>
      </w:r>
      <w:r>
        <w:rPr>
          <w:spacing w:val="-2"/>
        </w:rPr>
        <w:t>元；列示持续经营净利润上年金额</w:t>
      </w:r>
      <w:r>
        <w:rPr>
          <w:rFonts w:ascii="Times New Roman" w:hAnsi="Times New Roman" w:cs="Times New Roman" w:eastAsia="Times New Roman" w:hint="default"/>
          <w:spacing w:val="-2"/>
        </w:rPr>
        <w:t>31,655,362.36</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元，终止经营净利润上年金额</w:t>
      </w:r>
      <w:r>
        <w:rPr>
          <w:rFonts w:ascii="Times New Roman" w:hAnsi="Times New Roman" w:cs="Times New Roman" w:eastAsia="Times New Roman" w:hint="default"/>
        </w:rPr>
        <w:t>0.00</w:t>
      </w:r>
      <w:r>
        <w:rPr/>
        <w:t>元。</w:t>
      </w:r>
      <w:r>
        <w:rPr>
          <w:spacing w:val="-86"/>
        </w:rPr>
        <w:t> </w:t>
      </w:r>
      <w:r>
        <w:rPr/>
        <w:t>与本公司日常活动相关的政府补助</w:t>
      </w:r>
      <w:r>
        <w:rPr>
          <w:rFonts w:ascii="Times New Roman" w:hAnsi="Times New Roman" w:cs="Times New Roman" w:eastAsia="Times New Roman" w:hint="default"/>
        </w:rPr>
        <w:t>6,876,123.77</w:t>
      </w:r>
      <w:r>
        <w:rPr/>
        <w:t>元，计入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，不再计入</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。比较数据不调整。 将原列示为</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的资产处置损益净额</w:t>
      </w:r>
      <w:r>
        <w:rPr>
          <w:rFonts w:ascii="Times New Roman" w:hAnsi="Times New Roman" w:cs="Times New Roman" w:eastAsia="Times New Roman" w:hint="default"/>
        </w:rPr>
        <w:t>-1,866.15</w:t>
      </w:r>
      <w:r>
        <w:rPr/>
        <w:t>元列示在</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项目。比较数据相应调整。</w:t>
      </w:r>
    </w:p>
    <w:p>
      <w:pPr>
        <w:spacing w:after="0" w:line="304"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00" w:lineRule="auto" w:before="44"/>
        <w:ind w:right="7294"/>
        <w:jc w:val="left"/>
      </w:pPr>
      <w:r>
        <w:rPr>
          <w:rFonts w:ascii="Times New Roman" w:hAnsi="Times New Roman" w:cs="Times New Roman" w:eastAsia="Times New Roman" w:hint="default"/>
        </w:rPr>
        <w:t>2.</w:t>
      </w:r>
      <w:r>
        <w:rPr/>
        <w:t>会计估计变更 本期公司无会计估计变更事项。</w:t>
      </w:r>
    </w:p>
    <w:p>
      <w:pPr>
        <w:spacing w:line="240" w:lineRule="auto" w:before="13"/>
        <w:rPr>
          <w:rFonts w:ascii="宋体" w:hAnsi="宋体" w:cs="宋体" w:eastAsia="宋体" w:hint="default"/>
          <w:sz w:val="15"/>
          <w:szCs w:val="15"/>
        </w:rPr>
      </w:pPr>
    </w:p>
    <w:p>
      <w:pPr>
        <w:pStyle w:val="Heading4"/>
        <w:spacing w:line="240" w:lineRule="auto"/>
        <w:ind w:right="103"/>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24"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本报告期内合并范围包括：本公司、市政中心、迪赛恩、艾科筑业、深圳艾科城、北京艾科城、建研检测、常州城建艾科、 上海爱轲、深圳九一、雄安玖壹、绿研检验，较上期合并范围增加深圳九一、雄安玖壹、绿研检验，具体变动情况如下：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月，公司新设成立了控股子公司深圳九一，并自成立之日起将深圳九一纳入合并范围；</w:t>
      </w:r>
    </w:p>
    <w:p>
      <w:pPr>
        <w:pStyle w:val="BodyText"/>
        <w:spacing w:line="242" w:lineRule="exact"/>
        <w:ind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月，公司新设成立了全资子公司雄安玖壹，并自成立之日起将雄安玖壹纳入合并范围；</w:t>
      </w:r>
    </w:p>
    <w:p>
      <w:pPr>
        <w:pStyle w:val="BodyText"/>
        <w:spacing w:line="240" w:lineRule="auto" w:before="63"/>
        <w:ind w:right="1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月，公司新设成立了全资子公司绿研检验，并自成立之日起将绿研检验纳入合并范围。</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丘运良、丘玉娇</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103"/>
        <w:jc w:val="left"/>
      </w:pPr>
      <w:r>
        <w:rPr/>
        <w:t>是否改聘会计师事务所</w:t>
      </w:r>
    </w:p>
    <w:p>
      <w:pPr>
        <w:pStyle w:val="BodyText"/>
        <w:spacing w:line="340" w:lineRule="auto" w:before="11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103"/>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38"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4"/>
        <w:spacing w:line="367" w:lineRule="exact"/>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t>十五、重大关联交易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133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31"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深圳市创 新投资集 团有限公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both"/>
              <w:rPr>
                <w:rFonts w:ascii="宋体" w:hAnsi="宋体" w:cs="宋体" w:eastAsia="宋体" w:hint="default"/>
                <w:sz w:val="18"/>
                <w:szCs w:val="18"/>
              </w:rPr>
            </w:pPr>
            <w:r>
              <w:rPr>
                <w:rFonts w:ascii="宋体" w:hAnsi="宋体" w:cs="宋体" w:eastAsia="宋体" w:hint="default"/>
                <w:sz w:val="18"/>
                <w:szCs w:val="18"/>
              </w:rPr>
              <w:t>过去十 二个月 内，曾 具有</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规定的 情形、</w:t>
            </w:r>
          </w:p>
          <w:p>
            <w:pPr>
              <w:pStyle w:val="TableParagraph"/>
              <w:spacing w:line="319" w:lineRule="auto" w:before="19"/>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10.1.6</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3" w:right="128"/>
              <w:jc w:val="left"/>
              <w:rPr>
                <w:rFonts w:ascii="宋体" w:hAnsi="宋体" w:cs="宋体" w:eastAsia="宋体" w:hint="default"/>
                <w:sz w:val="18"/>
                <w:szCs w:val="18"/>
              </w:rPr>
            </w:pPr>
            <w:r>
              <w:rPr>
                <w:rFonts w:ascii="宋体" w:hAnsi="宋体" w:cs="宋体" w:eastAsia="宋体" w:hint="default"/>
                <w:sz w:val="18"/>
                <w:szCs w:val="18"/>
              </w:rPr>
              <w:t>建筑咨 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8"/>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4"/>
              <w:jc w:val="left"/>
              <w:rPr>
                <w:rFonts w:ascii="宋体" w:hAnsi="宋体" w:cs="宋体" w:eastAsia="宋体" w:hint="default"/>
                <w:sz w:val="18"/>
                <w:szCs w:val="18"/>
              </w:rPr>
            </w:pPr>
            <w:r>
              <w:rPr>
                <w:rFonts w:ascii="宋体" w:hAnsi="宋体" w:cs="宋体" w:eastAsia="宋体" w:hint="default"/>
                <w:sz w:val="18"/>
                <w:szCs w:val="18"/>
              </w:rPr>
              <w:t>北京丰台 科技园建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1"/>
              <w:jc w:val="left"/>
              <w:rPr>
                <w:rFonts w:ascii="宋体" w:hAnsi="宋体" w:cs="宋体" w:eastAsia="宋体" w:hint="default"/>
                <w:sz w:val="18"/>
                <w:szCs w:val="18"/>
              </w:rPr>
            </w:pPr>
            <w:r>
              <w:rPr>
                <w:rFonts w:ascii="宋体" w:hAnsi="宋体" w:cs="宋体" w:eastAsia="宋体" w:hint="default"/>
                <w:sz w:val="18"/>
                <w:szCs w:val="18"/>
              </w:rPr>
              <w:t>向关联 人提供</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left"/>
              <w:rPr>
                <w:rFonts w:ascii="宋体" w:hAnsi="宋体" w:cs="宋体" w:eastAsia="宋体" w:hint="default"/>
                <w:sz w:val="18"/>
                <w:szCs w:val="18"/>
              </w:rPr>
            </w:pPr>
            <w:r>
              <w:rPr>
                <w:rFonts w:ascii="宋体" w:hAnsi="宋体" w:cs="宋体" w:eastAsia="宋体" w:hint="default"/>
                <w:sz w:val="18"/>
                <w:szCs w:val="18"/>
              </w:rPr>
              <w:t>城市规 划</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223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4"/>
              <w:jc w:val="left"/>
              <w:rPr>
                <w:rFonts w:ascii="宋体" w:hAnsi="宋体" w:cs="宋体" w:eastAsia="宋体" w:hint="default"/>
                <w:sz w:val="18"/>
                <w:szCs w:val="18"/>
              </w:rPr>
            </w:pPr>
            <w:r>
              <w:rPr>
                <w:rFonts w:ascii="宋体" w:hAnsi="宋体" w:cs="宋体" w:eastAsia="宋体" w:hint="default"/>
                <w:sz w:val="18"/>
                <w:szCs w:val="18"/>
              </w:rPr>
              <w:t>设发展有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股东、</w:t>
            </w:r>
          </w:p>
          <w:p>
            <w:pPr>
              <w:pStyle w:val="TableParagraph"/>
              <w:spacing w:line="312" w:lineRule="exact" w:before="37"/>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 上市规 则》 </w:t>
            </w:r>
            <w:r>
              <w:rPr>
                <w:rFonts w:ascii="Times New Roman" w:hAnsi="Times New Roman" w:cs="Times New Roman" w:eastAsia="Times New Roman" w:hint="default"/>
                <w:sz w:val="18"/>
                <w:szCs w:val="18"/>
              </w:rPr>
              <w:t>10.1.3</w:t>
            </w:r>
          </w:p>
          <w:p>
            <w:pPr>
              <w:pStyle w:val="TableParagraph"/>
              <w:spacing w:line="316" w:lineRule="auto" w:before="39"/>
              <w:ind w:left="23" w:right="101"/>
              <w:jc w:val="left"/>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1"/>
              <w:jc w:val="both"/>
              <w:rPr>
                <w:rFonts w:ascii="宋体" w:hAnsi="宋体" w:cs="宋体" w:eastAsia="宋体" w:hint="default"/>
                <w:sz w:val="18"/>
                <w:szCs w:val="18"/>
              </w:rPr>
            </w:pPr>
            <w:r>
              <w:rPr>
                <w:rFonts w:ascii="宋体" w:hAnsi="宋体" w:cs="宋体" w:eastAsia="宋体" w:hint="default"/>
                <w:sz w:val="18"/>
                <w:szCs w:val="18"/>
              </w:rPr>
              <w:t>专业化 技术服 务</w:t>
            </w: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北京怀柔 科学城建 设发展有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9"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281.23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村京西建 设发展有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9"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8"/>
              <w:jc w:val="left"/>
              <w:rPr>
                <w:rFonts w:ascii="宋体" w:hAnsi="宋体" w:cs="宋体" w:eastAsia="宋体" w:hint="default"/>
                <w:sz w:val="18"/>
                <w:szCs w:val="18"/>
              </w:rPr>
            </w:pPr>
            <w:r>
              <w:rPr>
                <w:rFonts w:ascii="宋体" w:hAnsi="宋体" w:cs="宋体" w:eastAsia="宋体" w:hint="default"/>
                <w:sz w:val="18"/>
                <w:szCs w:val="18"/>
              </w:rPr>
              <w:t>城市规 划</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158.11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村前沿技 术产业发 展有限公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276.24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村软件园 发展有限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w:t>
            </w:r>
            <w:r>
              <w:rPr>
                <w:rFonts w:ascii="宋体" w:hAnsi="宋体" w:cs="宋体" w:eastAsia="宋体" w:hint="default"/>
                <w:spacing w:val="-18"/>
                <w:sz w:val="18"/>
                <w:szCs w:val="18"/>
              </w:rPr>
              <w:t>设计、规</w:t>
            </w:r>
            <w:r>
              <w:rPr>
                <w:rFonts w:ascii="宋体" w:hAnsi="宋体" w:cs="宋体" w:eastAsia="宋体" w:hint="default"/>
                <w:sz w:val="18"/>
                <w:szCs w:val="18"/>
              </w:rPr>
              <w:t> 划咨询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村生命科 学园发展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w:t>
            </w:r>
            <w:r>
              <w:rPr>
                <w:rFonts w:ascii="宋体" w:hAnsi="宋体" w:cs="宋体" w:eastAsia="宋体" w:hint="default"/>
                <w:spacing w:val="-18"/>
                <w:sz w:val="18"/>
                <w:szCs w:val="18"/>
              </w:rPr>
              <w:t>设计、规</w:t>
            </w:r>
            <w:r>
              <w:rPr>
                <w:rFonts w:ascii="宋体" w:hAnsi="宋体" w:cs="宋体" w:eastAsia="宋体" w:hint="default"/>
                <w:sz w:val="18"/>
                <w:szCs w:val="18"/>
              </w:rPr>
              <w:t> 划咨询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44"/>
              <w:jc w:val="both"/>
              <w:rPr>
                <w:rFonts w:ascii="宋体" w:hAnsi="宋体" w:cs="宋体" w:eastAsia="宋体" w:hint="default"/>
                <w:sz w:val="18"/>
                <w:szCs w:val="18"/>
              </w:rPr>
            </w:pPr>
            <w:r>
              <w:rPr>
                <w:rFonts w:ascii="宋体" w:hAnsi="宋体" w:cs="宋体" w:eastAsia="宋体" w:hint="default"/>
                <w:sz w:val="18"/>
                <w:szCs w:val="18"/>
              </w:rPr>
              <w:t>北京中关 村生命科 学园生物 医药科技 孵化有限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6"/>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0"/>
              <w:jc w:val="left"/>
              <w:rPr>
                <w:rFonts w:ascii="宋体" w:hAnsi="宋体" w:cs="宋体" w:eastAsia="宋体" w:hint="default"/>
                <w:sz w:val="18"/>
                <w:szCs w:val="18"/>
              </w:rPr>
            </w:pPr>
            <w:r>
              <w:rPr>
                <w:rFonts w:ascii="宋体" w:hAnsi="宋体" w:cs="宋体" w:eastAsia="宋体" w:hint="default"/>
                <w:sz w:val="18"/>
                <w:szCs w:val="18"/>
              </w:rPr>
              <w:t>建筑设 </w:t>
            </w:r>
            <w:r>
              <w:rPr>
                <w:rFonts w:ascii="宋体" w:hAnsi="宋体" w:cs="宋体" w:eastAsia="宋体" w:hint="default"/>
                <w:spacing w:val="-18"/>
                <w:sz w:val="18"/>
                <w:szCs w:val="18"/>
              </w:rPr>
              <w:t>计、规划</w:t>
            </w:r>
            <w:r>
              <w:rPr>
                <w:rFonts w:ascii="宋体" w:hAnsi="宋体" w:cs="宋体" w:eastAsia="宋体" w:hint="default"/>
                <w:sz w:val="18"/>
                <w:szCs w:val="18"/>
              </w:rPr>
              <w:t> 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村生物医 药产业投 资发展有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8"/>
              <w:jc w:val="left"/>
              <w:rPr>
                <w:rFonts w:ascii="宋体" w:hAnsi="宋体" w:cs="宋体" w:eastAsia="宋体" w:hint="default"/>
                <w:sz w:val="18"/>
                <w:szCs w:val="18"/>
              </w:rPr>
            </w:pPr>
            <w:r>
              <w:rPr>
                <w:rFonts w:ascii="宋体" w:hAnsi="宋体" w:cs="宋体" w:eastAsia="宋体" w:hint="default"/>
                <w:sz w:val="18"/>
                <w:szCs w:val="18"/>
              </w:rPr>
              <w:t>城市规 划</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112.68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村微纳能 源投资有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6"/>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9"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128"/>
              <w:jc w:val="left"/>
              <w:rPr>
                <w:rFonts w:ascii="宋体" w:hAnsi="宋体" w:cs="宋体" w:eastAsia="宋体" w:hint="default"/>
                <w:sz w:val="18"/>
                <w:szCs w:val="18"/>
              </w:rPr>
            </w:pPr>
            <w:r>
              <w:rPr>
                <w:rFonts w:ascii="宋体" w:hAnsi="宋体" w:cs="宋体" w:eastAsia="宋体" w:hint="default"/>
                <w:sz w:val="18"/>
                <w:szCs w:val="18"/>
              </w:rPr>
              <w:t>建筑设 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23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村延庆园 建设发展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3"/>
        <w:gridCol w:w="674"/>
        <w:gridCol w:w="670"/>
        <w:gridCol w:w="646"/>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1"/>
              <w:jc w:val="left"/>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44"/>
              <w:jc w:val="both"/>
              <w:rPr>
                <w:rFonts w:ascii="宋体" w:hAnsi="宋体" w:cs="宋体" w:eastAsia="宋体" w:hint="default"/>
                <w:sz w:val="18"/>
                <w:szCs w:val="18"/>
              </w:rPr>
            </w:pPr>
            <w:r>
              <w:rPr>
                <w:rFonts w:ascii="宋体" w:hAnsi="宋体" w:cs="宋体" w:eastAsia="宋体" w:hint="default"/>
                <w:sz w:val="18"/>
                <w:szCs w:val="18"/>
              </w:rPr>
              <w:t>中关村医 疗器械园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0"/>
              <w:jc w:val="left"/>
              <w:rPr>
                <w:rFonts w:ascii="宋体" w:hAnsi="宋体" w:cs="宋体" w:eastAsia="宋体" w:hint="default"/>
                <w:sz w:val="18"/>
                <w:szCs w:val="18"/>
              </w:rPr>
            </w:pPr>
            <w:r>
              <w:rPr>
                <w:rFonts w:ascii="宋体" w:hAnsi="宋体" w:cs="宋体" w:eastAsia="宋体" w:hint="default"/>
                <w:sz w:val="18"/>
                <w:szCs w:val="18"/>
              </w:rPr>
              <w:t>城市规 </w:t>
            </w:r>
            <w:r>
              <w:rPr>
                <w:rFonts w:ascii="宋体" w:hAnsi="宋体" w:cs="宋体" w:eastAsia="宋体" w:hint="default"/>
                <w:spacing w:val="-18"/>
                <w:sz w:val="18"/>
                <w:szCs w:val="18"/>
              </w:rPr>
              <w:t>划、建筑</w:t>
            </w:r>
            <w:r>
              <w:rPr>
                <w:rFonts w:ascii="宋体" w:hAnsi="宋体" w:cs="宋体" w:eastAsia="宋体" w:hint="default"/>
                <w:sz w:val="18"/>
                <w:szCs w:val="18"/>
              </w:rPr>
              <w:t> 咨询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90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44"/>
              <w:jc w:val="both"/>
              <w:rPr>
                <w:rFonts w:ascii="宋体" w:hAnsi="宋体" w:cs="宋体" w:eastAsia="宋体" w:hint="default"/>
                <w:sz w:val="18"/>
                <w:szCs w:val="18"/>
              </w:rPr>
            </w:pPr>
            <w:r>
              <w:rPr>
                <w:rFonts w:ascii="宋体" w:hAnsi="宋体" w:cs="宋体" w:eastAsia="宋体" w:hint="default"/>
                <w:sz w:val="18"/>
                <w:szCs w:val="18"/>
              </w:rPr>
              <w:t>荆门玖伊 园科技有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6"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向关联 人提供 专业化 技术服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67"/>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运 营服务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289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44"/>
              <w:jc w:val="both"/>
              <w:rPr>
                <w:rFonts w:ascii="宋体" w:hAnsi="宋体" w:cs="宋体" w:eastAsia="宋体" w:hint="default"/>
                <w:sz w:val="18"/>
                <w:szCs w:val="18"/>
              </w:rPr>
            </w:pPr>
            <w:r>
              <w:rPr>
                <w:rFonts w:ascii="宋体" w:hAnsi="宋体" w:cs="宋体" w:eastAsia="宋体" w:hint="default"/>
                <w:sz w:val="18"/>
                <w:szCs w:val="18"/>
              </w:rPr>
              <w:t>北京中关 村国际环 保产业促 进中心有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w:t>
            </w:r>
          </w:p>
          <w:p>
            <w:pPr>
              <w:pStyle w:val="TableParagraph"/>
              <w:spacing w:line="319" w:lineRule="auto" w:before="24"/>
              <w:ind w:left="23" w:right="101"/>
              <w:jc w:val="both"/>
              <w:rPr>
                <w:rFonts w:ascii="宋体" w:hAnsi="宋体" w:cs="宋体" w:eastAsia="宋体" w:hint="default"/>
                <w:sz w:val="18"/>
                <w:szCs w:val="18"/>
              </w:rPr>
            </w:pPr>
            <w:r>
              <w:rPr>
                <w:rFonts w:ascii="宋体" w:hAnsi="宋体" w:cs="宋体" w:eastAsia="宋体" w:hint="default"/>
                <w:sz w:val="18"/>
                <w:szCs w:val="18"/>
              </w:rPr>
              <w:t>《股票 上市规 则》</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认定的 关联人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101"/>
              <w:jc w:val="both"/>
              <w:rPr>
                <w:rFonts w:ascii="宋体" w:hAnsi="宋体" w:cs="宋体" w:eastAsia="宋体" w:hint="default"/>
                <w:sz w:val="18"/>
                <w:szCs w:val="18"/>
              </w:rPr>
            </w:pPr>
            <w:r>
              <w:rPr>
                <w:rFonts w:ascii="宋体" w:hAnsi="宋体" w:cs="宋体" w:eastAsia="宋体" w:hint="default"/>
                <w:sz w:val="18"/>
                <w:szCs w:val="18"/>
              </w:rPr>
              <w:t>接受关 联人提 供的技 术服务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28"/>
              <w:jc w:val="left"/>
              <w:rPr>
                <w:rFonts w:ascii="宋体" w:hAnsi="宋体" w:cs="宋体" w:eastAsia="宋体" w:hint="default"/>
                <w:sz w:val="18"/>
                <w:szCs w:val="18"/>
              </w:rPr>
            </w:pPr>
            <w:r>
              <w:rPr>
                <w:rFonts w:ascii="宋体" w:hAnsi="宋体" w:cs="宋体" w:eastAsia="宋体" w:hint="default"/>
                <w:sz w:val="18"/>
                <w:szCs w:val="18"/>
              </w:rPr>
              <w:t>建筑咨 询</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3"/>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71"/>
              <w:jc w:val="left"/>
              <w:rPr>
                <w:rFonts w:ascii="宋体" w:hAnsi="宋体" w:cs="宋体" w:eastAsia="宋体" w:hint="default"/>
                <w:sz w:val="18"/>
                <w:szCs w:val="18"/>
              </w:rPr>
            </w:pPr>
            <w:r>
              <w:rPr>
                <w:rFonts w:ascii="宋体" w:hAnsi="宋体" w:cs="宋体" w:eastAsia="宋体" w:hint="default"/>
                <w:sz w:val="18"/>
                <w:szCs w:val="18"/>
              </w:rPr>
              <w:t>上市前 未披露</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5"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公司第二届董事会第一次定期会议审议通过《</w:t>
            </w:r>
            <w:r>
              <w:rPr>
                <w:rFonts w:ascii="Times New Roman" w:hAnsi="Times New Roman" w:cs="Times New Roman" w:eastAsia="Times New Roman" w:hint="default"/>
                <w:sz w:val="18"/>
                <w:szCs w:val="18"/>
              </w:rPr>
              <w:t>2017 </w:t>
            </w:r>
            <w:r>
              <w:rPr>
                <w:rFonts w:ascii="宋体" w:hAnsi="宋体" w:cs="宋体" w:eastAsia="宋体" w:hint="default"/>
                <w:spacing w:val="-7"/>
                <w:sz w:val="18"/>
                <w:szCs w:val="18"/>
              </w:rPr>
              <w:t>年度日常关联交易额度的议案》，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批准预计额度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万元。公司第二届董事会第三次定期会议审议通过《公司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度关联交易执行情况及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度日常关联交易预计的议案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确认</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年度关联交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易金额为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1,337.53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8" w:hRule="exact"/>
        </w:trPr>
        <w:tc>
          <w:tcPr>
            <w:tcW w:w="285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vMerge/>
            <w:tcBorders>
              <w:left w:val="single" w:sz="4" w:space="0" w:color="000000"/>
              <w:right w:val="single" w:sz="4" w:space="0" w:color="000000"/>
            </w:tcBorders>
          </w:tcPr>
          <w:p>
            <w:pPr/>
          </w:p>
        </w:tc>
      </w:tr>
      <w:tr>
        <w:trPr>
          <w:trHeight w:val="161" w:hRule="exact"/>
        </w:trPr>
        <w:tc>
          <w:tcPr>
            <w:tcW w:w="28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4" w:space="0" w:color="000000"/>
              <w:bottom w:val="single" w:sz="4" w:space="0" w:color="000000"/>
              <w:right w:val="single" w:sz="4" w:space="0" w:color="000000"/>
            </w:tcBorders>
          </w:tcPr>
          <w:p>
            <w:pPr/>
          </w:p>
        </w:tc>
      </w:tr>
      <w:tr>
        <w:trPr>
          <w:trHeight w:val="71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公司报告期未发生资产或股权收购、出售的关联交易。</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5"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96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41"/>
              <w:jc w:val="both"/>
              <w:rPr>
                <w:rFonts w:ascii="宋体" w:hAnsi="宋体" w:cs="宋体" w:eastAsia="宋体" w:hint="default"/>
                <w:sz w:val="18"/>
                <w:szCs w:val="18"/>
              </w:rPr>
            </w:pPr>
            <w:r>
              <w:rPr>
                <w:rFonts w:ascii="宋体" w:hAnsi="宋体" w:cs="宋体" w:eastAsia="宋体" w:hint="default"/>
                <w:sz w:val="18"/>
                <w:szCs w:val="18"/>
              </w:rPr>
              <w:t>深圳市远致 投资有限公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40"/>
              <w:jc w:val="left"/>
              <w:rPr>
                <w:rFonts w:ascii="宋体" w:hAnsi="宋体" w:cs="宋体" w:eastAsia="宋体" w:hint="default"/>
                <w:sz w:val="18"/>
                <w:szCs w:val="18"/>
              </w:rPr>
            </w:pPr>
            <w:r>
              <w:rPr>
                <w:rFonts w:ascii="宋体" w:hAnsi="宋体" w:cs="宋体" w:eastAsia="宋体" w:hint="default"/>
                <w:sz w:val="18"/>
                <w:szCs w:val="18"/>
              </w:rPr>
              <w:t>雄安绿研智 库有限公司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环保低碳技术 和管理咨询， 低碳产业技术 咨询，行业标 准化服务咨询 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0.18</w:t>
            </w:r>
            <w:r>
              <w:rPr>
                <w:rFonts w:ascii="Times New Roman"/>
                <w:sz w:val="18"/>
              </w:rPr>
            </w:r>
          </w:p>
        </w:tc>
      </w:tr>
      <w:tr>
        <w:trPr>
          <w:trHeight w:val="3524"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41"/>
              <w:jc w:val="both"/>
              <w:rPr>
                <w:rFonts w:ascii="宋体" w:hAnsi="宋体" w:cs="宋体" w:eastAsia="宋体" w:hint="default"/>
                <w:sz w:val="18"/>
                <w:szCs w:val="18"/>
              </w:rPr>
            </w:pPr>
            <w:r>
              <w:rPr>
                <w:rFonts w:ascii="宋体" w:hAnsi="宋体" w:cs="宋体" w:eastAsia="宋体" w:hint="default"/>
                <w:sz w:val="18"/>
                <w:szCs w:val="18"/>
              </w:rPr>
              <w:t>深圳市远致 投资有限公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 w:right="140"/>
              <w:jc w:val="both"/>
              <w:rPr>
                <w:rFonts w:ascii="宋体" w:hAnsi="宋体" w:cs="宋体" w:eastAsia="宋体" w:hint="default"/>
                <w:sz w:val="18"/>
                <w:szCs w:val="18"/>
              </w:rPr>
            </w:pPr>
            <w:r>
              <w:rPr>
                <w:rFonts w:ascii="宋体" w:hAnsi="宋体" w:cs="宋体" w:eastAsia="宋体" w:hint="default"/>
                <w:sz w:val="18"/>
                <w:szCs w:val="18"/>
              </w:rPr>
              <w:t>荆门玖伊园 科技有限公 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智能微电网技 术研发、可再 生能源科技研 发，产业园区 管理服务，园 区基础设施设 备技术维护服 务，商务信息 咨询，建筑工 程技术咨询， 物业管理等。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-72.46</w:t>
            </w:r>
          </w:p>
        </w:tc>
      </w:tr>
      <w:tr>
        <w:trPr>
          <w:trHeight w:val="713"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28"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深圳市建筑科学研究院股份有限公司与深圳市远致投资有限公司、中国雄安建设投资集团有限公司共同投资设立雄安绿研智</w:t>
      </w:r>
      <w:r>
        <w:rPr>
          <w:spacing w:val="-63"/>
        </w:rPr>
        <w:t> </w:t>
      </w:r>
      <w:r>
        <w:rPr>
          <w:spacing w:val="-63"/>
        </w:rPr>
      </w:r>
      <w:r>
        <w:rPr/>
        <w:t>库有限公司暨关联交易事项。</w:t>
      </w:r>
    </w:p>
    <w:p>
      <w:pPr>
        <w:pStyle w:val="BodyText"/>
        <w:spacing w:line="240" w:lineRule="auto" w:before="50"/>
        <w:ind w:right="0"/>
        <w:jc w:val="left"/>
      </w:pPr>
      <w:r>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关于对外投资暨关联交易筹划阶段提示性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http:</w:t>
            </w:r>
            <w:hyperlink r:id="rId12">
              <w:r>
                <w:rPr>
                  <w:rFonts w:ascii="Times New Roman"/>
                  <w:sz w:val="18"/>
                </w:rPr>
                <w:t>/www</w:t>
              </w:r>
            </w:hyperlink>
            <w:r>
              <w:rPr>
                <w:rFonts w:ascii="Times New Roman"/>
                <w:sz w:val="18"/>
              </w:rPr>
              <w:t>.</w:t>
            </w:r>
            <w:hyperlink r:id="rId12">
              <w:r>
                <w:rPr>
                  <w:rFonts w:ascii="Times New Roman"/>
                  <w:sz w:val="18"/>
                </w:rPr>
                <w:t>cninfo.com.cn</w:t>
              </w:r>
            </w:hyperlink>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关于对外投资设立雄安绿色发展研究有限</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http:</w:t>
            </w:r>
            <w:hyperlink r:id="rId12">
              <w:r>
                <w:rPr>
                  <w:rFonts w:ascii="Times New Roman"/>
                  <w:sz w:val="18"/>
                </w:rPr>
                <w:t>/www</w:t>
              </w:r>
            </w:hyperlink>
            <w:r>
              <w:rPr>
                <w:rFonts w:ascii="Times New Roman"/>
                <w:sz w:val="18"/>
              </w:rPr>
              <w:t>.</w:t>
            </w:r>
            <w:hyperlink r:id="rId12">
              <w:r>
                <w:rPr>
                  <w:rFonts w:ascii="Times New Roman"/>
                  <w:sz w:val="18"/>
                </w:rPr>
                <w:t>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36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关于对外投资暨关联交易的进展公告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http:</w:t>
            </w:r>
            <w:hyperlink r:id="rId12">
              <w:r>
                <w:rPr>
                  <w:rFonts w:ascii="Times New Roman"/>
                  <w:sz w:val="18"/>
                </w:rPr>
                <w:t>/www</w:t>
              </w:r>
            </w:hyperlink>
            <w:r>
              <w:rPr>
                <w:rFonts w:ascii="Times New Roman"/>
                <w:sz w:val="18"/>
              </w:rPr>
              <w:t>.</w:t>
            </w:r>
            <w:hyperlink r:id="rId12">
              <w:r>
                <w:rPr>
                  <w:rFonts w:ascii="Times New Roman"/>
                  <w:sz w:val="18"/>
                </w:rPr>
                <w:t>cninfo.com.cn</w:t>
              </w:r>
            </w:hyperlink>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关于对外投资暨关联交易的进展公告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http:</w:t>
            </w:r>
            <w:hyperlink r:id="rId12">
              <w:r>
                <w:rPr>
                  <w:rFonts w:ascii="Times New Roman"/>
                  <w:sz w:val="18"/>
                </w:rPr>
                <w:t>/www</w:t>
              </w:r>
            </w:hyperlink>
            <w:r>
              <w:rPr>
                <w:rFonts w:ascii="Times New Roman"/>
                <w:sz w:val="18"/>
              </w:rPr>
              <w:t>.</w:t>
            </w:r>
            <w:hyperlink r:id="rId12">
              <w:r>
                <w:rPr>
                  <w:rFonts w:ascii="Times New Roman"/>
                  <w:sz w:val="18"/>
                </w:rPr>
                <w:t>cninfo.com.cn</w:t>
              </w:r>
            </w:hyperlink>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3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9"/>
        <w:gridCol w:w="638"/>
        <w:gridCol w:w="641"/>
        <w:gridCol w:w="638"/>
        <w:gridCol w:w="639"/>
        <w:gridCol w:w="638"/>
        <w:gridCol w:w="636"/>
        <w:gridCol w:w="638"/>
        <w:gridCol w:w="639"/>
        <w:gridCol w:w="638"/>
        <w:gridCol w:w="638"/>
        <w:gridCol w:w="636"/>
      </w:tblGrid>
      <w:tr>
        <w:trPr>
          <w:trHeight w:val="227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7"/>
              <w:ind w:left="23"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7"/>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5" w:right="41"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3" w:right="4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7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60"/>
              <w:jc w:val="both"/>
              <w:rPr>
                <w:rFonts w:ascii="宋体" w:hAnsi="宋体" w:cs="宋体" w:eastAsia="宋体" w:hint="default"/>
                <w:sz w:val="18"/>
                <w:szCs w:val="18"/>
              </w:rPr>
            </w:pPr>
            <w:r>
              <w:rPr>
                <w:rFonts w:ascii="宋体" w:hAnsi="宋体" w:cs="宋体" w:eastAsia="宋体" w:hint="default"/>
                <w:sz w:val="18"/>
                <w:szCs w:val="18"/>
              </w:rPr>
              <w:t>深圳市 建筑科 学研究 院股份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深圳市 龙岗区 住房和 建设局</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国际低 碳城产 业园区 配套住 房项目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承包</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招投标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39,957.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4" w:right="62"/>
              <w:jc w:val="left"/>
              <w:rPr>
                <w:rFonts w:ascii="宋体" w:hAnsi="宋体" w:cs="宋体" w:eastAsia="宋体" w:hint="default"/>
                <w:sz w:val="18"/>
                <w:szCs w:val="18"/>
              </w:rPr>
            </w:pPr>
            <w:r>
              <w:rPr>
                <w:rFonts w:ascii="宋体" w:hAnsi="宋体" w:cs="宋体" w:eastAsia="宋体" w:hint="default"/>
                <w:sz w:val="18"/>
                <w:szCs w:val="18"/>
              </w:rPr>
              <w:t>正常履 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38" w:lineRule="auto"/>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2017-0</w:t>
            </w:r>
          </w:p>
          <w:p>
            <w:pPr>
              <w:pStyle w:val="TableParagraph"/>
              <w:spacing w:line="240" w:lineRule="auto" w:before="23"/>
              <w:ind w:left="23" w:right="0"/>
              <w:jc w:val="left"/>
              <w:rPr>
                <w:rFonts w:ascii="Times New Roman" w:hAnsi="Times New Roman" w:cs="Times New Roman" w:eastAsia="Times New Roman" w:hint="default"/>
                <w:sz w:val="18"/>
                <w:szCs w:val="18"/>
              </w:rPr>
            </w:pPr>
            <w:r>
              <w:rPr>
                <w:rFonts w:ascii="Times New Roman"/>
                <w:sz w:val="18"/>
              </w:rPr>
              <w:t>39</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44"/>
        <w:jc w:val="left"/>
      </w:pPr>
      <w:r>
        <w:rPr>
          <w:spacing w:val="-2"/>
        </w:rPr>
        <w:t>公司按照国家相关法律法规的规定，结合公司的实际情况，在安全管理、质量管理、环境保护、节能环保和员工权益保护等</w:t>
      </w:r>
      <w:r>
        <w:rPr>
          <w:spacing w:val="-67"/>
        </w:rPr>
        <w:t> </w:t>
      </w:r>
      <w:r>
        <w:rPr>
          <w:spacing w:val="-67"/>
        </w:rPr>
      </w:r>
      <w:r>
        <w:rPr/>
        <w:t>方面制定完善了相关的管理制度，有效履行各项社会责任，打造和提升企业形象。 公司主编了全国第一个从工程建设全过程进行质量控制的标准《合成材料运动场地面层质量控制标准》于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月发布， </w:t>
      </w:r>
      <w:r>
        <w:rPr>
          <w:spacing w:val="-2"/>
        </w:rPr>
        <w:t>该标准的实施有效解决困扰社会各界的</w:t>
      </w:r>
      <w:r>
        <w:rPr>
          <w:rFonts w:ascii="Times New Roman" w:hAnsi="Times New Roman" w:cs="Times New Roman" w:eastAsia="Times New Roman" w:hint="default"/>
          <w:spacing w:val="-2"/>
        </w:rPr>
        <w:t>“</w:t>
      </w:r>
      <w:r>
        <w:rPr>
          <w:spacing w:val="-2"/>
        </w:rPr>
        <w:t>毒跑道、毒球场</w:t>
      </w:r>
      <w:r>
        <w:rPr>
          <w:rFonts w:ascii="Times New Roman" w:hAnsi="Times New Roman" w:cs="Times New Roman" w:eastAsia="Times New Roman" w:hint="default"/>
          <w:spacing w:val="-2"/>
        </w:rPr>
        <w:t>”</w:t>
      </w:r>
      <w:r>
        <w:rPr>
          <w:spacing w:val="-2"/>
        </w:rPr>
        <w:t>问题，充分体现了公司勇担社会责任，快速响应、积极应对社会事</w:t>
      </w:r>
      <w:r>
        <w:rPr>
          <w:spacing w:val="-45"/>
        </w:rPr>
        <w:t> </w:t>
      </w:r>
      <w:r>
        <w:rPr>
          <w:spacing w:val="-45"/>
        </w:rPr>
      </w:r>
      <w:r>
        <w:rPr/>
        <w:t>件的能力，同时也体现了一家科研型国有企业的专业和创新能力。</w:t>
      </w:r>
    </w:p>
    <w:p>
      <w:pPr>
        <w:spacing w:line="240" w:lineRule="auto" w:before="2"/>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公司报告年度暂未开展精准扶贫工作，也暂无后续精准扶贫计划。</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4734"/>
        <w:jc w:val="left"/>
      </w:pPr>
      <w:r>
        <w:rPr/>
        <w:t>上市公司及其子公司是否属于环境保护部门公布的重点排污单位 不适用</w:t>
      </w:r>
    </w:p>
    <w:p>
      <w:pPr>
        <w:pStyle w:val="BodyText"/>
        <w:spacing w:line="240" w:lineRule="auto" w:before="27"/>
        <w:ind w:right="0"/>
        <w:jc w:val="left"/>
      </w:pPr>
      <w:r>
        <w:rPr/>
        <w:t>不适用</w:t>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r>
        <w:rPr/>
        <w:t>十八、其他重大事项的说明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3"/>
          <w:szCs w:val="13"/>
        </w:rPr>
      </w:pPr>
    </w:p>
    <w:p>
      <w:pPr>
        <w:pStyle w:val="Heading4"/>
        <w:spacing w:line="240" w:lineRule="auto"/>
        <w:ind w:right="0"/>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52.50%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22.50%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22.50%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4"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36,666,70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7"/>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日，经中国证券监督管理委员会《关于核准深圳市建筑科学研究院股份有限公司首次公开发行股票的批复》证 监许可</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5"/>
        </w:rPr>
        <w:t>1028</w:t>
      </w:r>
      <w:r>
        <w:rPr>
          <w:spacing w:val="-5"/>
        </w:rPr>
        <w:t>号文核准，本公司公开发行新股不超过</w:t>
      </w:r>
      <w:r>
        <w:rPr>
          <w:rFonts w:ascii="Times New Roman" w:hAnsi="Times New Roman" w:cs="Times New Roman" w:eastAsia="Times New Roman" w:hint="default"/>
          <w:spacing w:val="-5"/>
        </w:rPr>
        <w:t>3,666.67</w:t>
      </w:r>
      <w:r>
        <w:rPr>
          <w:spacing w:val="-5"/>
        </w:rPr>
        <w:t>万股，无老股转让。</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17</w:t>
      </w:r>
      <w:r>
        <w:rPr>
          <w:spacing w:val="-5"/>
        </w:rPr>
        <w:t>日，经深圳证券交易所《关</w:t>
      </w:r>
    </w:p>
    <w:p>
      <w:pPr>
        <w:pStyle w:val="BodyText"/>
        <w:spacing w:line="300" w:lineRule="auto"/>
        <w:ind w:right="184"/>
        <w:jc w:val="left"/>
      </w:pPr>
      <w:r>
        <w:rPr/>
        <w:t>于深圳市建筑科学研究院股份有限公司人民币普通股股票上市的通知》（深证上</w:t>
      </w:r>
      <w:r>
        <w:rPr>
          <w:rFonts w:ascii="Times New Roman" w:hAnsi="Times New Roman" w:cs="Times New Roman" w:eastAsia="Times New Roman" w:hint="default"/>
        </w:rPr>
        <w:t>[2017]448</w:t>
      </w:r>
      <w:r>
        <w:rPr/>
        <w:t>号）同意，本公司发行的人民币 普通股股票在深圳证券交易所创业板上市，证券简称</w:t>
      </w:r>
      <w:r>
        <w:rPr>
          <w:rFonts w:ascii="Times New Roman" w:hAnsi="Times New Roman" w:cs="Times New Roman" w:eastAsia="Times New Roman" w:hint="default"/>
        </w:rPr>
        <w:t>“</w:t>
      </w:r>
      <w:r>
        <w:rPr/>
        <w:t>建科院</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“300675”</w:t>
      </w:r>
      <w:r>
        <w:rPr/>
        <w:t>；其中本次公开发行的</w:t>
      </w:r>
      <w:r>
        <w:rPr>
          <w:rFonts w:ascii="Times New Roman" w:hAnsi="Times New Roman" w:cs="Times New Roman" w:eastAsia="Times New Roman" w:hint="default"/>
        </w:rPr>
        <w:t>3,666.67</w:t>
      </w:r>
      <w:r>
        <w:rPr/>
        <w:t>万股股票</w:t>
      </w:r>
    </w:p>
    <w:p>
      <w:pPr>
        <w:spacing w:after="0" w:line="30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4"/>
        <w:jc w:val="left"/>
      </w:pPr>
      <w:r>
        <w:rPr>
          <w:spacing w:val="-3"/>
        </w:rPr>
        <w:t>将于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19</w:t>
      </w:r>
      <w:r>
        <w:rPr>
          <w:spacing w:val="-3"/>
        </w:rPr>
        <w:t>日起上市交易。本次新股发行和上市相关信息已披露在中国证监会指定信息披露网站巨潮资讯网，详见</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日《首次公开发行股票并在创业板上市之上市公告书》。</w:t>
      </w:r>
    </w:p>
    <w:p>
      <w:pPr>
        <w:pStyle w:val="BodyText"/>
        <w:spacing w:line="240" w:lineRule="auto" w:before="53"/>
        <w:ind w:right="103"/>
        <w:jc w:val="left"/>
      </w:pPr>
      <w:r>
        <w:rPr/>
        <w:t>股份变动的批准情况</w:t>
      </w:r>
    </w:p>
    <w:p>
      <w:pPr>
        <w:pStyle w:val="BodyText"/>
        <w:spacing w:line="319" w:lineRule="auto" w:before="115"/>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日，经中国证券监督管理委员会《关于核准深圳市建筑科学研究院股份有限公司首次公开发行股票的批复》证 监许可</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5"/>
        </w:rPr>
        <w:t>1028</w:t>
      </w:r>
      <w:r>
        <w:rPr>
          <w:spacing w:val="-5"/>
        </w:rPr>
        <w:t>号文核准，本公司公开发行新股不超过</w:t>
      </w:r>
      <w:r>
        <w:rPr>
          <w:rFonts w:ascii="Times New Roman" w:hAnsi="Times New Roman" w:cs="Times New Roman" w:eastAsia="Times New Roman" w:hint="default"/>
          <w:spacing w:val="-5"/>
        </w:rPr>
        <w:t>3,666.67</w:t>
      </w:r>
      <w:r>
        <w:rPr>
          <w:spacing w:val="-5"/>
        </w:rPr>
        <w:t>万股，无老股转让。</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17</w:t>
      </w:r>
      <w:r>
        <w:rPr>
          <w:spacing w:val="-5"/>
        </w:rPr>
        <w:t>日，经深圳证券交易所《关</w:t>
      </w:r>
    </w:p>
    <w:p>
      <w:pPr>
        <w:pStyle w:val="BodyText"/>
        <w:spacing w:line="300" w:lineRule="auto"/>
        <w:ind w:right="236"/>
        <w:jc w:val="both"/>
      </w:pPr>
      <w:r>
        <w:rPr/>
        <w:t>于深圳市建筑科学研究院股份有限公司人民币普通股股票上市的通知》（深证上</w:t>
      </w:r>
      <w:r>
        <w:rPr>
          <w:rFonts w:ascii="Times New Roman" w:hAnsi="Times New Roman" w:cs="Times New Roman" w:eastAsia="Times New Roman" w:hint="default"/>
        </w:rPr>
        <w:t>[2017]448</w:t>
      </w:r>
      <w:r>
        <w:rPr/>
        <w:t>号）同意，本公司发行的人民币 普通股股票在深圳证券交易所创业板上市，证券简称</w:t>
      </w:r>
      <w:r>
        <w:rPr>
          <w:rFonts w:ascii="Times New Roman" w:hAnsi="Times New Roman" w:cs="Times New Roman" w:eastAsia="Times New Roman" w:hint="default"/>
        </w:rPr>
        <w:t>“</w:t>
      </w:r>
      <w:r>
        <w:rPr/>
        <w:t>建科院</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“300675”</w:t>
      </w:r>
      <w:r>
        <w:rPr/>
        <w:t>；其中本次公开发行的</w:t>
      </w:r>
      <w:r>
        <w:rPr>
          <w:rFonts w:ascii="Times New Roman" w:hAnsi="Times New Roman" w:cs="Times New Roman" w:eastAsia="Times New Roman" w:hint="default"/>
        </w:rPr>
        <w:t>3,666.67</w:t>
      </w:r>
      <w:r>
        <w:rPr/>
        <w:t>万股股票 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日起上市交易。</w:t>
      </w:r>
    </w:p>
    <w:p>
      <w:pPr>
        <w:pStyle w:val="BodyText"/>
        <w:spacing w:line="240" w:lineRule="auto" w:before="53"/>
        <w:ind w:right="103"/>
        <w:jc w:val="left"/>
      </w:pPr>
      <w:r>
        <w:rPr/>
        <w:t>股份变动的过户情况</w:t>
      </w:r>
    </w:p>
    <w:p>
      <w:pPr>
        <w:pStyle w:val="BodyText"/>
        <w:spacing w:line="321" w:lineRule="auto" w:before="115"/>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报告期内，公司首次公开发行人民币普通股股票</w:t>
      </w:r>
      <w:r>
        <w:rPr>
          <w:rFonts w:ascii="Times New Roman" w:hAnsi="Times New Roman" w:cs="Times New Roman" w:eastAsia="Times New Roman" w:hint="default"/>
          <w:spacing w:val="-1"/>
        </w:rPr>
        <w:t>3,666.67</w:t>
      </w:r>
      <w:r>
        <w:rPr>
          <w:spacing w:val="-1"/>
        </w:rPr>
        <w:t>万股，新增股份和公开发行前的</w:t>
      </w:r>
      <w:r>
        <w:rPr>
          <w:rFonts w:ascii="Times New Roman" w:hAnsi="Times New Roman" w:cs="Times New Roman" w:eastAsia="Times New Roman" w:hint="default"/>
          <w:spacing w:val="-1"/>
        </w:rPr>
        <w:t>11,000</w:t>
      </w:r>
      <w:r>
        <w:rPr>
          <w:spacing w:val="-1"/>
        </w:rPr>
        <w:t>万股均已于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12</w:t>
      </w:r>
      <w:r>
        <w:rPr>
          <w:spacing w:val="-1"/>
        </w:rPr>
        <w:t>日在</w:t>
      </w:r>
      <w:r>
        <w:rPr>
          <w:spacing w:val="-73"/>
        </w:rPr>
        <w:t> </w:t>
      </w:r>
      <w:r>
        <w:rPr/>
        <w:t>中国证券登记结算有限责任公司深圳分公司办理股份登记手续。</w:t>
      </w:r>
    </w:p>
    <w:p>
      <w:pPr>
        <w:pStyle w:val="BodyText"/>
        <w:spacing w:line="240" w:lineRule="auto" w:before="56"/>
        <w:ind w:right="103"/>
        <w:jc w:val="left"/>
      </w:pPr>
      <w:r>
        <w:rPr/>
        <w:t>股份变动对最近一年和最近一期基本每股收益和稀释每股收益、归属于公司普通股股东的每股净资产等财务指标的影响</w:t>
      </w:r>
    </w:p>
    <w:p>
      <w:pPr>
        <w:pStyle w:val="BodyText"/>
        <w:spacing w:line="324"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3"/>
        </w:rPr>
        <w:t>报告期内，公司首次公开发行，总股本由</w:t>
      </w:r>
      <w:r>
        <w:rPr>
          <w:rFonts w:ascii="Times New Roman" w:hAnsi="Times New Roman" w:cs="Times New Roman" w:eastAsia="Times New Roman" w:hint="default"/>
          <w:spacing w:val="-3"/>
        </w:rPr>
        <w:t>11,000.00</w:t>
      </w:r>
      <w:r>
        <w:rPr>
          <w:spacing w:val="-3"/>
        </w:rPr>
        <w:t>万股增加至</w:t>
      </w:r>
      <w:r>
        <w:rPr>
          <w:rFonts w:ascii="Times New Roman" w:hAnsi="Times New Roman" w:cs="Times New Roman" w:eastAsia="Times New Roman" w:hint="default"/>
          <w:spacing w:val="-3"/>
        </w:rPr>
        <w:t>14,666.67</w:t>
      </w:r>
      <w:r>
        <w:rPr>
          <w:spacing w:val="-3"/>
        </w:rPr>
        <w:t>万股。本次股份变动对公司最近一期的基本每股收益、</w:t>
      </w:r>
      <w:r>
        <w:rPr>
          <w:spacing w:val="-71"/>
        </w:rPr>
        <w:t> </w:t>
      </w:r>
      <w:r>
        <w:rPr>
          <w:spacing w:val="-71"/>
        </w:rPr>
      </w:r>
      <w:r>
        <w:rPr>
          <w:spacing w:val="-2"/>
        </w:rPr>
        <w:t>稀释每股收益及归属于公司普通股东的每股净资产等财务指标的影响情况如下：报告期公司基本每股收益、稀释每股收益均</w:t>
      </w:r>
      <w:r>
        <w:rPr>
          <w:spacing w:val="-64"/>
        </w:rPr>
        <w:t> </w:t>
      </w:r>
      <w:r>
        <w:rPr>
          <w:spacing w:val="-64"/>
        </w:rPr>
      </w:r>
      <w:r>
        <w:rPr/>
        <w:t>为</w:t>
      </w:r>
      <w:r>
        <w:rPr>
          <w:rFonts w:ascii="Times New Roman" w:hAnsi="Times New Roman" w:cs="Times New Roman" w:eastAsia="Times New Roman" w:hint="default"/>
        </w:rPr>
        <w:t>0.27</w:t>
      </w:r>
      <w:r>
        <w:rPr/>
        <w:t>元</w:t>
      </w:r>
      <w:r>
        <w:rPr>
          <w:rFonts w:ascii="Times New Roman" w:hAnsi="Times New Roman" w:cs="Times New Roman" w:eastAsia="Times New Roman" w:hint="default"/>
        </w:rPr>
        <w:t>/</w:t>
      </w:r>
      <w:r>
        <w:rPr/>
        <w:t>股，比去年同期下降</w:t>
      </w:r>
      <w:r>
        <w:rPr>
          <w:rFonts w:ascii="Times New Roman" w:hAnsi="Times New Roman" w:cs="Times New Roman" w:eastAsia="Times New Roman" w:hint="default"/>
        </w:rPr>
        <w:t>5.06%</w:t>
      </w:r>
      <w:r>
        <w:rPr/>
        <w:t>，归属于公司普通股东的每股净资产为</w:t>
      </w:r>
      <w:r>
        <w:rPr>
          <w:rFonts w:ascii="Times New Roman" w:hAnsi="Times New Roman" w:cs="Times New Roman" w:eastAsia="Times New Roman" w:hint="default"/>
        </w:rPr>
        <w:t>2.86</w:t>
      </w:r>
      <w:r>
        <w:rPr/>
        <w:t>元</w:t>
      </w:r>
      <w:r>
        <w:rPr>
          <w:rFonts w:ascii="Times New Roman" w:hAnsi="Times New Roman" w:cs="Times New Roman" w:eastAsia="Times New Roman" w:hint="default"/>
        </w:rPr>
        <w:t>/</w:t>
      </w:r>
      <w:r>
        <w:rPr/>
        <w:t>股，比去年同期增长</w:t>
      </w:r>
      <w:r>
        <w:rPr>
          <w:rFonts w:ascii="Times New Roman" w:hAnsi="Times New Roman" w:cs="Times New Roman" w:eastAsia="Times New Roman" w:hint="default"/>
        </w:rPr>
        <w:t>9.77%</w:t>
      </w:r>
      <w:r>
        <w:rPr/>
        <w:t>。 公司认为必要或证券监管机构要求披露的其他内容</w:t>
      </w:r>
    </w:p>
    <w:p>
      <w:pPr>
        <w:pStyle w:val="BodyText"/>
        <w:spacing w:line="240" w:lineRule="auto" w:before="52"/>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10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10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人民币普通股股 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36,666,700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36,666,700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49"/>
        <w:ind w:right="0"/>
        <w:jc w:val="both"/>
      </w:pPr>
      <w:r>
        <w:rPr/>
        <w:t>报告期内证券发行（不含优先股）情况的说明</w:t>
      </w:r>
    </w:p>
    <w:p>
      <w:pPr>
        <w:pStyle w:val="BodyText"/>
        <w:spacing w:line="300" w:lineRule="auto" w:before="117"/>
        <w:ind w:right="18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日，经中国证券监督管理委员会《关于核准深圳市建筑科学研究院股份有限公司首次公开发行股票的批复》证 监许可</w:t>
      </w:r>
      <w:r>
        <w:rPr>
          <w:rFonts w:ascii="Times New Roman" w:hAnsi="Times New Roman" w:cs="Times New Roman" w:eastAsia="Times New Roman" w:hint="default"/>
        </w:rPr>
        <w:t>[2017] </w:t>
      </w:r>
      <w:r>
        <w:rPr>
          <w:rFonts w:ascii="Times New Roman" w:hAnsi="Times New Roman" w:cs="Times New Roman" w:eastAsia="Times New Roman" w:hint="default"/>
          <w:spacing w:val="-5"/>
        </w:rPr>
        <w:t>1028</w:t>
      </w:r>
      <w:r>
        <w:rPr>
          <w:spacing w:val="-5"/>
        </w:rPr>
        <w:t>号文核准，本公司公开发行新股不超过</w:t>
      </w:r>
      <w:r>
        <w:rPr>
          <w:rFonts w:ascii="Times New Roman" w:hAnsi="Times New Roman" w:cs="Times New Roman" w:eastAsia="Times New Roman" w:hint="default"/>
          <w:spacing w:val="-5"/>
        </w:rPr>
        <w:t>3,666.67</w:t>
      </w:r>
      <w:r>
        <w:rPr>
          <w:spacing w:val="-5"/>
        </w:rPr>
        <w:t>万股，无老股转让。</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17</w:t>
      </w:r>
      <w:r>
        <w:rPr>
          <w:spacing w:val="-5"/>
        </w:rPr>
        <w:t>日，经深圳证券交易所《关</w:t>
      </w:r>
      <w:r>
        <w:rPr>
          <w:spacing w:val="-53"/>
        </w:rPr>
        <w:t> </w:t>
      </w:r>
      <w:r>
        <w:rPr>
          <w:spacing w:val="-53"/>
        </w:rPr>
      </w:r>
      <w:r>
        <w:rPr/>
        <w:t>于深圳市建筑科学研究院股份有限公司人民币普通股股票上市的通知》（深证上</w:t>
      </w:r>
      <w:r>
        <w:rPr>
          <w:rFonts w:ascii="Times New Roman" w:hAnsi="Times New Roman" w:cs="Times New Roman" w:eastAsia="Times New Roman" w:hint="default"/>
        </w:rPr>
        <w:t>[2017]448</w:t>
      </w:r>
      <w:r>
        <w:rPr/>
        <w:t>号）同意，本公司发行的人民币</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4"/>
        <w:jc w:val="left"/>
      </w:pPr>
      <w:r>
        <w:rPr/>
        <w:t>普通股股票在深圳证券交易所创业板上市，证券简称</w:t>
      </w:r>
      <w:r>
        <w:rPr>
          <w:rFonts w:ascii="Times New Roman" w:hAnsi="Times New Roman" w:cs="Times New Roman" w:eastAsia="Times New Roman" w:hint="default"/>
        </w:rPr>
        <w:t>“</w:t>
      </w:r>
      <w:r>
        <w:rPr/>
        <w:t>建科院</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“300675”</w:t>
      </w:r>
      <w:r>
        <w:rPr/>
        <w:t>；其中本次公开发行的</w:t>
      </w:r>
      <w:r>
        <w:rPr>
          <w:rFonts w:ascii="Times New Roman" w:hAnsi="Times New Roman" w:cs="Times New Roman" w:eastAsia="Times New Roman" w:hint="default"/>
        </w:rPr>
        <w:t>3,666.67</w:t>
      </w:r>
      <w:r>
        <w:rPr/>
        <w:t>万股股票 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日起上市交易。</w:t>
      </w:r>
    </w:p>
    <w:p>
      <w:pPr>
        <w:spacing w:line="240" w:lineRule="auto" w:before="3"/>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日，经中国证券监督管理委员会《关于核准深圳市建筑科学研究院股份有限公司首次公开发行股票的批复》证 监许可</w:t>
      </w:r>
      <w:r>
        <w:rPr>
          <w:rFonts w:ascii="Times New Roman" w:hAnsi="Times New Roman" w:cs="Times New Roman" w:eastAsia="Times New Roman" w:hint="default"/>
        </w:rPr>
        <w:t>[2017]</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5"/>
        </w:rPr>
        <w:t>1028</w:t>
      </w:r>
      <w:r>
        <w:rPr>
          <w:spacing w:val="-5"/>
        </w:rPr>
        <w:t>号文核准，本公司公开发行新股不超过</w:t>
      </w:r>
      <w:r>
        <w:rPr>
          <w:rFonts w:ascii="Times New Roman" w:hAnsi="Times New Roman" w:cs="Times New Roman" w:eastAsia="Times New Roman" w:hint="default"/>
          <w:spacing w:val="-5"/>
        </w:rPr>
        <w:t>3,666.67</w:t>
      </w:r>
      <w:r>
        <w:rPr>
          <w:spacing w:val="-5"/>
        </w:rPr>
        <w:t>万股，无老股转让。</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17</w:t>
      </w:r>
      <w:r>
        <w:rPr>
          <w:spacing w:val="-5"/>
        </w:rPr>
        <w:t>日，经深圳证券交易所《关</w:t>
      </w:r>
    </w:p>
    <w:p>
      <w:pPr>
        <w:pStyle w:val="BodyText"/>
        <w:spacing w:line="300" w:lineRule="auto"/>
        <w:ind w:right="196"/>
        <w:jc w:val="both"/>
      </w:pPr>
      <w:r>
        <w:rPr/>
        <w:t>于深圳市建筑科学研究院股份有限公司人民币普通股股票上市的通知》（深证上</w:t>
      </w:r>
      <w:r>
        <w:rPr>
          <w:rFonts w:ascii="Times New Roman" w:hAnsi="Times New Roman" w:cs="Times New Roman" w:eastAsia="Times New Roman" w:hint="default"/>
        </w:rPr>
        <w:t>[2017]448</w:t>
      </w:r>
      <w:r>
        <w:rPr/>
        <w:t>号）同意，本公司发行的人民币 普通股股票在深圳证券交易所创业板上市，证券简称</w:t>
      </w:r>
      <w:r>
        <w:rPr>
          <w:rFonts w:ascii="Times New Roman" w:hAnsi="Times New Roman" w:cs="Times New Roman" w:eastAsia="Times New Roman" w:hint="default"/>
        </w:rPr>
        <w:t>“</w:t>
      </w:r>
      <w:r>
        <w:rPr/>
        <w:t>建科院</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“300675”</w:t>
      </w:r>
      <w:r>
        <w:rPr/>
        <w:t>；其中本次公开发行的</w:t>
      </w:r>
      <w:r>
        <w:rPr>
          <w:rFonts w:ascii="Times New Roman" w:hAnsi="Times New Roman" w:cs="Times New Roman" w:eastAsia="Times New Roman" w:hint="default"/>
        </w:rPr>
        <w:t>3,666.67</w:t>
      </w:r>
      <w:r>
        <w:rPr/>
        <w:t>万股股票 将于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日起上市交易。</w:t>
      </w:r>
    </w:p>
    <w:p>
      <w:pPr>
        <w:spacing w:line="240" w:lineRule="auto" w:before="3"/>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pict>
          <v:shape style="position:absolute;margin-left:449.22699pt;margin-top:17.707714pt;width:85.75pt;height:82pt;mso-position-horizontal-relative:page;mso-position-vertical-relative:paragraph;z-index:-1294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7.707714pt;width:52.45pt;height:82pt;mso-position-horizontal-relative:page;mso-position-vertical-relative:paragraph;z-index:-1294528" coordorigin="9650,354" coordsize="1049,1640">
            <v:group style="position:absolute;left:9650;top:354;width:1049;height:1640" coordorigin="9650,354" coordsize="1049,1640">
              <v:shape style="position:absolute;left:9650;top:354;width:1049;height:1640" coordorigin="9650,354" coordsize="1049,1640" path="m9650,1994l10699,1994,10699,354,9650,354,9650,1994xe" filled="true" fillcolor="#ffffff" stroked="false">
                <v:path arrowok="t"/>
                <v:fill type="solid"/>
              </v:shape>
            </v:group>
            <v:group style="position:absolute;left:9672;top:978;width:1004;height:392" coordorigin="9672,978" coordsize="1004,392">
              <v:shape style="position:absolute;left:9672;top:978;width:1004;height:392" coordorigin="9672,978" coordsize="1004,392" path="m9672,1369l10675,1369,10675,978,9672,978,9672,1369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146,666,7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146,666,700</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深圳市远致投资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62,857,14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减少</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3,142,857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62,857,14</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深圳市建科投资 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中关村发展集团 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pacing w:val="-1"/>
                <w:sz w:val="18"/>
              </w:rPr>
              <w:t>11,000,00</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pacing w:val="-4"/>
                <w:sz w:val="18"/>
                <w:szCs w:val="18"/>
              </w:rPr>
              <w:t>（集团）有限公司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2"/>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2"/>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5,500,000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73"/>
              <w:jc w:val="left"/>
              <w:rPr>
                <w:rFonts w:ascii="宋体" w:hAnsi="宋体" w:cs="宋体" w:eastAsia="宋体" w:hint="default"/>
                <w:sz w:val="18"/>
                <w:szCs w:val="18"/>
              </w:rPr>
            </w:pPr>
            <w:r>
              <w:rPr>
                <w:rFonts w:ascii="宋体" w:hAnsi="宋体" w:cs="宋体" w:eastAsia="宋体" w:hint="default"/>
                <w:sz w:val="18"/>
                <w:szCs w:val="18"/>
              </w:rPr>
              <w:t>全国社会保障基 金理事会转持一</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3,142,857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3,142,857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3,142,857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36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王孟辉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302,900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李丽君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291,585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291,585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291,585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姜方策</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191,900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王改贤</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154,000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2" w:space="0" w:color="D2D2D2"/>
              <w:bottom w:val="single" w:sz="4" w:space="0" w:color="000000"/>
              <w:right w:val="single" w:sz="4" w:space="0" w:color="000000"/>
            </w:tcBorders>
          </w:tcPr>
          <w:p>
            <w:pPr>
              <w:pStyle w:val="TableParagraph"/>
              <w:spacing w:line="300" w:lineRule="auto" w:before="49"/>
              <w:ind w:left="13" w:right="17"/>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名股东之间不存在关联关系，也不属于一致行动人。公司未知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名股东之 间是否存在关联关系，也未知是否属于一致行动人。</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王孟辉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李丽君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291,585</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姜方策</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王改贤</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齐秋雨</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151,939</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牛森超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陈中华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王孟龙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施森淼</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w:t>
            </w:r>
          </w:p>
        </w:tc>
      </w:tr>
      <w:tr>
        <w:trPr>
          <w:trHeight w:val="1340"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8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名无限售流通股股东之间是否存在关联关系，也未知是否属于一致行 动人。</w:t>
            </w:r>
          </w:p>
        </w:tc>
      </w:tr>
      <w:tr>
        <w:trPr>
          <w:trHeight w:val="1649"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公司股东王孟辉除通过普通证券账户持有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w:t>
            </w:r>
            <w:r>
              <w:rPr>
                <w:rFonts w:ascii="宋体" w:hAnsi="宋体" w:cs="宋体" w:eastAsia="宋体" w:hint="default"/>
                <w:spacing w:val="-75"/>
                <w:sz w:val="18"/>
                <w:szCs w:val="18"/>
              </w:rPr>
              <w:t>，</w:t>
            </w:r>
            <w:r>
              <w:rPr>
                <w:rFonts w:ascii="宋体" w:hAnsi="宋体" w:cs="宋体" w:eastAsia="宋体" w:hint="default"/>
                <w:sz w:val="18"/>
                <w:szCs w:val="18"/>
              </w:rPr>
              <w:t>还</w:t>
            </w:r>
            <w:r>
              <w:rPr>
                <w:rFonts w:ascii="宋体" w:hAnsi="宋体" w:cs="宋体" w:eastAsia="宋体" w:hint="default"/>
                <w:spacing w:val="-3"/>
                <w:sz w:val="18"/>
                <w:szCs w:val="18"/>
              </w:rPr>
              <w:t>通</w:t>
            </w:r>
            <w:r>
              <w:rPr>
                <w:rFonts w:ascii="宋体" w:hAnsi="宋体" w:cs="宋体" w:eastAsia="宋体" w:hint="default"/>
                <w:sz w:val="18"/>
                <w:szCs w:val="18"/>
              </w:rPr>
              <w:t>过财达证券股份有限公司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255,000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
                <w:sz w:val="18"/>
                <w:szCs w:val="18"/>
              </w:rPr>
              <w:t> </w:t>
            </w:r>
            <w:r>
              <w:rPr>
                <w:rFonts w:ascii="宋体" w:hAnsi="宋体" w:cs="宋体" w:eastAsia="宋体" w:hint="default"/>
                <w:sz w:val="18"/>
                <w:szCs w:val="18"/>
              </w:rPr>
              <w:t>公司股东王</w:t>
            </w:r>
          </w:p>
          <w:p>
            <w:pPr>
              <w:pStyle w:val="TableParagraph"/>
              <w:spacing w:line="300" w:lineRule="auto" w:before="63"/>
              <w:ind w:left="23" w:right="35"/>
              <w:jc w:val="both"/>
              <w:rPr>
                <w:rFonts w:ascii="宋体" w:hAnsi="宋体" w:cs="宋体" w:eastAsia="宋体" w:hint="default"/>
                <w:sz w:val="18"/>
                <w:szCs w:val="18"/>
              </w:rPr>
            </w:pPr>
            <w:r>
              <w:rPr>
                <w:rFonts w:ascii="宋体" w:hAnsi="宋体" w:cs="宋体" w:eastAsia="宋体" w:hint="default"/>
                <w:sz w:val="18"/>
                <w:szCs w:val="18"/>
              </w:rPr>
              <w:t>改贤通过财达证券股份有限公司客户信用交易担保证券账户持有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154,000 </w:t>
            </w:r>
            <w:r>
              <w:rPr>
                <w:rFonts w:ascii="宋体" w:hAnsi="宋体" w:cs="宋体" w:eastAsia="宋体" w:hint="default"/>
                <w:sz w:val="18"/>
                <w:szCs w:val="18"/>
              </w:rPr>
              <w:t>股，实际合 计持有 </w:t>
            </w:r>
            <w:r>
              <w:rPr>
                <w:rFonts w:ascii="Times New Roman" w:hAnsi="Times New Roman" w:cs="Times New Roman" w:eastAsia="Times New Roman" w:hint="default"/>
                <w:sz w:val="18"/>
                <w:szCs w:val="18"/>
              </w:rPr>
              <w:t>154,000 </w:t>
            </w:r>
            <w:r>
              <w:rPr>
                <w:rFonts w:ascii="宋体" w:hAnsi="宋体" w:cs="宋体" w:eastAsia="宋体" w:hint="default"/>
                <w:sz w:val="18"/>
                <w:szCs w:val="18"/>
              </w:rPr>
              <w:t>股；</w:t>
            </w:r>
            <w:r>
              <w:rPr>
                <w:rFonts w:ascii="宋体" w:hAnsi="宋体" w:cs="宋体" w:eastAsia="宋体" w:hint="default"/>
                <w:spacing w:val="2"/>
                <w:sz w:val="18"/>
                <w:szCs w:val="18"/>
              </w:rPr>
              <w:t> </w:t>
            </w:r>
            <w:r>
              <w:rPr>
                <w:rFonts w:ascii="宋体" w:hAnsi="宋体" w:cs="宋体" w:eastAsia="宋体" w:hint="default"/>
                <w:sz w:val="18"/>
                <w:szCs w:val="18"/>
              </w:rPr>
              <w:t>公司股东王孟龙通过财达证券股份有限公司客户信用交易担保</w:t>
            </w:r>
            <w:r>
              <w:rPr>
                <w:rFonts w:ascii="宋体" w:hAnsi="宋体" w:cs="宋体" w:eastAsia="宋体" w:hint="default"/>
                <w:sz w:val="18"/>
                <w:szCs w:val="18"/>
              </w:rPr>
              <w:t> 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434"/>
        <w:jc w:val="left"/>
      </w:pPr>
      <w:r>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深圳市远致投资有限公司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陈志升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
              <w:jc w:val="center"/>
              <w:rPr>
                <w:rFonts w:ascii="Times New Roman" w:hAnsi="Times New Roman" w:cs="Times New Roman" w:eastAsia="Times New Roman" w:hint="default"/>
                <w:sz w:val="18"/>
                <w:szCs w:val="18"/>
              </w:rPr>
            </w:pPr>
            <w:r>
              <w:rPr>
                <w:rFonts w:ascii="Times New Roman"/>
                <w:sz w:val="18"/>
              </w:rPr>
              <w:t>91440300664187170P</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投资兴办实业</w:t>
            </w:r>
            <w:r>
              <w:rPr>
                <w:rFonts w:ascii="Times New Roman" w:hAnsi="Times New Roman" w:cs="Times New Roman" w:eastAsia="Times New Roman" w:hint="default"/>
                <w:sz w:val="18"/>
                <w:szCs w:val="18"/>
              </w:rPr>
              <w:t>(</w:t>
            </w:r>
            <w:r>
              <w:rPr>
                <w:rFonts w:ascii="宋体" w:hAnsi="宋体" w:cs="宋体" w:eastAsia="宋体" w:hint="default"/>
                <w:sz w:val="18"/>
                <w:szCs w:val="18"/>
              </w:rPr>
              <w:t>具体项目另 行申报</w:t>
            </w:r>
            <w:r>
              <w:rPr>
                <w:rFonts w:ascii="Times New Roman" w:hAnsi="Times New Roman" w:cs="Times New Roman" w:eastAsia="Times New Roman" w:hint="default"/>
                <w:sz w:val="18"/>
                <w:szCs w:val="18"/>
              </w:rPr>
              <w:t>);</w:t>
            </w:r>
            <w:r>
              <w:rPr>
                <w:rFonts w:ascii="宋体" w:hAnsi="宋体" w:cs="宋体" w:eastAsia="宋体" w:hint="default"/>
                <w:sz w:val="18"/>
                <w:szCs w:val="18"/>
              </w:rPr>
              <w:t>对投资及其相关的 </w:t>
            </w:r>
            <w:r>
              <w:rPr>
                <w:rFonts w:ascii="宋体" w:hAnsi="宋体" w:cs="宋体" w:eastAsia="宋体" w:hint="default"/>
                <w:spacing w:val="-4"/>
                <w:sz w:val="18"/>
                <w:szCs w:val="18"/>
              </w:rPr>
              <w:t>资产提供管理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法律、行政法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规、国务院决定禁止的项目 除外</w:t>
            </w:r>
            <w:r>
              <w:rPr>
                <w:rFonts w:ascii="Times New Roman" w:hAnsi="Times New Roman" w:cs="Times New Roman" w:eastAsia="Times New Roman" w:hint="default"/>
                <w:sz w:val="18"/>
                <w:szCs w:val="18"/>
              </w:rPr>
              <w:t>,</w:t>
            </w:r>
            <w:r>
              <w:rPr>
                <w:rFonts w:ascii="宋体" w:hAnsi="宋体" w:cs="宋体" w:eastAsia="宋体" w:hint="default"/>
                <w:sz w:val="18"/>
                <w:szCs w:val="18"/>
              </w:rPr>
              <w:t>限制的项目须取得许 可后方可经营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国投资本股份有限公司（简称：国投资本；证券代码：</w:t>
            </w:r>
            <w:r>
              <w:rPr>
                <w:rFonts w:ascii="Times New Roman" w:hAnsi="Times New Roman" w:cs="Times New Roman" w:eastAsia="Times New Roman" w:hint="default"/>
                <w:sz w:val="18"/>
                <w:szCs w:val="18"/>
              </w:rPr>
              <w:t>600061</w:t>
            </w:r>
            <w:r>
              <w:rPr>
                <w:rFonts w:ascii="宋体" w:hAnsi="宋体" w:cs="宋体" w:eastAsia="宋体" w:hint="default"/>
                <w:sz w:val="18"/>
                <w:szCs w:val="18"/>
              </w:rPr>
              <w:t>）</w:t>
            </w:r>
          </w:p>
        </w:tc>
      </w:tr>
    </w:tbl>
    <w:p>
      <w:pPr>
        <w:pStyle w:val="BodyText"/>
        <w:spacing w:line="240" w:lineRule="auto" w:before="70"/>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89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433"/>
        <w:gridCol w:w="1594"/>
        <w:gridCol w:w="2552"/>
      </w:tblGrid>
      <w:tr>
        <w:trPr>
          <w:trHeight w:val="71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3"/>
              <w:jc w:val="left"/>
              <w:rPr>
                <w:rFonts w:ascii="宋体" w:hAnsi="宋体" w:cs="宋体" w:eastAsia="宋体" w:hint="default"/>
                <w:sz w:val="18"/>
                <w:szCs w:val="18"/>
              </w:rPr>
            </w:pPr>
            <w:r>
              <w:rPr>
                <w:rFonts w:ascii="宋体" w:hAnsi="宋体" w:cs="宋体" w:eastAsia="宋体" w:hint="default"/>
                <w:sz w:val="18"/>
                <w:szCs w:val="18"/>
              </w:rPr>
              <w:t>深圳市人民政府国有资产 监督管理委员会</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彭海斌</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K31728067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2"/>
                <w:sz w:val="18"/>
                <w:szCs w:val="18"/>
              </w:rPr>
              <w:t>根据市政府授权，依照法律规履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行出资人职责，依法维护国有资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产出人权益等。</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深圳机场、盐田港、深能源、深振业、深天健、农产品、特发信息、沙河股份等上市公司。</w:t>
            </w:r>
          </w:p>
        </w:tc>
      </w:tr>
    </w:tbl>
    <w:p>
      <w:pPr>
        <w:pStyle w:val="BodyText"/>
        <w:spacing w:line="240" w:lineRule="auto" w:before="67"/>
        <w:ind w:right="0"/>
        <w:jc w:val="left"/>
      </w:pPr>
      <w:r>
        <w:rPr/>
        <w:t>实际控制人报告期内变更</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5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4710" w:lineRule="exact"/>
        <w:ind w:left="135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2614" cy="29908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92614" cy="299085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0"/>
          <w:szCs w:val="20"/>
        </w:rPr>
      </w:pPr>
    </w:p>
    <w:p>
      <w:pPr>
        <w:spacing w:before="194"/>
        <w:ind w:left="152"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2"/>
        <w:rPr>
          <w:rFonts w:ascii="等线" w:hAnsi="等线" w:cs="等线" w:eastAsia="等线"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1"/>
        <w:gridCol w:w="1814"/>
        <w:gridCol w:w="1414"/>
        <w:gridCol w:w="1634"/>
        <w:gridCol w:w="2127"/>
      </w:tblGrid>
      <w:tr>
        <w:trPr>
          <w:trHeight w:val="713"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5824.11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4"/>
        <w:spacing w:line="240" w:lineRule="auto"/>
        <w:ind w:right="0"/>
        <w:jc w:val="left"/>
        <w:rPr>
          <w:b w:val="0"/>
          <w:bCs w:val="0"/>
        </w:rPr>
      </w:pPr>
      <w:r>
        <w:rPr/>
        <w:pict>
          <v:shape style="position:absolute;margin-left:471.583008pt;margin-top:36.793621pt;width:63.6pt;height:50.9pt;mso-position-horizontal-relative:page;mso-position-vertical-relative:paragraph;z-index:-12945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7"/>
        <w:gridCol w:w="797"/>
        <w:gridCol w:w="800"/>
        <w:gridCol w:w="797"/>
        <w:gridCol w:w="799"/>
        <w:gridCol w:w="797"/>
        <w:gridCol w:w="799"/>
        <w:gridCol w:w="797"/>
      </w:tblGrid>
      <w:tr>
        <w:trPr>
          <w:trHeight w:val="102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2754"/>
        <w:jc w:val="left"/>
      </w:pPr>
      <w:r>
        <w:rPr/>
        <w:t>公司现任董事、监事、高级管理人员专业背景、主要工作经历以及目前在公司的主要职责 一、董事会成员</w:t>
      </w:r>
    </w:p>
    <w:p>
      <w:pPr>
        <w:pStyle w:val="BodyText"/>
        <w:spacing w:line="236" w:lineRule="exact"/>
        <w:ind w:right="0"/>
        <w:jc w:val="left"/>
      </w:pPr>
      <w:r>
        <w:rPr>
          <w:rFonts w:ascii="Times New Roman" w:hAnsi="Times New Roman" w:cs="Times New Roman" w:eastAsia="Times New Roman" w:hint="default"/>
        </w:rPr>
        <w:t>1</w:t>
      </w:r>
      <w:r>
        <w:rPr/>
        <w:t>、叶青，女，</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10</w:t>
      </w:r>
      <w:r>
        <w:rPr/>
        <w:t>月出生，建筑学专业研究生学历，中国国籍，无境外永久居留权，教授级高级工程师。</w:t>
      </w:r>
      <w:r>
        <w:rPr>
          <w:rFonts w:ascii="Times New Roman" w:hAnsi="Times New Roman" w:cs="Times New Roman" w:eastAsia="Times New Roman" w:hint="default"/>
        </w:rPr>
        <w:t>1993</w:t>
      </w:r>
      <w:r>
        <w:rPr/>
        <w:t>年毕业</w:t>
      </w:r>
    </w:p>
    <w:p>
      <w:pPr>
        <w:pStyle w:val="BodyText"/>
        <w:spacing w:line="309" w:lineRule="auto" w:before="63"/>
        <w:ind w:right="144"/>
        <w:jc w:val="left"/>
      </w:pPr>
      <w:r>
        <w:rPr>
          <w:spacing w:val="-2"/>
        </w:rPr>
        <w:t>于浙江大学建筑学专业。</w:t>
      </w:r>
      <w:r>
        <w:rPr>
          <w:rFonts w:ascii="Times New Roman" w:hAnsi="Times New Roman" w:cs="Times New Roman" w:eastAsia="Times New Roman" w:hint="default"/>
          <w:spacing w:val="-2"/>
        </w:rPr>
        <w:t>2007</w:t>
      </w:r>
      <w:r>
        <w:rPr>
          <w:spacing w:val="-2"/>
        </w:rPr>
        <w:t>年起任深圳建总院副院长、执行总建筑师，兼任建科院有限董事、董事长；</w:t>
      </w:r>
      <w:r>
        <w:rPr>
          <w:rFonts w:ascii="Times New Roman" w:hAnsi="Times New Roman" w:cs="Times New Roman" w:eastAsia="Times New Roman" w:hint="default"/>
          <w:spacing w:val="-2"/>
        </w:rPr>
        <w:t>2008</w:t>
      </w:r>
      <w:r>
        <w:rPr>
          <w:spacing w:val="-2"/>
        </w:rPr>
        <w:t>年起任建科院</w:t>
      </w:r>
      <w:r>
        <w:rPr>
          <w:spacing w:val="-61"/>
        </w:rPr>
        <w:t> </w:t>
      </w:r>
      <w:r>
        <w:rPr>
          <w:spacing w:val="-61"/>
        </w:rPr>
      </w:r>
      <w:r>
        <w:rPr/>
        <w:t>有限董事长，中共建科院有限党委书记；现任本公司董事长、中共深圳建科院党委书记，深圳市人大常委会常委。 </w:t>
      </w:r>
      <w:r>
        <w:rPr>
          <w:rFonts w:ascii="Times New Roman" w:hAnsi="Times New Roman" w:cs="Times New Roman" w:eastAsia="Times New Roman" w:hint="default"/>
          <w:spacing w:val="-2"/>
        </w:rPr>
        <w:t>2</w:t>
      </w:r>
      <w:r>
        <w:rPr>
          <w:spacing w:val="-2"/>
        </w:rPr>
        <w:t>、陈泽广，男，</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4</w:t>
      </w:r>
      <w:r>
        <w:rPr>
          <w:spacing w:val="-2"/>
        </w:rPr>
        <w:t>月出生，结构工程专业研究生学历，中国国籍，无境外永久居留权。</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2008</w:t>
      </w:r>
      <w:r>
        <w:rPr>
          <w:spacing w:val="-2"/>
        </w:rPr>
        <w:t>年于深圳市建筑</w:t>
      </w:r>
      <w:r>
        <w:rPr>
          <w:spacing w:val="-62"/>
        </w:rPr>
        <w:t> </w:t>
      </w:r>
      <w:r>
        <w:rPr>
          <w:spacing w:val="-62"/>
        </w:rPr>
      </w:r>
      <w:r>
        <w:rPr/>
        <w:t>科学研究院担任院总工程师、副院长；</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2013</w:t>
      </w:r>
      <w:r>
        <w:rPr/>
        <w:t>年于建科院有限担任董事、总经理。现任本公司董事、总经理。 </w:t>
      </w:r>
      <w:r>
        <w:rPr>
          <w:rFonts w:ascii="Times New Roman" w:hAnsi="Times New Roman" w:cs="Times New Roman" w:eastAsia="Times New Roman" w:hint="default"/>
        </w:rPr>
        <w:t>3</w:t>
      </w:r>
      <w:r>
        <w:rPr/>
        <w:t>、莫福光，男，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10</w:t>
      </w:r>
      <w:r>
        <w:rPr/>
        <w:t>月出生，政治经济学专业研究生学历，中国国籍，无境外永久居留权。</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2008</w:t>
      </w:r>
      <w:r>
        <w:rPr/>
        <w:t>年于深圳市 </w:t>
      </w:r>
      <w:r>
        <w:rPr>
          <w:spacing w:val="-2"/>
        </w:rPr>
        <w:t>国资委企业二处工作；</w:t>
      </w:r>
      <w:r>
        <w:rPr>
          <w:rFonts w:ascii="Times New Roman" w:hAnsi="Times New Roman" w:cs="Times New Roman" w:eastAsia="Times New Roman" w:hint="default"/>
          <w:spacing w:val="-2"/>
        </w:rPr>
        <w:t>2008</w:t>
      </w:r>
      <w:r>
        <w:rPr>
          <w:spacing w:val="-2"/>
        </w:rPr>
        <w:t>年至今于建科院有限工作任董事、党委副书记、纪委书记。现任本公司董事、党委副书记、纪委</w:t>
      </w:r>
      <w:r>
        <w:rPr>
          <w:spacing w:val="-65"/>
        </w:rPr>
        <w:t> </w:t>
      </w:r>
      <w:r>
        <w:rPr>
          <w:spacing w:val="-65"/>
        </w:rPr>
      </w:r>
      <w:r>
        <w:rPr/>
        <w:t>书记，兼任建科投资监事会主席。 </w:t>
      </w:r>
      <w:r>
        <w:rPr>
          <w:rFonts w:ascii="Times New Roman" w:hAnsi="Times New Roman" w:cs="Times New Roman" w:eastAsia="Times New Roman" w:hint="default"/>
        </w:rPr>
        <w:t>4</w:t>
      </w:r>
      <w:r>
        <w:rPr/>
        <w:t>、曹翔，男，</w:t>
      </w:r>
      <w:r>
        <w:rPr>
          <w:rFonts w:ascii="Times New Roman" w:hAnsi="Times New Roman" w:cs="Times New Roman" w:eastAsia="Times New Roman" w:hint="default"/>
        </w:rPr>
        <w:t>1968</w:t>
      </w:r>
      <w:r>
        <w:rPr/>
        <w:t>年出生，法学专业博士学历，中国国籍，无境外永久居留权。历任深圳花样年投资公司董事副总经理， </w:t>
      </w:r>
      <w:r>
        <w:rPr>
          <w:spacing w:val="-2"/>
        </w:rPr>
        <w:t>渤海证券研究所所长兼公司投资决策委员会委员，国泰君安证券研究所核心研究员、投资银行部业务董事等职务。截止本报</w:t>
      </w:r>
      <w:r>
        <w:rPr>
          <w:spacing w:val="-63"/>
        </w:rPr>
        <w:t> </w:t>
      </w:r>
      <w:r>
        <w:rPr>
          <w:spacing w:val="-63"/>
        </w:rPr>
      </w:r>
      <w:r>
        <w:rPr>
          <w:spacing w:val="-2"/>
        </w:rPr>
        <w:t>告期末，任本公司董事，兼任前海股权交易中心（深圳）有限公司监事、万和证券股份有限公司董事、深圳市鲲鹏股权投资</w:t>
      </w:r>
      <w:r>
        <w:rPr>
          <w:spacing w:val="-68"/>
        </w:rPr>
        <w:t> </w:t>
      </w:r>
      <w:r>
        <w:rPr>
          <w:spacing w:val="-68"/>
        </w:rPr>
      </w:r>
      <w:r>
        <w:rPr/>
        <w:t>管理有限公司总经理等。 </w:t>
      </w:r>
      <w:r>
        <w:rPr>
          <w:rFonts w:ascii="Times New Roman" w:hAnsi="Times New Roman" w:cs="Times New Roman" w:eastAsia="Times New Roman" w:hint="default"/>
          <w:spacing w:val="-2"/>
        </w:rPr>
        <w:t>5</w:t>
      </w:r>
      <w:r>
        <w:rPr>
          <w:spacing w:val="-2"/>
        </w:rPr>
        <w:t>、邵顺昌，男，</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5</w:t>
      </w:r>
      <w:r>
        <w:rPr>
          <w:spacing w:val="-2"/>
        </w:rPr>
        <w:t>月出生，电子工程专业研究生学历，中国国籍，无境外永久居留权。</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2009</w:t>
      </w:r>
      <w:r>
        <w:rPr>
          <w:spacing w:val="-2"/>
        </w:rPr>
        <w:t>年任中关村科技</w:t>
      </w:r>
      <w:r>
        <w:rPr>
          <w:spacing w:val="-63"/>
        </w:rPr>
        <w:t> </w:t>
      </w:r>
      <w:r>
        <w:rPr>
          <w:spacing w:val="-63"/>
        </w:rPr>
      </w:r>
      <w:r>
        <w:rPr>
          <w:spacing w:val="-2"/>
        </w:rPr>
        <w:t>园区管委会投融资促进处处长；</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年任中关村科技园区管委会国际交流合作处处长。现任本公司董事，兼任北京</w:t>
      </w:r>
      <w:r>
        <w:rPr>
          <w:spacing w:val="-60"/>
        </w:rPr>
        <w:t> </w:t>
      </w:r>
      <w:r>
        <w:rPr>
          <w:spacing w:val="-60"/>
        </w:rPr>
      </w:r>
      <w:r>
        <w:rPr>
          <w:spacing w:val="-1"/>
        </w:rPr>
        <w:t>知识产权运营管理有限公司董事、总经理，北京中关村石景山园发展有限公司</w:t>
      </w:r>
      <w:r>
        <w:rPr>
          <w:rFonts w:ascii="Times New Roman" w:hAnsi="Times New Roman" w:cs="Times New Roman" w:eastAsia="Times New Roman" w:hint="default"/>
          <w:spacing w:val="-1"/>
        </w:rPr>
        <w:t>(</w:t>
      </w:r>
      <w:r>
        <w:rPr>
          <w:spacing w:val="-1"/>
        </w:rPr>
        <w:t>曾用名：北京京石科园置业发展有限公司</w:t>
      </w:r>
      <w:r>
        <w:rPr>
          <w:rFonts w:ascii="Times New Roman" w:hAnsi="Times New Roman" w:cs="Times New Roman" w:eastAsia="Times New Roman" w:hint="default"/>
          <w:spacing w:val="-1"/>
        </w:rPr>
        <w:t>)</w:t>
      </w:r>
      <w:r>
        <w:rPr>
          <w:spacing w:val="-1"/>
        </w:rPr>
        <w:t>董</w:t>
      </w:r>
      <w:r>
        <w:rPr>
          <w:spacing w:val="-58"/>
        </w:rPr>
        <w:t> </w:t>
      </w:r>
      <w:r>
        <w:rPr/>
        <w:t>事，国能风力发电有限公司董事等。 </w:t>
      </w:r>
      <w:r>
        <w:rPr>
          <w:rFonts w:ascii="Times New Roman" w:hAnsi="Times New Roman" w:cs="Times New Roman" w:eastAsia="Times New Roman" w:hint="default"/>
        </w:rPr>
        <w:t>6</w:t>
      </w:r>
      <w:r>
        <w:rPr/>
        <w:t>、刘丽，女，</w:t>
      </w:r>
      <w:r>
        <w:rPr>
          <w:rFonts w:ascii="Times New Roman" w:hAnsi="Times New Roman" w:cs="Times New Roman" w:eastAsia="Times New Roman" w:hint="default"/>
        </w:rPr>
        <w:t>1973</w:t>
      </w:r>
      <w:r>
        <w:rPr/>
        <w:t>年出生，工商管理研究生学历，中国国籍，无境外永久居留权，高级会计师、注册会计师、英国特许公 </w:t>
      </w:r>
      <w:r>
        <w:rPr>
          <w:spacing w:val="-2"/>
        </w:rPr>
        <w:t>认会计师。历任深圳燃气集团股份有限公司预算经理、深圳华安液化石油气有限公司财务总监兼财务经理、深圳市远致投资</w:t>
      </w:r>
      <w:r>
        <w:rPr>
          <w:spacing w:val="-63"/>
        </w:rPr>
        <w:t> </w:t>
      </w:r>
      <w:r>
        <w:rPr>
          <w:spacing w:val="-63"/>
        </w:rPr>
      </w:r>
      <w:r>
        <w:rPr/>
        <w:t>有限公司财务部副部长等职务。现任本公司董事、财务负责人兼财务总监。 </w:t>
      </w:r>
      <w:r>
        <w:rPr>
          <w:rFonts w:ascii="Times New Roman" w:hAnsi="Times New Roman" w:cs="Times New Roman" w:eastAsia="Times New Roman" w:hint="default"/>
        </w:rPr>
        <w:t>7</w:t>
      </w:r>
      <w:r>
        <w:rPr/>
        <w:t>、林晓春，女，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月出生，法学专业研究生学历，中国国籍，无境外永久居留权。自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月以来至今担任广东信 </w:t>
      </w:r>
      <w:r>
        <w:rPr>
          <w:spacing w:val="-2"/>
        </w:rPr>
        <w:t>达律师事务所律师、高级合伙人。现任本公司独立董事，兼任广东信达律师事务所高级合伙人、深圳市君和睿通科技股份有</w:t>
      </w:r>
      <w:r>
        <w:rPr>
          <w:spacing w:val="-64"/>
        </w:rPr>
        <w:t> </w:t>
      </w:r>
      <w:r>
        <w:rPr>
          <w:spacing w:val="-64"/>
        </w:rPr>
      </w:r>
      <w:r>
        <w:rPr/>
        <w:t>限公司董事等。 </w:t>
      </w:r>
      <w:r>
        <w:rPr>
          <w:rFonts w:ascii="Times New Roman" w:hAnsi="Times New Roman" w:cs="Times New Roman" w:eastAsia="Times New Roman" w:hint="default"/>
        </w:rPr>
        <w:t>8</w:t>
      </w:r>
      <w:r>
        <w:rPr/>
        <w:t>、郑学定，男，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6</w:t>
      </w:r>
      <w:r>
        <w:rPr/>
        <w:t>月出生，会计专业研究生学历，中国国籍，无境外永久居留权。注册会计师、高级会计师。</w:t>
      </w:r>
      <w:r>
        <w:rPr>
          <w:rFonts w:ascii="Times New Roman" w:hAnsi="Times New Roman" w:cs="Times New Roman" w:eastAsia="Times New Roman" w:hint="default"/>
        </w:rPr>
        <w:t>2006 </w:t>
      </w:r>
      <w:r>
        <w:rPr>
          <w:spacing w:val="-2"/>
        </w:rPr>
        <w:t>年至今历任天健会计师事务所深圳分所合伙人、大华会计师事务所深圳分所合伙人。现任职本公司独立董事，兼任深圳冰川</w:t>
      </w:r>
    </w:p>
    <w:p>
      <w:pPr>
        <w:spacing w:after="0" w:line="309"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2" w:lineRule="auto" w:before="44"/>
        <w:ind w:right="103"/>
        <w:jc w:val="left"/>
      </w:pPr>
      <w:r>
        <w:rPr>
          <w:spacing w:val="-2"/>
        </w:rPr>
        <w:t>网络股份有限公司独立董事、深圳市银之杰科技股份有限公司独立董事、国银金融租赁股份有限公司独立董事、国信证券股</w:t>
      </w:r>
      <w:r>
        <w:rPr>
          <w:spacing w:val="-63"/>
        </w:rPr>
        <w:t> </w:t>
      </w:r>
      <w:r>
        <w:rPr>
          <w:spacing w:val="-63"/>
        </w:rPr>
      </w:r>
      <w:r>
        <w:rPr/>
        <w:t>份有限公司独立董事。 </w:t>
      </w:r>
      <w:r>
        <w:rPr>
          <w:rFonts w:ascii="Times New Roman" w:hAnsi="Times New Roman" w:cs="Times New Roman" w:eastAsia="Times New Roman" w:hint="default"/>
          <w:spacing w:val="-2"/>
        </w:rPr>
        <w:t>9</w:t>
      </w:r>
      <w:r>
        <w:rPr>
          <w:spacing w:val="-2"/>
        </w:rPr>
        <w:t>、吴硕贤，男，</w:t>
      </w:r>
      <w:r>
        <w:rPr>
          <w:rFonts w:ascii="Times New Roman" w:hAnsi="Times New Roman" w:cs="Times New Roman" w:eastAsia="Times New Roman" w:hint="default"/>
          <w:spacing w:val="-2"/>
        </w:rPr>
        <w:t>1947</w:t>
      </w:r>
      <w:r>
        <w:rPr>
          <w:spacing w:val="-2"/>
        </w:rPr>
        <w:t>年</w:t>
      </w:r>
      <w:r>
        <w:rPr>
          <w:rFonts w:ascii="Times New Roman" w:hAnsi="Times New Roman" w:cs="Times New Roman" w:eastAsia="Times New Roman" w:hint="default"/>
          <w:spacing w:val="-2"/>
        </w:rPr>
        <w:t>5</w:t>
      </w:r>
      <w:r>
        <w:rPr>
          <w:spacing w:val="-2"/>
        </w:rPr>
        <w:t>月出生，城市规划与设计专业博士学历，中国国籍，无境外永久居留权。</w:t>
      </w:r>
      <w:r>
        <w:rPr>
          <w:rFonts w:ascii="Times New Roman" w:hAnsi="Times New Roman" w:cs="Times New Roman" w:eastAsia="Times New Roman" w:hint="default"/>
          <w:spacing w:val="-2"/>
        </w:rPr>
        <w:t>2005</w:t>
      </w:r>
      <w:r>
        <w:rPr>
          <w:spacing w:val="-2"/>
        </w:rPr>
        <w:t>年当选为中国科学院</w:t>
      </w:r>
      <w:r>
        <w:rPr>
          <w:spacing w:val="-65"/>
        </w:rPr>
        <w:t> </w:t>
      </w:r>
      <w:r>
        <w:rPr>
          <w:spacing w:val="-65"/>
        </w:rPr>
      </w:r>
      <w:r>
        <w:rPr/>
        <w:t>院士；</w:t>
      </w:r>
      <w:r>
        <w:rPr>
          <w:rFonts w:ascii="Times New Roman" w:hAnsi="Times New Roman" w:cs="Times New Roman" w:eastAsia="Times New Roman" w:hint="default"/>
        </w:rPr>
        <w:t>2007</w:t>
      </w:r>
      <w:r>
        <w:rPr/>
        <w:t>年至今，任职本公司独立董事，兼任中国声学学会理事，中国科学院技术科学部副主任等。</w:t>
      </w:r>
    </w:p>
    <w:p>
      <w:pPr>
        <w:pStyle w:val="BodyText"/>
        <w:spacing w:line="309" w:lineRule="auto" w:before="3"/>
        <w:ind w:right="94"/>
        <w:jc w:val="left"/>
      </w:pPr>
      <w:r>
        <w:rPr/>
        <w:t>二、监事会成员 </w:t>
      </w:r>
      <w:r>
        <w:rPr>
          <w:rFonts w:ascii="Times New Roman" w:hAnsi="Times New Roman" w:cs="Times New Roman" w:eastAsia="Times New Roman" w:hint="default"/>
          <w:spacing w:val="-2"/>
        </w:rPr>
        <w:t>1</w:t>
      </w:r>
      <w:r>
        <w:rPr>
          <w:spacing w:val="-2"/>
        </w:rPr>
        <w:t>、沈武，男，</w:t>
      </w:r>
      <w:r>
        <w:rPr>
          <w:rFonts w:ascii="Times New Roman" w:hAnsi="Times New Roman" w:cs="Times New Roman" w:eastAsia="Times New Roman" w:hint="default"/>
          <w:spacing w:val="-2"/>
        </w:rPr>
        <w:t>1956</w:t>
      </w:r>
      <w:r>
        <w:rPr>
          <w:spacing w:val="-2"/>
        </w:rPr>
        <w:t>年</w:t>
      </w:r>
      <w:r>
        <w:rPr>
          <w:rFonts w:ascii="Times New Roman" w:hAnsi="Times New Roman" w:cs="Times New Roman" w:eastAsia="Times New Roman" w:hint="default"/>
          <w:spacing w:val="-2"/>
        </w:rPr>
        <w:t>9</w:t>
      </w:r>
      <w:r>
        <w:rPr>
          <w:spacing w:val="-2"/>
        </w:rPr>
        <w:t>月出生，汉语言文学专业本科学士，中国国籍，无境外永久居留权。</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2013</w:t>
      </w:r>
      <w:r>
        <w:rPr>
          <w:spacing w:val="-2"/>
        </w:rPr>
        <w:t>年历任深圳市五洲</w:t>
      </w:r>
      <w:r>
        <w:rPr>
          <w:spacing w:val="-62"/>
        </w:rPr>
        <w:t> </w:t>
      </w:r>
      <w:r>
        <w:rPr>
          <w:spacing w:val="-62"/>
        </w:rPr>
      </w:r>
      <w:r>
        <w:rPr/>
        <w:t>宾馆有限责任公司副董事长、副总经理、党委副书记、总经理。截止本报告期末，任本公司监事、监事会主席。 </w:t>
      </w:r>
      <w:r>
        <w:rPr>
          <w:rFonts w:ascii="Times New Roman" w:hAnsi="Times New Roman" w:cs="Times New Roman" w:eastAsia="Times New Roman" w:hint="default"/>
        </w:rPr>
        <w:t>2</w:t>
      </w:r>
      <w:r>
        <w:rPr/>
        <w:t>、詹辉轮，男，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月出生，工程管理学专业本科学历，中国国籍，无境外永久居留权。</w:t>
      </w:r>
      <w:r>
        <w:rPr>
          <w:rFonts w:ascii="Times New Roman" w:hAnsi="Times New Roman" w:cs="Times New Roman" w:eastAsia="Times New Roman" w:hint="default"/>
        </w:rPr>
        <w:t>2011</w:t>
      </w:r>
      <w:r>
        <w:rPr/>
        <w:t>年至今先后任职英龙集 团广州区域公司总经理、总部总经理，截止本报告期末，任本公司监事。 </w:t>
      </w:r>
      <w:r>
        <w:rPr>
          <w:rFonts w:ascii="Times New Roman" w:hAnsi="Times New Roman" w:cs="Times New Roman" w:eastAsia="Times New Roman" w:hint="default"/>
        </w:rPr>
        <w:t>3</w:t>
      </w:r>
      <w:r>
        <w:rPr/>
        <w:t>、余庆，男，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9</w:t>
      </w:r>
      <w:r>
        <w:rPr/>
        <w:t>月出生，金融专业研究生学历，中国国籍，无境外永久居留权。</w:t>
      </w:r>
      <w:r>
        <w:rPr>
          <w:spacing w:val="-21"/>
        </w:rPr>
        <w:t> </w:t>
      </w:r>
      <w:r>
        <w:rPr>
          <w:rFonts w:ascii="Times New Roman" w:hAnsi="Times New Roman" w:cs="Times New Roman" w:eastAsia="Times New Roman" w:hint="default"/>
        </w:rPr>
        <w:t>2010</w:t>
      </w:r>
      <w:r>
        <w:rPr/>
        <w:t>年至今历任创新集团福建片区 担任负责人、基金管理部副部长，深圳创新投基金管理部副部长。现任本公司监事，兼任圣元环保股份有限公司董事。 </w:t>
      </w:r>
      <w:r>
        <w:rPr>
          <w:rFonts w:ascii="Times New Roman" w:hAnsi="Times New Roman" w:cs="Times New Roman" w:eastAsia="Times New Roman" w:hint="default"/>
          <w:spacing w:val="-2"/>
        </w:rPr>
        <w:t>4</w:t>
      </w:r>
      <w:r>
        <w:rPr>
          <w:spacing w:val="-2"/>
        </w:rPr>
        <w:t>、姚培，女，</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7</w:t>
      </w:r>
      <w:r>
        <w:rPr>
          <w:spacing w:val="-2"/>
        </w:rPr>
        <w:t>月出生，项目管理工程专业研究生学历，中国国籍，无境外永久居留权。</w:t>
      </w:r>
      <w:r>
        <w:rPr>
          <w:rFonts w:ascii="Times New Roman" w:hAnsi="Times New Roman" w:cs="Times New Roman" w:eastAsia="Times New Roman" w:hint="default"/>
          <w:spacing w:val="-2"/>
        </w:rPr>
        <w:t>2008</w:t>
      </w:r>
      <w:r>
        <w:rPr>
          <w:spacing w:val="-2"/>
        </w:rPr>
        <w:t>年至今，历任建科院有</w:t>
      </w:r>
      <w:r>
        <w:rPr>
          <w:spacing w:val="-59"/>
        </w:rPr>
        <w:t> </w:t>
      </w:r>
      <w:r>
        <w:rPr>
          <w:spacing w:val="-59"/>
        </w:rPr>
      </w:r>
      <w:r>
        <w:rPr>
          <w:spacing w:val="-2"/>
        </w:rPr>
        <w:t>限北京分公司总经理、华北区营销总监、北京艾科城公司总经理。现任本公司职工代表监事，兼任雄安绿研智库有限公司监</w:t>
      </w:r>
      <w:r>
        <w:rPr>
          <w:spacing w:val="-65"/>
        </w:rPr>
        <w:t> </w:t>
      </w:r>
      <w:r>
        <w:rPr>
          <w:spacing w:val="-65"/>
        </w:rPr>
      </w:r>
      <w:r>
        <w:rPr/>
        <w:t>事，河北雄安绿研检测认证有限公司监事，河北雄安玖壹生态科技有限公司执行董事等。 </w:t>
      </w:r>
      <w:r>
        <w:rPr>
          <w:rFonts w:ascii="Times New Roman" w:hAnsi="Times New Roman" w:cs="Times New Roman" w:eastAsia="Times New Roman" w:hint="default"/>
        </w:rPr>
        <w:t>5</w:t>
      </w:r>
      <w:r>
        <w:rPr/>
        <w:t>、蓝虹，女，</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7</w:t>
      </w:r>
      <w:r>
        <w:rPr/>
        <w:t>月出生，会计专业大专学历，高级会计师，中国国籍，无境外永久居留权。</w:t>
      </w:r>
      <w:r>
        <w:rPr>
          <w:spacing w:val="-20"/>
        </w:rPr>
        <w:t> </w:t>
      </w:r>
      <w:r>
        <w:rPr>
          <w:rFonts w:ascii="Times New Roman" w:hAnsi="Times New Roman" w:cs="Times New Roman" w:eastAsia="Times New Roman" w:hint="default"/>
        </w:rPr>
        <w:t>2003</w:t>
      </w:r>
      <w:r>
        <w:rPr/>
        <w:t>年进入深圳市建筑 科学研究院（所），历任计财部会计、计财部副经理、财务审计部副经理。现任本公司财务部经理、本公司职工代表监事， 兼任建科投资监事、迪赛恩监事。</w:t>
      </w:r>
    </w:p>
    <w:p>
      <w:pPr>
        <w:pStyle w:val="BodyText"/>
        <w:spacing w:line="307" w:lineRule="auto" w:before="24"/>
        <w:ind w:right="91"/>
        <w:jc w:val="left"/>
      </w:pPr>
      <w:r>
        <w:rPr/>
        <w:t>三、高级管理人员 </w:t>
      </w:r>
      <w:r>
        <w:rPr>
          <w:rFonts w:ascii="Times New Roman" w:hAnsi="Times New Roman" w:cs="Times New Roman" w:eastAsia="Times New Roman" w:hint="default"/>
          <w:spacing w:val="-2"/>
        </w:rPr>
        <w:t>1</w:t>
      </w:r>
      <w:r>
        <w:rPr>
          <w:spacing w:val="-2"/>
        </w:rPr>
        <w:t>、刘俊跃，男，</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8</w:t>
      </w:r>
      <w:r>
        <w:rPr>
          <w:spacing w:val="-2"/>
        </w:rPr>
        <w:t>月出生，供热通风与空调工程专业本科学历，中国国籍，无境外永久居留权，</w:t>
      </w:r>
      <w:r>
        <w:rPr>
          <w:rFonts w:ascii="Times New Roman" w:hAnsi="Times New Roman" w:cs="Times New Roman" w:eastAsia="Times New Roman" w:hint="default"/>
          <w:spacing w:val="-2"/>
        </w:rPr>
        <w:t>1990</w:t>
      </w:r>
      <w:r>
        <w:rPr>
          <w:spacing w:val="-2"/>
        </w:rPr>
        <w:t>年毕业于重庆建</w:t>
      </w:r>
      <w:r>
        <w:rPr>
          <w:spacing w:val="-65"/>
        </w:rPr>
        <w:t> </w:t>
      </w:r>
      <w:r>
        <w:rPr>
          <w:spacing w:val="-65"/>
        </w:rPr>
      </w:r>
      <w:r>
        <w:rPr>
          <w:spacing w:val="-3"/>
        </w:rPr>
        <w:t>筑工程学院（现重庆大学）供热通风与空调工程专业。</w:t>
      </w:r>
      <w:r>
        <w:rPr>
          <w:rFonts w:ascii="Times New Roman" w:hAnsi="Times New Roman" w:cs="Times New Roman" w:eastAsia="Times New Roman" w:hint="default"/>
          <w:spacing w:val="-3"/>
        </w:rPr>
        <w:t>1990</w:t>
      </w:r>
      <w:r>
        <w:rPr>
          <w:spacing w:val="-3"/>
        </w:rPr>
        <w:t>年至</w:t>
      </w:r>
      <w:r>
        <w:rPr>
          <w:rFonts w:ascii="Times New Roman" w:hAnsi="Times New Roman" w:cs="Times New Roman" w:eastAsia="Times New Roman" w:hint="default"/>
          <w:spacing w:val="-3"/>
        </w:rPr>
        <w:t>1994</w:t>
      </w:r>
      <w:r>
        <w:rPr>
          <w:spacing w:val="-3"/>
        </w:rPr>
        <w:t>年于中国有色总公司贵阳铝镁设计研究院任助理工程师；</w:t>
      </w:r>
      <w:r>
        <w:rPr/>
        <w:t> </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2007</w:t>
      </w:r>
      <w:r>
        <w:rPr>
          <w:spacing w:val="-2"/>
        </w:rPr>
        <w:t>年于深圳市建筑设计研究总院、深圳市建筑科学研究院任工程师、主任工程师、中心副总经理；</w:t>
      </w:r>
      <w:r>
        <w:rPr>
          <w:rFonts w:ascii="Times New Roman" w:hAnsi="Times New Roman" w:cs="Times New Roman" w:eastAsia="Times New Roman" w:hint="default"/>
          <w:spacing w:val="-2"/>
        </w:rPr>
        <w:t>2007</w:t>
      </w:r>
      <w:r>
        <w:rPr>
          <w:spacing w:val="-2"/>
        </w:rPr>
        <w:t>年至今历</w:t>
      </w:r>
      <w:r>
        <w:rPr>
          <w:spacing w:val="-55"/>
        </w:rPr>
        <w:t> </w:t>
      </w:r>
      <w:r>
        <w:rPr>
          <w:spacing w:val="-55"/>
        </w:rPr>
      </w:r>
      <w:r>
        <w:rPr/>
        <w:t>任深圳建总院、本公司副总工程师、副总经理，兼任建科投资董事长、总经理，荆门玖伊园科技有限公司董事、总经理。</w:t>
      </w:r>
      <w:r>
        <w:rPr/>
        <w:t> </w:t>
      </w:r>
      <w:r>
        <w:rPr>
          <w:rFonts w:ascii="Times New Roman" w:hAnsi="Times New Roman" w:cs="Times New Roman" w:eastAsia="Times New Roman" w:hint="default"/>
        </w:rPr>
        <w:t>2</w:t>
      </w:r>
      <w:r>
        <w:rPr/>
        <w:t>、毛洪伟，男，</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w:t>
      </w:r>
      <w:r>
        <w:rPr/>
        <w:t>月出生，供热、供燃气、通风及空调工程专业研究生学历，中国国籍，无境外永久居留权，</w:t>
      </w:r>
      <w:r>
        <w:rPr>
          <w:rFonts w:ascii="Times New Roman" w:hAnsi="Times New Roman" w:cs="Times New Roman" w:eastAsia="Times New Roman" w:hint="default"/>
        </w:rPr>
        <w:t>2005 </w:t>
      </w:r>
      <w:r>
        <w:rPr>
          <w:spacing w:val="-2"/>
        </w:rPr>
        <w:t>年至今历任本公司研发中心助理工程师、资源中心咨询部负责人、质控中心负责人、董办主任、研发中心总监、价值中心总</w:t>
      </w:r>
      <w:r>
        <w:rPr>
          <w:spacing w:val="-67"/>
        </w:rPr>
        <w:t> </w:t>
      </w:r>
      <w:r>
        <w:rPr>
          <w:spacing w:val="-67"/>
        </w:rPr>
      </w:r>
      <w:r>
        <w:rPr/>
        <w:t>监、质量管理中心总监、董事会秘书、副总经理，兼任建科投资董事、艾科筑业董事长。</w:t>
      </w:r>
    </w:p>
    <w:p>
      <w:pPr>
        <w:spacing w:line="240" w:lineRule="auto" w:before="0"/>
        <w:rPr>
          <w:rFonts w:ascii="宋体" w:hAnsi="宋体" w:cs="宋体" w:eastAsia="宋体" w:hint="default"/>
          <w:sz w:val="18"/>
          <w:szCs w:val="18"/>
        </w:rPr>
      </w:pPr>
    </w:p>
    <w:p>
      <w:pPr>
        <w:pStyle w:val="BodyText"/>
        <w:spacing w:line="240" w:lineRule="auto" w:before="143"/>
        <w:ind w:right="103"/>
        <w:jc w:val="left"/>
      </w:pPr>
      <w:r>
        <w:rPr/>
        <w:t>在股东单位任职情况</w:t>
      </w:r>
    </w:p>
    <w:p>
      <w:pPr>
        <w:pStyle w:val="BodyText"/>
        <w:spacing w:line="240" w:lineRule="auto" w:before="115"/>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詹辉轮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03"/>
        <w:jc w:val="left"/>
      </w:pPr>
      <w:r>
        <w:rPr/>
        <w:t>在其他单位任职情况</w:t>
      </w:r>
    </w:p>
    <w:p>
      <w:pPr>
        <w:pStyle w:val="BodyText"/>
        <w:spacing w:line="240" w:lineRule="auto" w:before="115"/>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北京艾科城工程技术有限公司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上海市爱轲城生态科技有限公司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深圳市九一绿色运营管理有限公司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深圳艾科城工程技术有限公司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深圳市鲲鹏股权投资管理有限公司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深圳市丝路金桥股权投资基金管理有限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深圳市招银鲲鹏股权投资基金管理有限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深圳市华星光电半导体显示技术有限公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深圳市鲲鹏建信股权投资管理有限公司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前海股权交易中心（深圳）有限公司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北京知识产权运营管理有限公司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北京中关村石景山园发展有限公司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曾用 名：北京京石科园置业发展有限公司</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国能风力发电有限公司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深圳市君和睿通科技股份有限公司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广东信达律师事务所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大华会计师事务所深圳分所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深圳冰川网络股份有限公司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国银金融租赁股份有限公司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深圳市银之杰科技股份有限公司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圣元环保股份有限公司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深圳市九一绿色运营管理有限公司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河北雄安玖壹生态科技有限公司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河北雄安绿研检验认证有限公司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蓝虹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蓝虹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深圳市迪赛恩科技有限公司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深圳艾科筑业工程技术有限公司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深圳艾科城工程技术有限公司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03"/>
        <w:jc w:val="left"/>
      </w:pPr>
      <w:r>
        <w:rPr/>
        <w:t>公司现任及报告期内离任董事、监事和高级管理人员近三年证券监管机构处罚的情况</w:t>
      </w:r>
    </w:p>
    <w:p>
      <w:pPr>
        <w:pStyle w:val="BodyText"/>
        <w:spacing w:line="240" w:lineRule="auto" w:before="115"/>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103"/>
        <w:jc w:val="left"/>
      </w:pPr>
      <w:r>
        <w:rPr/>
        <w:t>董事、监事、高级管理人员报酬的决策程序、确定依据、实际支付情况 在公司履职的董事、监事和高级管理人员按具体职务领取薪酬。 </w:t>
      </w:r>
      <w:r>
        <w:rPr>
          <w:spacing w:val="-2"/>
        </w:rPr>
        <w:t>公司独立董事的薪酬按照公司</w:t>
      </w:r>
      <w:r>
        <w:rPr>
          <w:rFonts w:ascii="Times New Roman" w:hAnsi="Times New Roman" w:cs="Times New Roman" w:eastAsia="Times New Roman" w:hint="default"/>
          <w:spacing w:val="-2"/>
        </w:rPr>
        <w:t>2017</w:t>
      </w:r>
      <w:r>
        <w:rPr>
          <w:spacing w:val="-2"/>
        </w:rPr>
        <w:t>年第二次临时股东大会审议通过的《关于审议独立董事津贴标准的议案》核定发放；公司</w:t>
      </w:r>
    </w:p>
    <w:p>
      <w:pPr>
        <w:pStyle w:val="BodyText"/>
        <w:spacing w:line="230" w:lineRule="exact"/>
        <w:ind w:right="0"/>
        <w:jc w:val="left"/>
      </w:pPr>
      <w:r>
        <w:rPr/>
        <w:t>内部董事的薪酬按</w:t>
      </w:r>
      <w:r>
        <w:rPr>
          <w:rFonts w:ascii="Times New Roman" w:hAnsi="Times New Roman" w:cs="Times New Roman" w:eastAsia="Times New Roman" w:hint="default"/>
        </w:rPr>
        <w:t>2017</w:t>
      </w:r>
      <w:r>
        <w:rPr/>
        <w:t>年第三次临时股东大会审议通过的《公司内部董事</w:t>
      </w:r>
      <w:r>
        <w:rPr>
          <w:rFonts w:ascii="Times New Roman" w:hAnsi="Times New Roman" w:cs="Times New Roman" w:eastAsia="Times New Roman" w:hint="default"/>
        </w:rPr>
        <w:t>2017</w:t>
      </w:r>
      <w:r>
        <w:rPr/>
        <w:t>年薪酬与考核方案》预评并发放；公司监事、</w:t>
      </w:r>
    </w:p>
    <w:p>
      <w:pPr>
        <w:pStyle w:val="BodyText"/>
        <w:spacing w:line="240" w:lineRule="auto" w:before="63"/>
        <w:ind w:right="103"/>
        <w:jc w:val="left"/>
      </w:pPr>
      <w:r>
        <w:rPr/>
        <w:t>高级管理人员的薪酬按照其所在职级情况预评并发放。</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360" w:lineRule="auto" w:before="44"/>
        <w:ind w:right="-19"/>
        <w:jc w:val="left"/>
      </w:pPr>
      <w:r>
        <w:rPr/>
        <w:t>内部董事、高级管理人员薪酬待董事会、股东会审议通过相应薪酬与考核结果后核定，如有差异另行公告。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8614" w:space="127"/>
            <w:col w:w="12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陈泽广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莫福光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邵顺昌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詹辉轮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蓝虹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刘俊跃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毛洪伟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685.48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626</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52"/>
        <w:jc w:val="both"/>
      </w:pPr>
      <w:r>
        <w:rPr/>
        <w:t>公司根据发展战略和年度经营目标，综合</w:t>
      </w:r>
      <w:r>
        <w:rPr>
          <w:rFonts w:ascii="Times New Roman" w:hAnsi="Times New Roman" w:cs="Times New Roman" w:eastAsia="Times New Roman" w:hint="default"/>
        </w:rPr>
        <w:t>CPI</w:t>
      </w:r>
      <w:r>
        <w:rPr/>
        <w:t>变化、劳动力市场价位和企业经济效益等综合因素编制年度薪酬预算，确保公</w:t>
      </w:r>
      <w:r>
        <w:rPr>
          <w:w w:val="99"/>
        </w:rPr>
        <w:t> </w:t>
      </w:r>
      <w:r>
        <w:rPr>
          <w:spacing w:val="-2"/>
        </w:rPr>
        <w:t>司薪酬总额增长与公司经营业绩增长相匹配。员工薪酬主要由工资、绩效奖金、津贴补贴、社会保险、住房公积金、工会费</w:t>
      </w:r>
      <w:r>
        <w:rPr>
          <w:spacing w:val="-69"/>
        </w:rPr>
        <w:t> </w:t>
      </w:r>
      <w:r>
        <w:rPr>
          <w:spacing w:val="-69"/>
        </w:rPr>
      </w:r>
      <w:r>
        <w:rPr/>
        <w:t>和职工教育费等组成，绩效奖金与企业经营状况、员工个人工作绩效相挂钩，通过</w:t>
      </w:r>
      <w:r>
        <w:rPr>
          <w:rFonts w:ascii="Times New Roman" w:hAnsi="Times New Roman" w:cs="Times New Roman" w:eastAsia="Times New Roman" w:hint="default"/>
        </w:rPr>
        <w:t>“</w:t>
      </w:r>
      <w:r>
        <w:rPr/>
        <w:t>乐活工社</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推行基于员工贡献值的激励 </w:t>
      </w:r>
      <w:r>
        <w:rPr>
          <w:spacing w:val="-2"/>
        </w:rPr>
        <w:t>制度，鼓励员工自我管理工作时间和薪酬兑现，提升员工工作积极性。同时，根据公司经营需要、市场变化适时调整并完善</w:t>
      </w:r>
      <w:r>
        <w:rPr>
          <w:spacing w:val="-66"/>
        </w:rPr>
        <w:t> </w:t>
      </w:r>
      <w:r>
        <w:rPr>
          <w:spacing w:val="-66"/>
        </w:rPr>
      </w:r>
      <w:r>
        <w:rPr/>
        <w:t>公司薪酬政策，确保公司薪酬水平和激励政策的市场竞争力。</w:t>
      </w:r>
    </w:p>
    <w:p>
      <w:pPr>
        <w:spacing w:line="240" w:lineRule="auto" w:before="1"/>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7" w:lineRule="auto"/>
        <w:ind w:right="150"/>
        <w:jc w:val="both"/>
      </w:pPr>
      <w:r>
        <w:rPr>
          <w:spacing w:val="-2"/>
        </w:rPr>
        <w:t>人力资源部根据公司发展战略和人力资源发展规划，通过培训需求调研，组织制定公司年度培训计划、培训过程实施和培训</w:t>
      </w:r>
      <w:r>
        <w:rPr>
          <w:spacing w:val="-63"/>
        </w:rPr>
        <w:t> </w:t>
      </w:r>
      <w:r>
        <w:rPr>
          <w:spacing w:val="-63"/>
        </w:rPr>
      </w:r>
      <w:r>
        <w:rPr/>
        <w:t>效果评估，开展包括年度新招录应届毕业生</w:t>
      </w:r>
      <w:r>
        <w:rPr>
          <w:rFonts w:ascii="Times New Roman" w:hAnsi="Times New Roman" w:cs="Times New Roman" w:eastAsia="Times New Roman" w:hint="default"/>
        </w:rPr>
        <w:t>“</w:t>
      </w:r>
      <w:r>
        <w:rPr/>
        <w:t>蝌蚪班</w:t>
      </w:r>
      <w:r>
        <w:rPr>
          <w:rFonts w:ascii="Times New Roman" w:hAnsi="Times New Roman" w:cs="Times New Roman" w:eastAsia="Times New Roman" w:hint="default"/>
        </w:rPr>
        <w:t>”</w:t>
      </w:r>
      <w:r>
        <w:rPr/>
        <w:t>集训、新员工培训、上岗培训、职业资格培训、建科大讲堂、</w:t>
      </w:r>
      <w:r>
        <w:rPr>
          <w:rFonts w:ascii="Times New Roman" w:hAnsi="Times New Roman" w:cs="Times New Roman" w:eastAsia="Times New Roman" w:hint="default"/>
        </w:rPr>
        <w:t>“</w:t>
      </w:r>
      <w:r>
        <w:rPr/>
        <w:t>世界咖 啡馆</w:t>
      </w:r>
      <w:r>
        <w:rPr>
          <w:rFonts w:ascii="Times New Roman" w:hAnsi="Times New Roman" w:cs="Times New Roman" w:eastAsia="Times New Roman" w:hint="default"/>
        </w:rPr>
        <w:t>”</w:t>
      </w:r>
      <w:r>
        <w:rPr/>
        <w:t>管理培训营等形式多样，内容涵盖专业技能、职业化素养、管理提升等多方面的培训课程，为不同的员工及管理者提 供针对性的培训，不断提升员工专业技能、职业化水平和综合素质，强化公司人才梯队的培养和建设。</w:t>
      </w:r>
    </w:p>
    <w:p>
      <w:pPr>
        <w:spacing w:line="240" w:lineRule="auto" w:before="3"/>
        <w:rPr>
          <w:rFonts w:ascii="宋体" w:hAnsi="宋体" w:cs="宋体" w:eastAsia="宋体" w:hint="default"/>
          <w:sz w:val="18"/>
          <w:szCs w:val="18"/>
        </w:rPr>
      </w:pPr>
    </w:p>
    <w:p>
      <w:pPr>
        <w:pStyle w:val="Heading5"/>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429" w:right="3465"/>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103"/>
        <w:jc w:val="left"/>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报告期内，公司建立了规范的公司治理结构，股东大会、董事会及专门委员会、监事会、管理层均能严格按照《公司法》、</w:t>
      </w:r>
    </w:p>
    <w:p>
      <w:pPr>
        <w:pStyle w:val="BodyText"/>
        <w:spacing w:line="319" w:lineRule="auto" w:before="76"/>
        <w:ind w:right="94"/>
        <w:jc w:val="left"/>
      </w:pPr>
      <w:r>
        <w:rPr>
          <w:spacing w:val="-2"/>
        </w:rPr>
        <w:t>《证券法》、《上市公司治理准则》、《深圳证券交易所创业板股票上市规则》、《深圳证券交易所创业板上市公司规范运</w:t>
      </w:r>
      <w:r>
        <w:rPr>
          <w:spacing w:val="-67"/>
        </w:rPr>
        <w:t> </w:t>
      </w:r>
      <w:r>
        <w:rPr>
          <w:spacing w:val="-67"/>
        </w:rPr>
      </w:r>
      <w:r>
        <w:rPr>
          <w:spacing w:val="-2"/>
        </w:rPr>
        <w:t>作指引》和中国证监会有关法律法规等要求，履行各自的权利和义务。截至报告期末，上述机构和人员依法运作，未出现违</w:t>
      </w:r>
      <w:r>
        <w:rPr>
          <w:spacing w:val="-67"/>
        </w:rPr>
        <w:t> </w:t>
      </w:r>
      <w:r>
        <w:rPr>
          <w:spacing w:val="-67"/>
        </w:rPr>
      </w:r>
      <w:r>
        <w:rPr>
          <w:spacing w:val="-2"/>
        </w:rPr>
        <w:t>法、违规现象，能够切实履行应尽的职责和义务，公司治理的实际状况符合《上市公司治理准则》和《深圳证券交易所创业</w:t>
      </w:r>
      <w:r>
        <w:rPr>
          <w:spacing w:val="-68"/>
        </w:rPr>
        <w:t> </w:t>
      </w:r>
      <w:r>
        <w:rPr>
          <w:spacing w:val="-68"/>
        </w:rPr>
      </w:r>
      <w:r>
        <w:rPr/>
        <w:t>板上市公司规范运作指引》的要求。 </w:t>
      </w:r>
      <w:r>
        <w:rPr>
          <w:spacing w:val="-2"/>
        </w:rPr>
        <w:t>公司依据监管部门和公司实际情况在治理方面制定了各项规章制度，主要有《公司章程》、《股东大会议事规则》、《董事</w:t>
      </w:r>
      <w:r>
        <w:rPr>
          <w:spacing w:val="-68"/>
        </w:rPr>
        <w:t> </w:t>
      </w:r>
      <w:r>
        <w:rPr>
          <w:spacing w:val="-68"/>
        </w:rPr>
      </w:r>
      <w:r>
        <w:rPr/>
        <w:t>会议事规则》、《监事会议事规则》、《独立董事工作管理办法》、《战略委员会议事规则》、《审计委员会议事规则》、</w:t>
      </w:r>
    </w:p>
    <w:p>
      <w:pPr>
        <w:pStyle w:val="BodyText"/>
        <w:spacing w:line="316" w:lineRule="auto" w:before="17"/>
        <w:ind w:right="103"/>
        <w:jc w:val="left"/>
      </w:pPr>
      <w:r>
        <w:rPr>
          <w:spacing w:val="-2"/>
        </w:rPr>
        <w:t>《提名委员会议事规则》、《薪酬与考核委员会议事规则》、《总经理工作细则》、《董事会秘书工作制度》、《对外投资</w:t>
      </w:r>
      <w:r>
        <w:rPr>
          <w:spacing w:val="-68"/>
        </w:rPr>
        <w:t> </w:t>
      </w:r>
      <w:r>
        <w:rPr>
          <w:spacing w:val="-68"/>
        </w:rPr>
      </w:r>
      <w:r>
        <w:rPr>
          <w:spacing w:val="-4"/>
        </w:rPr>
        <w:t>管理办法》、《对外担保管理办法》、《募集资金使用管理办法》、《内部审计制度》等规章制度。通过一系列制度的制定，</w:t>
      </w:r>
      <w:r>
        <w:rPr>
          <w:spacing w:val="-44"/>
        </w:rPr>
        <w:t> </w:t>
      </w:r>
      <w:r>
        <w:rPr>
          <w:spacing w:val="-44"/>
        </w:rPr>
      </w:r>
      <w:r>
        <w:rPr>
          <w:spacing w:val="-2"/>
        </w:rPr>
        <w:t>搭建了较为完善的公司法人治理结构的制度平台，从制度上明确了股东大会、董事会、监事会及管理层各自应履行的职责和</w:t>
      </w:r>
      <w:r>
        <w:rPr>
          <w:spacing w:val="-66"/>
        </w:rPr>
        <w:t> </w:t>
      </w:r>
      <w:r>
        <w:rPr>
          <w:spacing w:val="-66"/>
        </w:rPr>
      </w:r>
      <w:r>
        <w:rPr/>
        <w:t>议事规程，从而为公司的规范运作提供了制度保障。</w:t>
      </w:r>
    </w:p>
    <w:p>
      <w:pPr>
        <w:pStyle w:val="BodyText"/>
        <w:spacing w:line="312" w:lineRule="auto" w:before="19"/>
        <w:ind w:right="94"/>
        <w:jc w:val="left"/>
      </w:pPr>
      <w:r>
        <w:rPr>
          <w:rFonts w:ascii="Times New Roman" w:hAnsi="Times New Roman" w:cs="Times New Roman" w:eastAsia="Times New Roman" w:hint="default"/>
        </w:rPr>
        <w:t>1</w:t>
      </w:r>
      <w:r>
        <w:rPr/>
        <w:t>、关于股东和股东大会 </w:t>
      </w:r>
      <w:r>
        <w:rPr>
          <w:spacing w:val="-4"/>
        </w:rPr>
        <w:t>公司严格按照《公司法》、《公司章程》和《股东大会议事规则》等法律、法规要求，规范股东大会召集、召开、表决程序，</w:t>
      </w:r>
      <w:r>
        <w:rPr>
          <w:spacing w:val="-45"/>
        </w:rPr>
        <w:t> </w:t>
      </w:r>
      <w:r>
        <w:rPr>
          <w:spacing w:val="-45"/>
        </w:rPr>
      </w:r>
      <w:r>
        <w:rPr/>
        <w:t>同时公司聘请专业律师见证股东大会，确保所有股东享有平等地位、平等权利，充分行使自己的权利，并承担相应的义务。 报告期内，公司共召开了</w:t>
      </w:r>
      <w:r>
        <w:rPr>
          <w:rFonts w:ascii="Times New Roman" w:hAnsi="Times New Roman" w:cs="Times New Roman" w:eastAsia="Times New Roman" w:hint="default"/>
        </w:rPr>
        <w:t>1</w:t>
      </w:r>
      <w:r>
        <w:rPr/>
        <w:t>次年度股东大会和</w:t>
      </w:r>
      <w:r>
        <w:rPr>
          <w:rFonts w:ascii="Times New Roman" w:hAnsi="Times New Roman" w:cs="Times New Roman" w:eastAsia="Times New Roman" w:hint="default"/>
        </w:rPr>
        <w:t>3</w:t>
      </w:r>
      <w:r>
        <w:rPr/>
        <w:t>次临时股东大会，会议由董事会召集、召开。</w:t>
      </w:r>
    </w:p>
    <w:p>
      <w:pPr>
        <w:pStyle w:val="BodyText"/>
        <w:spacing w:line="309" w:lineRule="auto" w:before="3"/>
        <w:ind w:right="184"/>
        <w:jc w:val="left"/>
      </w:pPr>
      <w:r>
        <w:rPr>
          <w:rFonts w:ascii="Times New Roman" w:hAnsi="Times New Roman" w:cs="Times New Roman" w:eastAsia="Times New Roman" w:hint="default"/>
        </w:rPr>
        <w:t>2</w:t>
      </w:r>
      <w:r>
        <w:rPr/>
        <w:t>、关于董事和董事会 </w:t>
      </w:r>
      <w:r>
        <w:rPr>
          <w:spacing w:val="-2"/>
        </w:rPr>
        <w:t>报告期内，公司董事会设董事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名，董事会人数及人员构成符合法律、法规和《公司章程》的要求。各位</w:t>
      </w:r>
      <w:r>
        <w:rPr>
          <w:spacing w:val="-69"/>
        </w:rPr>
        <w:t> </w:t>
      </w:r>
      <w:r>
        <w:rPr>
          <w:spacing w:val="-69"/>
        </w:rPr>
      </w:r>
      <w:r>
        <w:rPr>
          <w:spacing w:val="-2"/>
        </w:rPr>
        <w:t>董事能够依据《深圳证券交易所创业板上市公司规范运作指引》、《董事会议事规则》和《独立董事工作管理办法》等开展</w:t>
      </w:r>
      <w:r>
        <w:rPr>
          <w:spacing w:val="-68"/>
        </w:rPr>
        <w:t> </w:t>
      </w:r>
      <w:r>
        <w:rPr>
          <w:spacing w:val="-68"/>
        </w:rPr>
      </w:r>
      <w:r>
        <w:rPr/>
        <w:t>工作，诚信、勤勉地履行职责和义务，同时积极参加有关培训，熟悉有关法律法规。报告期内共召开了</w:t>
      </w:r>
      <w:r>
        <w:rPr>
          <w:rFonts w:ascii="Times New Roman" w:hAnsi="Times New Roman" w:cs="Times New Roman" w:eastAsia="Times New Roman" w:hint="default"/>
        </w:rPr>
        <w:t>9</w:t>
      </w:r>
      <w:r>
        <w:rPr/>
        <w:t>次董事会，均由董</w:t>
      </w:r>
      <w:r>
        <w:rPr>
          <w:spacing w:val="-87"/>
        </w:rPr>
        <w:t> </w:t>
      </w:r>
      <w:r>
        <w:rPr>
          <w:spacing w:val="-2"/>
        </w:rPr>
        <w:t>事长召集、主持。公司董事会下设有战略委员会、提名委员会、审计委员会、薪酬与考核委员会等四个专门委员会，专门委</w:t>
      </w:r>
      <w:r>
        <w:rPr>
          <w:spacing w:val="-68"/>
        </w:rPr>
        <w:t> </w:t>
      </w:r>
      <w:r>
        <w:rPr>
          <w:spacing w:val="-68"/>
        </w:rPr>
      </w:r>
      <w:r>
        <w:rPr>
          <w:spacing w:val="-2"/>
        </w:rPr>
        <w:t>员会成员全部由董事组成，除战略委员会由董事长担任召集人以外，其他专门委员会均有独立董事担任召集人，为董事会的</w:t>
      </w:r>
      <w:r>
        <w:rPr>
          <w:spacing w:val="-62"/>
        </w:rPr>
        <w:t> </w:t>
      </w:r>
      <w:r>
        <w:rPr>
          <w:spacing w:val="-62"/>
        </w:rPr>
      </w:r>
      <w:r>
        <w:rPr/>
        <w:t>决策提供了科学和专业的意见。</w:t>
      </w:r>
    </w:p>
    <w:p>
      <w:pPr>
        <w:pStyle w:val="BodyText"/>
        <w:spacing w:line="300" w:lineRule="auto" w:before="24"/>
        <w:ind w:right="103"/>
        <w:jc w:val="left"/>
      </w:pPr>
      <w:r>
        <w:rPr>
          <w:rFonts w:ascii="Times New Roman" w:hAnsi="Times New Roman" w:cs="Times New Roman" w:eastAsia="Times New Roman" w:hint="default"/>
        </w:rPr>
        <w:t>3</w:t>
      </w:r>
      <w:r>
        <w:rPr/>
        <w:t>、关于监事和监事会 </w:t>
      </w:r>
      <w:r>
        <w:rPr>
          <w:spacing w:val="-4"/>
        </w:rPr>
        <w:t>公司监事会设监事</w:t>
      </w:r>
      <w:r>
        <w:rPr>
          <w:rFonts w:ascii="Times New Roman" w:hAnsi="Times New Roman" w:cs="Times New Roman" w:eastAsia="Times New Roman" w:hint="default"/>
          <w:spacing w:val="-4"/>
        </w:rPr>
        <w:t>5</w:t>
      </w:r>
      <w:r>
        <w:rPr>
          <w:spacing w:val="-4"/>
        </w:rPr>
        <w:t>名，其中职工代表监事</w:t>
      </w:r>
      <w:r>
        <w:rPr>
          <w:rFonts w:ascii="Times New Roman" w:hAnsi="Times New Roman" w:cs="Times New Roman" w:eastAsia="Times New Roman" w:hint="default"/>
          <w:spacing w:val="-4"/>
        </w:rPr>
        <w:t>2</w:t>
      </w:r>
      <w:r>
        <w:rPr>
          <w:spacing w:val="-4"/>
        </w:rPr>
        <w:t>名，监事会的人数和构成符合法律、法规的要求。各位监事严格按照《公司法》、</w:t>
      </w:r>
    </w:p>
    <w:p>
      <w:pPr>
        <w:pStyle w:val="BodyText"/>
        <w:spacing w:line="309" w:lineRule="auto" w:before="13"/>
        <w:ind w:right="193"/>
        <w:jc w:val="both"/>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管理人员履行职责的合法合规性进行监督，维护公司及股东的合法权益。报告期内共召开了</w:t>
      </w:r>
      <w:r>
        <w:rPr>
          <w:rFonts w:ascii="Times New Roman" w:hAnsi="Times New Roman" w:cs="Times New Roman" w:eastAsia="Times New Roman" w:hint="default"/>
        </w:rPr>
        <w:t>5</w:t>
      </w:r>
      <w:r>
        <w:rPr/>
        <w:t>次监事会，会议均由监事会主 席召集、主持。</w:t>
      </w:r>
    </w:p>
    <w:p>
      <w:pPr>
        <w:pStyle w:val="BodyText"/>
        <w:spacing w:line="314" w:lineRule="auto" w:before="24"/>
        <w:ind w:right="103"/>
        <w:jc w:val="left"/>
      </w:pPr>
      <w:r>
        <w:rPr>
          <w:rFonts w:ascii="Times New Roman" w:hAnsi="Times New Roman" w:cs="Times New Roman" w:eastAsia="Times New Roman" w:hint="default"/>
        </w:rPr>
        <w:t>4</w:t>
      </w:r>
      <w:r>
        <w:rPr/>
        <w:t>、关于公司控股股东 </w:t>
      </w:r>
      <w:r>
        <w:rPr>
          <w:spacing w:val="-2"/>
        </w:rPr>
        <w:t>公司具有独立的业务经营能力及完备的运营体系，在业务、人员、资产、财务上均独立于控股股东。公司董事会、监事会和</w:t>
      </w:r>
      <w:r>
        <w:rPr>
          <w:spacing w:val="-66"/>
        </w:rPr>
        <w:t> </w:t>
      </w:r>
      <w:r>
        <w:rPr>
          <w:spacing w:val="-66"/>
        </w:rPr>
      </w:r>
      <w:r>
        <w:rPr>
          <w:spacing w:val="-2"/>
        </w:rPr>
        <w:t>内部机构根据其议事规则或公司制度独立运作。公司控股股东能严格规范自己的行为，通过股东大会依法行使其权利并承担</w:t>
      </w:r>
      <w:r>
        <w:rPr>
          <w:spacing w:val="-64"/>
        </w:rPr>
        <w:t> </w:t>
      </w:r>
      <w:r>
        <w:rPr>
          <w:spacing w:val="-64"/>
        </w:rPr>
      </w:r>
      <w:r>
        <w:rPr>
          <w:spacing w:val="-2"/>
        </w:rPr>
        <w:t>义务，没有超越股东大会直接或间接干预公司经营活动。报告期内，公司没有为控股股东提供担保，亦不存在控股股东非经</w:t>
      </w:r>
      <w:r>
        <w:rPr>
          <w:spacing w:val="-65"/>
        </w:rPr>
        <w:t> </w:t>
      </w:r>
      <w:r>
        <w:rPr>
          <w:spacing w:val="-65"/>
        </w:rPr>
      </w:r>
      <w:r>
        <w:rPr/>
        <w:t>营性占用公司资金的行为。</w:t>
      </w:r>
    </w:p>
    <w:p>
      <w:pPr>
        <w:pStyle w:val="BodyText"/>
        <w:spacing w:line="312" w:lineRule="auto" w:before="20"/>
        <w:ind w:right="103"/>
        <w:jc w:val="left"/>
      </w:pPr>
      <w:r>
        <w:rPr>
          <w:rFonts w:ascii="Times New Roman" w:hAnsi="Times New Roman" w:cs="Times New Roman" w:eastAsia="Times New Roman" w:hint="default"/>
        </w:rPr>
        <w:t>5</w:t>
      </w:r>
      <w:r>
        <w:rPr/>
        <w:t>、关于独立董事制度运行情况 </w:t>
      </w:r>
      <w:r>
        <w:rPr>
          <w:spacing w:val="-2"/>
        </w:rPr>
        <w:t>报告期内，公司独立董事严格按照有关法律、法规、《公司章程》等制度履行职责，对独立董事需发表意见的事项发布了独</w:t>
      </w:r>
      <w:r>
        <w:rPr>
          <w:spacing w:val="-67"/>
        </w:rPr>
        <w:t> </w:t>
      </w:r>
      <w:r>
        <w:rPr>
          <w:spacing w:val="-67"/>
        </w:rPr>
      </w:r>
      <w:r>
        <w:rPr/>
        <w:t>立意见，对公司内部控制制度及发展提出了许多意见和建议，对公司完善治理结构和规范运作发挥了积极作用。</w:t>
      </w:r>
      <w:r>
        <w:rPr/>
        <w:t> </w:t>
      </w:r>
      <w:r>
        <w:rPr>
          <w:rFonts w:ascii="Times New Roman" w:hAnsi="Times New Roman" w:cs="Times New Roman" w:eastAsia="Times New Roman" w:hint="default"/>
        </w:rPr>
        <w:t>6</w:t>
      </w:r>
      <w:r>
        <w:rPr/>
        <w:t>、关于信息披露与透明度 </w:t>
      </w:r>
      <w:r>
        <w:rPr>
          <w:spacing w:val="-2"/>
        </w:rPr>
        <w:t>公司严格按照《信息披露管理办法》、《投资者关系管理办法》、《内幕信息知情人登记管理办法》的有关规定，及时、准</w:t>
      </w:r>
      <w:r>
        <w:rPr>
          <w:spacing w:val="-69"/>
        </w:rPr>
        <w:t> </w:t>
      </w:r>
      <w:r>
        <w:rPr>
          <w:spacing w:val="-69"/>
        </w:rPr>
      </w:r>
      <w:r>
        <w:rPr/>
        <w:t>确、完整地披露公司重要经营信息，确保公司全体股东和投资者能够公平获得信息，持续提高公司透明度。</w:t>
      </w:r>
    </w:p>
    <w:p>
      <w:pPr>
        <w:spacing w:after="0" w:line="312"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103"/>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4"/>
        <w:spacing w:line="240" w:lineRule="auto"/>
        <w:ind w:right="103"/>
        <w:jc w:val="left"/>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9" w:lineRule="auto"/>
        <w:ind w:right="94"/>
        <w:jc w:val="left"/>
      </w:pPr>
      <w:r>
        <w:rPr>
          <w:spacing w:val="-1"/>
        </w:rPr>
        <w:t>公司严格按照《公司法》、《证券法》等有关法律、法规和《公司章程》的要求规范运作</w:t>
      </w:r>
      <w:r>
        <w:rPr>
          <w:rFonts w:ascii="Times New Roman" w:hAnsi="Times New Roman" w:cs="Times New Roman" w:eastAsia="Times New Roman" w:hint="default"/>
          <w:spacing w:val="-1"/>
        </w:rPr>
        <w:t>,</w:t>
      </w:r>
      <w:r>
        <w:rPr>
          <w:spacing w:val="-1"/>
        </w:rPr>
        <w:t>与控股股东在业务、人员、资产、</w:t>
      </w:r>
      <w:r>
        <w:rPr>
          <w:spacing w:val="-73"/>
        </w:rPr>
        <w:t> </w:t>
      </w:r>
      <w:r>
        <w:rPr>
          <w:spacing w:val="-73"/>
        </w:rPr>
      </w:r>
      <w:r>
        <w:rPr/>
        <w:t>机构、财务等方面完全分开，具有独立完整的业务及自主经营能力。 </w:t>
      </w:r>
      <w:r>
        <w:rPr>
          <w:rFonts w:ascii="Times New Roman" w:hAnsi="Times New Roman" w:cs="Times New Roman" w:eastAsia="Times New Roman" w:hint="default"/>
        </w:rPr>
        <w:t>1</w:t>
      </w:r>
      <w:r>
        <w:rPr/>
        <w:t>、业务方面：公司业务结构完整，自主独立经营，与控股股东之间无同业竞争，控股股东未曾利用控股股东地位干涉公司 决策和生产经营活动； </w:t>
      </w:r>
      <w:r>
        <w:rPr>
          <w:rFonts w:ascii="Times New Roman" w:hAnsi="Times New Roman" w:cs="Times New Roman" w:eastAsia="Times New Roman" w:hint="default"/>
        </w:rPr>
        <w:t>2</w:t>
      </w:r>
      <w:r>
        <w:rPr/>
        <w:t>、人员方面：公司在劳动、人事及工资管理等各方面均独立于控股股东。高级管理人员均在公司领取报酬；</w:t>
      </w:r>
    </w:p>
    <w:p>
      <w:pPr>
        <w:pStyle w:val="BodyText"/>
        <w:spacing w:line="240" w:lineRule="auto" w:before="5"/>
        <w:ind w:right="103"/>
        <w:jc w:val="left"/>
      </w:pPr>
      <w:r>
        <w:rPr>
          <w:rFonts w:ascii="Times New Roman" w:hAnsi="Times New Roman" w:cs="Times New Roman" w:eastAsia="Times New Roman" w:hint="default"/>
        </w:rPr>
        <w:t>3</w:t>
      </w:r>
      <w:r>
        <w:rPr/>
        <w:t>、资产方面：公司生产经营场所及土地使用权情况、商标注册及使用情况独立，各发起人投入股份公司的资产权属明确；</w:t>
      </w:r>
    </w:p>
    <w:p>
      <w:pPr>
        <w:pStyle w:val="BodyText"/>
        <w:spacing w:line="240" w:lineRule="auto" w:before="63"/>
        <w:ind w:right="103"/>
        <w:jc w:val="left"/>
      </w:pPr>
      <w:r>
        <w:rPr>
          <w:rFonts w:ascii="Times New Roman" w:hAnsi="Times New Roman" w:cs="Times New Roman" w:eastAsia="Times New Roman" w:hint="default"/>
        </w:rPr>
        <w:t>4</w:t>
      </w:r>
      <w:r>
        <w:rPr/>
        <w:t>、机构方面：公司组织体系健全，董事会、监事会、管理层及部门动作独立，不存在与控股股东之间的从属关系；</w:t>
      </w:r>
    </w:p>
    <w:p>
      <w:pPr>
        <w:pStyle w:val="BodyText"/>
        <w:spacing w:line="240" w:lineRule="auto" w:before="63"/>
        <w:ind w:right="103"/>
        <w:jc w:val="left"/>
      </w:pPr>
      <w:r>
        <w:rPr>
          <w:rFonts w:ascii="Times New Roman" w:hAnsi="Times New Roman" w:cs="Times New Roman" w:eastAsia="Times New Roman" w:hint="default"/>
        </w:rPr>
        <w:t>5</w:t>
      </w:r>
      <w:r>
        <w:rPr/>
        <w:t>、财务方面：设有独立的财务部门，并建立了独立的会计核算体系和财务管理制度，独立在银行开户、并依法独立纳税。</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4"/>
        <w:spacing w:line="240" w:lineRule="auto"/>
        <w:ind w:right="103"/>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10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未上市</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未上市</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未上市</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4" w:right="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2017-024</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10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4"/>
        <w:spacing w:line="367" w:lineRule="exact"/>
        <w:ind w:right="103"/>
        <w:jc w:val="left"/>
        <w:rPr>
          <w:b w:val="0"/>
          <w:bCs w:val="0"/>
        </w:rPr>
      </w:pPr>
      <w:r>
        <w:rPr/>
        <w:t>五、报告期内独立董事履行职责的情况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5"/>
        <w:spacing w:line="240" w:lineRule="auto"/>
        <w:ind w:right="10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郑学定</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林晓春</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吴硕贤</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49"/>
        <w:ind w:right="994"/>
        <w:jc w:val="left"/>
      </w:pPr>
      <w:r>
        <w:rPr/>
        <w:t>连续两次未亲自出席董事会的说明 独立董事吴硕贤先生因外出参加学术会议，连续两次未亲自出席董事会，均委托独立董事林晓春女士代为表决。</w:t>
      </w:r>
    </w:p>
    <w:p>
      <w:pPr>
        <w:spacing w:line="240" w:lineRule="auto" w:before="5"/>
        <w:rPr>
          <w:rFonts w:ascii="宋体" w:hAnsi="宋体" w:cs="宋体" w:eastAsia="宋体" w:hint="default"/>
          <w:sz w:val="15"/>
          <w:szCs w:val="15"/>
        </w:rPr>
      </w:pPr>
    </w:p>
    <w:p>
      <w:pPr>
        <w:pStyle w:val="Heading5"/>
        <w:spacing w:line="240" w:lineRule="auto"/>
        <w:ind w:right="10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6"/>
          <w:szCs w:val="16"/>
        </w:rPr>
      </w:pPr>
    </w:p>
    <w:p>
      <w:pPr>
        <w:pStyle w:val="Heading5"/>
        <w:spacing w:line="240" w:lineRule="auto"/>
        <w:ind w:right="10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
        <w:jc w:val="left"/>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190"/>
        <w:jc w:val="both"/>
      </w:pPr>
      <w:r>
        <w:rPr>
          <w:spacing w:val="-2"/>
        </w:rPr>
        <w:t>报告期内，独立董事勤勉尽责，严格按照中国证监会的相关规定及《公司章程》、《董事会议事规则》和《独立董事工作制</w:t>
      </w:r>
      <w:r>
        <w:rPr>
          <w:spacing w:val="-65"/>
        </w:rPr>
        <w:t> </w:t>
      </w:r>
      <w:r>
        <w:rPr>
          <w:spacing w:val="-65"/>
        </w:rPr>
      </w:r>
      <w:r>
        <w:rPr>
          <w:spacing w:val="-2"/>
        </w:rPr>
        <w:t>度》等法律法规的规定，关注公司运作的规范性，独立履行职责，对公司的制度完善和日常经营决策等方面提出了许多宝贵</w:t>
      </w:r>
      <w:r>
        <w:rPr>
          <w:spacing w:val="-64"/>
        </w:rPr>
        <w:t> </w:t>
      </w:r>
      <w:r>
        <w:rPr>
          <w:spacing w:val="-64"/>
        </w:rPr>
      </w:r>
      <w:r>
        <w:rPr/>
        <w:t>的专业性意见，为完善公司监督制度、维护公司和全体股东的合法权益发挥了应有的作用。</w:t>
      </w:r>
    </w:p>
    <w:p>
      <w:pPr>
        <w:spacing w:line="240" w:lineRule="auto" w:before="0"/>
        <w:rPr>
          <w:rFonts w:ascii="宋体" w:hAnsi="宋体" w:cs="宋体" w:eastAsia="宋体" w:hint="default"/>
          <w:sz w:val="15"/>
          <w:szCs w:val="15"/>
        </w:rPr>
      </w:pPr>
    </w:p>
    <w:p>
      <w:pPr>
        <w:pStyle w:val="Heading4"/>
        <w:spacing w:line="240" w:lineRule="auto"/>
        <w:ind w:right="103"/>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2" w:lineRule="auto"/>
        <w:ind w:right="94"/>
        <w:jc w:val="left"/>
      </w:pPr>
      <w:r>
        <w:rPr>
          <w:spacing w:val="-2"/>
        </w:rPr>
        <w:t>公司董事会下设战略发展委员会、提名委员会、审计委员会和薪酬与考核委员会共四个专门委员会。在报告期内，公司各专</w:t>
      </w:r>
      <w:r>
        <w:rPr>
          <w:spacing w:val="-66"/>
        </w:rPr>
        <w:t> </w:t>
      </w:r>
      <w:r>
        <w:rPr>
          <w:spacing w:val="-66"/>
        </w:rPr>
      </w:r>
      <w:r>
        <w:rPr>
          <w:spacing w:val="-2"/>
        </w:rPr>
        <w:t>门委员会根据相关规章制度，在工作中尽职尽责，严格按照《公司章程》和各专门委员会议事规则的有关规定开展工作，切</w:t>
      </w:r>
      <w:r>
        <w:rPr>
          <w:spacing w:val="-67"/>
        </w:rPr>
        <w:t> </w:t>
      </w:r>
      <w:r>
        <w:rPr>
          <w:spacing w:val="-67"/>
        </w:rPr>
      </w:r>
      <w:r>
        <w:rPr/>
        <w:t>实履行了其职责和义务。 报告期内，战略委员会严格按照《公司章程》等相关规定，本着勤勉尽责的态度，结合公司发展战略对重大决策提出建议， 促进了公司的健康发展。 </w:t>
      </w:r>
      <w:r>
        <w:rPr>
          <w:spacing w:val="-4"/>
        </w:rPr>
        <w:t>提名委员会严格按照《公司章程》等相关规定，本着勤勉尽责的态度，在公司董事、高级管理人员的选聘上发挥积极的作用。</w:t>
      </w:r>
      <w:r>
        <w:rPr>
          <w:spacing w:val="-45"/>
        </w:rPr>
        <w:t> </w:t>
      </w:r>
      <w:r>
        <w:rPr>
          <w:spacing w:val="-45"/>
        </w:rPr>
      </w:r>
      <w:r>
        <w:rPr/>
        <w:t>审计委员会共召开</w:t>
      </w:r>
      <w:r>
        <w:rPr>
          <w:rFonts w:ascii="Times New Roman" w:hAnsi="Times New Roman" w:cs="Times New Roman" w:eastAsia="Times New Roman" w:hint="default"/>
        </w:rPr>
        <w:t>5</w:t>
      </w:r>
      <w:r>
        <w:rPr/>
        <w:t>次会议，第一届董事会审计委员会第六次会议审议了《公司</w:t>
      </w:r>
      <w:r>
        <w:rPr>
          <w:rFonts w:ascii="Times New Roman" w:hAnsi="Times New Roman" w:cs="Times New Roman" w:eastAsia="Times New Roman" w:hint="default"/>
        </w:rPr>
        <w:t>2016</w:t>
      </w:r>
      <w:r>
        <w:rPr/>
        <w:t>年度财务报告》、《公司</w:t>
      </w:r>
      <w:r>
        <w:rPr>
          <w:rFonts w:ascii="Times New Roman" w:hAnsi="Times New Roman" w:cs="Times New Roman" w:eastAsia="Times New Roman" w:hint="default"/>
        </w:rPr>
        <w:t>2016</w:t>
      </w:r>
      <w:r>
        <w:rPr/>
        <w:t>年度薪酬 </w:t>
      </w:r>
      <w:r>
        <w:rPr>
          <w:spacing w:val="-2"/>
        </w:rPr>
        <w:t>结算方案》；第二届董事会审计委员会第一次会议审议了《公司</w:t>
      </w:r>
      <w:r>
        <w:rPr>
          <w:rFonts w:ascii="Times New Roman" w:hAnsi="Times New Roman" w:cs="Times New Roman" w:eastAsia="Times New Roman" w:hint="default"/>
          <w:spacing w:val="-2"/>
        </w:rPr>
        <w:t>2016</w:t>
      </w:r>
      <w:r>
        <w:rPr>
          <w:spacing w:val="-2"/>
        </w:rPr>
        <w:t>年度内控自我评价报告》；第二届董事会审计委员会第</w:t>
      </w:r>
      <w:r>
        <w:rPr>
          <w:spacing w:val="-65"/>
        </w:rPr>
        <w:t> </w:t>
      </w:r>
      <w:r>
        <w:rPr>
          <w:spacing w:val="-65"/>
        </w:rPr>
      </w:r>
      <w:r>
        <w:rPr>
          <w:spacing w:val="-2"/>
        </w:rPr>
        <w:t>二次会议审议了《公司</w:t>
      </w:r>
      <w:r>
        <w:rPr>
          <w:rFonts w:ascii="Times New Roman" w:hAnsi="Times New Roman" w:cs="Times New Roman" w:eastAsia="Times New Roman" w:hint="default"/>
          <w:spacing w:val="-2"/>
        </w:rPr>
        <w:t>2016</w:t>
      </w:r>
      <w:r>
        <w:rPr>
          <w:spacing w:val="-2"/>
        </w:rPr>
        <w:t>年度全面风险管理报告》、《公司</w:t>
      </w:r>
      <w:r>
        <w:rPr>
          <w:rFonts w:ascii="Times New Roman" w:hAnsi="Times New Roman" w:cs="Times New Roman" w:eastAsia="Times New Roman" w:hint="default"/>
          <w:spacing w:val="-2"/>
        </w:rPr>
        <w:t>2017</w:t>
      </w:r>
      <w:r>
        <w:rPr>
          <w:spacing w:val="-2"/>
        </w:rPr>
        <w:t>年度预算方案》、《关于公司</w:t>
      </w:r>
      <w:r>
        <w:rPr>
          <w:rFonts w:ascii="Times New Roman" w:hAnsi="Times New Roman" w:cs="Times New Roman" w:eastAsia="Times New Roman" w:hint="default"/>
          <w:spacing w:val="-2"/>
        </w:rPr>
        <w:t>2017</w:t>
      </w:r>
      <w:r>
        <w:rPr>
          <w:spacing w:val="-2"/>
        </w:rPr>
        <w:t>年度日常关联交易额度</w:t>
      </w:r>
      <w:r>
        <w:rPr>
          <w:spacing w:val="-63"/>
        </w:rPr>
        <w:t> </w:t>
      </w:r>
      <w:r>
        <w:rPr>
          <w:spacing w:val="-63"/>
        </w:rPr>
      </w:r>
      <w:r>
        <w:rPr>
          <w:spacing w:val="-2"/>
        </w:rPr>
        <w:t>的议案》、《关于聘请</w:t>
      </w:r>
      <w:r>
        <w:rPr>
          <w:rFonts w:ascii="Times New Roman" w:hAnsi="Times New Roman" w:cs="Times New Roman" w:eastAsia="Times New Roman" w:hint="default"/>
          <w:spacing w:val="-2"/>
        </w:rPr>
        <w:t>2017</w:t>
      </w:r>
      <w:r>
        <w:rPr>
          <w:spacing w:val="-2"/>
        </w:rPr>
        <w:t>年度审计机构的议案》；第二届董事会审计委员会第三次会议审议了《关于使用募集资金置换预</w:t>
      </w:r>
      <w:r>
        <w:rPr>
          <w:spacing w:val="-64"/>
        </w:rPr>
        <w:t> </w:t>
      </w:r>
      <w:r>
        <w:rPr>
          <w:spacing w:val="-64"/>
        </w:rPr>
      </w:r>
      <w:r>
        <w:rPr>
          <w:spacing w:val="-2"/>
        </w:rPr>
        <w:t>先投入募投项目自筹资金的议案》、《公司</w:t>
      </w:r>
      <w:r>
        <w:rPr>
          <w:rFonts w:ascii="Times New Roman" w:hAnsi="Times New Roman" w:cs="Times New Roman" w:eastAsia="Times New Roman" w:hint="default"/>
          <w:spacing w:val="-2"/>
        </w:rPr>
        <w:t>2017</w:t>
      </w:r>
      <w:r>
        <w:rPr>
          <w:spacing w:val="-2"/>
        </w:rPr>
        <w:t>年半年度报告》、《公司</w:t>
      </w:r>
      <w:r>
        <w:rPr>
          <w:rFonts w:ascii="Times New Roman" w:hAnsi="Times New Roman" w:cs="Times New Roman" w:eastAsia="Times New Roman" w:hint="default"/>
          <w:spacing w:val="-2"/>
        </w:rPr>
        <w:t>2016</w:t>
      </w:r>
      <w:r>
        <w:rPr>
          <w:spacing w:val="-2"/>
        </w:rPr>
        <w:t>年度利润分配方案》、《关于向金融机构申请</w:t>
      </w:r>
    </w:p>
    <w:p>
      <w:pPr>
        <w:spacing w:after="0" w:line="312"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r>
        <w:rPr/>
        <w:pict>
          <v:shape style="position:absolute;margin-left:295.72699pt;margin-top:675.695984pt;width:239.25pt;height:80.05pt;mso-position-horizontal-relative:page;mso-position-vertical-relative:page;z-index:-1294480" type="#_x0000_t202" filled="false" stroked="false">
            <v:textbox inset="0,0,0,0">
              <w:txbxContent>
                <w:p>
                  <w:pPr>
                    <w:spacing w:line="240" w:lineRule="auto" w:before="13"/>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发生的可能性作判定。</w:t>
                  </w:r>
                </w:p>
              </w:txbxContent>
            </v:textbox>
            <w10:wrap type="none"/>
          </v:shape>
        </w:pict>
      </w:r>
    </w:p>
    <w:p>
      <w:pPr>
        <w:pStyle w:val="BodyText"/>
        <w:spacing w:line="304" w:lineRule="auto" w:before="44"/>
        <w:ind w:right="144"/>
        <w:jc w:val="left"/>
      </w:pPr>
      <w:r>
        <w:rPr/>
        <w:t>新增综合授信额度的议案》；第二届董事会审计委员会第四次会议审议了《关于公司会计政策变更的议案》、《公司</w:t>
      </w:r>
      <w:r>
        <w:rPr>
          <w:rFonts w:ascii="Times New Roman" w:hAnsi="Times New Roman" w:cs="Times New Roman" w:eastAsia="Times New Roman" w:hint="default"/>
        </w:rPr>
        <w:t>2017 </w:t>
      </w:r>
      <w:r>
        <w:rPr/>
        <w:t>年第三季度报告》。 薪酬与考核委员会共召开</w:t>
      </w:r>
      <w:r>
        <w:rPr>
          <w:rFonts w:ascii="Times New Roman" w:hAnsi="Times New Roman" w:cs="Times New Roman" w:eastAsia="Times New Roman" w:hint="default"/>
        </w:rPr>
        <w:t>2</w:t>
      </w:r>
      <w:r>
        <w:rPr/>
        <w:t>次会议，第二届董事会薪酬与考核委员会第一次会议审议了《公司内部董事及经营班子</w:t>
      </w:r>
      <w:r>
        <w:rPr>
          <w:rFonts w:ascii="Times New Roman" w:hAnsi="Times New Roman" w:cs="Times New Roman" w:eastAsia="Times New Roman" w:hint="default"/>
        </w:rPr>
        <w:t>2016</w:t>
      </w:r>
      <w:r>
        <w:rPr/>
        <w:t>年考</w:t>
      </w:r>
      <w:r>
        <w:rPr>
          <w:spacing w:val="-3"/>
        </w:rPr>
        <w:t> </w:t>
      </w:r>
      <w:r>
        <w:rPr>
          <w:spacing w:val="-2"/>
        </w:rPr>
        <w:t>核结果》、《关于审议独立董事津贴标准的议案》；第二届董事会薪酬与考核委员会第二次会议审议了《叶青女士</w:t>
      </w:r>
      <w:r>
        <w:rPr>
          <w:rFonts w:ascii="Times New Roman" w:hAnsi="Times New Roman" w:cs="Times New Roman" w:eastAsia="Times New Roman" w:hint="default"/>
          <w:spacing w:val="-2"/>
        </w:rPr>
        <w:t>2017</w:t>
      </w:r>
      <w:r>
        <w:rPr>
          <w:spacing w:val="-2"/>
        </w:rPr>
        <w:t>年薪</w:t>
      </w:r>
      <w:r>
        <w:rPr>
          <w:spacing w:val="-62"/>
        </w:rPr>
        <w:t> </w:t>
      </w:r>
      <w:r>
        <w:rPr>
          <w:spacing w:val="-2"/>
        </w:rPr>
        <w:t>酬与考核方案》、《陈泽广先生</w:t>
      </w:r>
      <w:r>
        <w:rPr>
          <w:rFonts w:ascii="Times New Roman" w:hAnsi="Times New Roman" w:cs="Times New Roman" w:eastAsia="Times New Roman" w:hint="default"/>
          <w:spacing w:val="-2"/>
        </w:rPr>
        <w:t>2017</w:t>
      </w:r>
      <w:r>
        <w:rPr>
          <w:spacing w:val="-2"/>
        </w:rPr>
        <w:t>年薪酬与考核方案》、《莫福光先生</w:t>
      </w:r>
      <w:r>
        <w:rPr>
          <w:rFonts w:ascii="Times New Roman" w:hAnsi="Times New Roman" w:cs="Times New Roman" w:eastAsia="Times New Roman" w:hint="default"/>
          <w:spacing w:val="-2"/>
        </w:rPr>
        <w:t>2017</w:t>
      </w:r>
      <w:r>
        <w:rPr>
          <w:spacing w:val="-2"/>
        </w:rPr>
        <w:t>年薪酬与考核方案》、《刘丽女士</w:t>
      </w:r>
      <w:r>
        <w:rPr>
          <w:rFonts w:ascii="Times New Roman" w:hAnsi="Times New Roman" w:cs="Times New Roman" w:eastAsia="Times New Roman" w:hint="default"/>
          <w:spacing w:val="-2"/>
        </w:rPr>
        <w:t>2017</w:t>
      </w:r>
      <w:r>
        <w:rPr>
          <w:spacing w:val="-2"/>
        </w:rPr>
        <w:t>年薪酬</w:t>
      </w:r>
      <w:r>
        <w:rPr>
          <w:spacing w:val="-59"/>
        </w:rPr>
        <w:t> </w:t>
      </w:r>
      <w:r>
        <w:rPr>
          <w:spacing w:val="-59"/>
        </w:rPr>
      </w:r>
      <w:r>
        <w:rPr/>
        <w:t>与考核方案》、《刘俊跃先生</w:t>
      </w:r>
      <w:r>
        <w:rPr>
          <w:rFonts w:ascii="Times New Roman" w:hAnsi="Times New Roman" w:cs="Times New Roman" w:eastAsia="Times New Roman" w:hint="default"/>
        </w:rPr>
        <w:t>2017</w:t>
      </w:r>
      <w:r>
        <w:rPr/>
        <w:t>年薪酬与考核方案》、《毛洪伟先生</w:t>
      </w:r>
      <w:r>
        <w:rPr>
          <w:rFonts w:ascii="Times New Roman" w:hAnsi="Times New Roman" w:cs="Times New Roman" w:eastAsia="Times New Roman" w:hint="default"/>
        </w:rPr>
        <w:t>2017</w:t>
      </w:r>
      <w:r>
        <w:rPr/>
        <w:t>年薪酬与考核方案》。</w:t>
      </w: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63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14" w:lineRule="auto"/>
        <w:ind w:right="149"/>
        <w:jc w:val="both"/>
      </w:pPr>
      <w:r>
        <w:rPr>
          <w:spacing w:val="-2"/>
        </w:rPr>
        <w:t>为进一步完善公司激励与约束机制，促进公司战略规划的实施，公司建立了高级管理人员的薪酬与公司业绩挂钩的绩效考核</w:t>
      </w:r>
      <w:r>
        <w:rPr>
          <w:spacing w:val="-64"/>
        </w:rPr>
        <w:t> </w:t>
      </w:r>
      <w:r>
        <w:rPr>
          <w:spacing w:val="-64"/>
        </w:rPr>
      </w:r>
      <w:r>
        <w:rPr>
          <w:spacing w:val="-2"/>
        </w:rPr>
        <w:t>与激励约束机制。公司董事会薪酬与考核委员会负责拟订公司内部董事及高级管理人员薪酬与考核方案，并报董事会审批后</w:t>
      </w:r>
      <w:r>
        <w:rPr>
          <w:spacing w:val="-63"/>
        </w:rPr>
        <w:t> </w:t>
      </w:r>
      <w:r>
        <w:rPr>
          <w:spacing w:val="-63"/>
        </w:rPr>
      </w:r>
      <w:r>
        <w:rPr>
          <w:spacing w:val="-2"/>
        </w:rPr>
        <w:t>实施。董事会依据会计师审计报告和董事会审计委员会审计情况对内部董事及高级管理人员进行年度经营业绩考核，并监督</w:t>
      </w:r>
      <w:r>
        <w:rPr>
          <w:spacing w:val="-64"/>
        </w:rPr>
        <w:t> </w:t>
      </w:r>
      <w:r>
        <w:rPr>
          <w:spacing w:val="-64"/>
        </w:rPr>
      </w:r>
      <w:r>
        <w:rPr>
          <w:spacing w:val="-2"/>
        </w:rPr>
        <w:t>薪酬制度执行情况。</w:t>
      </w:r>
      <w:r>
        <w:rPr>
          <w:rFonts w:ascii="Times New Roman" w:hAnsi="Times New Roman" w:cs="Times New Roman" w:eastAsia="Times New Roman" w:hint="default"/>
          <w:spacing w:val="-2"/>
        </w:rPr>
        <w:t>2017</w:t>
      </w:r>
      <w:r>
        <w:rPr>
          <w:spacing w:val="-2"/>
        </w:rPr>
        <w:t>年度公司制定了《公司内部董事及经营班子</w:t>
      </w:r>
      <w:r>
        <w:rPr>
          <w:rFonts w:ascii="Times New Roman" w:hAnsi="Times New Roman" w:cs="Times New Roman" w:eastAsia="Times New Roman" w:hint="default"/>
          <w:spacing w:val="-2"/>
        </w:rPr>
        <w:t>2017</w:t>
      </w:r>
      <w:r>
        <w:rPr>
          <w:spacing w:val="-2"/>
        </w:rPr>
        <w:t>年薪酬与考核方案》，公司高级管理人员实行基本</w:t>
      </w:r>
      <w:r>
        <w:rPr>
          <w:spacing w:val="-58"/>
        </w:rPr>
        <w:t> </w:t>
      </w:r>
      <w:r>
        <w:rPr>
          <w:spacing w:val="-58"/>
        </w:rPr>
      </w:r>
      <w:r>
        <w:rPr/>
        <w:t>年薪和绩效年薪相结合的薪酬制度，绩效年薪根据年度经营业绩考核结果发放。</w:t>
      </w:r>
    </w:p>
    <w:p>
      <w:pPr>
        <w:spacing w:line="240" w:lineRule="auto" w:before="2"/>
        <w:rPr>
          <w:rFonts w:ascii="宋体" w:hAnsi="宋体" w:cs="宋体" w:eastAsia="宋体" w:hint="default"/>
          <w:sz w:val="15"/>
          <w:szCs w:val="15"/>
        </w:rPr>
      </w:pPr>
    </w:p>
    <w:p>
      <w:pPr>
        <w:pStyle w:val="Heading4"/>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0"/>
        <w:gridCol w:w="3327"/>
        <w:gridCol w:w="3053"/>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2">
              <w:r>
                <w:rPr>
                  <w:rFonts w:ascii="Times New Roman" w:hAnsi="Times New Roman" w:cs="Times New Roman" w:eastAsia="Times New Roman" w:hint="default"/>
                  <w:sz w:val="18"/>
                  <w:szCs w:val="18"/>
                </w:rPr>
                <w:t>http://www.cninfo.com.cn</w:t>
              </w:r>
            </w:hyperlink>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10"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316" w:lineRule="auto" w:before="49"/>
              <w:ind w:left="29" w:right="39"/>
              <w:jc w:val="left"/>
              <w:rPr>
                <w:rFonts w:ascii="宋体" w:hAnsi="宋体" w:cs="宋体" w:eastAsia="宋体" w:hint="default"/>
                <w:sz w:val="18"/>
                <w:szCs w:val="18"/>
              </w:rPr>
            </w:pPr>
            <w:r>
              <w:rPr>
                <w:rFonts w:ascii="宋体" w:hAnsi="宋体" w:cs="宋体" w:eastAsia="宋体" w:hint="default"/>
                <w:sz w:val="18"/>
                <w:szCs w:val="18"/>
              </w:rPr>
              <w:t>财务报告缺陷认定主要以缺陷造成财务报 告错报的影响程度、 重大缺陷：内部控制中存在的、可能导致 不能及时防止或发现并纠正财务报表重大 错报的一个或多个内部控制缺陷的组合；</w:t>
            </w:r>
          </w:p>
        </w:tc>
        <w:tc>
          <w:tcPr>
            <w:tcW w:w="3053" w:type="dxa"/>
            <w:vMerge w:val="restart"/>
            <w:tcBorders>
              <w:top w:val="single" w:sz="4" w:space="0" w:color="000000"/>
              <w:left w:val="single" w:sz="10" w:space="0" w:color="FFFFFF"/>
              <w:right w:val="single" w:sz="10" w:space="0" w:color="FFFFFF"/>
            </w:tcBorders>
          </w:tcPr>
          <w:p>
            <w:pPr>
              <w:pStyle w:val="TableParagraph"/>
              <w:spacing w:line="316" w:lineRule="auto" w:before="49"/>
              <w:ind w:left="19" w:right="-50"/>
              <w:jc w:val="both"/>
              <w:rPr>
                <w:rFonts w:ascii="宋体" w:hAnsi="宋体" w:cs="宋体" w:eastAsia="宋体" w:hint="default"/>
                <w:sz w:val="18"/>
                <w:szCs w:val="18"/>
              </w:rPr>
            </w:pPr>
            <w:r>
              <w:rPr>
                <w:rFonts w:ascii="宋体" w:hAnsi="宋体" w:cs="宋体" w:eastAsia="宋体" w:hint="default"/>
                <w:spacing w:val="-4"/>
                <w:sz w:val="18"/>
                <w:szCs w:val="18"/>
              </w:rPr>
              <w:t>定性标准：非财务报告缺陷认定主要以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缺陷对业务流程有效性的影响程度、发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生的可能性作判定。重大缺陷：是指一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个或多个内部控制缺陷的组合，可能导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致公司严重偏离整体控制目标的情形；</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610"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bl>
    <w:p>
      <w:pPr>
        <w:spacing w:after="0"/>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r>
        <w:rPr/>
        <w:pict>
          <v:shape style="position:absolute;margin-left:313.735992pt;margin-top:72.475983pt;width:221.2pt;height:80.1pt;mso-position-horizontal-relative:page;mso-position-vertical-relative:page;z-index:-12944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left="0" w:right="0"/>
                    <w:jc w:val="left"/>
                  </w:pPr>
                  <w:r>
                    <w:rPr/>
                    <w:t>是指除重大缺陷、</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重要缺陷：内部控制中存在的、其严重程 度不如重大缺陷，但仍足以引起企业财务 报告监督人员关注的一个或多个内部控制 </w:t>
            </w:r>
            <w:r>
              <w:rPr>
                <w:rFonts w:ascii="宋体" w:hAnsi="宋体" w:cs="宋体" w:eastAsia="宋体" w:hint="default"/>
                <w:spacing w:val="-3"/>
                <w:sz w:val="18"/>
                <w:szCs w:val="18"/>
              </w:rPr>
              <w:t>缺陷的组合；一般缺陷：</w:t>
            </w:r>
            <w:r>
              <w:rPr>
                <w:rFonts w:ascii="宋体" w:hAnsi="宋体" w:cs="宋体" w:eastAsia="宋体" w:hint="default"/>
                <w:sz w:val="18"/>
                <w:szCs w:val="18"/>
              </w:rPr>
              <w:t> 重要缺陷之外的其他缺陷。</w:t>
            </w:r>
          </w:p>
        </w:tc>
        <w:tc>
          <w:tcPr>
            <w:tcW w:w="3053" w:type="dxa"/>
            <w:tcBorders>
              <w:top w:val="single" w:sz="4" w:space="0" w:color="000000"/>
              <w:left w:val="single" w:sz="10" w:space="0" w:color="FFFFFF"/>
              <w:bottom w:val="single" w:sz="4" w:space="0" w:color="000000"/>
              <w:right w:val="single" w:sz="10" w:space="0" w:color="FFFFFF"/>
            </w:tcBorders>
          </w:tcPr>
          <w:p>
            <w:pPr>
              <w:pStyle w:val="TableParagraph"/>
              <w:spacing w:line="319" w:lineRule="auto" w:before="8"/>
              <w:ind w:left="19" w:right="-50"/>
              <w:jc w:val="left"/>
              <w:rPr>
                <w:rFonts w:ascii="宋体" w:hAnsi="宋体" w:cs="宋体" w:eastAsia="宋体" w:hint="default"/>
                <w:sz w:val="18"/>
                <w:szCs w:val="18"/>
              </w:rPr>
            </w:pPr>
            <w:r>
              <w:rPr>
                <w:rFonts w:ascii="宋体" w:hAnsi="宋体" w:cs="宋体" w:eastAsia="宋体" w:hint="default"/>
                <w:spacing w:val="-4"/>
                <w:sz w:val="18"/>
                <w:szCs w:val="18"/>
              </w:rPr>
              <w:t>重要缺陷：是指一个或多个内部控制缺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陷的组合，其严重程度和经济后果低于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重大缺陷，但仍有可能导致公司偏离控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制目标；一般缺陷：是指除重大缺陷、 重要缺陷之外的其他缺陷。</w:t>
            </w:r>
          </w:p>
        </w:tc>
      </w:tr>
      <w:tr>
        <w:trPr>
          <w:trHeight w:val="508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以合并报表数据为基准，确定公司合并报 </w:t>
            </w:r>
            <w:r>
              <w:rPr>
                <w:rFonts w:ascii="宋体" w:hAnsi="宋体" w:cs="宋体" w:eastAsia="宋体" w:hint="default"/>
                <w:spacing w:val="-4"/>
                <w:sz w:val="18"/>
                <w:szCs w:val="18"/>
              </w:rPr>
              <w:t>表错报（包括漏报）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重大缺陷：资产总额潜在错漏大于资产总 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万元（含）；收入潜在错漏</w:t>
            </w:r>
            <w:r>
              <w:rPr>
                <w:rFonts w:ascii="宋体" w:hAnsi="宋体" w:cs="宋体" w:eastAsia="宋体" w:hint="default"/>
                <w:sz w:val="18"/>
                <w:szCs w:val="18"/>
              </w:rPr>
              <w:t> 大于收入总额的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万元（含）；利</w:t>
            </w:r>
            <w:r>
              <w:rPr>
                <w:rFonts w:ascii="宋体" w:hAnsi="宋体" w:cs="宋体" w:eastAsia="宋体" w:hint="default"/>
                <w:sz w:val="18"/>
                <w:szCs w:val="18"/>
              </w:rPr>
              <w:t> 润总额潜在错漏大于利润总额的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9"/>
                <w:sz w:val="18"/>
                <w:szCs w:val="18"/>
              </w:rPr>
              <w:t>万元（含）。重要缺陷：资产总额潜在错漏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大于资产总额的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万元（含）且小</w:t>
            </w:r>
            <w:r>
              <w:rPr>
                <w:rFonts w:ascii="宋体" w:hAnsi="宋体" w:cs="宋体" w:eastAsia="宋体" w:hint="default"/>
                <w:sz w:val="18"/>
                <w:szCs w:val="18"/>
              </w:rPr>
              <w:t> 于</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800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万元；收入潜在错漏大于收入</w:t>
            </w:r>
            <w:r>
              <w:rPr>
                <w:rFonts w:ascii="宋体" w:hAnsi="宋体" w:cs="宋体" w:eastAsia="宋体" w:hint="default"/>
                <w:sz w:val="18"/>
                <w:szCs w:val="18"/>
              </w:rPr>
              <w:t>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pacing w:val="-18"/>
                <w:sz w:val="18"/>
                <w:szCs w:val="18"/>
              </w:rPr>
              <w:t>万元（含）且小于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万元；利润总额潜在错漏大于利润总额的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万元（含）且小于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元。一般缺陷：资产总额潜在错漏小于资 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400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万元；收入潜在错漏小</w:t>
            </w:r>
            <w:r>
              <w:rPr>
                <w:rFonts w:ascii="宋体" w:hAnsi="宋体" w:cs="宋体" w:eastAsia="宋体" w:hint="default"/>
                <w:sz w:val="18"/>
                <w:szCs w:val="18"/>
              </w:rPr>
              <w:t> 于收入总额</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万元；利润总额潜在</w:t>
            </w:r>
            <w:r>
              <w:rPr>
                <w:rFonts w:ascii="宋体" w:hAnsi="宋体" w:cs="宋体" w:eastAsia="宋体" w:hint="default"/>
                <w:sz w:val="18"/>
                <w:szCs w:val="18"/>
              </w:rPr>
              <w:t> 错漏小于利润总额的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1403" w:lineRule="exact"/>
              <w:ind w:left="2"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7"/>
                <w:sz w:val="20"/>
                <w:szCs w:val="20"/>
              </w:rPr>
              <w:pict>
                <v:group style="width:152.1pt;height:70.2pt;mso-position-horizontal-relative:char;mso-position-vertical-relative:line" coordorigin="0,0" coordsize="3042,1404">
                  <v:group style="position:absolute;left:0;top:0;width:3042;height:1404" coordorigin="0,0" coordsize="3042,1404">
                    <v:shape style="position:absolute;left:0;top:0;width:3042;height:1404" coordorigin="0,0" coordsize="3042,1404" path="m0,1404l3041,1404,3041,0,0,0,0,1404xe" filled="true" fillcolor="#ffffff" stroked="false">
                      <v:path arrowok="t"/>
                      <v:fill type="solid"/>
                    </v:shape>
                  </v:group>
                </v:group>
              </w:pict>
            </w:r>
            <w:r>
              <w:rPr>
                <w:rFonts w:ascii="Microsoft JhengHei" w:hAnsi="Microsoft JhengHei" w:cs="Microsoft JhengHei" w:eastAsia="Microsoft JhengHei" w:hint="default"/>
                <w:position w:val="-27"/>
                <w:sz w:val="20"/>
                <w:szCs w:val="20"/>
              </w:rPr>
            </w:r>
          </w:p>
          <w:p>
            <w:pPr>
              <w:pStyle w:val="TableParagraph"/>
              <w:spacing w:line="319" w:lineRule="auto" w:before="49"/>
              <w:ind w:left="26" w:right="19"/>
              <w:jc w:val="both"/>
              <w:rPr>
                <w:rFonts w:ascii="宋体" w:hAnsi="宋体" w:cs="宋体" w:eastAsia="宋体" w:hint="default"/>
                <w:sz w:val="18"/>
                <w:szCs w:val="18"/>
              </w:rPr>
            </w:pPr>
            <w:r>
              <w:rPr>
                <w:rFonts w:ascii="宋体" w:hAnsi="宋体" w:cs="宋体" w:eastAsia="宋体" w:hint="default"/>
                <w:spacing w:val="-4"/>
                <w:sz w:val="18"/>
                <w:szCs w:val="18"/>
              </w:rPr>
              <w:t>定量标准：以给公司造成的直接损失金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额及重大影响程度为基准，确定公司缺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陷重要程度的定量标准。重大缺陷：直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接财产损失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万元（含）以上；重要</w:t>
            </w:r>
          </w:p>
          <w:p>
            <w:pPr>
              <w:pStyle w:val="TableParagraph"/>
              <w:spacing w:line="246" w:lineRule="exact"/>
              <w:ind w:left="26" w:right="0"/>
              <w:jc w:val="both"/>
              <w:rPr>
                <w:rFonts w:ascii="宋体" w:hAnsi="宋体" w:cs="宋体" w:eastAsia="宋体" w:hint="default"/>
                <w:sz w:val="18"/>
                <w:szCs w:val="18"/>
              </w:rPr>
            </w:pPr>
            <w:r>
              <w:rPr>
                <w:rFonts w:ascii="宋体" w:hAnsi="宋体" w:cs="宋体" w:eastAsia="宋体" w:hint="default"/>
                <w:sz w:val="18"/>
                <w:szCs w:val="18"/>
              </w:rPr>
              <w:t>缺陷：直接财产损失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万元（含）至</w:t>
            </w:r>
          </w:p>
          <w:p>
            <w:pPr>
              <w:pStyle w:val="TableParagraph"/>
              <w:spacing w:line="240" w:lineRule="auto" w:before="63"/>
              <w:ind w:left="2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pacing w:val="-5"/>
                <w:sz w:val="18"/>
                <w:szCs w:val="18"/>
              </w:rPr>
              <w:t>万元；一般缺陷：直接财产损失</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万元以下。</w:t>
            </w: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1404" w:lineRule="exact"/>
              <w:ind w:left="2" w:right="-51"/>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27"/>
                <w:sz w:val="20"/>
                <w:szCs w:val="20"/>
              </w:rPr>
              <w:pict>
                <v:group style="width:152.1pt;height:70.2pt;mso-position-horizontal-relative:char;mso-position-vertical-relative:line" coordorigin="0,0" coordsize="3042,1404">
                  <v:group style="position:absolute;left:0;top:0;width:3042;height:1404" coordorigin="0,0" coordsize="3042,1404">
                    <v:shape style="position:absolute;left:0;top:0;width:3042;height:1404" coordorigin="0,0" coordsize="3042,1404" path="m0,1404l3041,1404,3041,0,0,0,0,1404xe" filled="true" fillcolor="#ffffff" stroked="false">
                      <v:path arrowok="t"/>
                      <v:fill type="solid"/>
                    </v:shape>
                  </v:group>
                </v:group>
              </w:pict>
            </w:r>
            <w:r>
              <w:rPr>
                <w:rFonts w:ascii="Microsoft JhengHei" w:hAnsi="Microsoft JhengHei" w:cs="Microsoft JhengHei" w:eastAsia="Microsoft JhengHei" w:hint="default"/>
                <w:position w:val="-27"/>
                <w:sz w:val="20"/>
                <w:szCs w:val="20"/>
              </w:rPr>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pict>
          <v:shape style="position:absolute;margin-left:295.733002pt;margin-top:-346.287506pt;width:239.2pt;height:253.6pt;mso-position-horizontal-relative:page;mso-position-vertical-relative:paragraph;z-index:-12943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重要程度的定量标准。</w:t>
                  </w:r>
                </w:p>
              </w:txbxContent>
            </v:textbox>
            <w10:wrap type="none"/>
          </v:shape>
        </w:pict>
      </w: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right="2072"/>
        <w:jc w:val="center"/>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ZI10223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丘运良、丘玉娇</w:t>
            </w:r>
          </w:p>
        </w:tc>
      </w:tr>
    </w:tbl>
    <w:p>
      <w:pPr>
        <w:pStyle w:val="BodyText"/>
        <w:spacing w:line="240" w:lineRule="auto" w:before="49"/>
        <w:ind w:left="2071" w:right="2071"/>
        <w:jc w:val="center"/>
      </w:pPr>
      <w:r>
        <w:rPr/>
        <w:t>审计报告正文</w:t>
      </w:r>
    </w:p>
    <w:p>
      <w:pPr>
        <w:spacing w:line="240" w:lineRule="auto" w:before="11"/>
        <w:rPr>
          <w:rFonts w:ascii="宋体" w:hAnsi="宋体" w:cs="宋体" w:eastAsia="宋体" w:hint="default"/>
          <w:sz w:val="24"/>
          <w:szCs w:val="24"/>
        </w:rPr>
      </w:pPr>
    </w:p>
    <w:p>
      <w:pPr>
        <w:spacing w:before="0"/>
        <w:ind w:left="2071" w:right="207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审计报告</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8"/>
          <w:szCs w:val="18"/>
        </w:rPr>
      </w:pPr>
    </w:p>
    <w:p>
      <w:pPr>
        <w:pStyle w:val="Heading6"/>
        <w:spacing w:line="240" w:lineRule="auto" w:before="36"/>
        <w:ind w:left="0" w:right="148"/>
        <w:jc w:val="right"/>
      </w:pPr>
      <w:r>
        <w:rPr>
          <w:spacing w:val="-1"/>
        </w:rPr>
        <w:t>信会师报字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ZI10223</w:t>
      </w:r>
      <w:r>
        <w:rPr>
          <w:spacing w:val="-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413" w:lineRule="exact"/>
        <w:ind w:right="0"/>
        <w:jc w:val="left"/>
        <w:rPr>
          <w:b w:val="0"/>
          <w:bCs w:val="0"/>
        </w:rPr>
      </w:pPr>
      <w:r>
        <w:rPr/>
        <w:t>深圳市建筑科学研究院股份有限公司全体股东：</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3"/>
        <w:rPr>
          <w:rFonts w:ascii="Microsoft JhengHei" w:hAnsi="Microsoft JhengHei" w:cs="Microsoft JhengHei" w:eastAsia="Microsoft JhengHei" w:hint="default"/>
          <w:b/>
          <w:bCs/>
          <w:sz w:val="15"/>
          <w:szCs w:val="15"/>
        </w:rPr>
      </w:pPr>
    </w:p>
    <w:p>
      <w:pPr>
        <w:pStyle w:val="Heading2"/>
        <w:spacing w:line="240" w:lineRule="auto"/>
        <w:ind w:left="573" w:right="0"/>
        <w:jc w:val="left"/>
        <w:rPr>
          <w:b w:val="0"/>
          <w:bCs w:val="0"/>
        </w:rPr>
      </w:pPr>
      <w:r>
        <w:rPr>
          <w:rFonts w:ascii="Trebuchet MS" w:hAnsi="Trebuchet MS" w:cs="Trebuchet MS" w:eastAsia="Trebuchet MS" w:hint="default"/>
          <w:w w:val="105"/>
        </w:rPr>
        <w:t>1.</w:t>
      </w:r>
      <w:r>
        <w:rPr>
          <w:rFonts w:ascii="Trebuchet MS" w:hAnsi="Trebuchet MS" w:cs="Trebuchet MS" w:eastAsia="Trebuchet MS" w:hint="default"/>
          <w:spacing w:val="-61"/>
          <w:w w:val="105"/>
        </w:rPr>
        <w:t> </w:t>
      </w:r>
      <w:r>
        <w:rPr>
          <w:w w:val="105"/>
        </w:rPr>
        <w:t>审计意见</w:t>
      </w:r>
      <w:r>
        <w:rPr>
          <w:b w:val="0"/>
          <w:bCs w:val="0"/>
          <w:w w:val="105"/>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4"/>
        <w:rPr>
          <w:rFonts w:ascii="Microsoft JhengHei" w:hAnsi="Microsoft JhengHei" w:cs="Microsoft JhengHei" w:eastAsia="Microsoft JhengHei" w:hint="default"/>
          <w:b/>
          <w:bCs/>
          <w:sz w:val="20"/>
          <w:szCs w:val="20"/>
        </w:rPr>
      </w:pPr>
    </w:p>
    <w:p>
      <w:pPr>
        <w:pStyle w:val="Heading3"/>
        <w:spacing w:line="393" w:lineRule="auto"/>
        <w:ind w:left="513" w:right="187"/>
        <w:jc w:val="both"/>
      </w:pPr>
      <w:r>
        <w:rPr>
          <w:spacing w:val="-1"/>
        </w:rPr>
        <w:t>我们审计了深圳市建筑科学研究院股份有限公司（以下简称</w:t>
      </w:r>
      <w:r>
        <w:rPr>
          <w:rFonts w:ascii="Times New Roman" w:hAnsi="Times New Roman" w:cs="Times New Roman" w:eastAsia="Times New Roman" w:hint="default"/>
          <w:spacing w:val="-1"/>
        </w:rPr>
        <w:t>“</w:t>
      </w:r>
      <w:r>
        <w:rPr>
          <w:spacing w:val="-1"/>
        </w:rPr>
        <w:t>建科院</w:t>
      </w:r>
      <w:r>
        <w:rPr>
          <w:rFonts w:ascii="Times New Roman" w:hAnsi="Times New Roman" w:cs="Times New Roman" w:eastAsia="Times New Roman" w:hint="default"/>
          <w:spacing w:val="-1"/>
        </w:rPr>
        <w:t>”</w:t>
      </w:r>
      <w:r>
        <w:rPr>
          <w:spacing w:val="-1"/>
        </w:rPr>
        <w:t>）</w:t>
      </w:r>
      <w:r>
        <w:rPr>
          <w:w w:val="100"/>
        </w:rPr>
        <w:t> </w:t>
      </w:r>
      <w:r>
        <w:rPr>
          <w:spacing w:val="-1"/>
        </w:rPr>
        <w:t>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2017</w:t>
      </w:r>
      <w:r>
        <w:rPr>
          <w:spacing w:val="-1"/>
        </w:rPr>
        <w:t>年度的合</w:t>
      </w:r>
      <w:r>
        <w:rPr>
          <w:spacing w:val="-110"/>
        </w:rPr>
        <w:t> </w:t>
      </w:r>
      <w:r>
        <w:rPr>
          <w:spacing w:val="-110"/>
        </w:rPr>
      </w:r>
      <w:r>
        <w:rPr>
          <w:spacing w:val="-2"/>
        </w:rPr>
        <w:t>并及母公司利润表、合并及母公司现金流量表、合并及母公司股东权益变动</w:t>
      </w:r>
      <w:r>
        <w:rPr>
          <w:spacing w:val="-84"/>
        </w:rPr>
        <w:t> </w:t>
      </w:r>
      <w:r>
        <w:rPr>
          <w:spacing w:val="-84"/>
        </w:rPr>
      </w:r>
      <w:r>
        <w:rPr/>
        <w:t>表以及相关财务报表附注。</w:t>
      </w:r>
    </w:p>
    <w:p>
      <w:pPr>
        <w:pStyle w:val="Heading3"/>
        <w:spacing w:line="398" w:lineRule="auto" w:before="78"/>
        <w:ind w:left="513" w:right="185"/>
        <w:jc w:val="both"/>
      </w:pPr>
      <w:r>
        <w:rPr>
          <w:spacing w:val="-1"/>
        </w:rPr>
        <w:t>我们认为，后附的财务报表在所有重大方面按照企业会计准则的规定编</w:t>
      </w:r>
      <w:r>
        <w:rPr>
          <w:w w:val="100"/>
        </w:rPr>
        <w:t> </w:t>
      </w:r>
      <w:r>
        <w:rPr>
          <w:spacing w:val="-1"/>
        </w:rPr>
        <w:t>制，公允反映了建科院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日的合并及母公司财务状况以及</w:t>
      </w:r>
      <w:r>
        <w:rPr>
          <w:rFonts w:ascii="Times New Roman" w:hAnsi="Times New Roman" w:cs="Times New Roman" w:eastAsia="Times New Roman" w:hint="default"/>
          <w:spacing w:val="-1"/>
        </w:rPr>
        <w:t>2017</w:t>
      </w:r>
      <w:r>
        <w:rPr>
          <w:spacing w:val="-1"/>
        </w:rPr>
        <w:t>年</w:t>
      </w:r>
      <w:r>
        <w:rPr>
          <w:spacing w:val="-115"/>
        </w:rPr>
        <w:t> </w:t>
      </w:r>
      <w:r>
        <w:rPr/>
        <w:t>度的合并及母公司经营成果和现金流量。</w:t>
      </w:r>
    </w:p>
    <w:p>
      <w:pPr>
        <w:spacing w:after="0" w:line="39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413" w:lineRule="exact"/>
        <w:ind w:left="573" w:right="0"/>
        <w:jc w:val="left"/>
        <w:rPr>
          <w:b w:val="0"/>
          <w:bCs w:val="0"/>
        </w:rPr>
      </w:pPr>
      <w:r>
        <w:rPr>
          <w:rFonts w:ascii="Trebuchet MS" w:hAnsi="Trebuchet MS" w:cs="Trebuchet MS" w:eastAsia="Trebuchet MS" w:hint="default"/>
        </w:rPr>
        <w:t>1.</w:t>
      </w:r>
      <w:r>
        <w:rPr>
          <w:rFonts w:ascii="Trebuchet MS" w:hAnsi="Trebuchet MS" w:cs="Trebuchet MS" w:eastAsia="Trebuchet MS" w:hint="default"/>
          <w:spacing w:val="17"/>
        </w:rPr>
        <w:t> </w:t>
      </w:r>
      <w:r>
        <w:rPr/>
        <w:t>形成审计意见的基础</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4"/>
        <w:rPr>
          <w:rFonts w:ascii="Microsoft JhengHei" w:hAnsi="Microsoft JhengHei" w:cs="Microsoft JhengHei" w:eastAsia="Microsoft JhengHei" w:hint="default"/>
          <w:b/>
          <w:bCs/>
          <w:sz w:val="20"/>
          <w:szCs w:val="20"/>
        </w:rPr>
      </w:pPr>
    </w:p>
    <w:p>
      <w:pPr>
        <w:pStyle w:val="Heading3"/>
        <w:spacing w:line="403" w:lineRule="auto"/>
        <w:ind w:left="513" w:right="185"/>
        <w:jc w:val="both"/>
      </w:pPr>
      <w:r>
        <w:rPr>
          <w:spacing w:val="-1"/>
        </w:rPr>
        <w:t>我们按照中国注册会计师审计准则的规定执行了审计工作。审计报告的</w:t>
      </w:r>
      <w:r>
        <w:rPr>
          <w:w w:val="100"/>
        </w:rPr>
        <w:t> </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部分进一步阐述了我们在这些准则下的</w:t>
      </w:r>
      <w:r>
        <w:rPr>
          <w:w w:val="100"/>
        </w:rPr>
        <w:t> </w:t>
      </w:r>
      <w:r>
        <w:rPr>
          <w:spacing w:val="-2"/>
        </w:rPr>
        <w:t>责任。按照中国注册会计师职业道德守则，我们独立于建科院，并履行了职</w:t>
      </w:r>
      <w:r>
        <w:rPr>
          <w:spacing w:val="-84"/>
        </w:rPr>
        <w:t> </w:t>
      </w:r>
      <w:r>
        <w:rPr>
          <w:spacing w:val="-84"/>
        </w:rPr>
      </w:r>
      <w:r>
        <w:rPr>
          <w:spacing w:val="-2"/>
        </w:rPr>
        <w:t>业道德方面的其他责任。我们相信，我们获取的审计证据是充分、适当的，</w:t>
      </w:r>
      <w:r>
        <w:rPr>
          <w:spacing w:val="-84"/>
        </w:rPr>
        <w:t> </w:t>
      </w:r>
      <w:r>
        <w:rPr>
          <w:spacing w:val="-84"/>
        </w:rPr>
      </w:r>
      <w:r>
        <w:rPr/>
        <w:t>为发表审计意见提供了基础。</w:t>
      </w:r>
    </w:p>
    <w:p>
      <w:pPr>
        <w:spacing w:line="1248" w:lineRule="exact" w:before="20"/>
        <w:ind w:left="719" w:right="0" w:hanging="507"/>
        <w:jc w:val="left"/>
        <w:rPr>
          <w:rFonts w:ascii="宋体" w:hAnsi="宋体" w:cs="宋体" w:eastAsia="宋体" w:hint="default"/>
          <w:sz w:val="28"/>
          <w:szCs w:val="28"/>
        </w:rPr>
      </w:pPr>
      <w:r>
        <w:rPr>
          <w:rFonts w:ascii="Trebuchet MS" w:hAnsi="Trebuchet MS" w:cs="Trebuchet MS" w:eastAsia="Trebuchet MS" w:hint="default"/>
          <w:b/>
          <w:bCs/>
          <w:sz w:val="28"/>
          <w:szCs w:val="28"/>
        </w:rPr>
        <w:t>1. </w:t>
      </w: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b/>
          <w:bCs/>
          <w:spacing w:val="-56"/>
          <w:sz w:val="28"/>
          <w:szCs w:val="28"/>
        </w:rPr>
        <w:t> </w:t>
      </w:r>
      <w:r>
        <w:rPr>
          <w:rFonts w:ascii="Microsoft JhengHei" w:hAnsi="Microsoft JhengHei" w:cs="Microsoft JhengHei" w:eastAsia="Microsoft JhengHei" w:hint="default"/>
          <w:b/>
          <w:bCs/>
          <w:spacing w:val="-56"/>
          <w:sz w:val="28"/>
          <w:szCs w:val="28"/>
        </w:rPr>
      </w:r>
      <w:r>
        <w:rPr>
          <w:rFonts w:ascii="宋体" w:hAnsi="宋体" w:cs="宋体" w:eastAsia="宋体" w:hint="default"/>
          <w:spacing w:val="-1"/>
          <w:sz w:val="28"/>
          <w:szCs w:val="28"/>
        </w:rPr>
        <w:t>关键审计事项是我们根据职业判断，认为对本期财务报表审计最为重要的</w:t>
      </w:r>
    </w:p>
    <w:p>
      <w:pPr>
        <w:pStyle w:val="Heading3"/>
        <w:spacing w:line="408" w:lineRule="auto" w:before="47"/>
        <w:ind w:right="0" w:firstLine="0"/>
        <w:jc w:val="left"/>
      </w:pPr>
      <w:r>
        <w:rPr>
          <w:spacing w:val="-2"/>
        </w:rPr>
        <w:t>事项。这些事项的应对以对财务报表整体进行审计并形成审计意见为背景，我</w:t>
      </w:r>
      <w:r>
        <w:rPr>
          <w:spacing w:val="-81"/>
        </w:rPr>
        <w:t> </w:t>
      </w:r>
      <w:r>
        <w:rPr>
          <w:spacing w:val="-81"/>
        </w:rPr>
      </w:r>
      <w:r>
        <w:rPr/>
        <w:t>们不对这些事项单独发表意见。</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5"/>
          <w:szCs w:val="35"/>
        </w:rPr>
      </w:pPr>
    </w:p>
    <w:p>
      <w:pPr>
        <w:pStyle w:val="Heading3"/>
        <w:spacing w:line="240" w:lineRule="auto"/>
        <w:ind w:left="719" w:right="0" w:firstLine="0"/>
        <w:jc w:val="left"/>
      </w:pPr>
      <w:r>
        <w:rPr/>
        <w:t>我们确定下列事项是需要在审计报告中沟通的关键审计事项。</w:t>
      </w:r>
    </w:p>
    <w:p>
      <w:pPr>
        <w:spacing w:line="240" w:lineRule="auto" w:before="2"/>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4153"/>
        <w:gridCol w:w="4071"/>
      </w:tblGrid>
      <w:tr>
        <w:trPr>
          <w:trHeight w:val="661"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226"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sz w:val="28"/>
                <w:szCs w:val="28"/>
              </w:rPr>
            </w:r>
          </w:p>
        </w:tc>
        <w:tc>
          <w:tcPr>
            <w:tcW w:w="4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01"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该事项在审计中是如何应对的</w:t>
            </w:r>
            <w:r>
              <w:rPr>
                <w:rFonts w:ascii="Microsoft JhengHei" w:hAnsi="Microsoft JhengHei" w:cs="Microsoft JhengHei" w:eastAsia="Microsoft JhengHei" w:hint="default"/>
                <w:sz w:val="28"/>
                <w:szCs w:val="28"/>
              </w:rPr>
            </w:r>
          </w:p>
        </w:tc>
      </w:tr>
      <w:tr>
        <w:trPr>
          <w:trHeight w:val="658"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、应收账款坏账准备</w:t>
            </w:r>
          </w:p>
        </w:tc>
      </w:tr>
      <w:tr>
        <w:trPr>
          <w:trHeight w:val="1284"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left"/>
              <w:rPr>
                <w:rFonts w:ascii="宋体" w:hAnsi="宋体" w:cs="宋体" w:eastAsia="宋体" w:hint="default"/>
                <w:sz w:val="28"/>
                <w:szCs w:val="28"/>
              </w:rPr>
            </w:pPr>
            <w:r>
              <w:rPr>
                <w:rFonts w:ascii="宋体" w:hAnsi="宋体" w:cs="宋体" w:eastAsia="宋体" w:hint="default"/>
                <w:w w:val="100"/>
                <w:sz w:val="28"/>
                <w:szCs w:val="28"/>
              </w:rPr>
              <w:t>请参阅</w:t>
            </w:r>
            <w:r>
              <w:rPr>
                <w:rFonts w:ascii="宋体" w:hAnsi="宋体" w:cs="宋体" w:eastAsia="宋体" w:hint="default"/>
                <w:spacing w:val="-3"/>
                <w:w w:val="100"/>
                <w:sz w:val="28"/>
                <w:szCs w:val="28"/>
              </w:rPr>
              <w:t>合</w:t>
            </w:r>
            <w:r>
              <w:rPr>
                <w:rFonts w:ascii="宋体" w:hAnsi="宋体" w:cs="宋体" w:eastAsia="宋体" w:hint="default"/>
                <w:w w:val="100"/>
                <w:sz w:val="28"/>
                <w:szCs w:val="28"/>
              </w:rPr>
              <w:t>并财</w:t>
            </w:r>
            <w:r>
              <w:rPr>
                <w:rFonts w:ascii="宋体" w:hAnsi="宋体" w:cs="宋体" w:eastAsia="宋体" w:hint="default"/>
                <w:spacing w:val="-3"/>
                <w:w w:val="100"/>
                <w:sz w:val="28"/>
                <w:szCs w:val="28"/>
              </w:rPr>
              <w:t>务报</w:t>
            </w:r>
            <w:r>
              <w:rPr>
                <w:rFonts w:ascii="宋体" w:hAnsi="宋体" w:cs="宋体" w:eastAsia="宋体" w:hint="default"/>
                <w:w w:val="100"/>
                <w:sz w:val="28"/>
                <w:szCs w:val="28"/>
              </w:rPr>
              <w:t>表附</w:t>
            </w:r>
            <w:r>
              <w:rPr>
                <w:rFonts w:ascii="宋体" w:hAnsi="宋体" w:cs="宋体" w:eastAsia="宋体" w:hint="default"/>
                <w:spacing w:val="1"/>
                <w:w w:val="100"/>
                <w:sz w:val="28"/>
                <w:szCs w:val="28"/>
              </w:rPr>
              <w:t>注</w:t>
            </w:r>
            <w:r>
              <w:rPr>
                <w:rFonts w:ascii="Times New Roman" w:hAnsi="Times New Roman" w:cs="Times New Roman" w:eastAsia="Times New Roman" w:hint="default"/>
                <w:spacing w:val="-5"/>
                <w:w w:val="100"/>
                <w:sz w:val="28"/>
                <w:szCs w:val="28"/>
              </w:rPr>
              <w:t>“</w:t>
            </w:r>
            <w:r>
              <w:rPr>
                <w:rFonts w:ascii="宋体" w:hAnsi="宋体" w:cs="宋体" w:eastAsia="宋体" w:hint="default"/>
                <w:w w:val="100"/>
                <w:sz w:val="28"/>
                <w:szCs w:val="28"/>
              </w:rPr>
              <w:t>三</w:t>
            </w:r>
            <w:r>
              <w:rPr>
                <w:rFonts w:ascii="宋体" w:hAnsi="宋体" w:cs="宋体" w:eastAsia="宋体" w:hint="default"/>
                <w:spacing w:val="-193"/>
                <w:w w:val="100"/>
                <w:sz w:val="28"/>
                <w:szCs w:val="28"/>
              </w:rPr>
              <w:t>、</w:t>
            </w:r>
            <w:r>
              <w:rPr>
                <w:rFonts w:ascii="宋体" w:hAnsi="宋体" w:cs="宋体" w:eastAsia="宋体" w:hint="default"/>
                <w:w w:val="100"/>
                <w:sz w:val="28"/>
                <w:szCs w:val="28"/>
              </w:rPr>
              <w:t>（十</w:t>
            </w:r>
          </w:p>
          <w:p>
            <w:pPr>
              <w:pStyle w:val="TableParagraph"/>
              <w:spacing w:line="240" w:lineRule="auto" w:before="236"/>
              <w:ind w:left="4" w:right="0"/>
              <w:jc w:val="left"/>
              <w:rPr>
                <w:rFonts w:ascii="宋体" w:hAnsi="宋体" w:cs="宋体" w:eastAsia="宋体" w:hint="default"/>
                <w:sz w:val="28"/>
                <w:szCs w:val="28"/>
              </w:rPr>
            </w:pPr>
            <w:r>
              <w:rPr>
                <w:rFonts w:ascii="宋体" w:hAnsi="宋体" w:cs="宋体" w:eastAsia="宋体" w:hint="default"/>
                <w:sz w:val="28"/>
                <w:szCs w:val="28"/>
              </w:rPr>
              <w:t>一）应收款项</w:t>
            </w:r>
            <w:r>
              <w:rPr>
                <w:rFonts w:ascii="Times New Roman" w:hAnsi="Times New Roman" w:cs="Times New Roman" w:eastAsia="Times New Roman" w:hint="default"/>
                <w:sz w:val="28"/>
                <w:szCs w:val="28"/>
              </w:rPr>
              <w:t>”</w:t>
            </w:r>
            <w:r>
              <w:rPr>
                <w:rFonts w:ascii="宋体" w:hAnsi="宋体" w:cs="宋体" w:eastAsia="宋体" w:hint="default"/>
                <w:sz w:val="28"/>
                <w:szCs w:val="28"/>
              </w:rPr>
              <w:t>所述的会计政策及</w:t>
            </w:r>
          </w:p>
        </w:tc>
        <w:tc>
          <w:tcPr>
            <w:tcW w:w="4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left"/>
              <w:rPr>
                <w:rFonts w:ascii="宋体" w:hAnsi="宋体" w:cs="宋体" w:eastAsia="宋体" w:hint="default"/>
                <w:sz w:val="28"/>
                <w:szCs w:val="28"/>
              </w:rPr>
            </w:pPr>
            <w:r>
              <w:rPr>
                <w:rFonts w:ascii="宋体" w:hAnsi="宋体" w:cs="宋体" w:eastAsia="宋体" w:hint="default"/>
                <w:sz w:val="28"/>
                <w:szCs w:val="28"/>
              </w:rPr>
              <w:t>我们针对应收账款坏账准备执行</w:t>
            </w: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28"/>
                <w:szCs w:val="28"/>
              </w:rPr>
            </w:pPr>
            <w:r>
              <w:rPr>
                <w:rFonts w:ascii="宋体" w:hAnsi="宋体" w:cs="宋体" w:eastAsia="宋体" w:hint="default"/>
                <w:sz w:val="28"/>
                <w:szCs w:val="28"/>
              </w:rPr>
              <w:t>的审计程序主要有：</w:t>
            </w:r>
          </w:p>
        </w:tc>
      </w:tr>
    </w:tbl>
    <w:p>
      <w:pPr>
        <w:spacing w:after="0" w:line="240" w:lineRule="auto"/>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153"/>
        <w:gridCol w:w="4071"/>
      </w:tblGrid>
      <w:tr>
        <w:trPr>
          <w:trHeight w:val="13766"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398" w:lineRule="auto" w:before="95"/>
              <w:ind w:left="4" w:right="-3"/>
              <w:jc w:val="left"/>
              <w:rPr>
                <w:rFonts w:ascii="宋体" w:hAnsi="宋体" w:cs="宋体" w:eastAsia="宋体" w:hint="default"/>
                <w:sz w:val="28"/>
                <w:szCs w:val="28"/>
              </w:rPr>
            </w:pP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五、（三）应收账款</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。截至</w:t>
            </w:r>
            <w:r>
              <w:rPr>
                <w:rFonts w:ascii="Times New Roman" w:hAnsi="Times New Roman" w:cs="Times New Roman" w:eastAsia="Times New Roman" w:hint="default"/>
                <w:spacing w:val="-3"/>
                <w:sz w:val="28"/>
                <w:szCs w:val="28"/>
              </w:rPr>
              <w:t>2017</w:t>
            </w:r>
            <w:r>
              <w:rPr>
                <w:rFonts w:ascii="Times New Roman" w:hAnsi="Times New Roman" w:cs="Times New Roman" w:eastAsia="Times New Roman" w:hint="default"/>
                <w:spacing w:val="-56"/>
                <w:sz w:val="28"/>
                <w:szCs w:val="28"/>
              </w:rPr>
              <w:t> </w:t>
            </w:r>
            <w:r>
              <w:rPr>
                <w:rFonts w:ascii="Times New Roman" w:hAnsi="Times New Roman" w:cs="Times New Roman" w:eastAsia="Times New Roman" w:hint="default"/>
                <w:spacing w:val="-56"/>
                <w:sz w:val="28"/>
                <w:szCs w:val="28"/>
              </w:rPr>
            </w:r>
            <w:r>
              <w:rPr>
                <w:rFonts w:ascii="宋体" w:hAnsi="宋体" w:cs="宋体" w:eastAsia="宋体" w:hint="default"/>
                <w:sz w:val="28"/>
                <w:szCs w:val="28"/>
              </w:rPr>
              <w:t>年</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41"/>
                <w:sz w:val="28"/>
                <w:szCs w:val="28"/>
              </w:rPr>
              <w:t> </w:t>
            </w:r>
            <w:r>
              <w:rPr>
                <w:rFonts w:ascii="宋体" w:hAnsi="宋体" w:cs="宋体" w:eastAsia="宋体" w:hint="default"/>
                <w:sz w:val="28"/>
                <w:szCs w:val="28"/>
              </w:rPr>
              <w:t>月</w:t>
            </w:r>
            <w:r>
              <w:rPr>
                <w:rFonts w:ascii="Times New Roman" w:hAnsi="Times New Roman" w:cs="Times New Roman" w:eastAsia="Times New Roman" w:hint="default"/>
                <w:sz w:val="28"/>
                <w:szCs w:val="28"/>
              </w:rPr>
              <w:t>31</w:t>
            </w:r>
            <w:r>
              <w:rPr>
                <w:rFonts w:ascii="宋体" w:hAnsi="宋体" w:cs="宋体" w:eastAsia="宋体" w:hint="default"/>
                <w:sz w:val="28"/>
                <w:szCs w:val="28"/>
              </w:rPr>
              <w:t>日，建科院应收账款账</w:t>
            </w:r>
            <w:r>
              <w:rPr>
                <w:rFonts w:ascii="宋体" w:hAnsi="宋体" w:cs="宋体" w:eastAsia="宋体" w:hint="default"/>
                <w:w w:val="100"/>
                <w:sz w:val="28"/>
                <w:szCs w:val="28"/>
              </w:rPr>
              <w:t> </w:t>
            </w:r>
            <w:r>
              <w:rPr>
                <w:rFonts w:ascii="宋体" w:hAnsi="宋体" w:cs="宋体" w:eastAsia="宋体" w:hint="default"/>
                <w:spacing w:val="-7"/>
                <w:w w:val="100"/>
                <w:sz w:val="28"/>
                <w:szCs w:val="28"/>
              </w:rPr>
              <w:t>面余额</w:t>
            </w:r>
            <w:r>
              <w:rPr>
                <w:rFonts w:ascii="Times New Roman" w:hAnsi="Times New Roman" w:cs="Times New Roman" w:eastAsia="Times New Roman" w:hint="default"/>
                <w:spacing w:val="-7"/>
                <w:w w:val="100"/>
                <w:sz w:val="28"/>
                <w:szCs w:val="28"/>
              </w:rPr>
              <w:t>236,626,764.93</w:t>
            </w:r>
            <w:r>
              <w:rPr>
                <w:rFonts w:ascii="宋体" w:hAnsi="宋体" w:cs="宋体" w:eastAsia="宋体" w:hint="default"/>
                <w:spacing w:val="-7"/>
                <w:w w:val="100"/>
                <w:sz w:val="28"/>
                <w:szCs w:val="28"/>
              </w:rPr>
              <w:t>元，坏账准备</w:t>
            </w:r>
            <w:r>
              <w:rPr>
                <w:rFonts w:ascii="宋体" w:hAnsi="宋体" w:cs="宋体" w:eastAsia="宋体" w:hint="default"/>
                <w:spacing w:val="-135"/>
                <w:w w:val="100"/>
                <w:sz w:val="28"/>
                <w:szCs w:val="28"/>
              </w:rPr>
              <w:t> </w:t>
            </w:r>
            <w:r>
              <w:rPr>
                <w:rFonts w:ascii="宋体" w:hAnsi="宋体" w:cs="宋体" w:eastAsia="宋体" w:hint="default"/>
                <w:spacing w:val="-135"/>
                <w:w w:val="100"/>
                <w:sz w:val="28"/>
                <w:szCs w:val="28"/>
              </w:rPr>
            </w:r>
            <w:r>
              <w:rPr>
                <w:rFonts w:ascii="宋体" w:hAnsi="宋体" w:cs="宋体" w:eastAsia="宋体" w:hint="default"/>
                <w:sz w:val="28"/>
                <w:szCs w:val="28"/>
              </w:rPr>
              <w:t>为</w:t>
            </w:r>
            <w:r>
              <w:rPr>
                <w:rFonts w:ascii="Times New Roman" w:hAnsi="Times New Roman" w:cs="Times New Roman" w:eastAsia="Times New Roman" w:hint="default"/>
                <w:sz w:val="28"/>
                <w:szCs w:val="28"/>
              </w:rPr>
              <w:t>43,397,098.00</w:t>
            </w:r>
            <w:r>
              <w:rPr>
                <w:rFonts w:ascii="宋体" w:hAnsi="宋体" w:cs="宋体" w:eastAsia="宋体" w:hint="default"/>
                <w:sz w:val="28"/>
                <w:szCs w:val="28"/>
              </w:rPr>
              <w:t>元。由于管理层在</w:t>
            </w:r>
            <w:r>
              <w:rPr>
                <w:rFonts w:ascii="宋体" w:hAnsi="宋体" w:cs="宋体" w:eastAsia="宋体" w:hint="default"/>
                <w:w w:val="100"/>
                <w:sz w:val="28"/>
                <w:szCs w:val="28"/>
              </w:rPr>
              <w:t> </w:t>
            </w:r>
            <w:r>
              <w:rPr>
                <w:rFonts w:ascii="宋体" w:hAnsi="宋体" w:cs="宋体" w:eastAsia="宋体" w:hint="default"/>
                <w:sz w:val="28"/>
                <w:szCs w:val="28"/>
              </w:rPr>
              <w:t>确定应收账款预计可收回金额时</w:t>
            </w:r>
            <w:r>
              <w:rPr>
                <w:rFonts w:ascii="宋体" w:hAnsi="宋体" w:cs="宋体" w:eastAsia="宋体" w:hint="default"/>
                <w:w w:val="100"/>
                <w:sz w:val="28"/>
                <w:szCs w:val="28"/>
              </w:rPr>
              <w:t> </w:t>
            </w:r>
            <w:r>
              <w:rPr>
                <w:rFonts w:ascii="宋体" w:hAnsi="宋体" w:cs="宋体" w:eastAsia="宋体" w:hint="default"/>
                <w:spacing w:val="-6"/>
                <w:sz w:val="28"/>
                <w:szCs w:val="28"/>
              </w:rPr>
              <w:t>需要运用重大会计估计和判断，且</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若应收账款不能按时收回或者无</w:t>
            </w:r>
            <w:r>
              <w:rPr>
                <w:rFonts w:ascii="宋体" w:hAnsi="宋体" w:cs="宋体" w:eastAsia="宋体" w:hint="default"/>
                <w:w w:val="100"/>
                <w:sz w:val="28"/>
                <w:szCs w:val="28"/>
              </w:rPr>
              <w:t> </w:t>
            </w:r>
            <w:r>
              <w:rPr>
                <w:rFonts w:ascii="宋体" w:hAnsi="宋体" w:cs="宋体" w:eastAsia="宋体" w:hint="default"/>
                <w:sz w:val="28"/>
                <w:szCs w:val="28"/>
              </w:rPr>
              <w:t>法收回对财务报表的影响较为重</w:t>
            </w:r>
            <w:r>
              <w:rPr>
                <w:rFonts w:ascii="宋体" w:hAnsi="宋体" w:cs="宋体" w:eastAsia="宋体" w:hint="default"/>
                <w:w w:val="100"/>
                <w:sz w:val="28"/>
                <w:szCs w:val="28"/>
              </w:rPr>
              <w:t> </w:t>
            </w:r>
            <w:r>
              <w:rPr>
                <w:rFonts w:ascii="宋体" w:hAnsi="宋体" w:cs="宋体" w:eastAsia="宋体" w:hint="default"/>
                <w:spacing w:val="-6"/>
                <w:sz w:val="28"/>
                <w:szCs w:val="28"/>
              </w:rPr>
              <w:t>大，因此我们将应收账款坏账准备</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z w:val="28"/>
                <w:szCs w:val="28"/>
              </w:rPr>
              <w:t>识别为关键审计事项。</w:t>
            </w:r>
          </w:p>
        </w:tc>
        <w:tc>
          <w:tcPr>
            <w:tcW w:w="4071" w:type="dxa"/>
            <w:tcBorders>
              <w:top w:val="single" w:sz="6" w:space="0" w:color="000000"/>
              <w:left w:val="single" w:sz="6" w:space="0" w:color="000000"/>
              <w:bottom w:val="single" w:sz="6" w:space="0" w:color="000000"/>
              <w:right w:val="single" w:sz="6" w:space="0" w:color="000000"/>
            </w:tcBorders>
          </w:tcPr>
          <w:p>
            <w:pPr>
              <w:pStyle w:val="TableParagraph"/>
              <w:spacing w:line="398" w:lineRule="auto" w:before="95"/>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）复核管理层对应收账款可收</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回性进行评估的相关考虑及客观</w:t>
            </w:r>
            <w:r>
              <w:rPr>
                <w:rFonts w:ascii="宋体" w:hAnsi="宋体" w:cs="宋体" w:eastAsia="宋体" w:hint="default"/>
                <w:w w:val="100"/>
                <w:sz w:val="28"/>
                <w:szCs w:val="28"/>
              </w:rPr>
              <w:t> </w:t>
            </w:r>
            <w:r>
              <w:rPr>
                <w:rFonts w:ascii="宋体" w:hAnsi="宋体" w:cs="宋体" w:eastAsia="宋体" w:hint="default"/>
                <w:sz w:val="28"/>
                <w:szCs w:val="28"/>
              </w:rPr>
              <w:t>证据；</w:t>
            </w:r>
          </w:p>
          <w:p>
            <w:pPr>
              <w:pStyle w:val="TableParagraph"/>
              <w:spacing w:line="398" w:lineRule="auto" w:before="72"/>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w:t>
            </w:r>
            <w:r>
              <w:rPr>
                <w:rFonts w:ascii="宋体" w:hAnsi="宋体" w:cs="宋体" w:eastAsia="宋体" w:hint="default"/>
                <w:spacing w:val="-2"/>
                <w:sz w:val="28"/>
                <w:szCs w:val="28"/>
              </w:rPr>
              <w:t>）对比同行业上市公司会计政</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策，分析贵公司坏账准备会计政</w:t>
            </w:r>
            <w:r>
              <w:rPr>
                <w:rFonts w:ascii="宋体" w:hAnsi="宋体" w:cs="宋体" w:eastAsia="宋体" w:hint="default"/>
                <w:w w:val="100"/>
                <w:sz w:val="28"/>
                <w:szCs w:val="28"/>
              </w:rPr>
              <w:t> </w:t>
            </w:r>
            <w:r>
              <w:rPr>
                <w:rFonts w:ascii="宋体" w:hAnsi="宋体" w:cs="宋体" w:eastAsia="宋体" w:hint="default"/>
                <w:sz w:val="28"/>
                <w:szCs w:val="28"/>
              </w:rPr>
              <w:t>策的合理性；</w:t>
            </w:r>
          </w:p>
          <w:p>
            <w:pPr>
              <w:pStyle w:val="TableParagraph"/>
              <w:spacing w:line="400" w:lineRule="auto" w:before="73"/>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3</w:t>
            </w:r>
            <w:r>
              <w:rPr>
                <w:rFonts w:ascii="宋体" w:hAnsi="宋体" w:cs="宋体" w:eastAsia="宋体" w:hint="default"/>
                <w:spacing w:val="-2"/>
                <w:sz w:val="28"/>
                <w:szCs w:val="28"/>
              </w:rPr>
              <w:t>）对于单项金额重大的应收账</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款，选取样本复核管理层对预计</w:t>
            </w:r>
            <w:r>
              <w:rPr>
                <w:rFonts w:ascii="宋体" w:hAnsi="宋体" w:cs="宋体" w:eastAsia="宋体" w:hint="default"/>
                <w:w w:val="100"/>
                <w:sz w:val="28"/>
                <w:szCs w:val="28"/>
              </w:rPr>
              <w:t> </w:t>
            </w:r>
            <w:r>
              <w:rPr>
                <w:rFonts w:ascii="宋体" w:hAnsi="宋体" w:cs="宋体" w:eastAsia="宋体" w:hint="default"/>
                <w:sz w:val="28"/>
                <w:szCs w:val="28"/>
              </w:rPr>
              <w:t>未来可获得的现金流量做出评估</w:t>
            </w:r>
            <w:r>
              <w:rPr>
                <w:rFonts w:ascii="宋体" w:hAnsi="宋体" w:cs="宋体" w:eastAsia="宋体" w:hint="default"/>
                <w:w w:val="100"/>
                <w:sz w:val="28"/>
                <w:szCs w:val="28"/>
              </w:rPr>
              <w:t> </w:t>
            </w:r>
            <w:r>
              <w:rPr>
                <w:rFonts w:ascii="宋体" w:hAnsi="宋体" w:cs="宋体" w:eastAsia="宋体" w:hint="default"/>
                <w:sz w:val="28"/>
                <w:szCs w:val="28"/>
              </w:rPr>
              <w:t>的依据；</w:t>
            </w:r>
          </w:p>
          <w:p>
            <w:pPr>
              <w:pStyle w:val="TableParagraph"/>
              <w:spacing w:line="403" w:lineRule="auto" w:before="70"/>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4</w:t>
            </w:r>
            <w:r>
              <w:rPr>
                <w:rFonts w:ascii="宋体" w:hAnsi="宋体" w:cs="宋体" w:eastAsia="宋体" w:hint="default"/>
                <w:spacing w:val="-2"/>
                <w:sz w:val="28"/>
                <w:szCs w:val="28"/>
              </w:rPr>
              <w:t>）对于管理层按照信用风险特</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征组合计提坏账准备的应收账</w:t>
            </w:r>
            <w:r>
              <w:rPr>
                <w:rFonts w:ascii="宋体" w:hAnsi="宋体" w:cs="宋体" w:eastAsia="宋体" w:hint="default"/>
                <w:w w:val="100"/>
                <w:sz w:val="28"/>
                <w:szCs w:val="28"/>
              </w:rPr>
              <w:t> </w:t>
            </w:r>
            <w:r>
              <w:rPr>
                <w:rFonts w:ascii="宋体" w:hAnsi="宋体" w:cs="宋体" w:eastAsia="宋体" w:hint="default"/>
                <w:sz w:val="28"/>
                <w:szCs w:val="28"/>
              </w:rPr>
              <w:t>款，结合信用风险特征及账龄分</w:t>
            </w:r>
            <w:r>
              <w:rPr>
                <w:rFonts w:ascii="宋体" w:hAnsi="宋体" w:cs="宋体" w:eastAsia="宋体" w:hint="default"/>
                <w:w w:val="100"/>
                <w:sz w:val="28"/>
                <w:szCs w:val="28"/>
              </w:rPr>
              <w:t> </w:t>
            </w:r>
            <w:r>
              <w:rPr>
                <w:rFonts w:ascii="宋体" w:hAnsi="宋体" w:cs="宋体" w:eastAsia="宋体" w:hint="default"/>
                <w:sz w:val="28"/>
                <w:szCs w:val="28"/>
              </w:rPr>
              <w:t>析，评价管理层坏账准备计提的</w:t>
            </w:r>
            <w:r>
              <w:rPr>
                <w:rFonts w:ascii="宋体" w:hAnsi="宋体" w:cs="宋体" w:eastAsia="宋体" w:hint="default"/>
                <w:w w:val="100"/>
                <w:sz w:val="28"/>
                <w:szCs w:val="28"/>
              </w:rPr>
              <w:t> </w:t>
            </w:r>
            <w:r>
              <w:rPr>
                <w:rFonts w:ascii="宋体" w:hAnsi="宋体" w:cs="宋体" w:eastAsia="宋体" w:hint="default"/>
                <w:sz w:val="28"/>
                <w:szCs w:val="28"/>
              </w:rPr>
              <w:t>合理性；</w:t>
            </w:r>
          </w:p>
          <w:p>
            <w:pPr>
              <w:pStyle w:val="TableParagraph"/>
              <w:spacing w:line="398" w:lineRule="auto" w:before="67"/>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5</w:t>
            </w:r>
            <w:r>
              <w:rPr>
                <w:rFonts w:ascii="宋体" w:hAnsi="宋体" w:cs="宋体" w:eastAsia="宋体" w:hint="default"/>
                <w:spacing w:val="-2"/>
                <w:sz w:val="28"/>
                <w:szCs w:val="28"/>
              </w:rPr>
              <w:t>）结合期后回款情况检查，评</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价管理层对坏账准备计提的合理</w:t>
            </w:r>
            <w:r>
              <w:rPr>
                <w:rFonts w:ascii="宋体" w:hAnsi="宋体" w:cs="宋体" w:eastAsia="宋体" w:hint="default"/>
                <w:w w:val="100"/>
                <w:sz w:val="28"/>
                <w:szCs w:val="28"/>
              </w:rPr>
              <w:t> </w:t>
            </w:r>
            <w:r>
              <w:rPr>
                <w:rFonts w:ascii="宋体" w:hAnsi="宋体" w:cs="宋体" w:eastAsia="宋体" w:hint="default"/>
                <w:sz w:val="28"/>
                <w:szCs w:val="28"/>
              </w:rPr>
              <w:t>性；</w:t>
            </w:r>
          </w:p>
          <w:p>
            <w:pPr>
              <w:pStyle w:val="TableParagraph"/>
              <w:spacing w:line="400" w:lineRule="auto" w:before="73"/>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6</w:t>
            </w:r>
            <w:r>
              <w:rPr>
                <w:rFonts w:ascii="宋体" w:hAnsi="宋体" w:cs="宋体" w:eastAsia="宋体" w:hint="default"/>
                <w:spacing w:val="-2"/>
                <w:sz w:val="28"/>
                <w:szCs w:val="28"/>
              </w:rPr>
              <w:t>）结合建科院以前年度坏账损</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失的发生情况，分析公司依据其</w:t>
            </w:r>
            <w:r>
              <w:rPr>
                <w:rFonts w:ascii="宋体" w:hAnsi="宋体" w:cs="宋体" w:eastAsia="宋体" w:hint="default"/>
                <w:w w:val="100"/>
                <w:sz w:val="28"/>
                <w:szCs w:val="28"/>
              </w:rPr>
              <w:t> </w:t>
            </w:r>
            <w:r>
              <w:rPr>
                <w:rFonts w:ascii="宋体" w:hAnsi="宋体" w:cs="宋体" w:eastAsia="宋体" w:hint="default"/>
                <w:sz w:val="28"/>
                <w:szCs w:val="28"/>
              </w:rPr>
              <w:t>会计政策计提的坏账准备的充分</w:t>
            </w:r>
            <w:r>
              <w:rPr>
                <w:rFonts w:ascii="宋体" w:hAnsi="宋体" w:cs="宋体" w:eastAsia="宋体" w:hint="default"/>
                <w:w w:val="100"/>
                <w:sz w:val="28"/>
                <w:szCs w:val="28"/>
              </w:rPr>
              <w:t> </w:t>
            </w:r>
            <w:r>
              <w:rPr>
                <w:rFonts w:ascii="宋体" w:hAnsi="宋体" w:cs="宋体" w:eastAsia="宋体" w:hint="default"/>
                <w:sz w:val="28"/>
                <w:szCs w:val="28"/>
              </w:rPr>
              <w:t>性。</w:t>
            </w:r>
          </w:p>
        </w:tc>
      </w:tr>
    </w:tbl>
    <w:p>
      <w:pPr>
        <w:spacing w:after="0" w:line="400" w:lineRule="auto"/>
        <w:jc w:val="left"/>
        <w:rPr>
          <w:rFonts w:ascii="宋体" w:hAnsi="宋体" w:cs="宋体" w:eastAsia="宋体" w:hint="default"/>
          <w:sz w:val="28"/>
          <w:szCs w:val="2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153"/>
        <w:gridCol w:w="4071"/>
      </w:tblGrid>
      <w:tr>
        <w:trPr>
          <w:trHeight w:val="660" w:hRule="exact"/>
        </w:trPr>
        <w:tc>
          <w:tcPr>
            <w:tcW w:w="82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 w:right="0"/>
              <w:jc w:val="left"/>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、收入确认</w:t>
            </w:r>
          </w:p>
        </w:tc>
      </w:tr>
      <w:tr>
        <w:trPr>
          <w:trHeight w:val="11891" w:hRule="exact"/>
        </w:trPr>
        <w:tc>
          <w:tcPr>
            <w:tcW w:w="4153"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95"/>
              <w:ind w:left="4" w:right="-2" w:firstLine="574"/>
              <w:jc w:val="both"/>
              <w:rPr>
                <w:rFonts w:ascii="宋体" w:hAnsi="宋体" w:cs="宋体" w:eastAsia="宋体" w:hint="default"/>
                <w:sz w:val="28"/>
                <w:szCs w:val="28"/>
              </w:rPr>
            </w:pPr>
            <w:r>
              <w:rPr>
                <w:rFonts w:ascii="宋体" w:hAnsi="宋体" w:cs="宋体" w:eastAsia="宋体" w:hint="default"/>
                <w:spacing w:val="-7"/>
                <w:sz w:val="28"/>
                <w:szCs w:val="28"/>
              </w:rPr>
              <w:t>公司主营业务主要分为：建筑</w:t>
            </w:r>
            <w:r>
              <w:rPr>
                <w:rFonts w:ascii="宋体" w:hAnsi="宋体" w:cs="宋体" w:eastAsia="宋体" w:hint="default"/>
                <w:w w:val="100"/>
                <w:sz w:val="28"/>
                <w:szCs w:val="28"/>
              </w:rPr>
              <w:t> </w:t>
            </w:r>
            <w:r>
              <w:rPr>
                <w:rFonts w:ascii="宋体" w:hAnsi="宋体" w:cs="宋体" w:eastAsia="宋体" w:hint="default"/>
                <w:spacing w:val="-6"/>
                <w:sz w:val="28"/>
                <w:szCs w:val="28"/>
              </w:rPr>
              <w:t>设计、绿色建筑咨询、生态城市规</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6"/>
                <w:sz w:val="28"/>
                <w:szCs w:val="28"/>
              </w:rPr>
              <w:t>划及公信业务等服务，如合并财务</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4"/>
                <w:sz w:val="28"/>
                <w:szCs w:val="28"/>
              </w:rPr>
              <w:t>报表附注</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（二十八）营业收入和</w:t>
            </w:r>
            <w:r>
              <w:rPr>
                <w:rFonts w:ascii="宋体" w:hAnsi="宋体" w:cs="宋体" w:eastAsia="宋体" w:hint="default"/>
                <w:spacing w:val="-116"/>
                <w:sz w:val="28"/>
                <w:szCs w:val="28"/>
              </w:rPr>
              <w:t> </w:t>
            </w:r>
            <w:r>
              <w:rPr>
                <w:rFonts w:ascii="宋体" w:hAnsi="宋体" w:cs="宋体" w:eastAsia="宋体" w:hint="default"/>
                <w:spacing w:val="-116"/>
                <w:sz w:val="28"/>
                <w:szCs w:val="28"/>
              </w:rPr>
            </w:r>
            <w:r>
              <w:rPr>
                <w:rFonts w:ascii="宋体" w:hAnsi="宋体" w:cs="宋体" w:eastAsia="宋体" w:hint="default"/>
                <w:spacing w:val="3"/>
                <w:sz w:val="28"/>
                <w:szCs w:val="28"/>
              </w:rPr>
              <w:t>营业成本</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所述，</w:t>
            </w:r>
            <w:r>
              <w:rPr>
                <w:rFonts w:ascii="Times New Roman" w:hAnsi="Times New Roman" w:cs="Times New Roman" w:eastAsia="Times New Roman" w:hint="default"/>
                <w:spacing w:val="3"/>
                <w:sz w:val="28"/>
                <w:szCs w:val="28"/>
              </w:rPr>
              <w:t>2017</w:t>
            </w:r>
            <w:r>
              <w:rPr>
                <w:rFonts w:ascii="宋体" w:hAnsi="宋体" w:cs="宋体" w:eastAsia="宋体" w:hint="default"/>
                <w:spacing w:val="3"/>
                <w:sz w:val="28"/>
                <w:szCs w:val="28"/>
              </w:rPr>
              <w:t>年度合并报</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z w:val="28"/>
                <w:szCs w:val="28"/>
              </w:rPr>
              <w:t>表营业收入</w:t>
            </w:r>
            <w:r>
              <w:rPr>
                <w:rFonts w:ascii="Times New Roman" w:hAnsi="Times New Roman" w:cs="Times New Roman" w:eastAsia="Times New Roman" w:hint="default"/>
                <w:sz w:val="28"/>
                <w:szCs w:val="28"/>
              </w:rPr>
              <w:t>381,831,957.61</w:t>
            </w:r>
            <w:r>
              <w:rPr>
                <w:rFonts w:ascii="宋体" w:hAnsi="宋体" w:cs="宋体" w:eastAsia="宋体" w:hint="default"/>
                <w:sz w:val="28"/>
                <w:szCs w:val="28"/>
              </w:rPr>
              <w:t>元。</w:t>
            </w:r>
          </w:p>
          <w:p>
            <w:pPr>
              <w:pStyle w:val="TableParagraph"/>
              <w:spacing w:line="405" w:lineRule="auto" w:before="28"/>
              <w:ind w:left="4" w:right="-3" w:firstLine="574"/>
              <w:jc w:val="left"/>
              <w:rPr>
                <w:rFonts w:ascii="宋体" w:hAnsi="宋体" w:cs="宋体" w:eastAsia="宋体" w:hint="default"/>
                <w:sz w:val="28"/>
                <w:szCs w:val="28"/>
              </w:rPr>
            </w:pPr>
            <w:r>
              <w:rPr>
                <w:rFonts w:ascii="宋体" w:hAnsi="宋体" w:cs="宋体" w:eastAsia="宋体" w:hint="default"/>
                <w:sz w:val="28"/>
                <w:szCs w:val="28"/>
              </w:rPr>
              <w:t>根据会计政策合并财务报表</w:t>
            </w:r>
            <w:r>
              <w:rPr>
                <w:rFonts w:ascii="宋体" w:hAnsi="宋体" w:cs="宋体" w:eastAsia="宋体" w:hint="default"/>
                <w:w w:val="100"/>
                <w:sz w:val="28"/>
                <w:szCs w:val="28"/>
              </w:rPr>
              <w:t> </w:t>
            </w:r>
            <w:r>
              <w:rPr>
                <w:rFonts w:ascii="宋体" w:hAnsi="宋体" w:cs="宋体" w:eastAsia="宋体" w:hint="default"/>
                <w:spacing w:val="-3"/>
                <w:sz w:val="28"/>
                <w:szCs w:val="28"/>
              </w:rPr>
              <w:t>附注</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三、（二十三）</w:t>
            </w:r>
            <w:r>
              <w:rPr>
                <w:rFonts w:ascii="Times New Roman" w:hAnsi="Times New Roman" w:cs="Times New Roman" w:eastAsia="Times New Roman" w:hint="default"/>
                <w:spacing w:val="-3"/>
                <w:sz w:val="28"/>
                <w:szCs w:val="28"/>
              </w:rPr>
              <w:t>”</w:t>
            </w:r>
            <w:r>
              <w:rPr>
                <w:rFonts w:ascii="宋体" w:hAnsi="宋体" w:cs="宋体" w:eastAsia="宋体" w:hint="default"/>
                <w:spacing w:val="-3"/>
                <w:sz w:val="28"/>
                <w:szCs w:val="28"/>
              </w:rPr>
              <w:t>确认相关收</w:t>
            </w:r>
            <w:r>
              <w:rPr>
                <w:rFonts w:ascii="宋体" w:hAnsi="宋体" w:cs="宋体" w:eastAsia="宋体" w:hint="default"/>
                <w:spacing w:val="-127"/>
                <w:sz w:val="28"/>
                <w:szCs w:val="28"/>
              </w:rPr>
              <w:t> </w:t>
            </w:r>
            <w:r>
              <w:rPr>
                <w:rFonts w:ascii="宋体" w:hAnsi="宋体" w:cs="宋体" w:eastAsia="宋体" w:hint="default"/>
                <w:spacing w:val="-127"/>
                <w:sz w:val="28"/>
                <w:szCs w:val="28"/>
              </w:rPr>
            </w:r>
            <w:r>
              <w:rPr>
                <w:rFonts w:ascii="宋体" w:hAnsi="宋体" w:cs="宋体" w:eastAsia="宋体" w:hint="default"/>
                <w:spacing w:val="-6"/>
                <w:sz w:val="28"/>
                <w:szCs w:val="28"/>
              </w:rPr>
              <w:t>入，在建科院完成各阶段的工作要</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6"/>
                <w:sz w:val="28"/>
                <w:szCs w:val="28"/>
              </w:rPr>
              <w:t>求，且其工作成果得到客户的确认</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6"/>
                <w:sz w:val="28"/>
                <w:szCs w:val="28"/>
              </w:rPr>
              <w:t>或相关第三方的批准，相关经济利</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pacing w:val="-6"/>
                <w:sz w:val="28"/>
                <w:szCs w:val="28"/>
              </w:rPr>
              <w:t>益很可能流入时，根据合同约定的</w:t>
            </w:r>
            <w:r>
              <w:rPr>
                <w:rFonts w:ascii="宋体" w:hAnsi="宋体" w:cs="宋体" w:eastAsia="宋体" w:hint="default"/>
                <w:spacing w:val="-118"/>
                <w:sz w:val="28"/>
                <w:szCs w:val="28"/>
              </w:rPr>
              <w:t> </w:t>
            </w:r>
            <w:r>
              <w:rPr>
                <w:rFonts w:ascii="宋体" w:hAnsi="宋体" w:cs="宋体" w:eastAsia="宋体" w:hint="default"/>
                <w:spacing w:val="-118"/>
                <w:sz w:val="28"/>
                <w:szCs w:val="28"/>
              </w:rPr>
            </w:r>
            <w:r>
              <w:rPr>
                <w:rFonts w:ascii="宋体" w:hAnsi="宋体" w:cs="宋体" w:eastAsia="宋体" w:hint="default"/>
                <w:spacing w:val="-6"/>
                <w:sz w:val="28"/>
                <w:szCs w:val="28"/>
              </w:rPr>
              <w:t>结算款项分阶段确认收入。由于建</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科院可能存在客户提前或者延后</w:t>
            </w:r>
            <w:r>
              <w:rPr>
                <w:rFonts w:ascii="宋体" w:hAnsi="宋体" w:cs="宋体" w:eastAsia="宋体" w:hint="default"/>
                <w:w w:val="100"/>
                <w:sz w:val="28"/>
                <w:szCs w:val="28"/>
              </w:rPr>
              <w:t> </w:t>
            </w:r>
            <w:r>
              <w:rPr>
                <w:rFonts w:ascii="宋体" w:hAnsi="宋体" w:cs="宋体" w:eastAsia="宋体" w:hint="default"/>
                <w:sz w:val="28"/>
                <w:szCs w:val="28"/>
              </w:rPr>
              <w:t>确认交付成果从而使得收入存在</w:t>
            </w:r>
            <w:r>
              <w:rPr>
                <w:rFonts w:ascii="宋体" w:hAnsi="宋体" w:cs="宋体" w:eastAsia="宋体" w:hint="default"/>
                <w:w w:val="100"/>
                <w:sz w:val="28"/>
                <w:szCs w:val="28"/>
              </w:rPr>
              <w:t> </w:t>
            </w:r>
            <w:r>
              <w:rPr>
                <w:rFonts w:ascii="宋体" w:hAnsi="宋体" w:cs="宋体" w:eastAsia="宋体" w:hint="default"/>
                <w:spacing w:val="-6"/>
                <w:sz w:val="28"/>
                <w:szCs w:val="28"/>
              </w:rPr>
              <w:t>未在恰当期间确认的风险。所以我</w:t>
            </w:r>
            <w:r>
              <w:rPr>
                <w:rFonts w:ascii="宋体" w:hAnsi="宋体" w:cs="宋体" w:eastAsia="宋体" w:hint="default"/>
                <w:spacing w:val="-117"/>
                <w:sz w:val="28"/>
                <w:szCs w:val="28"/>
              </w:rPr>
              <w:t> </w:t>
            </w:r>
            <w:r>
              <w:rPr>
                <w:rFonts w:ascii="宋体" w:hAnsi="宋体" w:cs="宋体" w:eastAsia="宋体" w:hint="default"/>
                <w:spacing w:val="-117"/>
                <w:sz w:val="28"/>
                <w:szCs w:val="28"/>
              </w:rPr>
            </w:r>
            <w:r>
              <w:rPr>
                <w:rFonts w:ascii="宋体" w:hAnsi="宋体" w:cs="宋体" w:eastAsia="宋体" w:hint="default"/>
                <w:sz w:val="28"/>
                <w:szCs w:val="28"/>
              </w:rPr>
              <w:t>们将建科院的收入确认识别为关</w:t>
            </w:r>
            <w:r>
              <w:rPr>
                <w:rFonts w:ascii="宋体" w:hAnsi="宋体" w:cs="宋体" w:eastAsia="宋体" w:hint="default"/>
                <w:w w:val="100"/>
                <w:sz w:val="28"/>
                <w:szCs w:val="28"/>
              </w:rPr>
              <w:t> </w:t>
            </w:r>
            <w:r>
              <w:rPr>
                <w:rFonts w:ascii="宋体" w:hAnsi="宋体" w:cs="宋体" w:eastAsia="宋体" w:hint="default"/>
                <w:sz w:val="28"/>
                <w:szCs w:val="28"/>
              </w:rPr>
              <w:t>键审计事项。</w:t>
            </w:r>
          </w:p>
        </w:tc>
        <w:tc>
          <w:tcPr>
            <w:tcW w:w="4071" w:type="dxa"/>
            <w:tcBorders>
              <w:top w:val="single" w:sz="6" w:space="0" w:color="000000"/>
              <w:left w:val="single" w:sz="6" w:space="0" w:color="000000"/>
              <w:bottom w:val="single" w:sz="6" w:space="0" w:color="000000"/>
              <w:right w:val="single" w:sz="6" w:space="0" w:color="000000"/>
            </w:tcBorders>
          </w:tcPr>
          <w:p>
            <w:pPr>
              <w:pStyle w:val="TableParagraph"/>
              <w:spacing w:line="400" w:lineRule="auto" w:before="95"/>
              <w:ind w:left="4" w:right="1"/>
              <w:jc w:val="left"/>
              <w:rPr>
                <w:rFonts w:ascii="宋体" w:hAnsi="宋体" w:cs="宋体" w:eastAsia="宋体" w:hint="default"/>
                <w:sz w:val="28"/>
                <w:szCs w:val="28"/>
              </w:rPr>
            </w:pP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、了解、评估建科院销售与收款</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循环相关的内控控制，并执行控</w:t>
            </w:r>
            <w:r>
              <w:rPr>
                <w:rFonts w:ascii="宋体" w:hAnsi="宋体" w:cs="宋体" w:eastAsia="宋体" w:hint="default"/>
                <w:w w:val="100"/>
                <w:sz w:val="28"/>
                <w:szCs w:val="28"/>
              </w:rPr>
              <w:t> </w:t>
            </w:r>
            <w:r>
              <w:rPr>
                <w:rFonts w:ascii="宋体" w:hAnsi="宋体" w:cs="宋体" w:eastAsia="宋体" w:hint="default"/>
                <w:sz w:val="28"/>
                <w:szCs w:val="28"/>
              </w:rPr>
              <w:t>制测试。</w:t>
            </w:r>
            <w:r>
              <w:rPr>
                <w:rFonts w:ascii="宋体" w:hAnsi="宋体" w:cs="宋体" w:eastAsia="宋体" w:hint="default"/>
                <w:spacing w:val="-137"/>
                <w:sz w:val="28"/>
                <w:szCs w:val="28"/>
              </w:rPr>
              <w:t> </w:t>
            </w:r>
            <w:r>
              <w:rPr>
                <w:rFonts w:ascii="Times New Roman" w:hAnsi="Times New Roman" w:cs="Times New Roman" w:eastAsia="Times New Roman" w:hint="default"/>
                <w:sz w:val="28"/>
                <w:szCs w:val="28"/>
              </w:rPr>
              <w:t>2</w:t>
            </w:r>
            <w:r>
              <w:rPr>
                <w:rFonts w:ascii="宋体" w:hAnsi="宋体" w:cs="宋体" w:eastAsia="宋体" w:hint="default"/>
                <w:sz w:val="28"/>
                <w:szCs w:val="28"/>
              </w:rPr>
              <w:t>、执行足够的实质性程序：</w:t>
            </w:r>
          </w:p>
          <w:p>
            <w:pPr>
              <w:pStyle w:val="TableParagraph"/>
              <w:spacing w:line="400" w:lineRule="auto" w:before="28"/>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）了解建科院的经营模式，检</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查与主要客户签订的合同，评价</w:t>
            </w:r>
            <w:r>
              <w:rPr>
                <w:rFonts w:ascii="宋体" w:hAnsi="宋体" w:cs="宋体" w:eastAsia="宋体" w:hint="default"/>
                <w:w w:val="100"/>
                <w:sz w:val="28"/>
                <w:szCs w:val="28"/>
              </w:rPr>
              <w:t> </w:t>
            </w:r>
            <w:r>
              <w:rPr>
                <w:rFonts w:ascii="宋体" w:hAnsi="宋体" w:cs="宋体" w:eastAsia="宋体" w:hint="default"/>
                <w:sz w:val="28"/>
                <w:szCs w:val="28"/>
              </w:rPr>
              <w:t>建科院收入确认是否符合会计准</w:t>
            </w:r>
            <w:r>
              <w:rPr>
                <w:rFonts w:ascii="宋体" w:hAnsi="宋体" w:cs="宋体" w:eastAsia="宋体" w:hint="default"/>
                <w:w w:val="100"/>
                <w:sz w:val="28"/>
                <w:szCs w:val="28"/>
              </w:rPr>
              <w:t> </w:t>
            </w:r>
            <w:r>
              <w:rPr>
                <w:rFonts w:ascii="宋体" w:hAnsi="宋体" w:cs="宋体" w:eastAsia="宋体" w:hint="default"/>
                <w:sz w:val="28"/>
                <w:szCs w:val="28"/>
              </w:rPr>
              <w:t>则的要求；</w:t>
            </w:r>
          </w:p>
          <w:p>
            <w:pPr>
              <w:pStyle w:val="TableParagraph"/>
              <w:spacing w:line="403" w:lineRule="auto" w:before="70"/>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2</w:t>
            </w:r>
            <w:r>
              <w:rPr>
                <w:rFonts w:ascii="宋体" w:hAnsi="宋体" w:cs="宋体" w:eastAsia="宋体" w:hint="default"/>
                <w:spacing w:val="-2"/>
                <w:sz w:val="28"/>
                <w:szCs w:val="28"/>
              </w:rPr>
              <w:t>）抽查合同、建科院向委托方</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提交阶段项目成果的确认单据、</w:t>
            </w:r>
            <w:r>
              <w:rPr>
                <w:rFonts w:ascii="宋体" w:hAnsi="宋体" w:cs="宋体" w:eastAsia="宋体" w:hint="default"/>
                <w:w w:val="100"/>
                <w:sz w:val="28"/>
                <w:szCs w:val="28"/>
              </w:rPr>
              <w:t> </w:t>
            </w:r>
            <w:r>
              <w:rPr>
                <w:rFonts w:ascii="宋体" w:hAnsi="宋体" w:cs="宋体" w:eastAsia="宋体" w:hint="default"/>
                <w:sz w:val="28"/>
                <w:szCs w:val="28"/>
              </w:rPr>
              <w:t>政府有关部门的批复文件、结算</w:t>
            </w:r>
            <w:r>
              <w:rPr>
                <w:rFonts w:ascii="宋体" w:hAnsi="宋体" w:cs="宋体" w:eastAsia="宋体" w:hint="default"/>
                <w:w w:val="100"/>
                <w:sz w:val="28"/>
                <w:szCs w:val="28"/>
              </w:rPr>
              <w:t> </w:t>
            </w:r>
            <w:r>
              <w:rPr>
                <w:rFonts w:ascii="宋体" w:hAnsi="宋体" w:cs="宋体" w:eastAsia="宋体" w:hint="default"/>
                <w:sz w:val="28"/>
                <w:szCs w:val="28"/>
              </w:rPr>
              <w:t>单等相关证据，对建科院确认收</w:t>
            </w:r>
            <w:r>
              <w:rPr>
                <w:rFonts w:ascii="宋体" w:hAnsi="宋体" w:cs="宋体" w:eastAsia="宋体" w:hint="default"/>
                <w:w w:val="100"/>
                <w:sz w:val="28"/>
                <w:szCs w:val="28"/>
              </w:rPr>
              <w:t> </w:t>
            </w:r>
            <w:r>
              <w:rPr>
                <w:rFonts w:ascii="宋体" w:hAnsi="宋体" w:cs="宋体" w:eastAsia="宋体" w:hint="default"/>
                <w:sz w:val="28"/>
                <w:szCs w:val="28"/>
              </w:rPr>
              <w:t>入的计算过程执行重新计算；</w:t>
            </w:r>
          </w:p>
          <w:p>
            <w:pPr>
              <w:pStyle w:val="TableParagraph"/>
              <w:spacing w:line="398" w:lineRule="auto" w:before="67"/>
              <w:ind w:left="4" w:right="1"/>
              <w:jc w:val="left"/>
              <w:rPr>
                <w:rFonts w:ascii="宋体" w:hAnsi="宋体" w:cs="宋体" w:eastAsia="宋体" w:hint="default"/>
                <w:sz w:val="28"/>
                <w:szCs w:val="28"/>
              </w:rPr>
            </w:pPr>
            <w:r>
              <w:rPr>
                <w:rFonts w:ascii="宋体" w:hAnsi="宋体" w:cs="宋体" w:eastAsia="宋体" w:hint="default"/>
                <w:spacing w:val="-2"/>
                <w:sz w:val="28"/>
                <w:szCs w:val="28"/>
              </w:rPr>
              <w:t>（</w:t>
            </w:r>
            <w:r>
              <w:rPr>
                <w:rFonts w:ascii="Times New Roman" w:hAnsi="Times New Roman" w:cs="Times New Roman" w:eastAsia="Times New Roman" w:hint="default"/>
                <w:spacing w:val="-2"/>
                <w:sz w:val="28"/>
                <w:szCs w:val="28"/>
              </w:rPr>
              <w:t>3</w:t>
            </w:r>
            <w:r>
              <w:rPr>
                <w:rFonts w:ascii="宋体" w:hAnsi="宋体" w:cs="宋体" w:eastAsia="宋体" w:hint="default"/>
                <w:spacing w:val="-2"/>
                <w:sz w:val="28"/>
                <w:szCs w:val="28"/>
              </w:rPr>
              <w:t>）、对重要的收入执行函证程</w:t>
            </w:r>
            <w:r>
              <w:rPr>
                <w:rFonts w:ascii="宋体" w:hAnsi="宋体" w:cs="宋体" w:eastAsia="宋体" w:hint="default"/>
                <w:spacing w:val="-123"/>
                <w:sz w:val="28"/>
                <w:szCs w:val="28"/>
              </w:rPr>
              <w:t> </w:t>
            </w:r>
            <w:r>
              <w:rPr>
                <w:rFonts w:ascii="宋体" w:hAnsi="宋体" w:cs="宋体" w:eastAsia="宋体" w:hint="default"/>
                <w:spacing w:val="-123"/>
                <w:sz w:val="28"/>
                <w:szCs w:val="28"/>
              </w:rPr>
            </w:r>
            <w:r>
              <w:rPr>
                <w:rFonts w:ascii="宋体" w:hAnsi="宋体" w:cs="宋体" w:eastAsia="宋体" w:hint="default"/>
                <w:sz w:val="28"/>
                <w:szCs w:val="28"/>
              </w:rPr>
              <w:t>序，取得委托方对项目阶段完成</w:t>
            </w:r>
            <w:r>
              <w:rPr>
                <w:rFonts w:ascii="宋体" w:hAnsi="宋体" w:cs="宋体" w:eastAsia="宋体" w:hint="default"/>
                <w:w w:val="100"/>
                <w:sz w:val="28"/>
                <w:szCs w:val="28"/>
              </w:rPr>
              <w:t> </w:t>
            </w:r>
            <w:r>
              <w:rPr>
                <w:rFonts w:ascii="宋体" w:hAnsi="宋体" w:cs="宋体" w:eastAsia="宋体" w:hint="default"/>
                <w:sz w:val="28"/>
                <w:szCs w:val="28"/>
              </w:rPr>
              <w:t>情况的确认；</w:t>
            </w:r>
          </w:p>
          <w:p>
            <w:pPr>
              <w:pStyle w:val="TableParagraph"/>
              <w:spacing w:line="398" w:lineRule="auto" w:before="72"/>
              <w:ind w:left="4" w:right="-11"/>
              <w:jc w:val="left"/>
              <w:rPr>
                <w:rFonts w:ascii="宋体" w:hAnsi="宋体" w:cs="宋体" w:eastAsia="宋体" w:hint="default"/>
                <w:sz w:val="28"/>
                <w:szCs w:val="28"/>
              </w:rPr>
            </w:pPr>
            <w:r>
              <w:rPr>
                <w:rFonts w:ascii="宋体" w:hAnsi="宋体" w:cs="宋体" w:eastAsia="宋体" w:hint="default"/>
                <w:sz w:val="28"/>
                <w:szCs w:val="28"/>
              </w:rPr>
              <w:t>（</w:t>
            </w:r>
            <w:r>
              <w:rPr>
                <w:rFonts w:ascii="Times New Roman" w:hAnsi="Times New Roman" w:cs="Times New Roman" w:eastAsia="Times New Roman" w:hint="default"/>
                <w:sz w:val="28"/>
                <w:szCs w:val="28"/>
              </w:rPr>
              <w:t>4</w:t>
            </w:r>
            <w:r>
              <w:rPr>
                <w:rFonts w:ascii="宋体" w:hAnsi="宋体" w:cs="宋体" w:eastAsia="宋体" w:hint="default"/>
                <w:sz w:val="28"/>
                <w:szCs w:val="28"/>
              </w:rPr>
              <w:t>）对营业收入执行截止测试，</w:t>
            </w:r>
            <w:r>
              <w:rPr>
                <w:rFonts w:ascii="宋体" w:hAnsi="宋体" w:cs="宋体" w:eastAsia="宋体" w:hint="default"/>
                <w:w w:val="100"/>
                <w:sz w:val="28"/>
                <w:szCs w:val="28"/>
              </w:rPr>
              <w:t> </w:t>
            </w:r>
            <w:r>
              <w:rPr>
                <w:rFonts w:ascii="宋体" w:hAnsi="宋体" w:cs="宋体" w:eastAsia="宋体" w:hint="default"/>
                <w:sz w:val="28"/>
                <w:szCs w:val="28"/>
              </w:rPr>
              <w:t>确认收入确认是否记录在正确的</w:t>
            </w:r>
            <w:r>
              <w:rPr>
                <w:rFonts w:ascii="宋体" w:hAnsi="宋体" w:cs="宋体" w:eastAsia="宋体" w:hint="default"/>
                <w:w w:val="100"/>
                <w:sz w:val="28"/>
                <w:szCs w:val="28"/>
              </w:rPr>
              <w:t> </w:t>
            </w:r>
            <w:r>
              <w:rPr>
                <w:rFonts w:ascii="宋体" w:hAnsi="宋体" w:cs="宋体" w:eastAsia="宋体" w:hint="default"/>
                <w:sz w:val="28"/>
                <w:szCs w:val="28"/>
              </w:rPr>
              <w:t>会计期间。</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Heading2"/>
        <w:spacing w:line="413" w:lineRule="exact"/>
        <w:ind w:left="573" w:right="0"/>
        <w:jc w:val="left"/>
        <w:rPr>
          <w:b w:val="0"/>
          <w:bCs w:val="0"/>
        </w:rPr>
      </w:pPr>
      <w:r>
        <w:rPr>
          <w:rFonts w:ascii="Trebuchet MS" w:hAnsi="Trebuchet MS" w:cs="Trebuchet MS" w:eastAsia="Trebuchet MS" w:hint="default"/>
          <w:w w:val="105"/>
        </w:rPr>
        <w:t>1.</w:t>
      </w:r>
      <w:r>
        <w:rPr>
          <w:rFonts w:ascii="Trebuchet MS" w:hAnsi="Trebuchet MS" w:cs="Trebuchet MS" w:eastAsia="Trebuchet MS" w:hint="default"/>
          <w:spacing w:val="-61"/>
          <w:w w:val="105"/>
        </w:rPr>
        <w:t> </w:t>
      </w:r>
      <w:r>
        <w:rPr>
          <w:w w:val="105"/>
        </w:rPr>
        <w:t>其他信息</w:t>
      </w:r>
      <w:r>
        <w:rPr>
          <w:b w:val="0"/>
          <w:bCs w:val="0"/>
          <w:w w:val="105"/>
        </w:rPr>
      </w:r>
    </w:p>
    <w:p>
      <w:pPr>
        <w:spacing w:after="0" w:line="413" w:lineRule="exact"/>
        <w:jc w:val="left"/>
        <w:sectPr>
          <w:pgSz w:w="11910" w:h="16840"/>
          <w:pgMar w:header="745" w:footer="980"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1"/>
          <w:szCs w:val="21"/>
        </w:rPr>
      </w:pPr>
    </w:p>
    <w:p>
      <w:pPr>
        <w:pStyle w:val="Heading3"/>
        <w:spacing w:line="408" w:lineRule="auto" w:before="14"/>
        <w:ind w:left="513" w:right="0"/>
        <w:jc w:val="left"/>
      </w:pPr>
      <w:r>
        <w:rPr>
          <w:spacing w:val="-1"/>
        </w:rPr>
        <w:t>建科院管理层（以下简称管理层）对其他信息负责。其他信息包括建科</w:t>
      </w:r>
      <w:r>
        <w:rPr>
          <w:w w:val="100"/>
        </w:rPr>
        <w:t> </w:t>
      </w:r>
      <w:r>
        <w:rPr/>
        <w:t>院</w:t>
      </w:r>
      <w:r>
        <w:rPr>
          <w:rFonts w:ascii="Times New Roman" w:hAnsi="Times New Roman" w:cs="Times New Roman" w:eastAsia="Times New Roman" w:hint="default"/>
        </w:rPr>
        <w:t>2017</w:t>
      </w:r>
      <w:r>
        <w:rPr/>
        <w:t>年年度报告中涵盖的信息，但不包括财务报表和我们的审计报告。</w:t>
      </w:r>
    </w:p>
    <w:p>
      <w:pPr>
        <w:pStyle w:val="Heading3"/>
        <w:spacing w:line="408" w:lineRule="auto" w:before="19"/>
        <w:ind w:left="513" w:right="0"/>
        <w:jc w:val="left"/>
      </w:pPr>
      <w:r>
        <w:rPr>
          <w:spacing w:val="-1"/>
        </w:rPr>
        <w:t>我们对财务报表发表的审计意见不涵盖其他信息，我们也不对其他信息</w:t>
      </w:r>
      <w:r>
        <w:rPr>
          <w:w w:val="100"/>
        </w:rPr>
        <w:t> </w:t>
      </w:r>
      <w:r>
        <w:rPr/>
        <w:t>发表任何形式的鉴证结论。</w:t>
      </w:r>
    </w:p>
    <w:p>
      <w:pPr>
        <w:pStyle w:val="Heading3"/>
        <w:spacing w:line="408" w:lineRule="auto" w:before="61"/>
        <w:ind w:left="513" w:right="0"/>
        <w:jc w:val="left"/>
      </w:pPr>
      <w:r>
        <w:rPr>
          <w:spacing w:val="-5"/>
        </w:rPr>
        <w:t>结合我们对财务报表的审计，我们的责任是阅读其他信息，在此过程中，</w:t>
      </w:r>
      <w:r>
        <w:rPr>
          <w:w w:val="100"/>
        </w:rPr>
        <w:t> </w:t>
      </w:r>
      <w:r>
        <w:rPr/>
        <w:t>考虑其他信息是否与财务报表或我们在审计过程中了解到的情况存在重大不</w:t>
      </w:r>
      <w:r>
        <w:rPr>
          <w:w w:val="100"/>
        </w:rPr>
        <w:t> </w:t>
      </w:r>
      <w:r>
        <w:rPr/>
        <w:t>一致或者似乎存在重大错报。</w:t>
      </w:r>
    </w:p>
    <w:p>
      <w:pPr>
        <w:pStyle w:val="Heading3"/>
        <w:spacing w:line="408" w:lineRule="auto" w:before="61"/>
        <w:ind w:left="513" w:right="0"/>
        <w:jc w:val="left"/>
      </w:pPr>
      <w:r>
        <w:rPr>
          <w:spacing w:val="-1"/>
        </w:rPr>
        <w:t>基于我们已执行的工作，如果我们确定其他信息存在重大错报，我们应</w:t>
      </w:r>
      <w:r>
        <w:rPr>
          <w:w w:val="100"/>
        </w:rPr>
        <w:t> </w:t>
      </w:r>
      <w:r>
        <w:rPr/>
        <w:t>当报告该事实。在这方面，我们无任何事项需要报告。</w:t>
      </w:r>
    </w:p>
    <w:p>
      <w:pPr>
        <w:spacing w:line="1248" w:lineRule="exact" w:before="14"/>
        <w:ind w:left="1079" w:right="0" w:hanging="507"/>
        <w:jc w:val="left"/>
        <w:rPr>
          <w:rFonts w:ascii="宋体" w:hAnsi="宋体" w:cs="宋体" w:eastAsia="宋体" w:hint="default"/>
          <w:sz w:val="28"/>
          <w:szCs w:val="28"/>
        </w:rPr>
      </w:pPr>
      <w:r>
        <w:rPr>
          <w:rFonts w:ascii="Trebuchet MS" w:hAnsi="Trebuchet MS" w:cs="Trebuchet MS" w:eastAsia="Trebuchet MS" w:hint="default"/>
          <w:b/>
          <w:bCs/>
          <w:sz w:val="28"/>
          <w:szCs w:val="28"/>
        </w:rPr>
        <w:t>1. </w:t>
      </w:r>
      <w:r>
        <w:rPr>
          <w:rFonts w:ascii="Microsoft JhengHei" w:hAnsi="Microsoft JhengHei" w:cs="Microsoft JhengHei" w:eastAsia="Microsoft JhengHei" w:hint="default"/>
          <w:b/>
          <w:bCs/>
          <w:sz w:val="28"/>
          <w:szCs w:val="28"/>
        </w:rPr>
        <w:t>管理层和治理层对财务报表的责任</w:t>
      </w:r>
      <w:r>
        <w:rPr>
          <w:rFonts w:ascii="Microsoft JhengHei" w:hAnsi="Microsoft JhengHei" w:cs="Microsoft JhengHei" w:eastAsia="Microsoft JhengHei" w:hint="default"/>
          <w:b/>
          <w:bCs/>
          <w:spacing w:val="-47"/>
          <w:sz w:val="28"/>
          <w:szCs w:val="28"/>
        </w:rPr>
        <w:t> </w:t>
      </w:r>
      <w:r>
        <w:rPr>
          <w:rFonts w:ascii="Microsoft JhengHei" w:hAnsi="Microsoft JhengHei" w:cs="Microsoft JhengHei" w:eastAsia="Microsoft JhengHei" w:hint="default"/>
          <w:b/>
          <w:bCs/>
          <w:spacing w:val="-47"/>
          <w:sz w:val="28"/>
          <w:szCs w:val="28"/>
        </w:rPr>
      </w:r>
      <w:r>
        <w:rPr>
          <w:rFonts w:ascii="宋体" w:hAnsi="宋体" w:cs="宋体" w:eastAsia="宋体" w:hint="default"/>
          <w:spacing w:val="-5"/>
          <w:sz w:val="28"/>
          <w:szCs w:val="28"/>
        </w:rPr>
        <w:t>管理层负责按照企业会计准则的规定编制财务报表，使其实现公允反映，</w:t>
      </w:r>
    </w:p>
    <w:p>
      <w:pPr>
        <w:pStyle w:val="Heading3"/>
        <w:spacing w:line="408" w:lineRule="auto" w:before="47"/>
        <w:ind w:left="513" w:right="0" w:firstLine="0"/>
        <w:jc w:val="left"/>
      </w:pPr>
      <w:r>
        <w:rPr>
          <w:spacing w:val="-2"/>
        </w:rPr>
        <w:t>并设计、执行和维护必要的内部控制，以使财务报表不存在由于舞弊或错误</w:t>
      </w:r>
      <w:r>
        <w:rPr>
          <w:spacing w:val="-84"/>
        </w:rPr>
        <w:t> </w:t>
      </w:r>
      <w:r>
        <w:rPr>
          <w:spacing w:val="-84"/>
        </w:rPr>
      </w:r>
      <w:r>
        <w:rPr/>
        <w:t>导致的重大错报。</w:t>
      </w:r>
    </w:p>
    <w:p>
      <w:pPr>
        <w:pStyle w:val="Heading3"/>
        <w:spacing w:line="408" w:lineRule="auto" w:before="61"/>
        <w:ind w:left="513" w:right="285"/>
        <w:jc w:val="both"/>
      </w:pPr>
      <w:r>
        <w:rPr>
          <w:spacing w:val="-1"/>
        </w:rPr>
        <w:t>在编制财务报表时，管理层负责评估建科院的持续经营能力，披露与持</w:t>
      </w:r>
      <w:r>
        <w:rPr>
          <w:w w:val="100"/>
        </w:rPr>
        <w:t> </w:t>
      </w:r>
      <w:r>
        <w:rPr>
          <w:spacing w:val="-2"/>
        </w:rPr>
        <w:t>续经营相关的事项（如适用），并运用持续经营假设，除非计划进行清算、</w:t>
      </w:r>
      <w:r>
        <w:rPr>
          <w:spacing w:val="-84"/>
        </w:rPr>
        <w:t> </w:t>
      </w:r>
      <w:r>
        <w:rPr>
          <w:spacing w:val="-84"/>
        </w:rPr>
      </w:r>
      <w:r>
        <w:rPr/>
        <w:t>终止运营或别无其他现实的选择。</w:t>
      </w:r>
    </w:p>
    <w:p>
      <w:pPr>
        <w:pStyle w:val="Heading3"/>
        <w:spacing w:line="240" w:lineRule="auto" w:before="61"/>
        <w:ind w:left="1079" w:right="0" w:firstLine="0"/>
        <w:jc w:val="left"/>
      </w:pPr>
      <w:r>
        <w:rPr/>
        <w:t>治理层负责监督建科院的财务报告过程。</w:t>
      </w: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32"/>
          <w:szCs w:val="32"/>
        </w:rPr>
      </w:pPr>
    </w:p>
    <w:p>
      <w:pPr>
        <w:pStyle w:val="Heading2"/>
        <w:spacing w:line="240" w:lineRule="auto"/>
        <w:ind w:left="213" w:right="0"/>
        <w:jc w:val="left"/>
        <w:rPr>
          <w:b w:val="0"/>
          <w:bCs w:val="0"/>
        </w:rPr>
      </w:pPr>
      <w:r>
        <w:rPr>
          <w:rFonts w:ascii="Trebuchet MS" w:hAnsi="Trebuchet MS" w:cs="Trebuchet MS" w:eastAsia="Trebuchet MS" w:hint="default"/>
        </w:rPr>
        <w:t>1.</w:t>
      </w:r>
      <w:r>
        <w:rPr>
          <w:rFonts w:ascii="Trebuchet MS" w:hAnsi="Trebuchet MS" w:cs="Trebuchet MS" w:eastAsia="Trebuchet MS" w:hint="default"/>
          <w:spacing w:val="23"/>
        </w:rPr>
        <w:t> </w:t>
      </w:r>
      <w:r>
        <w:rPr/>
        <w:t>注册会计师对财务报表审计的责任</w:t>
      </w:r>
      <w:r>
        <w:rPr>
          <w:b w:val="0"/>
          <w:bCs w:val="0"/>
        </w:rPr>
      </w:r>
    </w:p>
    <w:p>
      <w:pPr>
        <w:spacing w:after="0" w:line="240" w:lineRule="auto"/>
        <w:jc w:val="left"/>
        <w:sectPr>
          <w:footerReference w:type="default" r:id="rId14"/>
          <w:pgSz w:w="11910" w:h="16840"/>
          <w:pgMar w:footer="980" w:header="745" w:top="1060" w:bottom="1160" w:left="980" w:right="8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1"/>
          <w:szCs w:val="21"/>
        </w:rPr>
      </w:pPr>
    </w:p>
    <w:p>
      <w:pPr>
        <w:pStyle w:val="Heading3"/>
        <w:spacing w:line="408" w:lineRule="auto" w:before="14"/>
        <w:ind w:right="266"/>
        <w:jc w:val="both"/>
      </w:pPr>
      <w:r>
        <w:rPr>
          <w:spacing w:val="-2"/>
        </w:rPr>
        <w:t>我们的目标是对财务报表整体是否不存在由于舞弊或错误导致的重大错报</w:t>
      </w:r>
      <w:r>
        <w:rPr>
          <w:w w:val="100"/>
        </w:rPr>
        <w:t> </w:t>
      </w:r>
      <w:r>
        <w:rPr>
          <w:spacing w:val="-2"/>
        </w:rPr>
        <w:t>获取合理保证，并出具包含审计意见的审计报告。合理保证是高水平的保证，</w:t>
      </w:r>
      <w:r>
        <w:rPr>
          <w:spacing w:val="-81"/>
        </w:rPr>
        <w:t> </w:t>
      </w:r>
      <w:r>
        <w:rPr>
          <w:spacing w:val="-81"/>
        </w:rPr>
      </w:r>
      <w:r>
        <w:rPr>
          <w:spacing w:val="-2"/>
        </w:rPr>
        <w:t>但并不能保证按照审计准则执行的审计在某一重大错报存在时总能发现。错报</w:t>
      </w:r>
      <w:r>
        <w:rPr>
          <w:spacing w:val="-81"/>
        </w:rPr>
        <w:t> </w:t>
      </w:r>
      <w:r>
        <w:rPr>
          <w:spacing w:val="-81"/>
        </w:rPr>
      </w:r>
      <w:r>
        <w:rPr>
          <w:spacing w:val="-2"/>
        </w:rPr>
        <w:t>可能由于舞弊或错误导致，如果合理预期错报单独或汇总起来可能影响财务报</w:t>
      </w:r>
      <w:r>
        <w:rPr>
          <w:spacing w:val="-81"/>
        </w:rPr>
        <w:t> </w:t>
      </w:r>
      <w:r>
        <w:rPr>
          <w:spacing w:val="-81"/>
        </w:rPr>
      </w:r>
      <w:r>
        <w:rPr/>
        <w:t>表使用者依据财务报表作出的经济决策，则通常认为错报是重大的。</w:t>
      </w:r>
    </w:p>
    <w:p>
      <w:pPr>
        <w:pStyle w:val="Heading3"/>
        <w:spacing w:line="408" w:lineRule="auto" w:before="62"/>
        <w:ind w:right="0"/>
        <w:jc w:val="left"/>
      </w:pPr>
      <w:r>
        <w:rPr>
          <w:spacing w:val="-2"/>
        </w:rPr>
        <w:t>在按照审计准则执行审计工作的过程中，我们运用职业判断，并保持职业</w:t>
      </w:r>
      <w:r>
        <w:rPr>
          <w:w w:val="100"/>
        </w:rPr>
        <w:t> </w:t>
      </w:r>
      <w:r>
        <w:rPr/>
        <w:t>怀疑。同时，我们也执行以下工作：</w:t>
      </w:r>
    </w:p>
    <w:p>
      <w:pPr>
        <w:pStyle w:val="Heading3"/>
        <w:spacing w:line="403" w:lineRule="auto" w:before="61"/>
        <w:ind w:right="0"/>
        <w:jc w:val="left"/>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w:t>
      </w:r>
      <w:r>
        <w:rPr>
          <w:w w:val="100"/>
        </w:rPr>
        <w:t> </w:t>
      </w:r>
      <w:r>
        <w:rPr/>
        <w:t>施审计程序以应对这些风险，并获取充分、适当的审计证据，作为发表审计意</w:t>
      </w:r>
      <w:r>
        <w:rPr>
          <w:w w:val="100"/>
        </w:rPr>
        <w:t> </w:t>
      </w:r>
      <w:r>
        <w:rPr/>
        <w:t>见的基础。由于舞弊可能涉及串通、伪造、故意遗漏、虚假陈述或凌驾于内部</w:t>
      </w:r>
      <w:r>
        <w:rPr>
          <w:w w:val="100"/>
        </w:rPr>
        <w:t> </w:t>
      </w:r>
      <w:r>
        <w:rPr/>
        <w:t>控制之上，未能发现由于舞弊导致的重大错报的风险高于未能发现由于错误导</w:t>
      </w:r>
      <w:r>
        <w:rPr>
          <w:w w:val="100"/>
        </w:rPr>
        <w:t> </w:t>
      </w:r>
      <w:r>
        <w:rPr/>
        <w:t>致的重大错报的风险。</w:t>
      </w:r>
    </w:p>
    <w:p>
      <w:pPr>
        <w:pStyle w:val="Heading3"/>
        <w:spacing w:line="386" w:lineRule="auto" w:before="67"/>
        <w:ind w:right="0"/>
        <w:jc w:val="left"/>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w:t>
      </w:r>
      <w:r>
        <w:rPr>
          <w:w w:val="100"/>
        </w:rPr>
        <w:t> </w:t>
      </w:r>
      <w:r>
        <w:rPr/>
        <w:t>内部控制的有效性发表意见。</w:t>
      </w:r>
    </w:p>
    <w:p>
      <w:pPr>
        <w:pStyle w:val="Heading3"/>
        <w:spacing w:line="240" w:lineRule="auto" w:before="86"/>
        <w:ind w:left="719" w:right="0"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240" w:lineRule="auto" w:before="236"/>
        <w:ind w:right="0" w:firstLine="0"/>
        <w:jc w:val="left"/>
      </w:pPr>
      <w:r>
        <w:rPr/>
        <w:t>性。</w:t>
      </w:r>
    </w:p>
    <w:p>
      <w:pPr>
        <w:spacing w:line="240" w:lineRule="auto" w:before="9"/>
        <w:rPr>
          <w:rFonts w:ascii="宋体" w:hAnsi="宋体" w:cs="宋体" w:eastAsia="宋体" w:hint="default"/>
          <w:sz w:val="19"/>
          <w:szCs w:val="19"/>
        </w:rPr>
      </w:pPr>
    </w:p>
    <w:p>
      <w:pPr>
        <w:pStyle w:val="Heading3"/>
        <w:spacing w:line="403" w:lineRule="auto"/>
        <w:ind w:right="0"/>
        <w:jc w:val="left"/>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w:t>
      </w:r>
      <w:r>
        <w:rPr>
          <w:w w:val="100"/>
        </w:rPr>
        <w:t> </w:t>
      </w:r>
      <w:r>
        <w:rPr/>
        <w:t>计证据，就可能导致对建科院持续经营能力产生重大疑虑的事项或情况是否存</w:t>
      </w:r>
      <w:r>
        <w:rPr>
          <w:w w:val="100"/>
        </w:rPr>
        <w:t> </w:t>
      </w:r>
      <w:r>
        <w:rPr/>
        <w:t>在重大不确定性得出结论。如果我们得出结论认为存在重大不确定性，审计准</w:t>
      </w:r>
      <w:r>
        <w:rPr>
          <w:w w:val="100"/>
        </w:rPr>
        <w:t> </w:t>
      </w:r>
      <w:r>
        <w:rPr/>
        <w:t>则要求我们在审计报告中提请报表使用者注意财务报表中的相关披露；如果披</w:t>
      </w:r>
      <w:r>
        <w:rPr>
          <w:w w:val="100"/>
        </w:rPr>
        <w:t> </w:t>
      </w:r>
      <w:r>
        <w:rPr/>
        <w:t>露不充分，我们应当发表非无保留意见。我们的结论基于截至审计报告日可获</w:t>
      </w:r>
    </w:p>
    <w:p>
      <w:pPr>
        <w:spacing w:after="0" w:line="403" w:lineRule="auto"/>
        <w:jc w:val="left"/>
        <w:sectPr>
          <w:footerReference w:type="default" r:id="rId15"/>
          <w:pgSz w:w="11910" w:h="16840"/>
          <w:pgMar w:footer="980" w:header="745" w:top="1060" w:bottom="1160" w:left="980" w:right="980"/>
          <w:pgNumType w:start="10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240" w:lineRule="auto" w:before="14"/>
        <w:ind w:right="0" w:firstLine="0"/>
        <w:jc w:val="left"/>
      </w:pPr>
      <w:r>
        <w:rPr/>
        <w:t>得的信息。然而，未来的事项或情况可能导致建科院不能持续经营。</w:t>
      </w:r>
    </w:p>
    <w:p>
      <w:pPr>
        <w:spacing w:line="240" w:lineRule="auto" w:before="9"/>
        <w:rPr>
          <w:rFonts w:ascii="宋体" w:hAnsi="宋体" w:cs="宋体" w:eastAsia="宋体" w:hint="default"/>
          <w:sz w:val="19"/>
          <w:szCs w:val="19"/>
        </w:rPr>
      </w:pPr>
    </w:p>
    <w:p>
      <w:pPr>
        <w:pStyle w:val="Heading3"/>
        <w:spacing w:line="386" w:lineRule="auto"/>
        <w:ind w:right="0"/>
        <w:jc w:val="left"/>
      </w:pPr>
      <w:r>
        <w:rPr>
          <w:spacing w:val="-2"/>
        </w:rPr>
        <w:t>（</w:t>
      </w:r>
      <w:r>
        <w:rPr>
          <w:rFonts w:ascii="Times New Roman" w:hAnsi="Times New Roman" w:cs="Times New Roman" w:eastAsia="Times New Roman" w:hint="default"/>
          <w:spacing w:val="-2"/>
        </w:rPr>
        <w:t>5</w:t>
      </w:r>
      <w:r>
        <w:rPr>
          <w:spacing w:val="-2"/>
        </w:rPr>
        <w:t>）评价财务报表的总体列报、结构和内容（包括披露），并评价财务报</w:t>
      </w:r>
      <w:r>
        <w:rPr>
          <w:w w:val="100"/>
        </w:rPr>
        <w:t> </w:t>
      </w:r>
      <w:r>
        <w:rPr/>
        <w:t>表是否公允反映相关交易和事项。</w:t>
      </w:r>
    </w:p>
    <w:p>
      <w:pPr>
        <w:pStyle w:val="Heading3"/>
        <w:spacing w:line="398" w:lineRule="auto" w:before="86"/>
        <w:ind w:right="0"/>
        <w:jc w:val="left"/>
      </w:pPr>
      <w:r>
        <w:rPr>
          <w:spacing w:val="-1"/>
        </w:rPr>
        <w:t>（</w:t>
      </w:r>
      <w:r>
        <w:rPr>
          <w:rFonts w:ascii="Times New Roman" w:hAnsi="Times New Roman" w:cs="Times New Roman" w:eastAsia="Times New Roman" w:hint="default"/>
          <w:spacing w:val="-1"/>
        </w:rPr>
        <w:t>6</w:t>
      </w:r>
      <w:r>
        <w:rPr>
          <w:spacing w:val="-1"/>
        </w:rPr>
        <w:t>）就建科院中实体或业务活动的财务信息获取充分、适当的审计证据，</w:t>
      </w:r>
      <w:r>
        <w:rPr>
          <w:w w:val="100"/>
        </w:rPr>
        <w:t> </w:t>
      </w:r>
      <w:r>
        <w:rPr/>
        <w:t>以对财务报表发表审计意见。我们负责指导、监督和执行集团审计，并对审计</w:t>
      </w:r>
      <w:r>
        <w:rPr>
          <w:w w:val="100"/>
        </w:rPr>
        <w:t> </w:t>
      </w:r>
      <w:r>
        <w:rPr/>
        <w:t>意见承担全部责任。</w:t>
      </w:r>
    </w:p>
    <w:p>
      <w:pPr>
        <w:pStyle w:val="Heading3"/>
        <w:spacing w:line="408" w:lineRule="auto" w:before="73"/>
        <w:ind w:right="266"/>
        <w:jc w:val="both"/>
      </w:pPr>
      <w:r>
        <w:rPr>
          <w:spacing w:val="-2"/>
        </w:rPr>
        <w:t>我们与治理层就计划的审计范围、时间安排和重大审计发现等事项进行沟</w:t>
      </w:r>
      <w:r>
        <w:rPr>
          <w:w w:val="100"/>
        </w:rPr>
        <w:t> </w:t>
      </w:r>
      <w:r>
        <w:rPr/>
        <w:t>通，包括沟通我们在审计中识别出的值得关注的内部控制缺陷。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7"/>
          <w:szCs w:val="27"/>
        </w:rPr>
      </w:pPr>
    </w:p>
    <w:p>
      <w:pPr>
        <w:pStyle w:val="Heading3"/>
        <w:spacing w:line="408" w:lineRule="auto"/>
        <w:ind w:right="266"/>
        <w:jc w:val="both"/>
      </w:pPr>
      <w:r>
        <w:rPr>
          <w:spacing w:val="-2"/>
        </w:rPr>
        <w:t>我们还就已遵守与独立性相关的职业道德要求向治理层提供声明，并与治</w:t>
      </w:r>
      <w:r>
        <w:rPr>
          <w:w w:val="100"/>
        </w:rPr>
        <w:t> </w:t>
      </w:r>
      <w:r>
        <w:rPr>
          <w:spacing w:val="-2"/>
        </w:rPr>
        <w:t>理层沟通可能被合理认为影响我们独立性的所有关系和其他事项，以及相关的</w:t>
      </w:r>
      <w:r>
        <w:rPr>
          <w:spacing w:val="-81"/>
        </w:rPr>
        <w:t> </w:t>
      </w:r>
      <w:r>
        <w:rPr>
          <w:spacing w:val="-81"/>
        </w:rPr>
      </w:r>
      <w:r>
        <w:rPr/>
        <w:t>防范措施（如适用）。</w:t>
      </w:r>
    </w:p>
    <w:p>
      <w:pPr>
        <w:pStyle w:val="Heading3"/>
        <w:spacing w:line="408" w:lineRule="auto" w:before="61"/>
        <w:ind w:right="266"/>
        <w:jc w:val="both"/>
      </w:pPr>
      <w:r>
        <w:rPr>
          <w:spacing w:val="-2"/>
        </w:rPr>
        <w:t>从与治理层沟通过的事项中，我们确定哪些事项对本期财务报表审计最为</w:t>
      </w:r>
      <w:r>
        <w:rPr>
          <w:w w:val="100"/>
        </w:rPr>
        <w:t> </w:t>
      </w:r>
      <w:r>
        <w:rPr>
          <w:spacing w:val="-2"/>
        </w:rPr>
        <w:t>重要，因而构成关键审计事项。我们在审计报告中描述这些事项，除非法律法</w:t>
      </w:r>
      <w:r>
        <w:rPr>
          <w:spacing w:val="-81"/>
        </w:rPr>
        <w:t> </w:t>
      </w:r>
      <w:r>
        <w:rPr>
          <w:spacing w:val="-81"/>
        </w:rPr>
      </w:r>
      <w:r>
        <w:rPr>
          <w:spacing w:val="-2"/>
        </w:rPr>
        <w:t>规禁止公开披露这些事项，或在极少数情形下，如果合理预期在审计报告中沟</w:t>
      </w:r>
      <w:r>
        <w:rPr>
          <w:spacing w:val="-81"/>
        </w:rPr>
        <w:t> </w:t>
      </w:r>
      <w:r>
        <w:rPr>
          <w:spacing w:val="-81"/>
        </w:rPr>
      </w:r>
      <w:r>
        <w:rPr>
          <w:spacing w:val="-2"/>
        </w:rPr>
        <w:t>通某事项造成的负面后果超过在公众利益方面产生的益处，我们确定不应在审</w:t>
      </w:r>
      <w:r>
        <w:rPr>
          <w:spacing w:val="-81"/>
        </w:rPr>
        <w:t> </w:t>
      </w:r>
      <w:r>
        <w:rPr>
          <w:spacing w:val="-81"/>
        </w:rPr>
      </w:r>
      <w:r>
        <w:rPr/>
        <w:t>计报告中沟通该事项。</w:t>
      </w:r>
    </w:p>
    <w:p>
      <w:pPr>
        <w:spacing w:after="0" w:line="408"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2"/>
        <w:spacing w:line="413" w:lineRule="exact"/>
        <w:ind w:left="429" w:right="0"/>
        <w:jc w:val="left"/>
        <w:rPr>
          <w:b w:val="0"/>
          <w:bCs w:val="0"/>
        </w:rPr>
      </w:pPr>
      <w:r>
        <w:rPr/>
        <w:t>立信会计师事务所（特殊普通合伙） </w:t>
      </w:r>
      <w:r>
        <w:rPr>
          <w:spacing w:val="5"/>
        </w:rPr>
        <w:t> </w:t>
      </w:r>
      <w:r>
        <w:rPr/>
        <w:t>中国注册会计师：</w:t>
      </w:r>
      <w:r>
        <w:rPr>
          <w:b w:val="0"/>
          <w:bCs w:val="0"/>
        </w:rPr>
      </w:r>
    </w:p>
    <w:p>
      <w:pPr>
        <w:pStyle w:val="Heading2"/>
        <w:spacing w:line="240" w:lineRule="auto" w:before="136"/>
        <w:ind w:left="4903" w:right="0"/>
        <w:jc w:val="left"/>
        <w:rPr>
          <w:b w:val="0"/>
          <w:bCs w:val="0"/>
        </w:rPr>
      </w:pPr>
      <w:r>
        <w:rPr/>
        <w:t>（项目合伙人）</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5"/>
        <w:rPr>
          <w:rFonts w:ascii="Microsoft JhengHei" w:hAnsi="Microsoft JhengHei" w:cs="Microsoft JhengHei" w:eastAsia="Microsoft JhengHei" w:hint="default"/>
          <w:b/>
          <w:bCs/>
          <w:sz w:val="39"/>
          <w:szCs w:val="39"/>
        </w:rPr>
      </w:pPr>
    </w:p>
    <w:p>
      <w:pPr>
        <w:pStyle w:val="Heading2"/>
        <w:spacing w:line="240" w:lineRule="auto"/>
        <w:ind w:left="2071" w:right="1314"/>
        <w:jc w:val="center"/>
        <w:rPr>
          <w:b w:val="0"/>
          <w:bCs w:val="0"/>
        </w:rPr>
      </w:pPr>
      <w:r>
        <w:rPr/>
        <w:t>中国注册会计师：</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2"/>
        <w:rPr>
          <w:rFonts w:ascii="Microsoft JhengHei" w:hAnsi="Microsoft JhengHei" w:cs="Microsoft JhengHei" w:eastAsia="Microsoft JhengHei" w:hint="default"/>
          <w:b/>
          <w:bCs/>
          <w:sz w:val="19"/>
          <w:szCs w:val="19"/>
        </w:rPr>
      </w:pPr>
    </w:p>
    <w:p>
      <w:pPr>
        <w:pStyle w:val="Heading2"/>
        <w:tabs>
          <w:tab w:pos="4593" w:val="left" w:leader="none"/>
        </w:tabs>
        <w:spacing w:line="240" w:lineRule="auto"/>
        <w:ind w:left="2092" w:right="0"/>
        <w:jc w:val="left"/>
        <w:rPr>
          <w:b w:val="0"/>
          <w:bCs w:val="0"/>
        </w:rPr>
      </w:pPr>
      <w:r>
        <w:rPr/>
        <w:t>中国</w:t>
      </w:r>
      <w:r>
        <w:rPr>
          <w:rFonts w:ascii="Times New Roman" w:hAnsi="Times New Roman" w:cs="Times New Roman" w:eastAsia="Times New Roman" w:hint="default"/>
        </w:rPr>
        <w:t>•</w:t>
      </w:r>
      <w:r>
        <w:rPr/>
        <w:t>上海</w:t>
        <w:tab/>
        <w:t>二</w:t>
      </w:r>
      <w:r>
        <w:rPr>
          <w:rFonts w:ascii="Times New Roman" w:hAnsi="Times New Roman" w:cs="Times New Roman" w:eastAsia="Times New Roman" w:hint="default"/>
        </w:rPr>
        <w:t>0</w:t>
      </w:r>
      <w:r>
        <w:rPr/>
        <w:t>一八年四月二十日</w:t>
      </w:r>
      <w:r>
        <w:rPr>
          <w:b w:val="0"/>
          <w:bCs w:val="0"/>
        </w:rPr>
      </w:r>
    </w:p>
    <w:p>
      <w:pPr>
        <w:spacing w:line="240" w:lineRule="auto" w:before="0"/>
        <w:rPr>
          <w:rFonts w:ascii="Microsoft JhengHei" w:hAnsi="Microsoft JhengHei" w:cs="Microsoft JhengHei" w:eastAsia="Microsoft JhengHei" w:hint="default"/>
          <w:b/>
          <w:bCs/>
          <w:sz w:val="30"/>
          <w:szCs w:val="30"/>
        </w:rPr>
      </w:pPr>
    </w:p>
    <w:p>
      <w:pPr>
        <w:spacing w:line="240" w:lineRule="auto" w:before="10"/>
        <w:rPr>
          <w:rFonts w:ascii="Microsoft JhengHei" w:hAnsi="Microsoft JhengHei" w:cs="Microsoft JhengHei" w:eastAsia="Microsoft JhengHei" w:hint="default"/>
          <w:b/>
          <w:bCs/>
          <w:sz w:val="24"/>
          <w:szCs w:val="24"/>
        </w:rPr>
      </w:pPr>
    </w:p>
    <w:p>
      <w:pPr>
        <w:pStyle w:val="Heading4"/>
        <w:spacing w:line="240" w:lineRule="auto"/>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240" w:lineRule="auto" w:before="44"/>
        <w:ind w:right="-20"/>
        <w:jc w:val="left"/>
      </w:pPr>
      <w:r>
        <w:rPr/>
        <w:t>编制单位：深圳市建筑科学研究院股份有限公司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933" w:space="143"/>
            <w:col w:w="1642" w:space="3202"/>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221,508,379.49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98,880,226.75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1,199,009.00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193,229,666.93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179,593,452.13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7,676,197.84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15,923,349.44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4,501,641.59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3,822,317.15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120,623.06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2,669,961.59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1,573,589.92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429,651,237.40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301,112,567.45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3,884,652.43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10,055,409.22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10,607,261.74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81,377,899.89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72,592,854.50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33,803,802.75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20,827,502.96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84,147,425.68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84,223,107.53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2,918,230.13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39,182,426.18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41,296,678.65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6,563,818.21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5,007,983.98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261,933,664.49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234,555,389.36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691,584,901.89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535,667,956.81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81,673,796.00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58,264,655.66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14,635,078.67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12,682,950.85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28,433,376.27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24,526,572.28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15,858,244.07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12,436,636.34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85,212.33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126,875.00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4,946,152.30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5,113,483.10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215,631,859.64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218,151,173.23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55,522,446.84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30,955,089.33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55,522,446.84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30,955,089.33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271,154,306.48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249,106,262.56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127,541,353.92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55,810,431.92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12,215,575.78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9,959,708.53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131,749,237.72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109,550,652.71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418,172,867.42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285,320,793.16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2,257,727.99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1,240,901.09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420,430,595.41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286,561,694.25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691,584,901.89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535,667,956.81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法定代表人：叶青</w:t>
        <w:tab/>
      </w:r>
      <w:r>
        <w:rPr>
          <w:spacing w:val="-1"/>
        </w:rPr>
        <w:t>主管会计工作负责人：刘丽</w:t>
        <w:tab/>
      </w:r>
      <w:r>
        <w:rPr/>
        <w:t>会计机构负责人：陈友莲</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168,597,719.69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58,185,354.88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1,199,009.00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173,959,155.90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170,373,204.16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5,962,674.94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14,373,577.25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18,525,536.33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12,444,545.38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1,840,888.95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961,412.21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368,885,975.81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257,537,102.88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35,017,490.46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21,932,838.03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10,055,409.22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10,607,261.74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73,179,923.19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67,195,802.99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33,803,802.75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20,827,502.96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82,921,757.97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84,148,064.71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2,918,230.13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37,198,387.58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40,017,717.12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6,043,956.87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4,484,446.20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281,138,958.17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249,213,633.75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650,024,933.98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506,750,736.63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79,714,710.98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54,020,070.55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9,179,135.81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9,548,641.67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19,586,065.41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19,080,353.84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13,151,944.24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10,292,281.23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85,212.33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126,875.00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11,712,759.48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3,254,931.84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203,429,828.25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201,323,154.13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46,447,349.39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26,702,785.18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46,447,349.39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26,702,785.18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249,877,177.64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228,025,939.31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128,053,280.71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56,322,358.71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12,162,071.11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9,906,203.86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113,265,704.52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102,496,234.75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400,147,756.34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278,724,797.32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650,024,933.98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506,750,736.63</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381,831,957.61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346,125,986.64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381,831,957.61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346,125,986.64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352,645,723.90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319,870,732.78</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236,545,289.44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221,824,615.64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3,030,867.68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2,562,165.61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47,390,255.84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44,039,588.14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46,634,198.36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35,162,944.62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3,482,317.95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5,457,694.30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335.929993pt;width:193.15pt;height:19.6pt;mso-position-horizontal-relative:page;mso-position-vertical-relative:page;z-index:-129436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199.699982pt;width:160pt;height:19.6pt;mso-position-horizontal-relative:page;mso-position-vertical-relative:page;z-index:-1294336" coordorigin="4220,3994" coordsize="3200,392">
            <v:group style="position:absolute;left:7398;top:3994;width:22;height:392" coordorigin="7398,3994" coordsize="22,392">
              <v:shape style="position:absolute;left:7398;top:3994;width:22;height:392" coordorigin="7398,3994" coordsize="22,392" path="m7398,4385l7420,4385,7420,3994,7398,3994,7398,4385xe" filled="true" fillcolor="#ffffff" stroked="false">
                <v:path arrowok="t"/>
                <v:fill type="solid"/>
              </v:shape>
            </v:group>
            <v:group style="position:absolute;left:4220;top:3994;width:22;height:392" coordorigin="4220,3994" coordsize="22,392">
              <v:shape style="position:absolute;left:4220;top:3994;width:22;height:392" coordorigin="4220,3994" coordsize="22,392" path="m4220,4385l4242,4385,4242,3994,4220,3994,4220,4385xe" filled="true" fillcolor="#ffffff" stroked="false">
                <v:path arrowok="t"/>
                <v:fill type="solid"/>
              </v:shape>
            </v:group>
            <v:group style="position:absolute;left:4242;top:3994;width:3157;height:392" coordorigin="4242,3994" coordsize="3157,392">
              <v:shape style="position:absolute;left:4242;top:3994;width:3157;height:392" coordorigin="4242,3994" coordsize="3157,392" path="m4242,4385l7398,4385,7398,3994,4242,3994,4242,438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106"/>
        <w:gridCol w:w="2105"/>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10,823,724.47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-406,456.95</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-488,363.30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-1,866.15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-6,131.17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6,876,123.77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35,945,143.76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25,842,665.74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4,916,616.55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9,731,470.28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117,130.66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169,235.15</w:t>
            </w: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40,744,629.65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35,404,900.87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6,840,014.99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3,749,538.51</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33,904,614.66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31,655,362.36</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33,904,614.66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31,655,362.36</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33,987,787.76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31,539,638.45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-83,173.10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115,723.91</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0"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33,904,614.66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31,655,362.36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33,987,787.76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31,539,638.45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-83,173.10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115,723.91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0.2867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0.2713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0.2867</w:t>
            </w:r>
          </w:p>
        </w:tc>
      </w:tr>
    </w:tbl>
    <w:p>
      <w:pPr>
        <w:pStyle w:val="BodyText"/>
        <w:tabs>
          <w:tab w:pos="3578" w:val="left" w:leader="none"/>
          <w:tab w:pos="7721" w:val="left" w:leader="none"/>
        </w:tabs>
        <w:spacing w:line="588" w:lineRule="auto" w:before="49"/>
        <w:ind w:right="242"/>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法定代表人：叶青</w:t>
        <w:tab/>
      </w:r>
      <w:r>
        <w:rPr>
          <w:spacing w:val="-1"/>
        </w:rPr>
        <w:t>主管会计工作负责人：刘丽</w:t>
        <w:tab/>
      </w:r>
      <w:r>
        <w:rPr/>
        <w:t>会计机构负责人：陈友莲</w:t>
      </w:r>
    </w:p>
    <w:p>
      <w:pPr>
        <w:pStyle w:val="Heading5"/>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304,538,140.64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282,938,420.19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180,280,994.88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164,437,572.70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2,405,458.91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2,053,977.57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45,082,757.33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43,271,043.59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41,495,954.30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38,783,176.81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3,484,220.30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5,454,163.41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14,513,678.05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9,326,354.48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-115,347.57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-406,456.95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-115,347.57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-1,831.51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5,698,917.07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22,861,473.52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19,203,843.17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4,593,150.91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9,265,295.47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168,591.64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27,379,624.43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28,300,547.00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4,820,951.91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2,423,658.50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22,558,672.52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25,876,888.50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22,558,672.52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25,876,888.50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22,558,672.52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25,876,888.50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0.2352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0.2352</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370,839,108.26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346,462,969.35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3,718,781.66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40,247,141.03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28,967,724.94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411,086,249.29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379,149,475.95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90,921,751.85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90,304,421.44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153,748,758.77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142,945,881.06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21,590,144.50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22,313,714.91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47,414,891.29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36,695,632.40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313,675,546.41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292,259,649.81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97,410,702.88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86,889,826.14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1,778,800.00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7,495.00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4,885,498.70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8,509.00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6,671,793.70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30,577,077.42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37,215,564.05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34,577,077.42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37,215,564.05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-34,568,568.42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-30,543,770.35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109,497,622.00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209,497,622.00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14,620,166.71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13,433,271.98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149,620,166.71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223,433,271.98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59,877,455.29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-8,433,271.98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122,716,152.74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47,911,877.18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97,750,579.88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49,838,702.70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220,466,732.62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97,750,579.88</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306,776,438.07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270,519,086.60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3,718,781.66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24,627,494.95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29,494,330.65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331,403,933.02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303,732,198.91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89,247,129.71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78,227,893.27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105,641,888.99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102,632,368.87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14,982,720.68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17,594,382.46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32,271,292.99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40,189,862.44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242,143,032.37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238,644,507.04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89,260,900.65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65,087,691.87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1,778,800.00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7,495.00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4,805,498.70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6,591,793.70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24,300,554.12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33,189,954.20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37,500,554.12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34,689,954.20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-37,494,554.12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-28,098,160.50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108,397,622.00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208,397,622.00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14,620,166.71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13,433,271.98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149,620,166.71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223,433,271.98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58,777,455.29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-8,433,271.98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110,540,364.81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28,555,352.76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57,055,708.01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28,500,355.25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167,596,072.82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57,055,708.01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9,959,7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109,550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,652.71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01.09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286,561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,694.25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9,959,7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109,550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,652.71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01.09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286,561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,694.25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71,730,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22,198,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585.01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1,016,8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26.90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133,868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,901.16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33,987,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787.76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-83,173.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33,904,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614.66</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71,730,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109,497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,622.00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70,730,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108,497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,622.00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-11,789,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202.75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35.50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67.25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35.50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0"/>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6,700.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127,541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131,749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,237.72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2,257,7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27.99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420,430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,595.41</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8"/>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7,372,0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87,638,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703.11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1,125,1</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77.18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261,946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,331.89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7,372,0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87,638,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703.11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1,125,1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77.18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261,946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,331.89</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21,911,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949.60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115,723</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24,615,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362.36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31,539,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638.45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115,723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31,655,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362.36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8"/>
        <w:gridCol w:w="665"/>
        <w:gridCol w:w="662"/>
        <w:gridCol w:w="665"/>
        <w:gridCol w:w="679"/>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-9,627,6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3"/>
              <w:ind w:left="204" w:right="0"/>
              <w:jc w:val="center"/>
              <w:rPr>
                <w:rFonts w:ascii="Times New Roman" w:hAnsi="Times New Roman" w:cs="Times New Roman" w:eastAsia="Times New Roman" w:hint="default"/>
                <w:sz w:val="18"/>
                <w:szCs w:val="18"/>
              </w:rPr>
            </w:pPr>
            <w:r>
              <w:rPr>
                <w:rFonts w:ascii="Times New Roman"/>
                <w:sz w:val="18"/>
              </w:rPr>
              <w:t>88.85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88.85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55,810,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431.92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9,959,7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08.53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109,550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,652.71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1,240,9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01.09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286,561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,694.25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9,906,203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102,496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278,724,7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97.32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9,906,203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102,496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278,724,7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97.32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71,730,92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2,255,867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10,769,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469.77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121,422,9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59.02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22,558,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672.52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22,558,67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2.52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71,730,92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108,397,6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22.00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36,666,7</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70,730,92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107,397,6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22.00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2,255,867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-11,789,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202.75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5.50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-2,250,4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44.13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-9,533,3</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-9,533,33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146,666,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128,053,2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12,162,07</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1.11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113,265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400,147,7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56.34</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7,318,515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035.10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259,887,9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08.82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7,318,515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86,247,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035.10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259,887,9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08.82</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2,587,688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16,249,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199.65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18,836,88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8.50</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888.50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25,876,88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8.50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2,587,688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-9,627,6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88.85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2,587,688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-2,587,6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88.85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-7,040,0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-7,040,00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56,322,35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9,906,203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102,496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,234.75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278,724,7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97.32</w:t>
            </w:r>
          </w:p>
        </w:tc>
      </w:tr>
    </w:tbl>
    <w:p>
      <w:pPr>
        <w:spacing w:line="240" w:lineRule="auto" w:before="1"/>
        <w:rPr>
          <w:rFonts w:ascii="宋体" w:hAnsi="宋体" w:cs="宋体" w:eastAsia="宋体" w:hint="default"/>
          <w:sz w:val="18"/>
          <w:szCs w:val="18"/>
        </w:rPr>
      </w:pPr>
    </w:p>
    <w:p>
      <w:pPr>
        <w:pStyle w:val="Heading4"/>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Heading6"/>
        <w:spacing w:line="259" w:lineRule="auto"/>
        <w:ind w:right="0"/>
        <w:jc w:val="left"/>
      </w:pPr>
      <w:r>
        <w:rPr/>
        <w:t>深圳市建筑科学研究院股份有限公司（以下简称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）原名深圳市建筑科学研究院，系根据</w:t>
      </w:r>
      <w:r>
        <w:rPr>
          <w:spacing w:val="-92"/>
        </w:rPr>
        <w:t> </w:t>
      </w:r>
      <w:r>
        <w:rPr>
          <w:spacing w:val="-92"/>
        </w:rPr>
      </w:r>
      <w:r>
        <w:rPr/>
        <w:t>深圳市委常委会议纪要（深常纪</w:t>
      </w:r>
      <w:r>
        <w:rPr>
          <w:rFonts w:ascii="Times New Roman" w:hAnsi="Times New Roman" w:cs="Times New Roman" w:eastAsia="Times New Roman" w:hint="default"/>
        </w:rPr>
        <w:t>[1991]</w:t>
      </w:r>
      <w:r>
        <w:rPr/>
        <w:t>第</w:t>
      </w:r>
      <w:r>
        <w:rPr>
          <w:rFonts w:ascii="Times New Roman" w:hAnsi="Times New Roman" w:cs="Times New Roman" w:eastAsia="Times New Roman" w:hint="default"/>
        </w:rPr>
        <w:t>39</w:t>
      </w:r>
      <w:r>
        <w:rPr/>
        <w:t>号）、深圳市机构编制委员会（深编</w:t>
      </w:r>
      <w:r>
        <w:rPr>
          <w:rFonts w:ascii="Times New Roman" w:hAnsi="Times New Roman" w:cs="Times New Roman" w:eastAsia="Times New Roman" w:hint="default"/>
        </w:rPr>
        <w:t>[1991]103</w:t>
      </w:r>
      <w:r>
        <w:rPr/>
        <w:t>号）《关于重新</w:t>
      </w:r>
      <w:r>
        <w:rPr>
          <w:spacing w:val="-103"/>
        </w:rPr>
        <w:t> </w:t>
      </w:r>
      <w:r>
        <w:rPr>
          <w:spacing w:val="-103"/>
        </w:rPr>
      </w:r>
      <w:r>
        <w:rPr>
          <w:spacing w:val="-5"/>
        </w:rPr>
        <w:t>组建深圳市建筑设计院的通知》和（深编</w:t>
      </w:r>
      <w:r>
        <w:rPr>
          <w:rFonts w:ascii="Times New Roman" w:hAnsi="Times New Roman" w:cs="Times New Roman" w:eastAsia="Times New Roman" w:hint="default"/>
          <w:spacing w:val="-5"/>
        </w:rPr>
        <w:t>[1992]46</w:t>
      </w:r>
      <w:r>
        <w:rPr>
          <w:spacing w:val="-5"/>
        </w:rPr>
        <w:t>号）《关于市建筑设计院机构编制问题的批复》，在</w:t>
      </w:r>
      <w:r>
        <w:rPr>
          <w:rFonts w:ascii="Times New Roman" w:hAnsi="Times New Roman" w:cs="Times New Roman" w:eastAsia="Times New Roman" w:hint="default"/>
          <w:spacing w:val="-5"/>
        </w:rPr>
        <w:t>1991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2"/>
        </w:rPr>
        <w:t>年重新组建深圳市建筑设计院的同时，作为深圳市建筑设计院（现深圳市建筑设计研究总院有限公司）下</w:t>
      </w:r>
      <w:r>
        <w:rPr>
          <w:spacing w:val="-42"/>
        </w:rPr>
        <w:t> </w:t>
      </w:r>
      <w:r>
        <w:rPr>
          <w:spacing w:val="-42"/>
        </w:rPr>
      </w:r>
      <w:r>
        <w:rPr/>
        <w:t>属单位深圳市建筑科学研究所设立，为财政核拨补助的事业单位。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月经深圳市机构编制委员会办</w:t>
      </w:r>
      <w:r>
        <w:rPr>
          <w:spacing w:val="-25"/>
        </w:rPr>
        <w:t> </w:t>
      </w:r>
      <w:r>
        <w:rPr>
          <w:spacing w:val="-25"/>
        </w:rPr>
      </w:r>
      <w:r>
        <w:rPr>
          <w:spacing w:val="-3"/>
        </w:rPr>
        <w:t>公室（深编办</w:t>
      </w:r>
      <w:r>
        <w:rPr>
          <w:rFonts w:ascii="Times New Roman" w:hAnsi="Times New Roman" w:cs="Times New Roman" w:eastAsia="Times New Roman" w:hint="default"/>
          <w:spacing w:val="-3"/>
        </w:rPr>
        <w:t>[2001]55</w:t>
      </w:r>
      <w:r>
        <w:rPr>
          <w:spacing w:val="-3"/>
        </w:rPr>
        <w:t>号《关于深圳市建筑科学研究所更名的批复》批准，更名为深圳市建筑科学研究院。</w:t>
      </w:r>
      <w:r>
        <w:rPr>
          <w:spacing w:val="-17"/>
        </w:rPr>
        <w:t> </w:t>
      </w:r>
      <w:r>
        <w:rPr>
          <w:spacing w:val="-17"/>
        </w:rPr>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11</w:t>
      </w:r>
      <w:r>
        <w:rPr>
          <w:spacing w:val="-3"/>
        </w:rPr>
        <w:t>月经深圳市科技和信息局、深圳市机构编制委员会办公室深科信</w:t>
      </w:r>
      <w:r>
        <w:rPr>
          <w:rFonts w:ascii="Times New Roman" w:hAnsi="Times New Roman" w:cs="Times New Roman" w:eastAsia="Times New Roman" w:hint="default"/>
          <w:spacing w:val="-3"/>
        </w:rPr>
        <w:t>[2005]376</w:t>
      </w:r>
      <w:r>
        <w:rPr>
          <w:spacing w:val="-3"/>
        </w:rPr>
        <w:t>号文件批准，本公司由</w:t>
      </w:r>
      <w:r>
        <w:rPr>
          <w:spacing w:val="-8"/>
        </w:rPr>
        <w:t> </w:t>
      </w:r>
      <w:r>
        <w:rPr>
          <w:spacing w:val="-8"/>
        </w:rPr>
      </w:r>
      <w:r>
        <w:rPr/>
        <w:t>事业单位改制为企业单位。</w:t>
      </w:r>
      <w:r>
        <w:rPr>
          <w:spacing w:val="-50"/>
        </w:rPr>
        <w:t> </w:t>
      </w: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日中共深圳市委办公厅、深圳市人民政府办公厅深办</w:t>
      </w:r>
      <w:r>
        <w:rPr>
          <w:rFonts w:ascii="Times New Roman" w:hAnsi="Times New Roman" w:cs="Times New Roman" w:eastAsia="Times New Roman" w:hint="default"/>
        </w:rPr>
        <w:t>[2006]35</w:t>
      </w:r>
      <w:r>
        <w:rPr>
          <w:rFonts w:ascii="Times New Roman" w:hAnsi="Times New Roman" w:cs="Times New Roman" w:eastAsia="Times New Roman" w:hint="default"/>
          <w:w w:val="100"/>
        </w:rPr>
        <w:t> </w:t>
      </w:r>
      <w:r>
        <w:rPr>
          <w:spacing w:val="-7"/>
        </w:rPr>
        <w:t>号文件《关于印发</w:t>
      </w:r>
      <w:r>
        <w:rPr>
          <w:rFonts w:ascii="Times New Roman" w:hAnsi="Times New Roman" w:cs="Times New Roman" w:eastAsia="Times New Roman" w:hint="default"/>
          <w:spacing w:val="-7"/>
        </w:rPr>
        <w:t>&lt;</w:t>
      </w:r>
      <w:r>
        <w:rPr>
          <w:spacing w:val="-7"/>
        </w:rPr>
        <w:t>深圳市党政机关事业单位所属企业、转企事业单位划转工作实施方案</w:t>
      </w:r>
      <w:r>
        <w:rPr>
          <w:rFonts w:ascii="Times New Roman" w:hAnsi="Times New Roman" w:cs="Times New Roman" w:eastAsia="Times New Roman" w:hint="default"/>
          <w:spacing w:val="-7"/>
        </w:rPr>
        <w:t>&gt;</w:t>
      </w:r>
      <w:r>
        <w:rPr>
          <w:spacing w:val="-7"/>
        </w:rPr>
        <w:t>的通知》，及</w:t>
      </w:r>
      <w:r>
        <w:rPr>
          <w:rFonts w:ascii="Times New Roman" w:hAnsi="Times New Roman" w:cs="Times New Roman" w:eastAsia="Times New Roman" w:hint="default"/>
          <w:spacing w:val="-7"/>
        </w:rPr>
        <w:t>2006</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日深圳市规划局、深圳市投资控股有限公司签订的《关于深圳市建筑设计研究总院划转和移交工</w:t>
      </w:r>
      <w:r>
        <w:rPr>
          <w:spacing w:val="-26"/>
        </w:rPr>
        <w:t> </w:t>
      </w:r>
      <w:r>
        <w:rPr>
          <w:spacing w:val="-26"/>
        </w:rPr>
      </w:r>
      <w:r>
        <w:rPr/>
        <w:t>作备忘录》，本公司随深圳市建筑设计研究总院划转到深圳市投资控股有限公司。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日，本公</w:t>
      </w:r>
    </w:p>
    <w:p>
      <w:pPr>
        <w:spacing w:after="0" w:line="259"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256" w:lineRule="auto" w:before="36"/>
        <w:ind w:right="0"/>
        <w:jc w:val="left"/>
      </w:pPr>
      <w:r>
        <w:rPr>
          <w:spacing w:val="-2"/>
        </w:rPr>
        <w:t>司办理了工商注册登记手续，领取了深圳市工商行政管理局颁发的</w:t>
      </w:r>
      <w:r>
        <w:rPr>
          <w:rFonts w:ascii="Times New Roman" w:hAnsi="Times New Roman" w:cs="Times New Roman" w:eastAsia="Times New Roman" w:hint="default"/>
          <w:spacing w:val="-2"/>
        </w:rPr>
        <w:t>440301102792750</w:t>
      </w:r>
      <w:r>
        <w:rPr>
          <w:spacing w:val="-2"/>
        </w:rPr>
        <w:t>号企业法人营业执照，</w:t>
      </w:r>
      <w:r>
        <w:rPr>
          <w:spacing w:val="-29"/>
        </w:rPr>
        <w:t> </w:t>
      </w:r>
      <w:r>
        <w:rPr>
          <w:spacing w:val="-29"/>
        </w:rPr>
      </w:r>
      <w:r>
        <w:rPr>
          <w:spacing w:val="-9"/>
        </w:rPr>
        <w:t>公司类型为有限责任公司（法人独资），股东为深圳市投资控股有限公司，占股比例为</w:t>
      </w:r>
      <w:r>
        <w:rPr>
          <w:rFonts w:ascii="Times New Roman" w:hAnsi="Times New Roman" w:cs="Times New Roman" w:eastAsia="Times New Roman" w:hint="default"/>
          <w:spacing w:val="-9"/>
        </w:rPr>
        <w:t>100%</w:t>
      </w:r>
      <w:r>
        <w:rPr>
          <w:spacing w:val="-9"/>
        </w:rPr>
        <w:t>，注册资本</w:t>
      </w:r>
      <w:r>
        <w:rPr>
          <w:rFonts w:ascii="Times New Roman" w:hAnsi="Times New Roman" w:cs="Times New Roman" w:eastAsia="Times New Roman" w:hint="default"/>
          <w:spacing w:val="-9"/>
        </w:rPr>
        <w:t>2,000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万元，扣除以土地评估增值出资的</w:t>
      </w:r>
      <w:r>
        <w:rPr>
          <w:rFonts w:ascii="Times New Roman" w:hAnsi="Times New Roman" w:cs="Times New Roman" w:eastAsia="Times New Roman" w:hint="default"/>
        </w:rPr>
        <w:t>1,995,759.92</w:t>
      </w:r>
      <w:r>
        <w:rPr/>
        <w:t>元后实收资本为</w:t>
      </w:r>
      <w:r>
        <w:rPr>
          <w:rFonts w:ascii="Times New Roman" w:hAnsi="Times New Roman" w:cs="Times New Roman" w:eastAsia="Times New Roman" w:hint="default"/>
        </w:rPr>
        <w:t>18,004,240.08</w:t>
      </w:r>
      <w:r>
        <w:rPr/>
        <w:t>元。</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日，根据《深圳市投资控股有限公司关于完善深圳市建筑科学研究院有限公司注册资本金问</w:t>
      </w:r>
      <w:r>
        <w:rPr>
          <w:spacing w:val="-28"/>
        </w:rPr>
        <w:t> </w:t>
      </w:r>
      <w:r>
        <w:rPr>
          <w:spacing w:val="-28"/>
        </w:rPr>
      </w:r>
      <w:r>
        <w:rPr/>
        <w:t>题的批复》（深投控</w:t>
      </w:r>
      <w:r>
        <w:rPr>
          <w:rFonts w:ascii="Times New Roman" w:hAnsi="Times New Roman" w:cs="Times New Roman" w:eastAsia="Times New Roman" w:hint="default"/>
        </w:rPr>
        <w:t>[2012]169</w:t>
      </w:r>
      <w:r>
        <w:rPr/>
        <w:t>号）文件，深圳市投资控股有限公司以货币资金人民币</w:t>
      </w:r>
      <w:r>
        <w:rPr>
          <w:rFonts w:ascii="Times New Roman" w:hAnsi="Times New Roman" w:cs="Times New Roman" w:eastAsia="Times New Roman" w:hint="default"/>
        </w:rPr>
        <w:t>1,995,759.92</w:t>
      </w:r>
      <w:r>
        <w:rPr/>
        <w:t>元等额</w:t>
      </w:r>
      <w:r>
        <w:rPr>
          <w:spacing w:val="-10"/>
        </w:rPr>
        <w:t> </w:t>
      </w:r>
      <w:r>
        <w:rPr/>
        <w:t>置换</w:t>
      </w:r>
      <w:r>
        <w:rPr>
          <w:rFonts w:ascii="Times New Roman" w:hAnsi="Times New Roman" w:cs="Times New Roman" w:eastAsia="Times New Roman" w:hint="default"/>
        </w:rPr>
        <w:t>2007</w:t>
      </w:r>
      <w:r>
        <w:rPr/>
        <w:t>年改制土地评估增值出资，出资后，公司注册资本</w:t>
      </w:r>
      <w:r>
        <w:rPr>
          <w:rFonts w:ascii="Times New Roman" w:hAnsi="Times New Roman" w:cs="Times New Roman" w:eastAsia="Times New Roman" w:hint="default"/>
        </w:rPr>
        <w:t>2,000</w:t>
      </w:r>
      <w:r>
        <w:rPr/>
        <w:t>万元，实收资本</w:t>
      </w:r>
      <w:r>
        <w:rPr>
          <w:rFonts w:ascii="Times New Roman" w:hAnsi="Times New Roman" w:cs="Times New Roman" w:eastAsia="Times New Roman" w:hint="default"/>
        </w:rPr>
        <w:t>2,000</w:t>
      </w:r>
      <w:r>
        <w:rPr/>
        <w:t>万元。</w:t>
      </w:r>
      <w:r>
        <w:rPr>
          <w:w w:val="100"/>
        </w:rPr>
        <w:t> </w:t>
      </w: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日深圳市人民政府国有资产监督管理委员会深国资委</w:t>
      </w:r>
      <w:r>
        <w:rPr>
          <w:rFonts w:ascii="Times New Roman" w:hAnsi="Times New Roman" w:cs="Times New Roman" w:eastAsia="Times New Roman" w:hint="default"/>
        </w:rPr>
        <w:t>[2012]132</w:t>
      </w:r>
      <w:r>
        <w:rPr/>
        <w:t>号文件《关于深圳市建筑</w:t>
      </w:r>
      <w:r>
        <w:rPr>
          <w:spacing w:val="-57"/>
        </w:rPr>
        <w:t> </w:t>
      </w:r>
      <w:r>
        <w:rPr/>
        <w:t>科学研究院有限公司引进战略投资者同时实施管理层和核心骨干持股总体方案的批复》，</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w w:val="100"/>
        </w:rPr>
        <w:t> </w:t>
      </w:r>
      <w:r>
        <w:rPr/>
        <w:t>经本公司股东会决议和增资协议，本公司注册资本由原来</w:t>
      </w:r>
      <w:r>
        <w:rPr>
          <w:rFonts w:ascii="Times New Roman" w:hAnsi="Times New Roman" w:cs="Times New Roman" w:eastAsia="Times New Roman" w:hint="default"/>
        </w:rPr>
        <w:t>2,000</w:t>
      </w:r>
      <w:r>
        <w:rPr/>
        <w:t>万元人民币变更为</w:t>
      </w:r>
      <w:r>
        <w:rPr>
          <w:rFonts w:ascii="Times New Roman" w:hAnsi="Times New Roman" w:cs="Times New Roman" w:eastAsia="Times New Roman" w:hint="default"/>
        </w:rPr>
        <w:t>3,333.3333</w:t>
      </w:r>
      <w:r>
        <w:rPr/>
        <w:t>万元人民币，</w:t>
      </w:r>
      <w:r>
        <w:rPr>
          <w:spacing w:val="-78"/>
        </w:rPr>
        <w:t> </w:t>
      </w:r>
      <w:r>
        <w:rPr>
          <w:spacing w:val="-78"/>
        </w:rPr>
      </w:r>
      <w:r>
        <w:rPr>
          <w:spacing w:val="-3"/>
        </w:rPr>
        <w:t>变更后股东出资和股权比例为：深圳市投资控股有限公司出资额</w:t>
      </w:r>
      <w:r>
        <w:rPr>
          <w:rFonts w:ascii="Times New Roman" w:hAnsi="Times New Roman" w:cs="Times New Roman" w:eastAsia="Times New Roman" w:hint="default"/>
          <w:spacing w:val="-3"/>
        </w:rPr>
        <w:t>2,000</w:t>
      </w:r>
      <w:r>
        <w:rPr>
          <w:spacing w:val="-3"/>
        </w:rPr>
        <w:t>万元人民币，股权比例为</w:t>
      </w:r>
      <w:r>
        <w:rPr>
          <w:rFonts w:ascii="Times New Roman" w:hAnsi="Times New Roman" w:cs="Times New Roman" w:eastAsia="Times New Roman" w:hint="default"/>
          <w:spacing w:val="-3"/>
        </w:rPr>
        <w:t>60%</w:t>
      </w:r>
      <w:r>
        <w:rPr>
          <w:spacing w:val="-3"/>
        </w:rPr>
        <w:t>；中关</w:t>
      </w:r>
      <w:r>
        <w:rPr>
          <w:spacing w:val="-8"/>
        </w:rPr>
        <w:t> </w:t>
      </w:r>
      <w:r>
        <w:rPr>
          <w:spacing w:val="-8"/>
        </w:rPr>
      </w:r>
      <w:r>
        <w:rPr/>
        <w:t>村发展集团股份有限公司出资额</w:t>
      </w:r>
      <w:r>
        <w:rPr>
          <w:rFonts w:ascii="Times New Roman" w:hAnsi="Times New Roman" w:cs="Times New Roman" w:eastAsia="Times New Roman" w:hint="default"/>
        </w:rPr>
        <w:t>333.3333</w:t>
      </w:r>
      <w:r>
        <w:rPr/>
        <w:t>万元人民币，股权比例为</w:t>
      </w:r>
      <w:r>
        <w:rPr>
          <w:rFonts w:ascii="Times New Roman" w:hAnsi="Times New Roman" w:cs="Times New Roman" w:eastAsia="Times New Roman" w:hint="default"/>
        </w:rPr>
        <w:t>10%</w:t>
      </w:r>
      <w:r>
        <w:rPr/>
        <w:t>；深圳市英龙建安（集团）有限公</w:t>
      </w:r>
      <w:r>
        <w:rPr>
          <w:spacing w:val="-39"/>
        </w:rPr>
        <w:t> </w:t>
      </w:r>
      <w:r>
        <w:rPr>
          <w:spacing w:val="-39"/>
        </w:rPr>
      </w:r>
      <w:r>
        <w:rPr>
          <w:spacing w:val="-5"/>
          <w:w w:val="100"/>
        </w:rPr>
        <w:t>司出资额</w:t>
      </w:r>
      <w:r>
        <w:rPr>
          <w:rFonts w:ascii="Times New Roman" w:hAnsi="Times New Roman" w:cs="Times New Roman" w:eastAsia="Times New Roman" w:hint="default"/>
          <w:spacing w:val="-5"/>
          <w:w w:val="100"/>
        </w:rPr>
        <w:t>333.3333</w:t>
      </w:r>
      <w:r>
        <w:rPr>
          <w:spacing w:val="-5"/>
          <w:w w:val="100"/>
        </w:rPr>
        <w:t>万元人民币，股权比例为</w:t>
      </w:r>
      <w:r>
        <w:rPr>
          <w:rFonts w:ascii="Times New Roman" w:hAnsi="Times New Roman" w:cs="Times New Roman" w:eastAsia="Times New Roman" w:hint="default"/>
          <w:spacing w:val="-5"/>
          <w:w w:val="100"/>
        </w:rPr>
        <w:t>10%</w:t>
      </w:r>
      <w:r>
        <w:rPr>
          <w:spacing w:val="-5"/>
          <w:w w:val="100"/>
        </w:rPr>
        <w:t>；深圳市创新投资集团有限公司出资额</w:t>
      </w:r>
      <w:r>
        <w:rPr>
          <w:rFonts w:ascii="Times New Roman" w:hAnsi="Times New Roman" w:cs="Times New Roman" w:eastAsia="Times New Roman" w:hint="default"/>
          <w:spacing w:val="-5"/>
          <w:w w:val="100"/>
        </w:rPr>
        <w:t>166.6667</w:t>
      </w:r>
      <w:r>
        <w:rPr>
          <w:spacing w:val="-5"/>
          <w:w w:val="100"/>
        </w:rPr>
        <w:t>万元人民币，</w:t>
      </w:r>
      <w:r>
        <w:rPr>
          <w:spacing w:val="-84"/>
          <w:w w:val="100"/>
        </w:rPr>
        <w:t> </w:t>
      </w:r>
      <w:r>
        <w:rPr>
          <w:spacing w:val="-84"/>
          <w:w w:val="100"/>
        </w:rPr>
      </w:r>
      <w:r>
        <w:rPr/>
        <w:t>股权比例为</w:t>
      </w:r>
      <w:r>
        <w:rPr>
          <w:rFonts w:ascii="Times New Roman" w:hAnsi="Times New Roman" w:cs="Times New Roman" w:eastAsia="Times New Roman" w:hint="default"/>
        </w:rPr>
        <w:t>5%</w:t>
      </w:r>
      <w:r>
        <w:rPr/>
        <w:t>；深圳市建科投资股份有限公司出资额</w:t>
      </w:r>
      <w:r>
        <w:rPr>
          <w:rFonts w:ascii="Times New Roman" w:hAnsi="Times New Roman" w:cs="Times New Roman" w:eastAsia="Times New Roman" w:hint="default"/>
        </w:rPr>
        <w:t>500</w:t>
      </w:r>
      <w:r>
        <w:rPr/>
        <w:t>万元人民币，股权比例为</w:t>
      </w:r>
      <w:r>
        <w:rPr>
          <w:rFonts w:ascii="Times New Roman" w:hAnsi="Times New Roman" w:cs="Times New Roman" w:eastAsia="Times New Roman" w:hint="default"/>
        </w:rPr>
        <w:t>15%</w:t>
      </w:r>
      <w:r>
        <w:rPr/>
        <w:t>。上述出资业经中</w:t>
      </w:r>
      <w:r>
        <w:rPr>
          <w:spacing w:val="-56"/>
        </w:rPr>
        <w:t> </w:t>
      </w:r>
      <w:r>
        <w:rPr>
          <w:spacing w:val="-3"/>
        </w:rPr>
        <w:t>天运会计师事务所有限公司深圳分所出具的中天运（深圳）</w:t>
      </w:r>
      <w:r>
        <w:rPr>
          <w:rFonts w:ascii="Times New Roman" w:hAnsi="Times New Roman" w:cs="Times New Roman" w:eastAsia="Times New Roman" w:hint="default"/>
          <w:spacing w:val="-3"/>
        </w:rPr>
        <w:t>[2012]</w:t>
      </w:r>
      <w:r>
        <w:rPr>
          <w:spacing w:val="-3"/>
        </w:rPr>
        <w:t>验字第</w:t>
      </w:r>
      <w:r>
        <w:rPr>
          <w:rFonts w:ascii="Times New Roman" w:hAnsi="Times New Roman" w:cs="Times New Roman" w:eastAsia="Times New Roman" w:hint="default"/>
          <w:spacing w:val="-3"/>
        </w:rPr>
        <w:t>00007</w:t>
      </w:r>
      <w:r>
        <w:rPr>
          <w:spacing w:val="-3"/>
        </w:rPr>
        <w:t>号《验资报告》验证。本公</w:t>
      </w:r>
      <w:r>
        <w:rPr>
          <w:spacing w:val="-19"/>
        </w:rPr>
        <w:t> </w:t>
      </w:r>
      <w:r>
        <w:rPr>
          <w:spacing w:val="-19"/>
        </w:rPr>
      </w:r>
      <w:r>
        <w:rPr/>
        <w:t>司已于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日办理了工商变更登记手续。</w:t>
      </w:r>
      <w:r>
        <w:rPr>
          <w:w w:val="100"/>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日，本公司按照发起人协议及章程（草案）的规定，以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日为基准日，将深圳市</w:t>
      </w:r>
      <w:r>
        <w:rPr>
          <w:spacing w:val="-28"/>
        </w:rPr>
        <w:t> </w:t>
      </w:r>
      <w:r>
        <w:rPr>
          <w:spacing w:val="-28"/>
        </w:rPr>
      </w:r>
      <w:r>
        <w:rPr/>
        <w:t>建筑科学研究院有限公司整体变更设立为股份有限公司，以截至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日深圳市建筑科学研究院有</w:t>
      </w:r>
      <w:r>
        <w:rPr>
          <w:spacing w:val="-25"/>
        </w:rPr>
        <w:t> </w:t>
      </w:r>
      <w:r>
        <w:rPr>
          <w:spacing w:val="-25"/>
        </w:rPr>
      </w:r>
      <w:r>
        <w:rPr>
          <w:spacing w:val="-2"/>
        </w:rPr>
        <w:t>限公司的净资产人民币</w:t>
      </w:r>
      <w:r>
        <w:rPr>
          <w:rFonts w:ascii="Times New Roman" w:hAnsi="Times New Roman" w:cs="Times New Roman" w:eastAsia="Times New Roman" w:hint="default"/>
          <w:spacing w:val="-2"/>
        </w:rPr>
        <w:t>166,322,358.71</w:t>
      </w:r>
      <w:r>
        <w:rPr>
          <w:spacing w:val="-2"/>
        </w:rPr>
        <w:t>元，按</w:t>
      </w:r>
      <w:r>
        <w:rPr>
          <w:rFonts w:ascii="Times New Roman" w:hAnsi="Times New Roman" w:cs="Times New Roman" w:eastAsia="Times New Roman" w:hint="default"/>
          <w:spacing w:val="-2"/>
        </w:rPr>
        <w:t>1:0.6614</w:t>
      </w:r>
      <w:r>
        <w:rPr>
          <w:spacing w:val="-2"/>
        </w:rPr>
        <w:t>的比例折合股份总额</w:t>
      </w:r>
      <w:r>
        <w:rPr>
          <w:rFonts w:ascii="Times New Roman" w:hAnsi="Times New Roman" w:cs="Times New Roman" w:eastAsia="Times New Roman" w:hint="default"/>
          <w:spacing w:val="-2"/>
        </w:rPr>
        <w:t>11,000</w:t>
      </w:r>
      <w:r>
        <w:rPr>
          <w:spacing w:val="-2"/>
        </w:rPr>
        <w:t>万股，每股</w:t>
      </w:r>
      <w:r>
        <w:rPr>
          <w:rFonts w:ascii="Times New Roman" w:hAnsi="Times New Roman" w:cs="Times New Roman" w:eastAsia="Times New Roman" w:hint="default"/>
          <w:spacing w:val="-2"/>
        </w:rPr>
        <w:t>1</w:t>
      </w:r>
      <w:r>
        <w:rPr>
          <w:spacing w:val="-2"/>
        </w:rPr>
        <w:t>元，共计股本</w:t>
      </w:r>
      <w:r>
        <w:rPr>
          <w:spacing w:val="-25"/>
        </w:rPr>
        <w:t> </w:t>
      </w:r>
      <w:r>
        <w:rPr>
          <w:spacing w:val="-25"/>
        </w:rPr>
      </w:r>
      <w:r>
        <w:rPr>
          <w:spacing w:val="-3"/>
        </w:rPr>
        <w:t>人民币</w:t>
      </w:r>
      <w:r>
        <w:rPr>
          <w:rFonts w:ascii="Times New Roman" w:hAnsi="Times New Roman" w:cs="Times New Roman" w:eastAsia="Times New Roman" w:hint="default"/>
          <w:spacing w:val="-3"/>
        </w:rPr>
        <w:t>110,000,000.00</w:t>
      </w:r>
      <w:r>
        <w:rPr>
          <w:spacing w:val="-3"/>
        </w:rPr>
        <w:t>元，大于股本部分计入资本公积。变更后股东出资和股权比例为：深圳市投资控股有</w:t>
      </w:r>
      <w:r>
        <w:rPr>
          <w:spacing w:val="-30"/>
        </w:rPr>
        <w:t> </w:t>
      </w:r>
      <w:r>
        <w:rPr>
          <w:spacing w:val="-30"/>
        </w:rPr>
      </w:r>
      <w:r>
        <w:rPr>
          <w:spacing w:val="-2"/>
        </w:rPr>
        <w:t>限公司出资额</w:t>
      </w:r>
      <w:r>
        <w:rPr>
          <w:rFonts w:ascii="Times New Roman" w:hAnsi="Times New Roman" w:cs="Times New Roman" w:eastAsia="Times New Roman" w:hint="default"/>
          <w:spacing w:val="-2"/>
        </w:rPr>
        <w:t>6,600</w:t>
      </w:r>
      <w:r>
        <w:rPr>
          <w:spacing w:val="-2"/>
        </w:rPr>
        <w:t>万元人民币，股权比例为</w:t>
      </w:r>
      <w:r>
        <w:rPr>
          <w:rFonts w:ascii="Times New Roman" w:hAnsi="Times New Roman" w:cs="Times New Roman" w:eastAsia="Times New Roman" w:hint="default"/>
          <w:spacing w:val="-2"/>
        </w:rPr>
        <w:t>60%</w:t>
      </w:r>
      <w:r>
        <w:rPr>
          <w:spacing w:val="-2"/>
        </w:rPr>
        <w:t>；深圳市建科投资股份有限公司出资额</w:t>
      </w:r>
      <w:r>
        <w:rPr>
          <w:rFonts w:ascii="Times New Roman" w:hAnsi="Times New Roman" w:cs="Times New Roman" w:eastAsia="Times New Roman" w:hint="default"/>
          <w:spacing w:val="-2"/>
        </w:rPr>
        <w:t>1,650</w:t>
      </w:r>
      <w:r>
        <w:rPr>
          <w:spacing w:val="-2"/>
        </w:rPr>
        <w:t>万元人民币，</w:t>
      </w:r>
      <w:r>
        <w:rPr>
          <w:spacing w:val="-12"/>
        </w:rPr>
        <w:t> </w:t>
      </w:r>
      <w:r>
        <w:rPr>
          <w:spacing w:val="-12"/>
        </w:rPr>
      </w:r>
      <w:r>
        <w:rPr/>
        <w:t>股权比例为</w:t>
      </w:r>
      <w:r>
        <w:rPr>
          <w:rFonts w:ascii="Times New Roman" w:hAnsi="Times New Roman" w:cs="Times New Roman" w:eastAsia="Times New Roman" w:hint="default"/>
        </w:rPr>
        <w:t>15%</w:t>
      </w:r>
      <w:r>
        <w:rPr/>
        <w:t>；中关村发展集团股份有限公司出资额</w:t>
      </w:r>
      <w:r>
        <w:rPr>
          <w:rFonts w:ascii="Times New Roman" w:hAnsi="Times New Roman" w:cs="Times New Roman" w:eastAsia="Times New Roman" w:hint="default"/>
        </w:rPr>
        <w:t>1,100</w:t>
      </w:r>
      <w:r>
        <w:rPr/>
        <w:t>万元人民币，股权比例为</w:t>
      </w:r>
      <w:r>
        <w:rPr>
          <w:rFonts w:ascii="Times New Roman" w:hAnsi="Times New Roman" w:cs="Times New Roman" w:eastAsia="Times New Roman" w:hint="default"/>
        </w:rPr>
        <w:t>10%</w:t>
      </w:r>
      <w:r>
        <w:rPr/>
        <w:t>；深圳市英龙建</w:t>
      </w:r>
      <w:r>
        <w:rPr>
          <w:w w:val="100"/>
        </w:rPr>
        <w:t> </w:t>
      </w:r>
      <w:r>
        <w:rPr/>
        <w:t>安（集团）有限公司出资额</w:t>
      </w:r>
      <w:r>
        <w:rPr>
          <w:rFonts w:ascii="Times New Roman" w:hAnsi="Times New Roman" w:cs="Times New Roman" w:eastAsia="Times New Roman" w:hint="default"/>
        </w:rPr>
        <w:t>1,100</w:t>
      </w:r>
      <w:r>
        <w:rPr/>
        <w:t>万元人民币，股权比例为</w:t>
      </w:r>
      <w:r>
        <w:rPr>
          <w:rFonts w:ascii="Times New Roman" w:hAnsi="Times New Roman" w:cs="Times New Roman" w:eastAsia="Times New Roman" w:hint="default"/>
        </w:rPr>
        <w:t>10%</w:t>
      </w:r>
      <w:r>
        <w:rPr/>
        <w:t>；深圳市创新投资集团有限公司出资额</w:t>
      </w:r>
      <w:r>
        <w:rPr>
          <w:rFonts w:ascii="Times New Roman" w:hAnsi="Times New Roman" w:cs="Times New Roman" w:eastAsia="Times New Roman" w:hint="default"/>
        </w:rPr>
        <w:t>550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万元人民币，股权比例为</w:t>
      </w:r>
      <w:r>
        <w:rPr>
          <w:rFonts w:ascii="Times New Roman" w:hAnsi="Times New Roman" w:cs="Times New Roman" w:eastAsia="Times New Roman" w:hint="default"/>
          <w:spacing w:val="-2"/>
        </w:rPr>
        <w:t>5%</w:t>
      </w:r>
      <w:r>
        <w:rPr>
          <w:spacing w:val="-2"/>
        </w:rPr>
        <w:t>。上述出资业经立信会计师事务所（特殊普通合伙）出具的信会师报字</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第</w:t>
      </w:r>
      <w:r>
        <w:rPr>
          <w:rFonts w:ascii="Times New Roman" w:hAnsi="Times New Roman" w:cs="Times New Roman" w:eastAsia="Times New Roman" w:hint="default"/>
        </w:rPr>
        <w:t>310546</w:t>
      </w:r>
      <w:r>
        <w:rPr/>
        <w:t>号《验资报告》验证。本公司已于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日办理了工商变更登记手续。</w:t>
      </w:r>
      <w:r>
        <w:rPr>
          <w:w w:val="10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日，根据深圳市人民政府国有资产监督管理委员会关于对本公司股权实施战略性调整的通知</w:t>
      </w:r>
    </w:p>
    <w:p>
      <w:pPr>
        <w:pStyle w:val="Heading6"/>
        <w:spacing w:line="261" w:lineRule="auto" w:before="5"/>
        <w:ind w:right="0"/>
        <w:jc w:val="left"/>
      </w:pPr>
      <w:r>
        <w:rPr>
          <w:spacing w:val="-2"/>
        </w:rPr>
        <w:t>（深国资委</w:t>
      </w:r>
      <w:r>
        <w:rPr>
          <w:rFonts w:ascii="Times New Roman" w:hAnsi="Times New Roman" w:cs="Times New Roman" w:eastAsia="Times New Roman" w:hint="default"/>
          <w:spacing w:val="-2"/>
        </w:rPr>
        <w:t>[2014]564</w:t>
      </w:r>
      <w:r>
        <w:rPr>
          <w:spacing w:val="-2"/>
        </w:rPr>
        <w:t>号），决定将深圳市投资控股有限公司持有的本公司</w:t>
      </w:r>
      <w:r>
        <w:rPr>
          <w:rFonts w:ascii="Times New Roman" w:hAnsi="Times New Roman" w:cs="Times New Roman" w:eastAsia="Times New Roman" w:hint="default"/>
          <w:spacing w:val="-2"/>
        </w:rPr>
        <w:t>60%</w:t>
      </w:r>
      <w:r>
        <w:rPr>
          <w:spacing w:val="-2"/>
        </w:rPr>
        <w:t>股权战略性调整至深圳市远</w:t>
      </w:r>
      <w:r>
        <w:rPr>
          <w:spacing w:val="-32"/>
        </w:rPr>
        <w:t> </w:t>
      </w:r>
      <w:r>
        <w:rPr>
          <w:spacing w:val="-32"/>
        </w:rPr>
      </w:r>
      <w:r>
        <w:rPr>
          <w:spacing w:val="-2"/>
        </w:rPr>
        <w:t>致投资有限公司，深圳市投资控股有限公司已于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日在深圳联合产权交易所办理完权益交割。</w:t>
      </w:r>
      <w:r>
        <w:rPr>
          <w:spacing w:val="-17"/>
        </w:rPr>
        <w:t> </w:t>
      </w:r>
      <w:r>
        <w:rPr>
          <w:spacing w:val="-17"/>
        </w:rPr>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23</w:t>
      </w:r>
      <w:r>
        <w:rPr>
          <w:spacing w:val="-3"/>
        </w:rPr>
        <w:t>日，本公司经中国证券监督管理委员会证监许可</w:t>
      </w:r>
      <w:r>
        <w:rPr>
          <w:rFonts w:ascii="Times New Roman" w:hAnsi="Times New Roman" w:cs="Times New Roman" w:eastAsia="Times New Roman" w:hint="default"/>
          <w:spacing w:val="-3"/>
        </w:rPr>
        <w:t>[2017]1028</w:t>
      </w:r>
      <w:r>
        <w:rPr>
          <w:spacing w:val="-3"/>
        </w:rPr>
        <w:t>号文《关于核准深圳市建筑科学研</w:t>
      </w:r>
      <w:r>
        <w:rPr>
          <w:spacing w:val="-10"/>
        </w:rPr>
        <w:t> </w:t>
      </w:r>
      <w:r>
        <w:rPr>
          <w:spacing w:val="-10"/>
        </w:rPr>
      </w:r>
      <w:r>
        <w:rPr>
          <w:spacing w:val="-2"/>
        </w:rPr>
        <w:t>究院股份有限公司首次公开发行股票的批复》核准向社会公众公开发行人民币普通股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36,666,700</w:t>
      </w:r>
      <w:r>
        <w:rPr>
          <w:spacing w:val="-2"/>
        </w:rPr>
        <w:t>股。</w:t>
      </w:r>
      <w:r>
        <w:rPr>
          <w:spacing w:val="-64"/>
        </w:rPr>
        <w:t> </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日向社会公众投资者定价发行人民币普通股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)36,666,700</w:t>
      </w:r>
      <w:r>
        <w:rPr>
          <w:spacing w:val="-2"/>
        </w:rPr>
        <w:t>股，注册资本变更为人民</w:t>
      </w:r>
      <w:r>
        <w:rPr>
          <w:spacing w:val="-4"/>
        </w:rPr>
        <w:t> </w:t>
      </w:r>
      <w:r>
        <w:rPr>
          <w:spacing w:val="-4"/>
        </w:rPr>
      </w:r>
      <w:r>
        <w:rPr>
          <w:spacing w:val="-3"/>
        </w:rPr>
        <w:t>币</w:t>
      </w:r>
      <w:r>
        <w:rPr>
          <w:rFonts w:ascii="Times New Roman" w:hAnsi="Times New Roman" w:cs="Times New Roman" w:eastAsia="Times New Roman" w:hint="default"/>
          <w:spacing w:val="-3"/>
        </w:rPr>
        <w:t>146,666,700.00</w:t>
      </w:r>
      <w:r>
        <w:rPr>
          <w:spacing w:val="-3"/>
        </w:rPr>
        <w:t>元。上述出资业经立信会计师事务所（特殊普通合伙）出具的信会师报字</w:t>
      </w:r>
      <w:r>
        <w:rPr>
          <w:rFonts w:ascii="Times New Roman" w:hAnsi="Times New Roman" w:cs="Times New Roman" w:eastAsia="Times New Roman" w:hint="default"/>
          <w:spacing w:val="-3"/>
        </w:rPr>
        <w:t>[2017]</w:t>
      </w:r>
      <w:r>
        <w:rPr>
          <w:spacing w:val="-3"/>
        </w:rPr>
        <w:t>第</w:t>
      </w:r>
      <w:r>
        <w:rPr>
          <w:rFonts w:ascii="Times New Roman" w:hAnsi="Times New Roman" w:cs="Times New Roman" w:eastAsia="Times New Roman" w:hint="default"/>
          <w:spacing w:val="-3"/>
        </w:rPr>
        <w:t>ZI10642</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号《验资报告》验证。本公司股票于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日在深圳证券交易所挂牌交易。</w:t>
      </w:r>
      <w:r>
        <w:rPr>
          <w:w w:val="100"/>
        </w:rPr>
        <w:t> </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日，公司注册资本为人民币</w:t>
      </w:r>
      <w:r>
        <w:rPr>
          <w:rFonts w:ascii="Times New Roman" w:hAnsi="Times New Roman" w:cs="Times New Roman" w:eastAsia="Times New Roman" w:hint="default"/>
        </w:rPr>
        <w:t>146,666,700.00</w:t>
      </w:r>
      <w:r>
        <w:rPr/>
        <w:t>元。</w:t>
      </w:r>
      <w:r>
        <w:rPr>
          <w:spacing w:val="-3"/>
          <w:w w:val="100"/>
        </w:rPr>
        <w:t> </w:t>
      </w:r>
      <w:r>
        <w:rPr>
          <w:spacing w:val="-2"/>
        </w:rPr>
        <w:t>公司经营范围：城市及建筑科学研究，城市规划编制，工程咨询、勘察、设计、质量检测与检查、项目管</w:t>
      </w:r>
      <w:r>
        <w:rPr>
          <w:spacing w:val="-47"/>
        </w:rPr>
        <w:t> </w:t>
      </w:r>
      <w:r>
        <w:rPr>
          <w:spacing w:val="-47"/>
        </w:rPr>
      </w:r>
      <w:r>
        <w:rPr>
          <w:spacing w:val="-2"/>
        </w:rPr>
        <w:t>理、监理及相关技术服务，环境工程检测和咨询，建筑工程性能评估，能耗测评及节能检测评价，绿色节</w:t>
      </w:r>
      <w:r>
        <w:rPr>
          <w:spacing w:val="-43"/>
        </w:rPr>
        <w:t> </w:t>
      </w:r>
      <w:r>
        <w:rPr>
          <w:spacing w:val="-43"/>
        </w:rPr>
      </w:r>
      <w:r>
        <w:rPr>
          <w:spacing w:val="-2"/>
        </w:rPr>
        <w:t>能改造咨询与施工，绿色建筑与园区运营管理，碳审计与评估，绿色低碳技术与产品开发、咨询、投资、</w:t>
      </w:r>
      <w:r>
        <w:rPr>
          <w:spacing w:val="-21"/>
        </w:rPr>
        <w:t> </w:t>
      </w:r>
      <w:r>
        <w:rPr>
          <w:spacing w:val="-21"/>
        </w:rPr>
      </w:r>
      <w:r>
        <w:rPr/>
        <w:t>培训推广和销售贸易，会议展览，物业租赁与管理</w:t>
      </w:r>
      <w:r>
        <w:rPr>
          <w:rFonts w:ascii="Times New Roman" w:hAnsi="Times New Roman" w:cs="Times New Roman" w:eastAsia="Times New Roman" w:hint="default"/>
        </w:rPr>
        <w:t>,</w:t>
      </w:r>
      <w:r>
        <w:rPr/>
        <w:t>建筑服务。绿色低碳技术培训推广。</w:t>
      </w:r>
      <w:r>
        <w:rPr>
          <w:w w:val="100"/>
        </w:rPr>
        <w:t> </w:t>
      </w:r>
      <w:r>
        <w:rPr/>
        <w:t>公司法定代表人：叶青</w:t>
      </w:r>
    </w:p>
    <w:p>
      <w:pPr>
        <w:pStyle w:val="Heading6"/>
        <w:spacing w:line="256" w:lineRule="auto" w:before="18"/>
        <w:ind w:right="0"/>
        <w:jc w:val="left"/>
      </w:pPr>
      <w:r>
        <w:rPr/>
        <w:t>公司注册地址：深圳市福田区上梅林梅坳三路</w:t>
      </w:r>
      <w:r>
        <w:rPr>
          <w:rFonts w:ascii="Times New Roman" w:hAnsi="Times New Roman" w:cs="Times New Roman" w:eastAsia="Times New Roman" w:hint="default"/>
        </w:rPr>
        <w:t>29</w:t>
      </w:r>
      <w:r>
        <w:rPr/>
        <w:t>号建科大楼</w:t>
      </w:r>
      <w:r>
        <w:rPr>
          <w:w w:val="100"/>
        </w:rPr>
        <w:t> </w:t>
      </w:r>
      <w:r>
        <w:rPr/>
        <w:t>本财务报表业经公司董事会于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日批准报出。</w:t>
      </w:r>
    </w:p>
    <w:p>
      <w:pPr>
        <w:spacing w:line="240" w:lineRule="auto" w:before="3"/>
        <w:rPr>
          <w:rFonts w:ascii="宋体" w:hAnsi="宋体" w:cs="宋体" w:eastAsia="宋体" w:hint="default"/>
          <w:sz w:val="24"/>
          <w:szCs w:val="24"/>
        </w:rPr>
      </w:pPr>
    </w:p>
    <w:p>
      <w:pPr>
        <w:pStyle w:val="Heading6"/>
        <w:spacing w:line="240" w:lineRule="auto"/>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8"/>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8524"/>
      </w:tblGrid>
      <w:tr>
        <w:trPr>
          <w:trHeight w:val="355" w:hRule="exact"/>
        </w:trPr>
        <w:tc>
          <w:tcPr>
            <w:tcW w:w="8524" w:type="dxa"/>
            <w:tcBorders>
              <w:top w:val="single" w:sz="6" w:space="0" w:color="000000"/>
              <w:left w:val="nil" w:sz="6" w:space="0" w:color="auto"/>
              <w:bottom w:val="single" w:sz="12" w:space="0" w:color="000000"/>
              <w:right w:val="nil" w:sz="6" w:space="0" w:color="auto"/>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深圳市迪赛恩科技有限公司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迪赛恩</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tc>
      </w:tr>
    </w:tbl>
    <w:p>
      <w:pPr>
        <w:spacing w:after="0" w:line="278" w:lineRule="exact"/>
        <w:jc w:val="left"/>
        <w:rPr>
          <w:rFonts w:ascii="Times New Roman" w:hAnsi="Times New Roman" w:cs="Times New Roman" w:eastAsia="Times New Roman" w:hint="default"/>
          <w:sz w:val="21"/>
          <w:szCs w:val="21"/>
        </w:rPr>
        <w:sectPr>
          <w:pgSz w:w="11910" w:h="16840"/>
          <w:pgMar w:header="745" w:footer="980" w:top="1060" w:bottom="1160" w:left="980" w:right="920"/>
        </w:sectPr>
      </w:pPr>
    </w:p>
    <w:p>
      <w:pPr>
        <w:spacing w:line="240" w:lineRule="auto" w:before="11"/>
        <w:rPr>
          <w:rFonts w:ascii="宋体" w:hAnsi="宋体" w:cs="宋体" w:eastAsia="宋体" w:hint="default"/>
          <w:sz w:val="2"/>
          <w:szCs w:val="2"/>
        </w:rPr>
      </w:pPr>
      <w:r>
        <w:rPr/>
        <w:pict>
          <v:group style="position:absolute;margin-left:55.200001pt;margin-top:55.559982pt;width:484.9pt;height:.1pt;mso-position-horizontal-relative:page;mso-position-vertical-relative:page;z-index:-1294312"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52" w:type="dxa"/>
        <w:tblLayout w:type="fixed"/>
        <w:tblCellMar>
          <w:top w:w="0" w:type="dxa"/>
          <w:left w:w="0" w:type="dxa"/>
          <w:bottom w:w="0" w:type="dxa"/>
          <w:right w:w="0" w:type="dxa"/>
        </w:tblCellMar>
        <w:tblLook w:val="01E0"/>
      </w:tblPr>
      <w:tblGrid>
        <w:gridCol w:w="8524"/>
      </w:tblGrid>
      <w:tr>
        <w:trPr>
          <w:trHeight w:val="692" w:hRule="exact"/>
        </w:trPr>
        <w:tc>
          <w:tcPr>
            <w:tcW w:w="8524" w:type="dxa"/>
            <w:tcBorders>
              <w:top w:val="single" w:sz="6" w:space="0" w:color="000000"/>
              <w:left w:val="nil" w:sz="6" w:space="0" w:color="auto"/>
              <w:bottom w:val="single" w:sz="12" w:space="0" w:color="000000"/>
              <w:right w:val="nil" w:sz="6" w:space="0" w:color="auto"/>
            </w:tcBorders>
          </w:tcPr>
          <w:p>
            <w:pPr>
              <w:pStyle w:val="TableParagraph"/>
              <w:spacing w:line="28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深圳艾科筑业工程技术有限公司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艾科筑业</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tc>
      </w:tr>
      <w:tr>
        <w:trPr>
          <w:trHeight w:val="350"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深圳市市政工程咨询中心有限公司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市政中心</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81"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北京艾科城工程技术有限公司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北京艾科城</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深圳艾科城工程技术有限公司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深圳艾科城</w:t>
            </w:r>
            <w:r>
              <w:rPr>
                <w:rFonts w:ascii="Times New Roman" w:hAnsi="Times New Roman" w:cs="Times New Roman" w:eastAsia="Times New Roman" w:hint="default"/>
                <w:sz w:val="21"/>
                <w:szCs w:val="21"/>
              </w:rPr>
              <w:t>”)</w:t>
            </w:r>
          </w:p>
        </w:tc>
      </w:tr>
      <w:tr>
        <w:trPr>
          <w:trHeight w:val="350"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深圳市建研检测有限公司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建研检测</w:t>
            </w:r>
            <w:r>
              <w:rPr>
                <w:rFonts w:ascii="Times New Roman" w:hAnsi="Times New Roman" w:cs="Times New Roman" w:eastAsia="Times New Roman"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81" w:lineRule="exact"/>
              <w:ind w:left="12" w:right="0"/>
              <w:jc w:val="left"/>
              <w:rPr>
                <w:rFonts w:ascii="宋体" w:hAnsi="宋体" w:cs="宋体" w:eastAsia="宋体" w:hint="default"/>
                <w:sz w:val="21"/>
                <w:szCs w:val="21"/>
              </w:rPr>
            </w:pPr>
            <w:r>
              <w:rPr>
                <w:rFonts w:ascii="宋体" w:hAnsi="宋体" w:cs="宋体" w:eastAsia="宋体" w:hint="default"/>
                <w:sz w:val="21"/>
                <w:szCs w:val="21"/>
              </w:rPr>
              <w:t>常州市城建艾科绿色技术有限公司（以下简称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常州城建艾科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上海市爱轲城生态科技有限公司（以下简称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上海爱轲</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深圳市九一绿色运营管理有限公司（以下简称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深圳九一</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81" w:lineRule="exact"/>
              <w:ind w:left="12" w:right="0"/>
              <w:jc w:val="left"/>
              <w:rPr>
                <w:rFonts w:ascii="宋体" w:hAnsi="宋体" w:cs="宋体" w:eastAsia="宋体" w:hint="default"/>
                <w:sz w:val="21"/>
                <w:szCs w:val="21"/>
              </w:rPr>
            </w:pPr>
            <w:r>
              <w:rPr>
                <w:rFonts w:ascii="宋体" w:hAnsi="宋体" w:cs="宋体" w:eastAsia="宋体" w:hint="default"/>
                <w:sz w:val="21"/>
                <w:szCs w:val="21"/>
              </w:rPr>
              <w:t>河北雄安玖壹生态科技有限公司（以下简称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雄安玖壹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8524" w:type="dxa"/>
            <w:tcBorders>
              <w:top w:val="single" w:sz="12" w:space="0" w:color="000000"/>
              <w:left w:val="nil" w:sz="6" w:space="0" w:color="auto"/>
              <w:bottom w:val="single" w:sz="12" w:space="0" w:color="000000"/>
              <w:right w:val="nil" w:sz="6" w:space="0" w:color="auto"/>
            </w:tcBorders>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河北雄安绿研检验认证有限公司（以下简称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绿研检验</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pStyle w:val="Heading6"/>
        <w:spacing w:line="278" w:lineRule="exact"/>
        <w:ind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1"/>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61" w:lineRule="auto"/>
        <w:ind w:right="0"/>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spacing w:val="-2"/>
        </w:rPr>
        <w:t>和各项具体会计准则、企业会计准则应用指南、企业会计准则解释及其他相关规定，以及中国证券监督管</w:t>
      </w:r>
      <w:r>
        <w:rPr>
          <w:spacing w:val="-44"/>
        </w:rPr>
        <w:t> </w:t>
      </w:r>
      <w:r>
        <w:rPr>
          <w:spacing w:val="-44"/>
        </w:rPr>
      </w:r>
      <w:r>
        <w:rPr/>
        <w:t>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财务报告的一般规定》的披露规定编制财</w:t>
      </w:r>
      <w:r>
        <w:rPr>
          <w:w w:val="100"/>
        </w:rPr>
        <w:t> </w:t>
      </w:r>
      <w:r>
        <w:rPr/>
        <w:t>务报表。</w:t>
      </w:r>
    </w:p>
    <w:p>
      <w:pPr>
        <w:spacing w:line="240" w:lineRule="auto" w:before="3"/>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56" w:lineRule="auto"/>
        <w:ind w:right="206"/>
        <w:jc w:val="both"/>
      </w:pPr>
      <w:r>
        <w:rPr>
          <w:spacing w:val="-2"/>
        </w:rPr>
        <w:t>公司已评价自报告期末起至少</w:t>
      </w:r>
      <w:r>
        <w:rPr>
          <w:rFonts w:ascii="Times New Roman" w:hAnsi="Times New Roman" w:cs="Times New Roman" w:eastAsia="Times New Roman" w:hint="default"/>
          <w:spacing w:val="-2"/>
        </w:rPr>
        <w:t>12</w:t>
      </w:r>
      <w:r>
        <w:rPr>
          <w:spacing w:val="-2"/>
        </w:rPr>
        <w:t>个月的持续经营能力，公司管理层相信公司能自本财务报表批准日后不短</w:t>
      </w:r>
      <w:r>
        <w:rPr>
          <w:spacing w:val="-41"/>
        </w:rPr>
        <w:t> </w:t>
      </w:r>
      <w:r>
        <w:rPr>
          <w:spacing w:val="-41"/>
        </w:rPr>
      </w:r>
      <w:r>
        <w:rPr>
          <w:spacing w:val="-2"/>
        </w:rPr>
        <w:t>于</w:t>
      </w:r>
      <w:r>
        <w:rPr>
          <w:rFonts w:ascii="Times New Roman" w:hAnsi="Times New Roman" w:cs="Times New Roman" w:eastAsia="Times New Roman" w:hint="default"/>
          <w:spacing w:val="-2"/>
        </w:rPr>
        <w:t>12</w:t>
      </w:r>
      <w:r>
        <w:rPr>
          <w:spacing w:val="-2"/>
        </w:rPr>
        <w:t>个月的可预见未来期间内持续经营。因此，公司以持续经营为基础编制截至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日止的财务</w:t>
      </w:r>
      <w:r>
        <w:rPr>
          <w:spacing w:val="-33"/>
        </w:rPr>
        <w:t> </w:t>
      </w:r>
      <w:r>
        <w:rPr>
          <w:spacing w:val="-33"/>
        </w:rPr>
      </w:r>
      <w:r>
        <w:rPr/>
        <w:t>报表。</w:t>
      </w:r>
    </w:p>
    <w:p>
      <w:pPr>
        <w:spacing w:line="240" w:lineRule="auto" w:before="11"/>
        <w:rPr>
          <w:rFonts w:ascii="宋体" w:hAnsi="宋体" w:cs="宋体" w:eastAsia="宋体" w:hint="default"/>
          <w:sz w:val="16"/>
          <w:szCs w:val="16"/>
        </w:rPr>
      </w:pPr>
    </w:p>
    <w:p>
      <w:pPr>
        <w:pStyle w:val="Heading4"/>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74"/>
        <w:jc w:val="left"/>
      </w:pPr>
      <w:r>
        <w:rPr/>
        <w:t>公司是否需要遵守特殊行业的披露要求 否</w:t>
      </w:r>
    </w:p>
    <w:p>
      <w:pPr>
        <w:pStyle w:val="BodyText"/>
        <w:spacing w:line="240" w:lineRule="auto" w:before="27"/>
        <w:ind w:right="0"/>
        <w:jc w:val="left"/>
      </w:pPr>
      <w:r>
        <w:rPr/>
        <w:t>具体会计政策和会计估计提示：</w:t>
      </w:r>
    </w:p>
    <w:p>
      <w:pPr>
        <w:pStyle w:val="Heading6"/>
        <w:spacing w:line="273" w:lineRule="auto" w:before="94"/>
        <w:ind w:right="0"/>
        <w:jc w:val="left"/>
      </w:pPr>
      <w:r>
        <w:rPr>
          <w:spacing w:val="-2"/>
        </w:rPr>
        <w:t>公司重要会计政策及会计估计，是依据财政部发布的企业会计准则的有关规定并结合本公司生产经营特点</w:t>
      </w:r>
      <w:r>
        <w:rPr>
          <w:spacing w:val="-43"/>
        </w:rPr>
        <w:t> </w:t>
      </w:r>
      <w:r>
        <w:rPr>
          <w:spacing w:val="-43"/>
        </w:rPr>
      </w:r>
      <w:r>
        <w:rPr/>
        <w:t>所制定的。</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ind w:right="0"/>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after="0" w:line="273" w:lineRule="auto"/>
        <w:jc w:val="left"/>
        <w:sectPr>
          <w:pgSz w:w="11910" w:h="16840"/>
          <w:pgMar w:header="745" w:footer="980" w:top="106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335" w:lineRule="exact"/>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40" w:lineRule="auto"/>
        <w:ind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spacing w:line="448" w:lineRule="auto" w:before="0"/>
        <w:ind w:left="152" w:right="61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本公司采用人民币为记账本位币。</w:t>
      </w:r>
    </w:p>
    <w:p>
      <w:pPr>
        <w:pStyle w:val="Heading5"/>
        <w:spacing w:line="240" w:lineRule="auto" w:before="88"/>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73" w:lineRule="auto"/>
        <w:ind w:right="0"/>
        <w:jc w:val="left"/>
      </w:pPr>
      <w:r>
        <w:rPr>
          <w:spacing w:val="-2"/>
        </w:rPr>
        <w:t>同一控制下企业合并：本公司在企业合并中取得的资产和负债，按照合并日被合并方资产、负债（包括最</w:t>
      </w:r>
      <w:r>
        <w:rPr>
          <w:spacing w:val="-47"/>
        </w:rPr>
        <w:t> </w:t>
      </w:r>
      <w:r>
        <w:rPr>
          <w:spacing w:val="-47"/>
        </w:rPr>
      </w:r>
      <w:r>
        <w:rPr>
          <w:spacing w:val="-2"/>
        </w:rPr>
        <w:t>终控制方收购被合并方而形成的商誉）在最终控制方合并财务报表中的账面价值计量。在合并中取得的净</w:t>
      </w:r>
      <w:r>
        <w:rPr>
          <w:spacing w:val="-43"/>
        </w:rPr>
        <w:t> </w:t>
      </w:r>
      <w:r>
        <w:rPr>
          <w:spacing w:val="-43"/>
        </w:rPr>
      </w:r>
      <w:r>
        <w:rPr/>
        <w:t>资产账面价值与支付的合并对价账面价值（或发行股份面值总额）的差额，调整资本公积中的股本溢价，</w:t>
      </w:r>
      <w:r>
        <w:rPr>
          <w:w w:val="100"/>
        </w:rPr>
        <w:t> </w:t>
      </w:r>
      <w:r>
        <w:rPr/>
        <w:t>资本公积中的股本溢价不足冲减的，调整留存收益。</w:t>
      </w:r>
      <w:r>
        <w:rPr>
          <w:w w:val="100"/>
        </w:rPr>
        <w:t> </w:t>
      </w:r>
      <w:r>
        <w:rPr/>
        <w:t>非同一控制下企业合并：本公司在购买日对作为企业合并对价付出的资产、发生或承担的负债按照公允价</w:t>
      </w:r>
      <w:r>
        <w:rPr>
          <w:w w:val="100"/>
        </w:rPr>
        <w:t> </w:t>
      </w:r>
      <w:r>
        <w:rPr>
          <w:spacing w:val="-2"/>
        </w:rPr>
        <w:t>值计量，公允价值与其账面价值的差额，计入当期损益。本公司对合并成本大于合并中取得的被购买方可</w:t>
      </w:r>
      <w:r>
        <w:rPr>
          <w:spacing w:val="-44"/>
        </w:rPr>
        <w:t> </w:t>
      </w:r>
      <w:r>
        <w:rPr>
          <w:spacing w:val="-44"/>
        </w:rPr>
      </w:r>
      <w:r>
        <w:rPr>
          <w:spacing w:val="-2"/>
        </w:rPr>
        <w:t>辨认净资产公允价值份额的差额，确认为商誉；合并成本小于合并中取得的被购买方可辨认净资产公允价</w:t>
      </w:r>
      <w:r>
        <w:rPr>
          <w:spacing w:val="-43"/>
        </w:rPr>
        <w:t> </w:t>
      </w:r>
      <w:r>
        <w:rPr>
          <w:spacing w:val="-43"/>
        </w:rPr>
      </w:r>
      <w:r>
        <w:rPr/>
        <w:t>值份额的差额，经复核后，计入当期损益。</w:t>
      </w:r>
      <w:r>
        <w:rPr>
          <w:w w:val="100"/>
        </w:rPr>
        <w:t> </w:t>
      </w:r>
      <w:r>
        <w:rPr>
          <w:spacing w:val="-5"/>
        </w:rPr>
        <w:t>为企业合并发生的审计、法律服务、评估咨询等中介费用以及其他直接相关费用，于发生时计入当期损益；</w:t>
      </w:r>
      <w:r>
        <w:rPr>
          <w:spacing w:val="-3"/>
        </w:rPr>
        <w:t> </w:t>
      </w:r>
      <w:r>
        <w:rPr>
          <w:spacing w:val="-3"/>
        </w:rPr>
      </w:r>
      <w:r>
        <w:rPr/>
        <w:t>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61" w:lineRule="auto"/>
        <w:ind w:right="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合并范围</w:t>
      </w:r>
      <w:r>
        <w:rPr>
          <w:rFonts w:ascii="Microsoft JhengHei" w:hAnsi="Microsoft JhengHei" w:cs="Microsoft JhengHei" w:eastAsia="Microsoft JhengHei" w:hint="default"/>
          <w:b/>
          <w:bCs/>
          <w:spacing w:val="-49"/>
        </w:rPr>
        <w:t> </w:t>
      </w:r>
      <w:r>
        <w:rPr>
          <w:spacing w:val="-2"/>
        </w:rPr>
        <w:t>本公司合并财务报表的合并范围以控制为基础确定，所有子公司（包括本公司所控制的被投资方可分割的</w:t>
      </w:r>
      <w:r>
        <w:rPr>
          <w:spacing w:val="-44"/>
        </w:rPr>
        <w:t> </w:t>
      </w:r>
      <w:r>
        <w:rPr>
          <w:spacing w:val="-44"/>
        </w:rPr>
      </w:r>
      <w:r>
        <w:rPr/>
        <w:t>部分）均纳入合并财务报表。</w:t>
      </w:r>
    </w:p>
    <w:p>
      <w:pPr>
        <w:pStyle w:val="Heading6"/>
        <w:spacing w:line="312" w:lineRule="exact" w:before="14"/>
        <w:ind w:right="0"/>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合并程序</w:t>
      </w:r>
      <w:r>
        <w:rPr>
          <w:rFonts w:ascii="Microsoft JhengHei" w:hAnsi="Microsoft JhengHei" w:cs="Microsoft JhengHei" w:eastAsia="Microsoft JhengHei" w:hint="default"/>
          <w:b/>
          <w:bCs/>
          <w:spacing w:val="-49"/>
        </w:rPr>
        <w:t> </w:t>
      </w:r>
      <w:r>
        <w:rPr>
          <w:spacing w:val="-2"/>
        </w:rPr>
        <w:t>本公司以自身和各子公司的财务报表为基础，根据其他有关资料，编制合并财务报表。本公司编制合并财</w:t>
      </w:r>
      <w:r>
        <w:rPr>
          <w:spacing w:val="-44"/>
        </w:rPr>
        <w:t> </w:t>
      </w:r>
      <w:r>
        <w:rPr>
          <w:spacing w:val="-44"/>
        </w:rPr>
      </w:r>
      <w:r>
        <w:rPr>
          <w:spacing w:val="-2"/>
        </w:rPr>
        <w:t>务报表，将整个企业集团视为一个会计主体，依据相关企业会计准则的确认、计量和列报要求，按照统一</w:t>
      </w:r>
      <w:r>
        <w:rPr>
          <w:spacing w:val="-47"/>
        </w:rPr>
        <w:t> </w:t>
      </w:r>
      <w:r>
        <w:rPr>
          <w:spacing w:val="-47"/>
        </w:rPr>
      </w:r>
      <w:r>
        <w:rPr/>
        <w:t>的会计政策，反映本企业集团整体财务状况、经营成果和现金流量。</w:t>
      </w:r>
      <w:r>
        <w:rPr>
          <w:w w:val="100"/>
        </w:rPr>
        <w:t> </w:t>
      </w:r>
      <w:r>
        <w:rPr>
          <w:spacing w:val="-2"/>
        </w:rPr>
        <w:t>所有纳入合并财务报表合并范围的子公司所采用的会计政策、会计期间与本公司一致，如子公司采用的会</w:t>
      </w:r>
    </w:p>
    <w:p>
      <w:pPr>
        <w:pStyle w:val="Heading6"/>
        <w:spacing w:line="273" w:lineRule="auto" w:before="5"/>
        <w:ind w:right="0"/>
        <w:jc w:val="left"/>
      </w:pPr>
      <w:r>
        <w:rPr>
          <w:spacing w:val="-2"/>
        </w:rPr>
        <w:t>计政策、会计期间与本公司不一致的，在编制合并财务报表时，按本公司的会计政策、会计期间进行必要</w:t>
      </w:r>
      <w:r>
        <w:rPr>
          <w:spacing w:val="-50"/>
        </w:rPr>
        <w:t> </w:t>
      </w:r>
      <w:r>
        <w:rPr>
          <w:spacing w:val="-50"/>
        </w:rPr>
      </w:r>
      <w:r>
        <w:rPr>
          <w:spacing w:val="-2"/>
        </w:rPr>
        <w:t>的调整。对于非同一控制下企业合并取得的子公司，以购买日可辨认净资产公允价值为基础对其财务报表</w:t>
      </w:r>
      <w:r>
        <w:rPr>
          <w:spacing w:val="-44"/>
        </w:rPr>
        <w:t> </w:t>
      </w:r>
      <w:r>
        <w:rPr>
          <w:spacing w:val="-44"/>
        </w:rPr>
      </w:r>
      <w:r>
        <w:rPr>
          <w:spacing w:val="-2"/>
        </w:rPr>
        <w:t>进行调整。对于同一控制下企业合并取得的子公司，以其资产、负债（包括最终控制方收购该子公司而形</w:t>
      </w:r>
      <w:r>
        <w:rPr>
          <w:spacing w:val="-44"/>
        </w:rPr>
        <w:t> </w:t>
      </w:r>
      <w:r>
        <w:rPr>
          <w:spacing w:val="-44"/>
        </w:rPr>
      </w:r>
      <w:r>
        <w:rPr/>
        <w:t>成的商誉）在最终控制方财务报表中的账面价值为基础对其财务报表进行调整。</w:t>
      </w:r>
      <w:r>
        <w:rPr>
          <w:w w:val="100"/>
        </w:rPr>
        <w:t> </w:t>
      </w:r>
      <w:r>
        <w:rPr>
          <w:spacing w:val="-2"/>
        </w:rPr>
        <w:t>子公司所有者权益、当期净损益和当期综合收益中属于少数股东的份额分别在合并资产负债表中所有者权</w:t>
      </w:r>
      <w:r>
        <w:rPr>
          <w:spacing w:val="-43"/>
        </w:rPr>
        <w:t> </w:t>
      </w:r>
      <w:r>
        <w:rPr>
          <w:spacing w:val="-43"/>
        </w:rPr>
      </w:r>
      <w:r>
        <w:rPr>
          <w:spacing w:val="-2"/>
        </w:rPr>
        <w:t>益项目下、合并利润表中净利润项目下和综合收益总额项目下单独列示。子公司少数股东分担的当期亏损</w:t>
      </w:r>
      <w:r>
        <w:rPr>
          <w:spacing w:val="-43"/>
        </w:rPr>
        <w:t> </w:t>
      </w:r>
      <w:r>
        <w:rPr>
          <w:spacing w:val="-43"/>
        </w:rPr>
      </w:r>
      <w:r>
        <w:rPr/>
        <w:t>超过了少数股东在该子公司期初所有者权益中所享有份额而形成的余额，冲减少数股东权益。</w:t>
      </w:r>
    </w:p>
    <w:p>
      <w:pPr>
        <w:pStyle w:val="Heading6"/>
        <w:spacing w:line="240" w:lineRule="auto" w:before="7"/>
        <w:ind w:right="0"/>
        <w:jc w:val="left"/>
      </w:pPr>
      <w:r>
        <w:rPr/>
        <w:t>（</w:t>
      </w:r>
      <w:r>
        <w:rPr>
          <w:rFonts w:ascii="Times New Roman" w:hAnsi="Times New Roman" w:cs="Times New Roman" w:eastAsia="Times New Roman" w:hint="default"/>
        </w:rPr>
        <w:t>1</w:t>
      </w:r>
      <w:r>
        <w:rPr/>
        <w:t>）增加子公司或业务</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273" w:lineRule="auto" w:before="36"/>
        <w:ind w:right="0"/>
        <w:jc w:val="left"/>
      </w:pPr>
      <w:r>
        <w:rPr>
          <w:spacing w:val="-2"/>
        </w:rPr>
        <w:t>在报告期内，若因同一控制下企业合并增加子公司或业务的，则调整合并资产负债表的期初数；将子公司</w:t>
      </w:r>
      <w:r>
        <w:rPr>
          <w:spacing w:val="-43"/>
        </w:rPr>
        <w:t> </w:t>
      </w:r>
      <w:r>
        <w:rPr>
          <w:spacing w:val="-43"/>
        </w:rPr>
      </w:r>
      <w:r>
        <w:rPr>
          <w:spacing w:val="-2"/>
        </w:rPr>
        <w:t>或业务合并当期期初至报告期末的收入、费用、利润纳入合并利润表；将子公司或业务合并当期期初至报</w:t>
      </w:r>
      <w:r>
        <w:rPr>
          <w:spacing w:val="-43"/>
        </w:rPr>
        <w:t> </w:t>
      </w:r>
      <w:r>
        <w:rPr>
          <w:spacing w:val="-43"/>
        </w:rPr>
      </w:r>
      <w:r>
        <w:rPr>
          <w:spacing w:val="-2"/>
        </w:rPr>
        <w:t>告期末的现金流量纳入合并现金流量表，同时对比较报表的相关项目进行调整，视同合并后的报告主体自</w:t>
      </w:r>
      <w:r>
        <w:rPr>
          <w:spacing w:val="-43"/>
        </w:rPr>
        <w:t> </w:t>
      </w:r>
      <w:r>
        <w:rPr>
          <w:spacing w:val="-43"/>
        </w:rPr>
      </w:r>
      <w:r>
        <w:rPr/>
        <w:t>最终控制方开始控制时点起一直存在。</w:t>
      </w:r>
      <w:r>
        <w:rPr>
          <w:w w:val="100"/>
        </w:rPr>
        <w:t> </w:t>
      </w:r>
      <w:r>
        <w:rPr>
          <w:spacing w:val="-2"/>
        </w:rPr>
        <w:t>因追加投资等原因能够对同一控制下的被投资方实施控制的，视同参与合并的各方在最终控制方开始控制</w:t>
      </w:r>
      <w:r>
        <w:rPr>
          <w:spacing w:val="-43"/>
        </w:rPr>
        <w:t> </w:t>
      </w:r>
      <w:r>
        <w:rPr>
          <w:spacing w:val="-43"/>
        </w:rPr>
      </w:r>
      <w:r>
        <w:rPr>
          <w:spacing w:val="-2"/>
        </w:rPr>
        <w:t>时即以目前的状态存在进行调整。在取得被合并方控制权之前持有的股权投资，在取得原股权之日与合并</w:t>
      </w:r>
      <w:r>
        <w:rPr>
          <w:spacing w:val="-44"/>
        </w:rPr>
        <w:t> </w:t>
      </w:r>
      <w:r>
        <w:rPr>
          <w:spacing w:val="-44"/>
        </w:rPr>
      </w:r>
      <w:r>
        <w:rPr>
          <w:spacing w:val="-2"/>
        </w:rPr>
        <w:t>方和被合并方同处于同一控制之日孰晚日起至合并日之间已确认有关损益、其他综合收益以及其他净资产</w:t>
      </w:r>
      <w:r>
        <w:rPr>
          <w:spacing w:val="-43"/>
        </w:rPr>
        <w:t> </w:t>
      </w:r>
      <w:r>
        <w:rPr>
          <w:spacing w:val="-43"/>
        </w:rPr>
      </w:r>
      <w:r>
        <w:rPr/>
        <w:t>变动，分别冲减比较报表期间的期初留存收益或当期损益。</w:t>
      </w:r>
      <w:r>
        <w:rPr>
          <w:w w:val="100"/>
        </w:rPr>
        <w:t> </w:t>
      </w:r>
      <w:r>
        <w:rPr>
          <w:spacing w:val="-2"/>
        </w:rPr>
        <w:t>在报告期内，若因非同一控制下企业合并增加子公司或业务的，则不调整合并资产负债表期初数；将该子</w:t>
      </w:r>
      <w:r>
        <w:rPr>
          <w:spacing w:val="-43"/>
        </w:rPr>
        <w:t> </w:t>
      </w:r>
      <w:r>
        <w:rPr>
          <w:spacing w:val="-43"/>
        </w:rPr>
      </w:r>
      <w:r>
        <w:rPr>
          <w:spacing w:val="-2"/>
        </w:rPr>
        <w:t>公司或业务自购买日至报告期末的收入、费用、利润纳入合并利润表；该子公司或业务自购买日至报告期</w:t>
      </w:r>
      <w:r>
        <w:rPr>
          <w:spacing w:val="-43"/>
        </w:rPr>
        <w:t> </w:t>
      </w:r>
      <w:r>
        <w:rPr>
          <w:spacing w:val="-43"/>
        </w:rPr>
      </w:r>
      <w:r>
        <w:rPr/>
        <w:t>末的现金流量纳入合并现金流量表。</w:t>
      </w:r>
      <w:r>
        <w:rPr>
          <w:w w:val="100"/>
        </w:rPr>
        <w:t> </w:t>
      </w:r>
      <w:r>
        <w:rPr>
          <w:spacing w:val="-2"/>
        </w:rPr>
        <w:t>因追加投资等原因能够对非同一控制下的被投资方实施控制的，对于购买日之前持有的被购买方的股权，</w:t>
      </w:r>
      <w:r>
        <w:rPr>
          <w:spacing w:val="-21"/>
        </w:rPr>
        <w:t> </w:t>
      </w:r>
      <w:r>
        <w:rPr>
          <w:spacing w:val="-21"/>
        </w:rPr>
      </w:r>
      <w:r>
        <w:rPr>
          <w:spacing w:val="-2"/>
        </w:rPr>
        <w:t>本公司按照该股权在购买日的公允价值进行重新计量，公允价值与其账面价值的差额计入当期投资收益。</w:t>
      </w:r>
      <w:r>
        <w:rPr>
          <w:spacing w:val="-20"/>
        </w:rPr>
        <w:t> </w:t>
      </w:r>
      <w:r>
        <w:rPr>
          <w:spacing w:val="-20"/>
        </w:rPr>
      </w:r>
      <w:r>
        <w:rPr>
          <w:spacing w:val="-2"/>
        </w:rPr>
        <w:t>购买日之前持有的被购买方的股权涉及权益法核算下的其他综合收益以及除净损益、其他综合收益和利润</w:t>
      </w:r>
      <w:r>
        <w:rPr>
          <w:spacing w:val="-43"/>
        </w:rPr>
        <w:t> </w:t>
      </w:r>
      <w:r>
        <w:rPr>
          <w:spacing w:val="-43"/>
        </w:rPr>
      </w:r>
      <w:r>
        <w:rPr>
          <w:spacing w:val="-2"/>
        </w:rPr>
        <w:t>分配之外的其他所有者权益变动的，与其相关的其他综合收益、其他所有者权益变动转为购买日所属当期</w:t>
      </w:r>
      <w:r>
        <w:rPr>
          <w:spacing w:val="-43"/>
        </w:rPr>
        <w:t> </w:t>
      </w:r>
      <w:r>
        <w:rPr>
          <w:spacing w:val="-43"/>
        </w:rPr>
      </w:r>
      <w:r>
        <w:rPr/>
        <w:t>投资收益，由于被投资方重新计量设定受益计划净负债或净资产变动而产生的其他综合收益除外。</w:t>
      </w:r>
    </w:p>
    <w:p>
      <w:pPr>
        <w:pStyle w:val="Heading6"/>
        <w:spacing w:line="240" w:lineRule="auto" w:before="7"/>
        <w:ind w:right="0"/>
        <w:jc w:val="left"/>
      </w:pPr>
      <w:r>
        <w:rPr/>
        <w:t>（</w:t>
      </w:r>
      <w:r>
        <w:rPr>
          <w:rFonts w:ascii="Times New Roman" w:hAnsi="Times New Roman" w:cs="Times New Roman" w:eastAsia="Times New Roman" w:hint="default"/>
        </w:rPr>
        <w:t>2</w:t>
      </w:r>
      <w:r>
        <w:rPr/>
        <w:t>）处置子公司或业务</w:t>
      </w:r>
    </w:p>
    <w:p>
      <w:pPr>
        <w:pStyle w:val="Heading6"/>
        <w:spacing w:line="273" w:lineRule="auto" w:before="21"/>
        <w:ind w:right="0"/>
        <w:jc w:val="left"/>
      </w:pPr>
      <w:r>
        <w:rPr/>
        <w:t>①一般处理方法</w:t>
      </w:r>
      <w:r>
        <w:rPr>
          <w:spacing w:val="-103"/>
        </w:rPr>
        <w:t> </w:t>
      </w:r>
      <w:r>
        <w:rPr>
          <w:spacing w:val="-103"/>
        </w:rPr>
      </w:r>
      <w:r>
        <w:rPr>
          <w:spacing w:val="-2"/>
        </w:rPr>
        <w:t>在报告期内，本公司处置子公司或业务，则该子公司或业务期初至处置日的收入、费用、利润纳入合并利</w:t>
      </w:r>
      <w:r>
        <w:rPr>
          <w:spacing w:val="-47"/>
        </w:rPr>
        <w:t> </w:t>
      </w:r>
      <w:r>
        <w:rPr>
          <w:spacing w:val="-47"/>
        </w:rPr>
      </w:r>
      <w:r>
        <w:rPr/>
        <w:t>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因处置部分股权投资或其他原因丧失了对被投资方控制权时，对于处置后的剩余股权投资，本公司按照其</w:t>
      </w:r>
      <w:r>
        <w:rPr>
          <w:spacing w:val="-41"/>
        </w:rPr>
        <w:t> </w:t>
      </w:r>
      <w:r>
        <w:rPr>
          <w:spacing w:val="-41"/>
        </w:rPr>
      </w:r>
      <w:r>
        <w:rPr>
          <w:spacing w:val="-2"/>
        </w:rPr>
        <w:t>在丧失控制权日的公允价值进行重新计量。处置股权取得的对价与剩余股权公允价值之和，减去按原持股</w:t>
      </w:r>
      <w:r>
        <w:rPr>
          <w:spacing w:val="-43"/>
        </w:rPr>
        <w:t> </w:t>
      </w:r>
      <w:r>
        <w:rPr>
          <w:spacing w:val="-43"/>
        </w:rPr>
      </w:r>
      <w:r>
        <w:rPr>
          <w:spacing w:val="-2"/>
        </w:rPr>
        <w:t>比例计算应享有原有子公司自购买日或合并日开始持续计算的净资产的份额与商誉之和的差额，计入丧失</w:t>
      </w:r>
      <w:r>
        <w:rPr>
          <w:spacing w:val="-43"/>
        </w:rPr>
        <w:t> </w:t>
      </w:r>
      <w:r>
        <w:rPr>
          <w:spacing w:val="-43"/>
        </w:rPr>
      </w:r>
      <w:r>
        <w:rPr>
          <w:spacing w:val="-2"/>
        </w:rPr>
        <w:t>控制权当期的投资收益。与原有子公司股权投资相关的其他综合收益或除净损益、其他综合收益及利润分</w:t>
      </w:r>
      <w:r>
        <w:rPr>
          <w:spacing w:val="-42"/>
        </w:rPr>
        <w:t> </w:t>
      </w:r>
      <w:r>
        <w:rPr>
          <w:spacing w:val="-42"/>
        </w:rPr>
      </w:r>
      <w:r>
        <w:rPr>
          <w:spacing w:val="-2"/>
        </w:rPr>
        <w:t>配之外的其他所有者权益变动，在丧失控制权时转为当期投资收益，由于被投资方重新计量设定受益计划</w:t>
      </w:r>
      <w:r>
        <w:rPr>
          <w:spacing w:val="-43"/>
        </w:rPr>
        <w:t> </w:t>
      </w:r>
      <w:r>
        <w:rPr>
          <w:spacing w:val="-43"/>
        </w:rPr>
      </w:r>
      <w:r>
        <w:rPr/>
        <w:t>净负债或净资产变动而产生的其他综合收益除外。</w:t>
      </w:r>
      <w:r>
        <w:rPr>
          <w:w w:val="100"/>
        </w:rPr>
        <w:t> </w:t>
      </w:r>
      <w:r>
        <w:rPr>
          <w:spacing w:val="-2"/>
        </w:rPr>
        <w:t>因其他投资方对子公司增资而导致本公司持股比例下降从而丧失控制权的，按照上述原则进行会计处理。</w:t>
      </w:r>
    </w:p>
    <w:p>
      <w:pPr>
        <w:pStyle w:val="Heading6"/>
        <w:spacing w:line="273" w:lineRule="auto" w:before="7"/>
        <w:ind w:right="139"/>
        <w:jc w:val="left"/>
      </w:pPr>
      <w:r>
        <w:rPr/>
        <w:t>②分步处置子公司</w:t>
      </w:r>
      <w:r>
        <w:rPr>
          <w:w w:val="100"/>
        </w:rPr>
        <w:t> </w:t>
      </w:r>
      <w:r>
        <w:rPr>
          <w:spacing w:val="-2"/>
        </w:rPr>
        <w:t>通过多次交易分步处置对子公司股权投资直至丧失控制权的，处置对子公司股权投资的各项交易的条款、</w:t>
      </w:r>
      <w:r>
        <w:rPr>
          <w:spacing w:val="-21"/>
        </w:rPr>
        <w:t> </w:t>
      </w:r>
      <w:r>
        <w:rPr>
          <w:spacing w:val="-21"/>
        </w:rPr>
      </w:r>
      <w:r>
        <w:rPr>
          <w:spacing w:val="-2"/>
        </w:rPr>
        <w:t>条件以及经济影响符合以下一种或多种情况，通常表明应将多次交易事项作为一揽子交易进行会计处理：</w:t>
      </w:r>
      <w:r>
        <w:rPr>
          <w:spacing w:val="-21"/>
        </w:rPr>
        <w:t> </w:t>
      </w:r>
      <w:r>
        <w:rPr>
          <w:spacing w:val="-21"/>
        </w:rPr>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处置对子公司股权投资直至丧失控制权的各项交易属于一揽子交易的，本公司将各项交易作为一项处置子</w:t>
      </w:r>
      <w:r>
        <w:rPr>
          <w:spacing w:val="-43"/>
        </w:rPr>
        <w:t> </w:t>
      </w:r>
      <w:r>
        <w:rPr>
          <w:spacing w:val="-43"/>
        </w:rPr>
      </w:r>
      <w:r>
        <w:rPr>
          <w:spacing w:val="-2"/>
        </w:rPr>
        <w:t>公司并丧失控制权的交易进行会计处理；但是，在丧失控制权之前每一次处置价款与处置投资对应的享有</w:t>
      </w:r>
      <w:r>
        <w:rPr>
          <w:spacing w:val="-42"/>
        </w:rPr>
        <w:t> </w:t>
      </w:r>
      <w:r>
        <w:rPr>
          <w:spacing w:val="-42"/>
        </w:rPr>
      </w:r>
      <w:r>
        <w:rPr>
          <w:spacing w:val="-2"/>
        </w:rPr>
        <w:t>该子公司净资产份额的差额，在合并财务报表中确认为其他综合收益，在丧失控制权时一并转入丧失控制</w:t>
      </w:r>
      <w:r>
        <w:rPr>
          <w:spacing w:val="-43"/>
        </w:rPr>
        <w:t> </w:t>
      </w:r>
      <w:r>
        <w:rPr>
          <w:spacing w:val="-43"/>
        </w:rPr>
      </w:r>
      <w:r>
        <w:rPr/>
        <w:t>权当期的损益。</w:t>
      </w:r>
      <w:r>
        <w:rPr>
          <w:spacing w:val="-103"/>
        </w:rPr>
        <w:t> </w:t>
      </w:r>
      <w:r>
        <w:rPr>
          <w:spacing w:val="-103"/>
        </w:rPr>
      </w:r>
      <w:r>
        <w:rPr>
          <w:spacing w:val="-2"/>
        </w:rPr>
        <w:t>处置对子公司股权投资直至丧失控制权的各项交易不属于一揽子交易的，在丧失控制权之前，按不丧失控</w:t>
      </w:r>
      <w:r>
        <w:rPr>
          <w:spacing w:val="-44"/>
        </w:rPr>
        <w:t> </w:t>
      </w:r>
      <w:r>
        <w:rPr>
          <w:spacing w:val="-44"/>
        </w:rPr>
      </w:r>
      <w:r>
        <w:rPr>
          <w:spacing w:val="-2"/>
        </w:rPr>
        <w:t>制权的情况下部分处置对子公司的股权投资的相关政策进行会计处理；在丧失控制权时，按处置子公司一</w:t>
      </w:r>
      <w:r>
        <w:rPr>
          <w:spacing w:val="-43"/>
        </w:rPr>
        <w:t> </w:t>
      </w:r>
      <w:r>
        <w:rPr>
          <w:spacing w:val="-43"/>
        </w:rPr>
      </w:r>
      <w:r>
        <w:rPr/>
        <w:t>般处理方法进行会计处理。</w:t>
      </w:r>
    </w:p>
    <w:p>
      <w:pPr>
        <w:pStyle w:val="Heading6"/>
        <w:spacing w:line="264" w:lineRule="auto" w:before="7"/>
        <w:ind w:right="0"/>
        <w:jc w:val="left"/>
      </w:pPr>
      <w:r>
        <w:rPr/>
        <w:t>（</w:t>
      </w: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本公司因购买少数股权新取得的长期股权投资与按照新增持股比例计算应享有子公司自购买日（或合并</w:t>
      </w:r>
      <w:r>
        <w:rPr>
          <w:w w:val="100"/>
        </w:rPr>
        <w:t> </w:t>
      </w:r>
      <w:r>
        <w:rPr>
          <w:spacing w:val="-2"/>
        </w:rPr>
        <w:t>日）开始持续计算的净资产份额之间的差额，调整合并资产负债表中的资本公积中的股本溢价，资本公积</w:t>
      </w:r>
    </w:p>
    <w:p>
      <w:pPr>
        <w:spacing w:after="0" w:line="264"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240" w:lineRule="auto" w:before="36"/>
        <w:ind w:right="0"/>
        <w:jc w:val="left"/>
      </w:pPr>
      <w:r>
        <w:rPr/>
        <w:t>中的股本溢价不足冲减的，调整留存收益。</w:t>
      </w:r>
    </w:p>
    <w:p>
      <w:pPr>
        <w:pStyle w:val="Heading6"/>
        <w:spacing w:line="266" w:lineRule="auto" w:before="37"/>
        <w:ind w:right="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在不丧失控制权的情况下因部分处置对子公司的长期股权投资而取得的处置价款与处置长期股权投资相</w:t>
      </w:r>
      <w:r>
        <w:rPr>
          <w:w w:val="100"/>
        </w:rPr>
        <w:t> </w:t>
      </w:r>
      <w:r>
        <w:rPr>
          <w:spacing w:val="-2"/>
        </w:rPr>
        <w:t>对应享有子公司自购买日或合并日开始持续计算的净资产份额之间的差额，调整合并资产负债表中的资本</w:t>
      </w:r>
      <w:r>
        <w:rPr>
          <w:spacing w:val="-43"/>
        </w:rPr>
        <w:t> </w:t>
      </w:r>
      <w:r>
        <w:rPr>
          <w:spacing w:val="-43"/>
        </w:rPr>
      </w:r>
      <w:r>
        <w:rPr/>
        <w:t>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73"/>
        <w:ind w:left="152" w:right="2608"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Microsoft JhengHei" w:hAnsi="Microsoft JhengHei" w:cs="Microsoft JhengHei" w:eastAsia="Microsoft JhengHei" w:hint="default"/>
          <w:b/>
          <w:bCs/>
          <w:spacing w:val="-1"/>
          <w:sz w:val="21"/>
          <w:szCs w:val="21"/>
        </w:rPr>
        <w:t>、合营安排分类及共同经营会计处理方法</w:t>
      </w:r>
      <w:r>
        <w:rPr>
          <w:rFonts w:ascii="Microsoft JhengHei" w:hAnsi="Microsoft JhengHei" w:cs="Microsoft JhengHei" w:eastAsia="Microsoft JhengHei" w:hint="default"/>
          <w:b/>
          <w:bCs/>
          <w:spacing w:val="-18"/>
          <w:sz w:val="21"/>
          <w:szCs w:val="21"/>
        </w:rPr>
        <w:t> </w:t>
      </w:r>
      <w:r>
        <w:rPr>
          <w:rFonts w:ascii="Microsoft JhengHei" w:hAnsi="Microsoft JhengHei" w:cs="Microsoft JhengHei" w:eastAsia="Microsoft JhengHei" w:hint="default"/>
          <w:b/>
          <w:bCs/>
          <w:spacing w:val="-18"/>
          <w:sz w:val="21"/>
          <w:szCs w:val="21"/>
        </w:rPr>
      </w:r>
      <w:r>
        <w:rPr>
          <w:rFonts w:ascii="宋体" w:hAnsi="宋体" w:cs="宋体" w:eastAsia="宋体" w:hint="default"/>
          <w:sz w:val="21"/>
          <w:szCs w:val="21"/>
        </w:rPr>
        <w:t>合营安排分为共同经营和合营企业。</w:t>
      </w:r>
    </w:p>
    <w:p>
      <w:pPr>
        <w:pStyle w:val="Heading6"/>
        <w:spacing w:line="273" w:lineRule="auto" w:before="37"/>
        <w:ind w:right="0"/>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Heading6"/>
        <w:spacing w:line="240" w:lineRule="auto" w:before="7"/>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Heading6"/>
        <w:spacing w:line="240" w:lineRule="auto" w:before="21"/>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Heading6"/>
        <w:spacing w:line="240" w:lineRule="auto" w:before="21"/>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Heading6"/>
        <w:spacing w:line="240" w:lineRule="auto" w:before="21"/>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Heading6"/>
        <w:spacing w:line="256" w:lineRule="auto" w:before="21"/>
        <w:ind w:right="0"/>
        <w:jc w:val="left"/>
      </w:pPr>
      <w:r>
        <w:rPr>
          <w:spacing w:val="-2"/>
        </w:rPr>
        <w:t>（</w:t>
      </w:r>
      <w:r>
        <w:rPr>
          <w:rFonts w:ascii="Times New Roman" w:hAnsi="Times New Roman" w:cs="Times New Roman" w:eastAsia="Times New Roman" w:hint="default"/>
          <w:spacing w:val="-2"/>
        </w:rPr>
        <w:t>5</w:t>
      </w:r>
      <w:r>
        <w:rPr>
          <w:spacing w:val="-2"/>
        </w:rPr>
        <w:t>）确认单独所发生的费用，以及按本公司份额确认共同经营发生的费用。</w:t>
      </w:r>
      <w:r>
        <w:rPr>
          <w:spacing w:val="-42"/>
        </w:rPr>
        <w:t> </w:t>
      </w:r>
      <w:r>
        <w:rPr>
          <w:spacing w:val="-42"/>
        </w:rPr>
      </w:r>
      <w:r>
        <w:rPr/>
        <w:t>本公司对合营企业投资的会计政策见本附注</w:t>
      </w:r>
      <w:r>
        <w:rPr>
          <w:rFonts w:ascii="Times New Roman" w:hAnsi="Times New Roman" w:cs="Times New Roman" w:eastAsia="Times New Roman" w:hint="default"/>
        </w:rPr>
        <w:t>“</w:t>
      </w:r>
      <w:r>
        <w:rPr/>
        <w:t>三、（十三）长期股权投资</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73" w:lineRule="auto"/>
        <w:ind w:right="167"/>
        <w:jc w:val="both"/>
      </w:pPr>
      <w:r>
        <w:rPr>
          <w:spacing w:val="-7"/>
        </w:rPr>
        <w:t>在编制现金流量表时，将本公司库存现金以及可以随时用于支付的存款确认为现金。将同时具备期限短（从</w:t>
      </w:r>
      <w:r>
        <w:rPr>
          <w:spacing w:val="-19"/>
        </w:rPr>
        <w:t> </w:t>
      </w:r>
      <w:r>
        <w:rPr>
          <w:spacing w:val="-19"/>
        </w:rPr>
      </w:r>
      <w:r>
        <w:rPr>
          <w:spacing w:val="-2"/>
        </w:rPr>
        <w:t>购买日起三个月内到期）、流动性强、易于转换为已知现金、价值变动风险很小四个条件的投资，确定为</w:t>
      </w:r>
      <w:r>
        <w:rPr>
          <w:spacing w:val="-43"/>
        </w:rPr>
        <w:t> </w:t>
      </w:r>
      <w:r>
        <w:rPr>
          <w:spacing w:val="-43"/>
        </w:rPr>
      </w:r>
      <w:r>
        <w:rPr/>
        <w:t>现金等价物。</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5"/>
        <w:rPr>
          <w:rFonts w:ascii="Microsoft JhengHei" w:hAnsi="Microsoft JhengHei" w:cs="Microsoft JhengHei" w:eastAsia="Microsoft JhengHei" w:hint="default"/>
          <w:b/>
          <w:bCs/>
          <w:sz w:val="17"/>
          <w:szCs w:val="17"/>
        </w:rPr>
      </w:pPr>
    </w:p>
    <w:p>
      <w:pPr>
        <w:pStyle w:val="Heading5"/>
        <w:spacing w:line="312" w:lineRule="exact"/>
        <w:ind w:right="1312"/>
        <w:jc w:val="left"/>
        <w:rPr>
          <w:b w:val="0"/>
          <w:bCs w:val="0"/>
        </w:rPr>
      </w:pPr>
      <w:r>
        <w:rPr>
          <w:rFonts w:ascii="Times New Roman" w:hAnsi="Times New Roman" w:cs="Times New Roman" w:eastAsia="Times New Roman" w:hint="default"/>
        </w:rPr>
        <w:t>1.</w:t>
      </w:r>
      <w:r>
        <w:rPr/>
        <w:t>外币业务</w:t>
      </w:r>
      <w:r>
        <w:rPr>
          <w:spacing w:val="-49"/>
        </w:rPr>
        <w:t> </w:t>
      </w:r>
      <w:r>
        <w:rPr>
          <w:spacing w:val="-1"/>
        </w:rPr>
        <w:t>外币业务采用交易发生日的即期汇率作为折算汇率将外币金额折合成人民币记账。</w:t>
      </w:r>
      <w:r>
        <w:rPr>
          <w:b w:val="0"/>
          <w:bCs w:val="0"/>
          <w:spacing w:val="-1"/>
        </w:rPr>
      </w:r>
    </w:p>
    <w:p>
      <w:pPr>
        <w:pStyle w:val="Heading5"/>
        <w:spacing w:line="312" w:lineRule="exact"/>
        <w:ind w:right="172"/>
        <w:jc w:val="both"/>
        <w:rPr>
          <w:b w:val="0"/>
          <w:bCs w:val="0"/>
        </w:rPr>
      </w:pPr>
      <w:r>
        <w:rPr>
          <w:spacing w:val="-2"/>
        </w:rPr>
        <w:t>资产负债表日外币货币性项目余额按资产负债表日即期汇率折算，由此产生的汇兑差额，除属于与购建符</w:t>
      </w:r>
      <w:r>
        <w:rPr>
          <w:spacing w:val="12"/>
        </w:rPr>
        <w:t> </w:t>
      </w:r>
      <w:r>
        <w:rPr>
          <w:spacing w:val="12"/>
        </w:rPr>
      </w:r>
      <w:r>
        <w:rPr>
          <w:spacing w:val="-2"/>
        </w:rPr>
        <w:t>合资本化条件的资产相关的外币专门借款产生的汇兑差额按照借款费用资本化的原则处理外，均计入当期</w:t>
      </w:r>
      <w:r>
        <w:rPr>
          <w:spacing w:val="10"/>
        </w:rPr>
        <w:t> </w:t>
      </w:r>
      <w:r>
        <w:rPr>
          <w:spacing w:val="10"/>
        </w:rPr>
      </w:r>
      <w:r>
        <w:rPr/>
        <w:t>损益。</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Heading5"/>
        <w:spacing w:line="204" w:lineRule="auto"/>
        <w:ind w:right="0"/>
        <w:jc w:val="left"/>
        <w:rPr>
          <w:b w:val="0"/>
          <w:bCs w:val="0"/>
        </w:rPr>
      </w:pPr>
      <w:r>
        <w:rPr>
          <w:rFonts w:ascii="Times New Roman" w:hAnsi="Times New Roman" w:cs="Times New Roman" w:eastAsia="Times New Roman" w:hint="default"/>
        </w:rPr>
        <w:t>2.</w:t>
      </w:r>
      <w:r>
        <w:rPr/>
        <w:t>外币财务报表的折算</w:t>
      </w:r>
      <w:r>
        <w:rPr>
          <w:spacing w:val="-43"/>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8"/>
        </w:rPr>
        <w:t> </w:t>
      </w:r>
      <w:r>
        <w:rPr>
          <w:spacing w:val="-2"/>
        </w:rPr>
        <w:t>项目外，其他项目采用发生时的即期汇率折算。利润表中的收入和费用项目，采用交易发生日的即期汇率</w:t>
      </w:r>
      <w:r>
        <w:rPr>
          <w:b w:val="0"/>
          <w:bCs w:val="0"/>
          <w:spacing w:val="-2"/>
        </w:rPr>
      </w:r>
    </w:p>
    <w:p>
      <w:pPr>
        <w:pStyle w:val="Heading5"/>
        <w:spacing w:line="312" w:lineRule="exact" w:before="17"/>
        <w:ind w:right="0"/>
        <w:jc w:val="left"/>
        <w:rPr>
          <w:b w:val="0"/>
          <w:bCs w:val="0"/>
        </w:rPr>
      </w:pPr>
      <w:r>
        <w:rPr>
          <w:spacing w:val="-2"/>
        </w:rPr>
        <w:t>（或：采用按照系统合理的方法确定的、与交易发生日即期汇率近似的汇率。提示：若采用此种方法，应</w:t>
      </w:r>
      <w:r>
        <w:rPr>
          <w:spacing w:val="5"/>
        </w:rPr>
        <w:t> </w:t>
      </w:r>
      <w:r>
        <w:rPr>
          <w:spacing w:val="5"/>
        </w:rPr>
      </w:r>
      <w:r>
        <w:rPr/>
        <w:t>明示何种方法何种口径）折算。</w:t>
      </w:r>
      <w:r>
        <w:rPr>
          <w:spacing w:val="-42"/>
        </w:rPr>
        <w:t> </w:t>
      </w:r>
      <w:r>
        <w:rPr>
          <w:spacing w:val="-42"/>
        </w:rPr>
      </w:r>
      <w:r>
        <w:rPr>
          <w:spacing w:val="-1"/>
        </w:rPr>
        <w:t>处置境外经营时，将与该境外经营相关的外币财务报表折算差额，自所有者权益项目转入处置当期损益。</w:t>
      </w:r>
      <w:r>
        <w:rPr>
          <w:b w:val="0"/>
          <w:bCs w:val="0"/>
          <w:spacing w:val="-1"/>
        </w:rPr>
      </w:r>
    </w:p>
    <w:p>
      <w:pPr>
        <w:spacing w:after="0" w:line="312" w:lineRule="exact"/>
        <w:jc w:val="left"/>
        <w:sectPr>
          <w:pgSz w:w="11910" w:h="16840"/>
          <w:pgMar w:header="745" w:footer="980" w:top="1060" w:bottom="1160" w:left="980" w:right="96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335" w:lineRule="exact"/>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40" w:lineRule="auto"/>
        <w:ind w:right="0"/>
        <w:jc w:val="left"/>
      </w:pPr>
      <w:r>
        <w:rPr/>
        <w:t>金融工具包括金融资产、金融负债和权益工具。</w:t>
      </w:r>
    </w:p>
    <w:p>
      <w:pPr>
        <w:pStyle w:val="Heading6"/>
        <w:spacing w:line="266" w:lineRule="auto" w:before="37"/>
        <w:ind w:right="0"/>
        <w:jc w:val="left"/>
      </w:pPr>
      <w:r>
        <w:rPr>
          <w:rFonts w:ascii="Times New Roman" w:hAnsi="Times New Roman" w:cs="Times New Roman" w:eastAsia="Times New Roman" w:hint="default"/>
        </w:rPr>
        <w:t>1.</w:t>
      </w:r>
      <w:r>
        <w:rPr/>
        <w:t>金融工具的分类</w:t>
      </w:r>
      <w:r>
        <w:rPr>
          <w:w w:val="100"/>
        </w:rPr>
        <w:t> </w:t>
      </w:r>
      <w:r>
        <w:rPr/>
        <w:t>金融资产和金融负债于初始确认时分类为：以公允价值计量且其变动计入当期损益的金融资产或金融负</w:t>
      </w:r>
      <w:r>
        <w:rPr>
          <w:w w:val="100"/>
        </w:rPr>
        <w:t> </w:t>
      </w:r>
      <w:r>
        <w:rPr>
          <w:spacing w:val="-2"/>
        </w:rPr>
        <w:t>债，包括交易性金融资产或金融负债和直接指定为以公允价值计量且其变动计入当期损益的金融资产或金</w:t>
      </w:r>
      <w:r>
        <w:rPr>
          <w:spacing w:val="-43"/>
        </w:rPr>
        <w:t> </w:t>
      </w:r>
      <w:r>
        <w:rPr>
          <w:spacing w:val="-43"/>
        </w:rPr>
      </w:r>
      <w:r>
        <w:rPr/>
        <w:t>融负债；持有至到期投资；应收款项；可供出售金融资产；其他金融负债等。</w:t>
      </w:r>
    </w:p>
    <w:p>
      <w:pPr>
        <w:spacing w:line="240" w:lineRule="auto" w:before="12"/>
        <w:rPr>
          <w:rFonts w:ascii="宋体" w:hAnsi="宋体" w:cs="宋体" w:eastAsia="宋体" w:hint="default"/>
          <w:sz w:val="24"/>
          <w:szCs w:val="24"/>
        </w:rPr>
      </w:pPr>
    </w:p>
    <w:p>
      <w:pPr>
        <w:pStyle w:val="Heading6"/>
        <w:spacing w:line="240" w:lineRule="auto"/>
        <w:ind w:right="0"/>
        <w:jc w:val="left"/>
      </w:pPr>
      <w:r>
        <w:rPr>
          <w:rFonts w:ascii="Times New Roman" w:hAnsi="Times New Roman" w:cs="Times New Roman" w:eastAsia="Times New Roman" w:hint="default"/>
        </w:rPr>
        <w:t>2.</w:t>
      </w:r>
      <w:r>
        <w:rPr/>
        <w:t>金融工具的确认依据和计量方法</w:t>
      </w:r>
    </w:p>
    <w:p>
      <w:pPr>
        <w:pStyle w:val="Heading6"/>
        <w:spacing w:line="268" w:lineRule="auto" w:before="21"/>
        <w:ind w:right="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取得时以公允价值（扣除已宣告但尚未发放的现金股利或已到付息期但尚未领取的债券利息）作为初始确</w:t>
      </w:r>
      <w:r>
        <w:rPr>
          <w:spacing w:val="-44"/>
        </w:rPr>
        <w:t> </w:t>
      </w:r>
      <w:r>
        <w:rPr>
          <w:spacing w:val="-44"/>
        </w:rPr>
      </w:r>
      <w:r>
        <w:rPr/>
        <w:t>认金额，相关的交易费用计入当期损益。</w:t>
      </w:r>
      <w:r>
        <w:rPr>
          <w:w w:val="100"/>
        </w:rPr>
        <w:t> </w:t>
      </w:r>
      <w:r>
        <w:rPr/>
        <w:t>持有期间将取得的利息或现金股利确认为投资收益，期末将公允价值变动计入当期损益。</w:t>
      </w:r>
      <w:r>
        <w:rPr>
          <w:w w:val="100"/>
        </w:rPr>
        <w:t> </w:t>
      </w:r>
      <w:r>
        <w:rPr/>
        <w:t>处置时，其公允价值与初始入账金额之间的差额确认为投资收益，同时调整公允价值变动损益。</w:t>
      </w:r>
    </w:p>
    <w:p>
      <w:pPr>
        <w:pStyle w:val="Heading6"/>
        <w:spacing w:line="268" w:lineRule="auto" w:before="12"/>
        <w:ind w:right="0"/>
        <w:jc w:val="left"/>
      </w:pPr>
      <w:r>
        <w:rPr/>
        <w:t>（</w:t>
      </w:r>
      <w:r>
        <w:rPr>
          <w:rFonts w:ascii="Times New Roman" w:hAnsi="Times New Roman" w:cs="Times New Roman" w:eastAsia="Times New Roman" w:hint="default"/>
        </w:rPr>
        <w:t>2</w:t>
      </w:r>
      <w:r>
        <w:rPr/>
        <w:t>）持有至到期投资</w:t>
      </w:r>
      <w:r>
        <w:rPr>
          <w:w w:val="100"/>
        </w:rPr>
        <w:t> </w:t>
      </w:r>
      <w:r>
        <w:rPr/>
        <w:t>取得时按公允价值（扣除已到付息期但尚未领取的债券利息）和相关交易费用之和作为初始确认金额。</w:t>
      </w:r>
      <w:r>
        <w:rPr>
          <w:w w:val="100"/>
        </w:rPr>
        <w:t> </w:t>
      </w:r>
      <w:r>
        <w:rPr>
          <w:spacing w:val="-2"/>
        </w:rPr>
        <w:t>持有期间按照摊余成本和实际利率计算确认利息收入，计入投资收益。实际利率在取得时确定，在该预期</w:t>
      </w:r>
      <w:r>
        <w:rPr>
          <w:spacing w:val="-43"/>
        </w:rPr>
        <w:t> </w:t>
      </w:r>
      <w:r>
        <w:rPr>
          <w:spacing w:val="-43"/>
        </w:rPr>
      </w:r>
      <w:r>
        <w:rPr/>
        <w:t>存续期间或适用的更短期间内保持不变。</w:t>
      </w:r>
      <w:r>
        <w:rPr>
          <w:w w:val="100"/>
        </w:rPr>
        <w:t> </w:t>
      </w:r>
      <w:r>
        <w:rPr/>
        <w:t>处置时，将所取得价款与该投资账面价值之间的差额计入投资收益。</w:t>
      </w:r>
    </w:p>
    <w:p>
      <w:pPr>
        <w:pStyle w:val="Heading6"/>
        <w:spacing w:line="268" w:lineRule="auto" w:before="12"/>
        <w:ind w:right="0"/>
        <w:jc w:val="left"/>
      </w:pPr>
      <w:r>
        <w:rPr/>
        <w:t>（</w:t>
      </w: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公司对外销售商品或提供劳务形成的应收债权，以及公司持有的其他企业的不包括在活跃市场上有报价的</w:t>
      </w:r>
      <w:r>
        <w:rPr>
          <w:spacing w:val="-43"/>
        </w:rPr>
        <w:t> </w:t>
      </w:r>
      <w:r>
        <w:rPr>
          <w:spacing w:val="-43"/>
        </w:rPr>
      </w:r>
      <w:r>
        <w:rPr>
          <w:spacing w:val="-2"/>
        </w:rPr>
        <w:t>债务工具的债权，包括应收账款、其他应收款等，以向购货方应收的合同或协议价款作为初始确认金额；</w:t>
      </w:r>
      <w:r>
        <w:rPr>
          <w:spacing w:val="-21"/>
        </w:rPr>
        <w:t> </w:t>
      </w:r>
      <w:r>
        <w:rPr>
          <w:spacing w:val="-21"/>
        </w:rPr>
      </w:r>
      <w:r>
        <w:rPr/>
        <w:t>具有融资性质的，按其现值进行初始确认。</w:t>
      </w:r>
      <w:r>
        <w:rPr>
          <w:w w:val="100"/>
        </w:rPr>
        <w:t> </w:t>
      </w:r>
      <w:r>
        <w:rPr/>
        <w:t>收回或处置时，将取得的价款与该应收款项账面价值之间的差额计入当期损益。</w:t>
      </w:r>
    </w:p>
    <w:p>
      <w:pPr>
        <w:pStyle w:val="Heading6"/>
        <w:spacing w:line="271" w:lineRule="auto" w:before="12"/>
        <w:ind w:right="0"/>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取得时按公允价值（扣除已宣告但尚未发放的现金股利或已到付息期但尚未领取的债券利息）和相关交易</w:t>
      </w:r>
      <w:r>
        <w:rPr>
          <w:spacing w:val="-43"/>
        </w:rPr>
        <w:t> </w:t>
      </w:r>
      <w:r>
        <w:rPr>
          <w:spacing w:val="-43"/>
        </w:rPr>
      </w:r>
      <w:r>
        <w:rPr/>
        <w:t>费用之和作为初始确认金额。</w:t>
      </w:r>
      <w:r>
        <w:rPr>
          <w:w w:val="100"/>
        </w:rPr>
        <w:t> </w:t>
      </w:r>
      <w:r>
        <w:rPr>
          <w:spacing w:val="-2"/>
        </w:rPr>
        <w:t>持有期间将取得的利息或现金股利确认为投资收益。期末以公允价值计量且将公允价值变动计入其他综合</w:t>
      </w:r>
      <w:r>
        <w:rPr>
          <w:spacing w:val="-43"/>
        </w:rPr>
        <w:t> </w:t>
      </w:r>
      <w:r>
        <w:rPr>
          <w:spacing w:val="-43"/>
        </w:rPr>
      </w:r>
      <w:r>
        <w:rPr>
          <w:spacing w:val="-2"/>
        </w:rPr>
        <w:t>收益。但是，在活跃市场中没有报价且其公允价值不能可靠计量的权益工具投资，以及与该权益工具挂钩</w:t>
      </w:r>
      <w:r>
        <w:rPr>
          <w:spacing w:val="-44"/>
        </w:rPr>
        <w:t> </w:t>
      </w:r>
      <w:r>
        <w:rPr>
          <w:spacing w:val="-44"/>
        </w:rPr>
      </w:r>
      <w:r>
        <w:rPr/>
        <w:t>并须通过交付该权益工具结算的衍生金融资产，按照成本计量。</w:t>
      </w:r>
      <w:r>
        <w:rPr>
          <w:w w:val="100"/>
        </w:rPr>
        <w:t> </w:t>
      </w:r>
      <w:r>
        <w:rPr>
          <w:spacing w:val="-2"/>
        </w:rPr>
        <w:t>处置时，将取得的价款与该金融资产账面价值之间的差额，计入投资损益；同时，将原直接计入其他综合</w:t>
      </w:r>
      <w:r>
        <w:rPr>
          <w:spacing w:val="-47"/>
        </w:rPr>
        <w:t> </w:t>
      </w:r>
      <w:r>
        <w:rPr>
          <w:spacing w:val="-47"/>
        </w:rPr>
      </w:r>
      <w:r>
        <w:rPr/>
        <w:t>收益的公允价值变动累计额对应处置部分的金额转出，计入当期损益。</w:t>
      </w:r>
    </w:p>
    <w:p>
      <w:pPr>
        <w:pStyle w:val="Heading6"/>
        <w:spacing w:line="256" w:lineRule="auto" w:before="10"/>
        <w:ind w:right="595"/>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5"/>
        <w:rPr>
          <w:rFonts w:ascii="宋体" w:hAnsi="宋体" w:cs="宋体" w:eastAsia="宋体" w:hint="default"/>
          <w:sz w:val="25"/>
          <w:szCs w:val="25"/>
        </w:rPr>
      </w:pPr>
    </w:p>
    <w:p>
      <w:pPr>
        <w:pStyle w:val="Heading6"/>
        <w:spacing w:line="268" w:lineRule="auto"/>
        <w:ind w:right="0"/>
        <w:jc w:val="left"/>
      </w:pP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公司发生金融资产转移时，如已将金融资产所有权上几乎所有的风险和报酬转移给转入方，则终止确认该</w:t>
      </w:r>
      <w:r>
        <w:rPr>
          <w:spacing w:val="-43"/>
        </w:rPr>
        <w:t> </w:t>
      </w:r>
      <w:r>
        <w:rPr>
          <w:spacing w:val="-43"/>
        </w:rPr>
      </w:r>
      <w:r>
        <w:rPr/>
        <w:t>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在判断金融资产转移是否满足上述金融资产终止确认条件时，采用实质重于形式的原则。公司将金融资产</w:t>
      </w:r>
      <w:r>
        <w:rPr>
          <w:spacing w:val="-43"/>
        </w:rPr>
        <w:t> </w:t>
      </w:r>
      <w:r>
        <w:rPr>
          <w:spacing w:val="-43"/>
        </w:rPr>
      </w:r>
      <w:r>
        <w:rPr>
          <w:spacing w:val="-2"/>
        </w:rPr>
        <w:t>转移区分为金融资产整体转移和部分转移。金融资产整体转移满足终止确认条件的，将下列两项金额的差</w:t>
      </w:r>
      <w:r>
        <w:rPr>
          <w:spacing w:val="-44"/>
        </w:rPr>
        <w:t> </w:t>
      </w:r>
      <w:r>
        <w:rPr>
          <w:spacing w:val="-44"/>
        </w:rPr>
      </w:r>
      <w:r>
        <w:rPr/>
        <w:t>额计入当期损益：</w:t>
      </w:r>
    </w:p>
    <w:p>
      <w:pPr>
        <w:pStyle w:val="Heading6"/>
        <w:spacing w:line="240" w:lineRule="auto" w:before="12"/>
        <w:ind w:right="0"/>
        <w:jc w:val="left"/>
      </w:pPr>
      <w:r>
        <w:rPr/>
        <w:t>（</w:t>
      </w:r>
      <w:r>
        <w:rPr>
          <w:rFonts w:ascii="Times New Roman" w:hAnsi="Times New Roman" w:cs="Times New Roman" w:eastAsia="Times New Roman" w:hint="default"/>
        </w:rPr>
        <w:t>1</w:t>
      </w:r>
      <w:r>
        <w:rPr/>
        <w:t>）所转移金融资产的账面价值；</w:t>
      </w:r>
    </w:p>
    <w:p>
      <w:pPr>
        <w:pStyle w:val="Heading6"/>
        <w:spacing w:line="256" w:lineRule="auto" w:before="21"/>
        <w:ind w:right="0"/>
        <w:jc w:val="left"/>
      </w:pPr>
      <w:r>
        <w:rPr>
          <w:spacing w:val="-2"/>
        </w:rPr>
        <w:t>（</w:t>
      </w:r>
      <w:r>
        <w:rPr>
          <w:rFonts w:ascii="Times New Roman" w:hAnsi="Times New Roman" w:cs="Times New Roman" w:eastAsia="Times New Roman" w:hint="default"/>
          <w:spacing w:val="-2"/>
        </w:rPr>
        <w:t>2</w:t>
      </w:r>
      <w:r>
        <w:rPr>
          <w:spacing w:val="-2"/>
        </w:rPr>
        <w:t>）因转移而收到的对价，与原直接计入所有者权益的公允价值变动累计额（涉及转移的金融资产为可</w:t>
      </w:r>
      <w:r>
        <w:rPr>
          <w:spacing w:val="-23"/>
        </w:rPr>
        <w:t> </w:t>
      </w:r>
      <w:r>
        <w:rPr>
          <w:spacing w:val="-23"/>
        </w:rPr>
      </w:r>
      <w:r>
        <w:rPr/>
        <w:t>供出售金融资产的情形）之和。</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273" w:lineRule="auto" w:before="36"/>
        <w:ind w:right="0"/>
        <w:jc w:val="left"/>
      </w:pPr>
      <w:r>
        <w:rPr>
          <w:spacing w:val="-2"/>
        </w:rPr>
        <w:t>金融资产部分转移满足终止确认条件的，将所转移金融资产整体的账面价值，在终止确认部分和未终止确</w:t>
      </w:r>
      <w:r>
        <w:rPr>
          <w:spacing w:val="-43"/>
        </w:rPr>
        <w:t> </w:t>
      </w:r>
      <w:r>
        <w:rPr>
          <w:spacing w:val="-43"/>
        </w:rPr>
      </w:r>
      <w:r>
        <w:rPr/>
        <w:t>认部分之间，按照各自的相对公允价值进行分摊，并将下列两项金额的差额计入当期损益：</w:t>
      </w:r>
    </w:p>
    <w:p>
      <w:pPr>
        <w:pStyle w:val="Heading6"/>
        <w:spacing w:line="240" w:lineRule="auto" w:before="7"/>
        <w:ind w:right="0"/>
        <w:jc w:val="left"/>
      </w:pPr>
      <w:r>
        <w:rPr/>
        <w:t>（</w:t>
      </w:r>
      <w:r>
        <w:rPr>
          <w:rFonts w:ascii="Times New Roman" w:hAnsi="Times New Roman" w:cs="Times New Roman" w:eastAsia="Times New Roman" w:hint="default"/>
        </w:rPr>
        <w:t>1</w:t>
      </w:r>
      <w:r>
        <w:rPr/>
        <w:t>）终止确认部分的账面价值；</w:t>
      </w:r>
    </w:p>
    <w:p>
      <w:pPr>
        <w:pStyle w:val="Heading6"/>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Heading6"/>
        <w:spacing w:line="273" w:lineRule="auto" w:before="21"/>
        <w:ind w:right="0"/>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Heading6"/>
        <w:spacing w:line="271" w:lineRule="auto"/>
        <w:ind w:right="0"/>
        <w:jc w:val="left"/>
      </w:pPr>
      <w:r>
        <w:rPr>
          <w:rFonts w:ascii="Times New Roman" w:hAnsi="Times New Roman" w:cs="Times New Roman" w:eastAsia="Times New Roman" w:hint="default"/>
        </w:rPr>
        <w:t>4.</w:t>
      </w:r>
      <w:r>
        <w:rPr/>
        <w:t>金融负债终止确认条件</w:t>
      </w:r>
      <w:r>
        <w:rPr>
          <w:w w:val="100"/>
        </w:rPr>
        <w:t> </w:t>
      </w:r>
      <w:r>
        <w:rPr>
          <w:spacing w:val="-2"/>
        </w:rPr>
        <w:t>金融负债的现时义务全部或部分已经解除的，则终止确认该金融负债或其一部分；本公司若与债权人签定</w:t>
      </w:r>
      <w:r>
        <w:rPr>
          <w:spacing w:val="-42"/>
        </w:rPr>
        <w:t> </w:t>
      </w:r>
      <w:r>
        <w:rPr>
          <w:spacing w:val="-42"/>
        </w:rPr>
      </w:r>
      <w:r>
        <w:rPr>
          <w:spacing w:val="-5"/>
        </w:rPr>
        <w:t>协议，以承担新金融负债方式替换现存金融负债，且新金融负债与现存金融负债的合同条款实质上不同的， </w:t>
      </w:r>
      <w:r>
        <w:rPr>
          <w:spacing w:val="-5"/>
        </w:rPr>
      </w:r>
      <w:r>
        <w:rPr/>
        <w:t>则终止确认现存金融负债，并同时确认新金融负债。</w:t>
      </w:r>
      <w:r>
        <w:rPr>
          <w:w w:val="100"/>
        </w:rPr>
        <w:t> </w:t>
      </w:r>
      <w:r>
        <w:rPr>
          <w:spacing w:val="-2"/>
        </w:rPr>
        <w:t>对现存金融负债全部或部分合同条款作出实质性修改的，则终止确认现存金融负债或其一部分，同时将修</w:t>
      </w:r>
      <w:r>
        <w:rPr>
          <w:spacing w:val="-42"/>
        </w:rPr>
        <w:t> </w:t>
      </w:r>
      <w:r>
        <w:rPr>
          <w:spacing w:val="-42"/>
        </w:rPr>
      </w:r>
      <w:r>
        <w:rPr/>
        <w:t>改条款后的金融负债确认为一项新金融负债。</w:t>
      </w:r>
      <w:r>
        <w:rPr>
          <w:w w:val="100"/>
        </w:rPr>
        <w:t> </w:t>
      </w:r>
      <w:r>
        <w:rPr>
          <w:spacing w:val="-2"/>
        </w:rPr>
        <w:t>金融负债全部或部分终止确认时，终止确认的金融负债账面价值与支付对价（包括转出的非现金资产或承</w:t>
      </w:r>
      <w:r>
        <w:rPr>
          <w:spacing w:val="-43"/>
        </w:rPr>
        <w:t> </w:t>
      </w:r>
      <w:r>
        <w:rPr>
          <w:spacing w:val="-43"/>
        </w:rPr>
      </w:r>
      <w:r>
        <w:rPr/>
        <w:t>担的新金融负债）之间的差额，计入当期损益。</w:t>
      </w:r>
      <w:r>
        <w:rPr>
          <w:w w:val="100"/>
        </w:rPr>
        <w:t> </w:t>
      </w:r>
      <w:r>
        <w:rPr>
          <w:spacing w:val="-2"/>
        </w:rPr>
        <w:t>本公司若回购部分金融负债的，在回购日按照继续确认部分与终止确认部分的相对公允价值，将该金融负</w:t>
      </w:r>
      <w:r>
        <w:rPr>
          <w:spacing w:val="-43"/>
        </w:rPr>
        <w:t> </w:t>
      </w:r>
      <w:r>
        <w:rPr>
          <w:spacing w:val="-43"/>
        </w:rPr>
      </w:r>
      <w:r>
        <w:rPr>
          <w:spacing w:val="-2"/>
        </w:rPr>
        <w:t>债整体的账面价值进行分配。分配给终止确认部分的账面价值与支付的对价（包括转出的非现金资产或承</w:t>
      </w:r>
      <w:r>
        <w:rPr>
          <w:spacing w:val="-43"/>
        </w:rPr>
        <w:t> </w:t>
      </w:r>
      <w:r>
        <w:rPr>
          <w:spacing w:val="-43"/>
        </w:rPr>
      </w:r>
      <w:r>
        <w:rPr/>
        <w:t>担的新金融负债）之间的差额，计入当期损益。</w:t>
      </w:r>
    </w:p>
    <w:p>
      <w:pPr>
        <w:spacing w:line="240" w:lineRule="auto" w:before="8"/>
        <w:rPr>
          <w:rFonts w:ascii="宋体" w:hAnsi="宋体" w:cs="宋体" w:eastAsia="宋体" w:hint="default"/>
          <w:sz w:val="24"/>
          <w:szCs w:val="24"/>
        </w:rPr>
      </w:pPr>
    </w:p>
    <w:p>
      <w:pPr>
        <w:pStyle w:val="Heading6"/>
        <w:spacing w:line="268" w:lineRule="auto"/>
        <w:ind w:right="0"/>
        <w:jc w:val="left"/>
      </w:pPr>
      <w:r>
        <w:rPr>
          <w:rFonts w:ascii="Times New Roman" w:hAnsi="Times New Roman" w:cs="Times New Roman" w:eastAsia="Times New Roman" w:hint="default"/>
        </w:rPr>
        <w:t>5.</w:t>
      </w:r>
      <w:r>
        <w:rPr/>
        <w:t>金融资产和金融负债的公允价值的确定方法</w:t>
      </w:r>
      <w:r>
        <w:rPr>
          <w:w w:val="100"/>
        </w:rPr>
        <w:t> </w:t>
      </w:r>
      <w:r>
        <w:rPr>
          <w:spacing w:val="-2"/>
        </w:rPr>
        <w:t>存在活跃市场的金融工具，以活跃市场中的报价确定其公允价值。不存在活跃市场的金融工具，采用估值</w:t>
      </w:r>
      <w:r>
        <w:rPr>
          <w:spacing w:val="-44"/>
        </w:rPr>
        <w:t> </w:t>
      </w:r>
      <w:r>
        <w:rPr>
          <w:spacing w:val="-44"/>
        </w:rPr>
      </w:r>
      <w:r>
        <w:rPr>
          <w:spacing w:val="-2"/>
        </w:rPr>
        <w:t>技术确定其公允价值。在估值时，本公司采用在当前情况下适用并且有足够可利用数据和其他信息支持的</w:t>
      </w:r>
      <w:r>
        <w:rPr>
          <w:spacing w:val="-44"/>
        </w:rPr>
        <w:t> </w:t>
      </w:r>
      <w:r>
        <w:rPr>
          <w:spacing w:val="-44"/>
        </w:rPr>
      </w:r>
      <w:r>
        <w:rPr>
          <w:spacing w:val="-2"/>
        </w:rPr>
        <w:t>估值技术，选择与市场参与者在相关资产或负债的交易中所考虑的资产或负债特征相一致的输入值，并优</w:t>
      </w:r>
      <w:r>
        <w:rPr>
          <w:spacing w:val="-42"/>
        </w:rPr>
        <w:t> </w:t>
      </w:r>
      <w:r>
        <w:rPr>
          <w:spacing w:val="-42"/>
        </w:rPr>
      </w:r>
      <w:r>
        <w:rPr>
          <w:spacing w:val="-2"/>
        </w:rPr>
        <w:t>先使用相关可观察输入值。只有在相关可观察输入值无法取得或取得不切实可行的情况下，才使用不可观</w:t>
      </w:r>
      <w:r>
        <w:rPr>
          <w:spacing w:val="-43"/>
        </w:rPr>
        <w:t> </w:t>
      </w:r>
      <w:r>
        <w:rPr>
          <w:spacing w:val="-43"/>
        </w:rPr>
      </w:r>
      <w:r>
        <w:rPr/>
        <w:t>察输入值。</w:t>
      </w:r>
    </w:p>
    <w:p>
      <w:pPr>
        <w:spacing w:line="240" w:lineRule="auto" w:before="10"/>
        <w:rPr>
          <w:rFonts w:ascii="宋体" w:hAnsi="宋体" w:cs="宋体" w:eastAsia="宋体" w:hint="default"/>
          <w:sz w:val="24"/>
          <w:szCs w:val="24"/>
        </w:rPr>
      </w:pPr>
    </w:p>
    <w:p>
      <w:pPr>
        <w:pStyle w:val="Heading6"/>
        <w:spacing w:line="264" w:lineRule="auto"/>
        <w:ind w:right="0"/>
        <w:jc w:val="left"/>
      </w:pPr>
      <w:r>
        <w:rPr>
          <w:rFonts w:ascii="Times New Roman" w:hAnsi="Times New Roman" w:cs="Times New Roman" w:eastAsia="Times New Roman" w:hint="default"/>
        </w:rPr>
        <w:t>6.</w:t>
      </w:r>
      <w:r>
        <w:rPr/>
        <w:t>金融资产（不含应收款项）减值的测试方法及会计处理方法</w:t>
      </w:r>
      <w:r>
        <w:rPr>
          <w:w w:val="100"/>
        </w:rPr>
        <w:t> </w:t>
      </w:r>
      <w:r>
        <w:rPr>
          <w:spacing w:val="-2"/>
        </w:rPr>
        <w:t>除以公允价值计量且其变动计入当期损益的金融资产外，本公司于资产负债表日对金融资产的账面价值进</w:t>
      </w:r>
      <w:r>
        <w:rPr>
          <w:spacing w:val="-43"/>
        </w:rPr>
        <w:t> </w:t>
      </w:r>
      <w:r>
        <w:rPr>
          <w:spacing w:val="-43"/>
        </w:rPr>
      </w:r>
      <w:r>
        <w:rPr/>
        <w:t>行检查，如果有客观证据表明某项金融资产发生减值的，计提减值准备。</w:t>
      </w:r>
    </w:p>
    <w:p>
      <w:pPr>
        <w:pStyle w:val="Heading6"/>
        <w:spacing w:line="271" w:lineRule="auto" w:before="16"/>
        <w:ind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期末如果可供出售金融资产的公允价值发生严重下降，或在综合考虑各种相关因素后，预期这种下降趋势</w:t>
      </w:r>
      <w:r>
        <w:rPr>
          <w:spacing w:val="-43"/>
        </w:rPr>
        <w:t> </w:t>
      </w:r>
      <w:r>
        <w:rPr>
          <w:spacing w:val="-43"/>
        </w:rPr>
      </w:r>
      <w:r>
        <w:rPr>
          <w:spacing w:val="-2"/>
        </w:rPr>
        <w:t>属于非暂时性的，就认定其已发生减值，将原直接计入所有者权益的公允价值下降形成的累计损失一并转</w:t>
      </w:r>
      <w:r>
        <w:rPr>
          <w:spacing w:val="-43"/>
        </w:rPr>
        <w:t> </w:t>
      </w:r>
      <w:r>
        <w:rPr>
          <w:spacing w:val="-43"/>
        </w:rPr>
      </w:r>
      <w:r>
        <w:rPr/>
        <w:t>出，确认减值损失。</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t>确认后发生的事项有关的，原确认的减值损失予以转回，计入当期损益。</w:t>
      </w:r>
      <w:r>
        <w:rPr>
          <w:w w:val="100"/>
        </w:rPr>
        <w:t> </w:t>
      </w:r>
      <w:r>
        <w:rPr/>
        <w:t>可供出售权益工具投资发生的减值损失，不通过损益转回。</w:t>
      </w:r>
    </w:p>
    <w:p>
      <w:pPr>
        <w:pStyle w:val="Heading6"/>
        <w:spacing w:line="256" w:lineRule="auto" w:before="10"/>
        <w:ind w:right="204"/>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应收账款余额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万元（含）以上款项，其他应收款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（含）以上款项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：无明显减值迹象的应收款项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受本公司控制的子公</w:t>
            </w:r>
            <w:r>
              <w:rPr>
                <w:rFonts w:ascii="宋体" w:hAnsi="宋体" w:cs="宋体" w:eastAsia="宋体" w:hint="default"/>
                <w:spacing w:val="-3"/>
                <w:sz w:val="18"/>
                <w:szCs w:val="18"/>
              </w:rPr>
              <w:t>司</w:t>
            </w:r>
            <w:r>
              <w:rPr>
                <w:rFonts w:ascii="宋体" w:hAnsi="宋体" w:cs="宋体" w:eastAsia="宋体" w:hint="default"/>
                <w:sz w:val="18"/>
                <w:szCs w:val="18"/>
              </w:rPr>
              <w:t>及本公司控股股东的应收款项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受本公司控制的子公司及本公司控股股 东的应收款项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有客观证据表明其已发生减值</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 备，计入当期损益。单独测试未发生减值的应收款项，将其 归入相应组合计提坏账准备。</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4"/>
        <w:jc w:val="left"/>
      </w:pPr>
      <w:r>
        <w:rPr/>
        <w:t>公司是否需要遵守特殊行业的披露要求 否</w:t>
      </w:r>
    </w:p>
    <w:p>
      <w:pPr>
        <w:pStyle w:val="Heading5"/>
        <w:spacing w:line="312" w:lineRule="exact" w:before="4"/>
        <w:ind w:right="6309"/>
        <w:jc w:val="left"/>
        <w:rPr>
          <w:b w:val="0"/>
          <w:bCs w:val="0"/>
        </w:rPr>
      </w:pPr>
      <w:r>
        <w:rPr>
          <w:rFonts w:ascii="Times New Roman" w:hAnsi="Times New Roman" w:cs="Times New Roman" w:eastAsia="Times New Roman" w:hint="default"/>
        </w:rPr>
        <w:t>1.</w:t>
      </w:r>
      <w:r>
        <w:rPr/>
        <w:t>存货的分类</w:t>
      </w:r>
      <w:r>
        <w:rPr>
          <w:spacing w:val="-48"/>
        </w:rPr>
        <w:t> </w:t>
      </w:r>
      <w:r>
        <w:rPr>
          <w:spacing w:val="-1"/>
        </w:rPr>
        <w:t>存货分类为：库存商品等。</w:t>
      </w:r>
      <w:r>
        <w:rPr>
          <w:b w:val="0"/>
          <w:bCs w:val="0"/>
          <w:spacing w:val="-1"/>
        </w:rPr>
      </w:r>
    </w:p>
    <w:p>
      <w:pPr>
        <w:spacing w:line="240" w:lineRule="auto" w:before="16"/>
        <w:rPr>
          <w:rFonts w:ascii="Microsoft JhengHei" w:hAnsi="Microsoft JhengHei" w:cs="Microsoft JhengHei" w:eastAsia="Microsoft JhengHei" w:hint="default"/>
          <w:b/>
          <w:bCs/>
          <w:sz w:val="17"/>
          <w:szCs w:val="17"/>
        </w:rPr>
      </w:pPr>
    </w:p>
    <w:p>
      <w:pPr>
        <w:pStyle w:val="Heading5"/>
        <w:spacing w:line="312" w:lineRule="exact"/>
        <w:ind w:right="5494"/>
        <w:jc w:val="left"/>
        <w:rPr>
          <w:b w:val="0"/>
          <w:bCs w:val="0"/>
        </w:rPr>
      </w:pPr>
      <w:r>
        <w:rPr>
          <w:rFonts w:ascii="Times New Roman" w:hAnsi="Times New Roman" w:cs="Times New Roman" w:eastAsia="Times New Roman" w:hint="default"/>
        </w:rPr>
        <w:t>2.</w:t>
      </w:r>
      <w:r>
        <w:rPr/>
        <w:t>发出存货的计价方法</w:t>
      </w:r>
      <w:r>
        <w:rPr>
          <w:spacing w:val="-43"/>
        </w:rPr>
        <w:t> </w:t>
      </w:r>
      <w:r>
        <w:rPr/>
        <w:t>存货发出时按加权平均法计价。</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Heading5"/>
        <w:spacing w:line="204" w:lineRule="auto"/>
        <w:ind w:right="0"/>
        <w:jc w:val="left"/>
        <w:rPr>
          <w:b w:val="0"/>
          <w:bCs w:val="0"/>
        </w:rPr>
      </w:pPr>
      <w:r>
        <w:rPr>
          <w:rFonts w:ascii="Times New Roman" w:hAnsi="Times New Roman" w:cs="Times New Roman" w:eastAsia="Times New Roman" w:hint="default"/>
        </w:rPr>
        <w:t>3.</w:t>
      </w:r>
      <w:r>
        <w:rPr/>
        <w:t>不同类别存货可变现净值的确定依据</w:t>
      </w:r>
      <w:r>
        <w:rPr>
          <w:spacing w:val="-38"/>
        </w:rPr>
        <w:t> </w:t>
      </w:r>
      <w:r>
        <w:rPr>
          <w:spacing w:val="-38"/>
        </w:rPr>
      </w:r>
      <w:r>
        <w:rPr>
          <w:spacing w:val="-2"/>
        </w:rPr>
        <w:t>产成品、库存商品和用于出售的材料等直接用于出售的商品存货，在正常生产经营过程中，以该存货的估</w:t>
      </w:r>
      <w:r>
        <w:rPr>
          <w:spacing w:val="12"/>
        </w:rPr>
        <w:t> </w:t>
      </w:r>
      <w:r>
        <w:rPr>
          <w:spacing w:val="12"/>
        </w:rPr>
      </w:r>
      <w:r>
        <w:rPr>
          <w:spacing w:val="-2"/>
        </w:rPr>
        <w:t>计售价减去估计的销售费用和相关税费后的金额，确定其可变现净值；需要经过加工的材料存货，在正常</w:t>
      </w:r>
      <w:r>
        <w:rPr>
          <w:spacing w:val="11"/>
        </w:rPr>
        <w:t> </w:t>
      </w:r>
      <w:r>
        <w:rPr>
          <w:spacing w:val="11"/>
        </w:rPr>
      </w:r>
      <w:r>
        <w:rPr>
          <w:spacing w:val="-2"/>
        </w:rPr>
        <w:t>生产经营过程中，以所生产的产成品的估计售价减去至完工时估计将要发生的成本、估计的销售费用和相</w:t>
      </w:r>
      <w:r>
        <w:rPr>
          <w:spacing w:val="12"/>
        </w:rPr>
        <w:t> </w:t>
      </w:r>
      <w:r>
        <w:rPr>
          <w:spacing w:val="12"/>
        </w:rPr>
      </w:r>
      <w:r>
        <w:rPr>
          <w:spacing w:val="-2"/>
        </w:rPr>
        <w:t>关税费后的金额，确定其可变现净值；为执行销售合同或者劳务合同而持有的存货，其可变现净值以合同</w:t>
      </w:r>
      <w:r>
        <w:rPr>
          <w:spacing w:val="10"/>
        </w:rPr>
        <w:t> </w:t>
      </w:r>
      <w:r>
        <w:rPr>
          <w:spacing w:val="10"/>
        </w:rPr>
      </w:r>
      <w:r>
        <w:rPr>
          <w:spacing w:val="-2"/>
        </w:rPr>
        <w:t>价格为基础计算，若持有存货的数量多于销售合同订购数量的，超出部分的存货的可变现净值以一般销售</w:t>
      </w:r>
      <w:r>
        <w:rPr>
          <w:spacing w:val="13"/>
        </w:rPr>
        <w:t> </w:t>
      </w:r>
      <w:r>
        <w:rPr>
          <w:spacing w:val="13"/>
        </w:rPr>
      </w:r>
      <w:r>
        <w:rPr/>
        <w:t>价格为基础计算。</w:t>
      </w:r>
      <w:r>
        <w:rPr>
          <w:spacing w:val="-43"/>
        </w:rPr>
        <w:t> </w:t>
      </w:r>
      <w:r>
        <w:rPr>
          <w:spacing w:val="-2"/>
        </w:rPr>
        <w:t>期末按照单个存货项目计提存货跌价准备；但对于数量繁多、单价较低的存货，按照存货类别计提存货跌</w:t>
      </w:r>
      <w:r>
        <w:rPr>
          <w:spacing w:val="10"/>
        </w:rPr>
        <w:t> </w:t>
      </w:r>
      <w:r>
        <w:rPr>
          <w:spacing w:val="10"/>
        </w:rPr>
      </w:r>
      <w:r>
        <w:rPr>
          <w:spacing w:val="-2"/>
        </w:rPr>
        <w:t>价准备；与在同一地区生产和销售的产品系列相关、具有相同或类似最终用途或目的，且难以与其他项目</w:t>
      </w:r>
      <w:r>
        <w:rPr>
          <w:spacing w:val="10"/>
        </w:rPr>
        <w:t> </w:t>
      </w:r>
      <w:r>
        <w:rPr>
          <w:spacing w:val="10"/>
        </w:rPr>
      </w:r>
      <w:r>
        <w:rPr/>
        <w:t>分开计量的存货，则合并计提存货跌价准备。</w:t>
      </w:r>
      <w:r>
        <w:rPr>
          <w:spacing w:val="-35"/>
        </w:rPr>
        <w:t> </w:t>
      </w:r>
      <w:r>
        <w:rPr>
          <w:spacing w:val="-35"/>
        </w:rPr>
      </w:r>
      <w:r>
        <w:rPr>
          <w:spacing w:val="-2"/>
        </w:rPr>
        <w:t>除有明确证据表明资产负债表日市场价格异常外，存货项目的可变现净值以资产负债表日市场价格为基础</w:t>
      </w:r>
      <w:r>
        <w:rPr>
          <w:spacing w:val="10"/>
        </w:rPr>
        <w:t> </w:t>
      </w:r>
      <w:r>
        <w:rPr>
          <w:spacing w:val="10"/>
        </w:rPr>
      </w:r>
      <w:r>
        <w:rPr/>
        <w:t>确定。</w:t>
      </w:r>
      <w:r>
        <w:rPr>
          <w:b w:val="0"/>
          <w:bCs w:val="0"/>
        </w:rPr>
      </w:r>
    </w:p>
    <w:p>
      <w:pPr>
        <w:spacing w:line="240" w:lineRule="auto" w:before="16"/>
        <w:rPr>
          <w:rFonts w:ascii="Microsoft JhengHei" w:hAnsi="Microsoft JhengHei" w:cs="Microsoft JhengHei" w:eastAsia="Microsoft JhengHei" w:hint="default"/>
          <w:b/>
          <w:bCs/>
          <w:sz w:val="18"/>
          <w:szCs w:val="18"/>
        </w:rPr>
      </w:pPr>
    </w:p>
    <w:p>
      <w:pPr>
        <w:pStyle w:val="Heading5"/>
        <w:spacing w:line="312" w:lineRule="exact"/>
        <w:ind w:right="7434"/>
        <w:jc w:val="left"/>
        <w:rPr>
          <w:b w:val="0"/>
          <w:bCs w:val="0"/>
        </w:rPr>
      </w:pPr>
      <w:r>
        <w:rPr>
          <w:rFonts w:ascii="Times New Roman" w:hAnsi="Times New Roman" w:cs="Times New Roman" w:eastAsia="Times New Roman" w:hint="default"/>
        </w:rPr>
        <w:t>4.</w:t>
      </w:r>
      <w:r>
        <w:rPr/>
        <w:t>存货的盘存制度</w:t>
      </w:r>
      <w:r>
        <w:rPr>
          <w:spacing w:val="-46"/>
        </w:rPr>
        <w:t> </w:t>
      </w:r>
      <w:r>
        <w:rPr/>
        <w:t>采用永续盘存制。</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339" w:lineRule="exact"/>
        <w:ind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Heading5"/>
        <w:spacing w:line="312" w:lineRule="exact"/>
        <w:ind w:right="0"/>
        <w:jc w:val="left"/>
        <w:rPr>
          <w:b w:val="0"/>
          <w:bCs w:val="0"/>
        </w:rPr>
      </w:pPr>
      <w:r>
        <w:rPr/>
        <w:t>（</w:t>
      </w:r>
      <w:r>
        <w:rPr>
          <w:rFonts w:ascii="Times New Roman" w:hAnsi="Times New Roman" w:cs="Times New Roman" w:eastAsia="Times New Roman" w:hint="default"/>
        </w:rPr>
        <w:t>1</w:t>
      </w:r>
      <w:r>
        <w:rPr/>
        <w:t>）低值易耗品采用一次转销法；</w:t>
      </w:r>
      <w:r>
        <w:rPr>
          <w:b w:val="0"/>
          <w:bCs w:val="0"/>
        </w:rPr>
      </w:r>
    </w:p>
    <w:p>
      <w:pPr>
        <w:pStyle w:val="Heading5"/>
        <w:spacing w:line="339" w:lineRule="exact"/>
        <w:ind w:right="0"/>
        <w:jc w:val="left"/>
        <w:rPr>
          <w:b w:val="0"/>
          <w:bCs w:val="0"/>
        </w:rPr>
      </w:pPr>
      <w:r>
        <w:rPr/>
        <w:t>（</w:t>
      </w:r>
      <w:r>
        <w:rPr>
          <w:rFonts w:ascii="Times New Roman" w:hAnsi="Times New Roman" w:cs="Times New Roman" w:eastAsia="Times New Roman" w:hint="default"/>
        </w:rPr>
        <w:t>2</w:t>
      </w:r>
      <w:r>
        <w:rPr/>
        <w:t>）包装物采用一次转销法。</w:t>
      </w:r>
      <w:r>
        <w:rPr>
          <w:b w:val="0"/>
          <w:bCs w:val="0"/>
        </w:rPr>
      </w:r>
    </w:p>
    <w:p>
      <w:pPr>
        <w:spacing w:line="240" w:lineRule="auto" w:before="2"/>
        <w:rPr>
          <w:rFonts w:ascii="Microsoft JhengHei" w:hAnsi="Microsoft JhengHei" w:cs="Microsoft JhengHei" w:eastAsia="Microsoft JhengHei" w:hint="default"/>
          <w:b/>
          <w:bCs/>
          <w:sz w:val="32"/>
          <w:szCs w:val="32"/>
        </w:rPr>
      </w:pPr>
    </w:p>
    <w:p>
      <w:pPr>
        <w:pStyle w:val="Heading5"/>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7"/>
        <w:rPr>
          <w:rFonts w:ascii="Microsoft JhengHei" w:hAnsi="Microsoft JhengHei" w:cs="Microsoft JhengHei" w:eastAsia="Microsoft JhengHei" w:hint="default"/>
          <w:b/>
          <w:bCs/>
          <w:sz w:val="16"/>
          <w:szCs w:val="16"/>
        </w:rPr>
      </w:pPr>
    </w:p>
    <w:p>
      <w:pPr>
        <w:pStyle w:val="Heading5"/>
        <w:spacing w:line="204" w:lineRule="auto"/>
        <w:ind w:right="0"/>
        <w:jc w:val="left"/>
        <w:rPr>
          <w:b w:val="0"/>
          <w:bCs w:val="0"/>
        </w:rPr>
      </w:pPr>
      <w:r>
        <w:rPr>
          <w:rFonts w:ascii="Times New Roman" w:hAnsi="Times New Roman" w:cs="Times New Roman" w:eastAsia="Times New Roman" w:hint="default"/>
        </w:rPr>
        <w:t>1.</w:t>
      </w:r>
      <w:r>
        <w:rPr/>
        <w:t>共同控制、重大影响的判断标准</w:t>
      </w:r>
      <w:r>
        <w:rPr>
          <w:spacing w:val="-40"/>
        </w:rPr>
        <w:t> </w:t>
      </w:r>
      <w:r>
        <w:rPr>
          <w:spacing w:val="-40"/>
        </w:rPr>
      </w:r>
      <w:r>
        <w:rPr>
          <w:spacing w:val="-2"/>
        </w:rPr>
        <w:t>共同控制，是指按照相关约定对某项安排所共有的控制，并且该安排的相关活动必须经过分享控制权的参</w:t>
      </w:r>
      <w:r>
        <w:rPr>
          <w:spacing w:val="12"/>
        </w:rPr>
        <w:t> </w:t>
      </w:r>
      <w:r>
        <w:rPr>
          <w:spacing w:val="12"/>
        </w:rPr>
      </w:r>
      <w:r>
        <w:rPr>
          <w:spacing w:val="-2"/>
        </w:rPr>
        <w:t>与方一致同意后才能决策。本公司与其他合营方一同对被投资单位实施共同控制且对被投资单位净资产享</w:t>
      </w:r>
      <w:r>
        <w:rPr>
          <w:spacing w:val="10"/>
        </w:rPr>
        <w:t> </w:t>
      </w:r>
      <w:r>
        <w:rPr>
          <w:spacing w:val="10"/>
        </w:rPr>
      </w:r>
      <w:r>
        <w:rPr/>
        <w:t>有权利的，被投资单位为本公司的合营企业。</w:t>
      </w:r>
      <w:r>
        <w:rPr>
          <w:spacing w:val="-35"/>
        </w:rPr>
        <w:t> </w:t>
      </w:r>
      <w:r>
        <w:rPr>
          <w:spacing w:val="-35"/>
        </w:rPr>
      </w:r>
      <w:r>
        <w:rPr>
          <w:spacing w:val="-2"/>
        </w:rPr>
        <w:t>重大影响，是指对一个企业的财务和经营决策有参与决策的权力，但并不能够控制或者与其他方一起共同</w:t>
      </w:r>
      <w:r>
        <w:rPr>
          <w:spacing w:val="12"/>
        </w:rPr>
        <w:t> </w:t>
      </w:r>
      <w:r>
        <w:rPr>
          <w:spacing w:val="12"/>
        </w:rPr>
      </w:r>
      <w:r>
        <w:rPr/>
        <w:t>控制这些政策的制定。本公司能够对被投资单位施加重大影响的，被投资单位为本公司联营企业。</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Heading5"/>
        <w:spacing w:line="339" w:lineRule="exact"/>
        <w:ind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5"/>
        <w:spacing w:line="339" w:lineRule="exact"/>
        <w:ind w:right="0"/>
        <w:jc w:val="left"/>
        <w:rPr>
          <w:b w:val="0"/>
          <w:bCs w:val="0"/>
        </w:rPr>
      </w:pPr>
      <w:r>
        <w:rPr/>
        <w:t>（</w:t>
      </w:r>
      <w:r>
        <w:rPr>
          <w:rFonts w:ascii="Times New Roman" w:hAnsi="Times New Roman" w:cs="Times New Roman" w:eastAsia="Times New Roman" w:hint="default"/>
        </w:rPr>
        <w:t>1</w:t>
      </w:r>
      <w:r>
        <w:rPr/>
        <w:t>）企业合并形成的长期股权投资</w:t>
      </w:r>
      <w:r>
        <w:rPr>
          <w:b w:val="0"/>
          <w:bCs w:val="0"/>
        </w:rPr>
      </w:r>
    </w:p>
    <w:p>
      <w:pPr>
        <w:spacing w:after="0" w:line="339" w:lineRule="exact"/>
        <w:jc w:val="left"/>
        <w:sectPr>
          <w:pgSz w:w="11910" w:h="16840"/>
          <w:pgMar w:header="745" w:footer="980"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204" w:lineRule="auto" w:before="16"/>
        <w:ind w:right="154"/>
        <w:jc w:val="both"/>
        <w:rPr>
          <w:b w:val="0"/>
          <w:bCs w:val="0"/>
        </w:rPr>
      </w:pPr>
      <w:r>
        <w:rPr>
          <w:spacing w:val="-2"/>
        </w:rPr>
        <w:t>同一控制下的企业合并：公司以支付现金、转让非现金资产或承担债务方式以及以发行权益性证券作为合</w:t>
      </w:r>
      <w:r>
        <w:rPr>
          <w:spacing w:val="12"/>
        </w:rPr>
        <w:t> </w:t>
      </w:r>
      <w:r>
        <w:rPr>
          <w:spacing w:val="12"/>
        </w:rPr>
      </w:r>
      <w:r>
        <w:rPr>
          <w:spacing w:val="-2"/>
        </w:rPr>
        <w:t>并对价的，在合并日按照取得被合并方所有者权益在最终控制方合并财务报表中的账面价值的份额作为长</w:t>
      </w:r>
      <w:r>
        <w:rPr>
          <w:spacing w:val="10"/>
        </w:rPr>
        <w:t> </w:t>
      </w:r>
      <w:r>
        <w:rPr>
          <w:spacing w:val="10"/>
        </w:rPr>
      </w:r>
      <w:r>
        <w:rPr>
          <w:spacing w:val="-2"/>
        </w:rPr>
        <w:t>期股权投资的初始投资成本。因追加投资等原因能够对同一控制下的被投资单位实施控制的，在合并日根</w:t>
      </w:r>
      <w:r>
        <w:rPr>
          <w:spacing w:val="12"/>
        </w:rPr>
        <w:t> </w:t>
      </w:r>
      <w:r>
        <w:rPr>
          <w:spacing w:val="12"/>
        </w:rPr>
      </w:r>
      <w:r>
        <w:rPr>
          <w:spacing w:val="-2"/>
        </w:rPr>
        <w:t>据合并后应享有被合并方净资产在最终控制方合并财务报表中的账面价值的份额，确定长期股权投资的初</w:t>
      </w:r>
      <w:r>
        <w:rPr>
          <w:spacing w:val="10"/>
        </w:rPr>
        <w:t> </w:t>
      </w:r>
      <w:r>
        <w:rPr>
          <w:spacing w:val="10"/>
        </w:rPr>
      </w:r>
      <w:r>
        <w:rPr>
          <w:spacing w:val="-2"/>
        </w:rPr>
        <w:t>始投资成本。合并日长期股权投资的初始投资成本，与达到合并前的长期股权投资账面价值加上合并日进</w:t>
      </w:r>
      <w:r>
        <w:rPr>
          <w:spacing w:val="12"/>
        </w:rPr>
        <w:t> </w:t>
      </w:r>
      <w:r>
        <w:rPr>
          <w:spacing w:val="12"/>
        </w:rPr>
      </w:r>
      <w:r>
        <w:rPr>
          <w:spacing w:val="-1"/>
        </w:rPr>
        <w:t>一步取得股份新支付对价的账面价值之和的差额，调整股本溢价，股本溢价不足冲减的，冲减留存收益。</w:t>
      </w:r>
      <w:r>
        <w:rPr>
          <w:spacing w:val="25"/>
        </w:rPr>
        <w:t> </w:t>
      </w:r>
      <w:r>
        <w:rPr>
          <w:spacing w:val="25"/>
        </w:rPr>
      </w:r>
      <w:r>
        <w:rPr>
          <w:spacing w:val="-2"/>
        </w:rPr>
        <w:t>非同一控制下的企业合并：公司按照购买日确定的合并成本作为长期股权投资的初始投资成本。因追加投</w:t>
      </w:r>
      <w:r>
        <w:rPr>
          <w:spacing w:val="12"/>
        </w:rPr>
        <w:t> </w:t>
      </w:r>
      <w:r>
        <w:rPr>
          <w:spacing w:val="12"/>
        </w:rPr>
      </w:r>
      <w:r>
        <w:rPr>
          <w:spacing w:val="-2"/>
        </w:rPr>
        <w:t>资等原因能够对非同一控制下的被投资单位实施控制的，按照原持有的股权投资账面价值加上新增投资成</w:t>
      </w:r>
      <w:r>
        <w:rPr>
          <w:spacing w:val="10"/>
        </w:rPr>
        <w:t> </w:t>
      </w:r>
      <w:r>
        <w:rPr>
          <w:spacing w:val="10"/>
        </w:rPr>
      </w:r>
      <w:r>
        <w:rPr/>
        <w:t>本之和，作为改按成本法核算的初始投资成本。</w:t>
      </w:r>
      <w:r>
        <w:rPr>
          <w:b w:val="0"/>
          <w:bCs w:val="0"/>
        </w:rPr>
      </w:r>
    </w:p>
    <w:p>
      <w:pPr>
        <w:pStyle w:val="Heading5"/>
        <w:spacing w:line="204" w:lineRule="auto" w:before="1"/>
        <w:ind w:right="0"/>
        <w:jc w:val="left"/>
        <w:rPr>
          <w:b w:val="0"/>
          <w:bCs w:val="0"/>
        </w:rPr>
      </w:pPr>
      <w:r>
        <w:rPr/>
        <w:t>（</w:t>
      </w:r>
      <w:r>
        <w:rPr>
          <w:rFonts w:ascii="Times New Roman" w:hAnsi="Times New Roman" w:cs="Times New Roman" w:eastAsia="Times New Roman" w:hint="default"/>
        </w:rPr>
        <w:t>2</w:t>
      </w:r>
      <w:r>
        <w:rPr/>
        <w:t>）其他方式取得的长期股权投资</w:t>
      </w:r>
      <w:r>
        <w:rPr>
          <w:spacing w:val="-41"/>
        </w:rPr>
        <w:t> </w:t>
      </w:r>
      <w:r>
        <w:rPr>
          <w:spacing w:val="-41"/>
        </w:rPr>
      </w:r>
      <w:r>
        <w:rPr/>
        <w:t>以支付现金方式取得的长期股权投资，按照实际支付的购买价款作为初始投资成本。</w:t>
      </w:r>
      <w:r>
        <w:rPr>
          <w:spacing w:val="-27"/>
        </w:rPr>
        <w:t> </w:t>
      </w:r>
      <w:r>
        <w:rPr>
          <w:spacing w:val="-27"/>
        </w:rPr>
      </w:r>
      <w:r>
        <w:rPr/>
        <w:t>以发行权益性证券取得的长期股权投资，按照发行权益性证券的公允价值作为初始投资成本。</w:t>
      </w:r>
      <w:r>
        <w:rPr>
          <w:spacing w:val="-22"/>
        </w:rPr>
        <w:t> </w:t>
      </w:r>
      <w:r>
        <w:rPr>
          <w:spacing w:val="-22"/>
        </w:rPr>
      </w:r>
      <w:r>
        <w:rPr>
          <w:spacing w:val="-2"/>
        </w:rPr>
        <w:t>在非货币性资产交换具备商业实质和换入资产或换出资产的公允价值能够可靠计量的前提下，非货币性资</w:t>
      </w:r>
      <w:r>
        <w:rPr>
          <w:spacing w:val="11"/>
        </w:rPr>
        <w:t> </w:t>
      </w:r>
      <w:r>
        <w:rPr>
          <w:spacing w:val="11"/>
        </w:rPr>
      </w:r>
      <w:r>
        <w:rPr>
          <w:spacing w:val="-2"/>
        </w:rPr>
        <w:t>产交换换入的长期股权投资以换出资产的公允价值和应支付的相关税费确定其初始投资成本，除非有确凿</w:t>
      </w:r>
      <w:r>
        <w:rPr>
          <w:spacing w:val="10"/>
        </w:rPr>
        <w:t> </w:t>
      </w:r>
      <w:r>
        <w:rPr>
          <w:spacing w:val="10"/>
        </w:rPr>
      </w:r>
      <w:r>
        <w:rPr>
          <w:spacing w:val="-2"/>
        </w:rPr>
        <w:t>证据表明换入资产的公允价值更加可靠；不满足上述前提的非货币性资产交换，以换出资产的账面价值和</w:t>
      </w:r>
      <w:r>
        <w:rPr>
          <w:spacing w:val="12"/>
        </w:rPr>
        <w:t> </w:t>
      </w:r>
      <w:r>
        <w:rPr>
          <w:spacing w:val="12"/>
        </w:rPr>
      </w:r>
      <w:r>
        <w:rPr/>
        <w:t>应支付的相关税费作为换入长期股权投资的初始投资成本。</w:t>
      </w:r>
      <w:r>
        <w:rPr>
          <w:spacing w:val="-34"/>
        </w:rPr>
        <w:t> </w:t>
      </w:r>
      <w:r>
        <w:rPr>
          <w:spacing w:val="-34"/>
        </w:rPr>
      </w:r>
      <w:r>
        <w:rPr/>
        <w:t>通过债务重组取得的长期股权投资，其初始投资成本按照公允价值为基础确定。</w:t>
      </w:r>
      <w:r>
        <w:rPr>
          <w:b w:val="0"/>
          <w:bCs w:val="0"/>
        </w:rPr>
      </w:r>
    </w:p>
    <w:p>
      <w:pPr>
        <w:spacing w:line="240" w:lineRule="auto" w:before="5"/>
        <w:rPr>
          <w:rFonts w:ascii="Microsoft JhengHei" w:hAnsi="Microsoft JhengHei" w:cs="Microsoft JhengHei" w:eastAsia="Microsoft JhengHei" w:hint="default"/>
          <w:b/>
          <w:bCs/>
          <w:sz w:val="15"/>
          <w:szCs w:val="15"/>
        </w:rPr>
      </w:pPr>
    </w:p>
    <w:p>
      <w:pPr>
        <w:pStyle w:val="Heading5"/>
        <w:spacing w:line="339" w:lineRule="exact"/>
        <w:ind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Heading5"/>
        <w:spacing w:line="312" w:lineRule="exact" w:before="35"/>
        <w:ind w:right="0"/>
        <w:jc w:val="left"/>
        <w:rPr>
          <w:b w:val="0"/>
          <w:bCs w:val="0"/>
        </w:rPr>
      </w:pPr>
      <w:r>
        <w:rPr/>
        <w:t>（</w:t>
      </w:r>
      <w:r>
        <w:rPr>
          <w:rFonts w:ascii="Times New Roman" w:hAnsi="Times New Roman" w:cs="Times New Roman" w:eastAsia="Times New Roman" w:hint="default"/>
        </w:rPr>
        <w:t>1</w:t>
      </w:r>
      <w:r>
        <w:rPr/>
        <w:t>）成本法核算的长期股权投资</w:t>
      </w:r>
      <w:r>
        <w:rPr>
          <w:spacing w:val="-43"/>
        </w:rPr>
        <w:t> </w:t>
      </w:r>
      <w:r>
        <w:rPr>
          <w:spacing w:val="-43"/>
        </w:rPr>
      </w:r>
      <w:r>
        <w:rPr>
          <w:spacing w:val="-2"/>
        </w:rPr>
        <w:t>公司对子公司的长期股权投资，采用成本法核算。除取得投资时实际支付的价款或对价中包含的已宣告但</w:t>
      </w:r>
      <w:r>
        <w:rPr>
          <w:spacing w:val="11"/>
        </w:rPr>
        <w:t> </w:t>
      </w:r>
      <w:r>
        <w:rPr>
          <w:spacing w:val="11"/>
        </w:rPr>
      </w:r>
      <w:r>
        <w:rPr>
          <w:spacing w:val="-1"/>
        </w:rPr>
        <w:t>尚未发放的现金股利或利润外，公司按照享有被投资单位宣告发放的现金股利或利润确认当期投资收益。</w:t>
      </w:r>
      <w:r>
        <w:rPr>
          <w:b w:val="0"/>
          <w:bCs w:val="0"/>
          <w:spacing w:val="-1"/>
        </w:rPr>
      </w:r>
    </w:p>
    <w:p>
      <w:pPr>
        <w:pStyle w:val="Heading5"/>
        <w:spacing w:line="312" w:lineRule="exact"/>
        <w:ind w:right="0"/>
        <w:jc w:val="left"/>
        <w:rPr>
          <w:b w:val="0"/>
          <w:bCs w:val="0"/>
        </w:rPr>
      </w:pPr>
      <w:r>
        <w:rPr/>
        <w:t>（</w:t>
      </w:r>
      <w:r>
        <w:rPr>
          <w:rFonts w:ascii="Times New Roman" w:hAnsi="Times New Roman" w:cs="Times New Roman" w:eastAsia="Times New Roman" w:hint="default"/>
        </w:rPr>
        <w:t>2</w:t>
      </w:r>
      <w:r>
        <w:rPr/>
        <w:t>）权益法核算的长期股权投资</w:t>
      </w:r>
      <w:r>
        <w:rPr>
          <w:spacing w:val="-43"/>
        </w:rPr>
        <w:t> </w:t>
      </w:r>
      <w:r>
        <w:rPr>
          <w:spacing w:val="-43"/>
        </w:rPr>
      </w:r>
      <w:r>
        <w:rPr>
          <w:spacing w:val="-2"/>
        </w:rPr>
        <w:t>对联营企业和合营企业的长期股权投资，采用权益法核算。初始投资成本大于投资时应享有被投资单位可</w:t>
      </w:r>
      <w:r>
        <w:rPr>
          <w:spacing w:val="12"/>
        </w:rPr>
        <w:t> </w:t>
      </w:r>
      <w:r>
        <w:rPr>
          <w:spacing w:val="12"/>
        </w:rPr>
      </w:r>
      <w:r>
        <w:rPr>
          <w:spacing w:val="-2"/>
        </w:rPr>
        <w:t>辨认净资产公允价值份额的差额，不调整长期股权投资的初始投资成本；初始投资成本小于投资时应享有</w:t>
      </w:r>
      <w:r>
        <w:rPr>
          <w:b w:val="0"/>
          <w:bCs w:val="0"/>
          <w:spacing w:val="-2"/>
        </w:rPr>
      </w:r>
    </w:p>
    <w:p>
      <w:pPr>
        <w:pStyle w:val="Heading5"/>
        <w:spacing w:line="312" w:lineRule="exact"/>
        <w:ind w:right="0"/>
        <w:jc w:val="left"/>
        <w:rPr>
          <w:b w:val="0"/>
          <w:bCs w:val="0"/>
        </w:rPr>
      </w:pPr>
      <w:r>
        <w:rPr/>
        <w:t>被投资单位可辨认净资产公允价值份额的差额，计入当期损益。</w:t>
      </w:r>
      <w:r>
        <w:rPr>
          <w:spacing w:val="-31"/>
        </w:rPr>
        <w:t> </w:t>
      </w:r>
      <w:r>
        <w:rPr>
          <w:spacing w:val="-31"/>
        </w:rPr>
      </w:r>
      <w:r>
        <w:rPr>
          <w:spacing w:val="-2"/>
        </w:rPr>
        <w:t>公司按照应享有或应分担的被投资单位实现的净损益和其他综合收益的份额，分别确认投资收益和其他综</w:t>
      </w:r>
      <w:r>
        <w:rPr>
          <w:spacing w:val="10"/>
        </w:rPr>
        <w:t> </w:t>
      </w:r>
      <w:r>
        <w:rPr>
          <w:spacing w:val="10"/>
        </w:rPr>
      </w:r>
      <w:r>
        <w:rPr>
          <w:spacing w:val="-2"/>
        </w:rPr>
        <w:t>合收益，同时调整长期股权投资的账面价值；按照被投资单位宣告分派的利润或现金股利计算应享有的部</w:t>
      </w:r>
      <w:r>
        <w:rPr>
          <w:spacing w:val="12"/>
        </w:rPr>
        <w:t> </w:t>
      </w:r>
      <w:r>
        <w:rPr>
          <w:spacing w:val="12"/>
        </w:rPr>
      </w:r>
      <w:r>
        <w:rPr>
          <w:spacing w:val="-2"/>
        </w:rPr>
        <w:t>分，相应减少长期股权投资的账面价值；对于被投资单位除净损益、其他综合收益和利润分配以外所有者</w:t>
      </w:r>
      <w:r>
        <w:rPr>
          <w:spacing w:val="11"/>
        </w:rPr>
        <w:t> </w:t>
      </w:r>
      <w:r>
        <w:rPr>
          <w:spacing w:val="11"/>
        </w:rPr>
      </w:r>
      <w:r>
        <w:rPr/>
        <w:t>权益的其他变动，调整长期股权投资的账面价值并计入所有者权益。</w:t>
      </w:r>
      <w:r>
        <w:rPr>
          <w:spacing w:val="-29"/>
        </w:rPr>
        <w:t> </w:t>
      </w:r>
      <w:r>
        <w:rPr>
          <w:spacing w:val="-29"/>
        </w:rPr>
      </w:r>
      <w:r>
        <w:rPr>
          <w:spacing w:val="-2"/>
        </w:rPr>
        <w:t>在确认应享有被投资单位净损益的份额时，以取得投资时被投资单位可辨认净资产的公允价值为基础，并</w:t>
      </w:r>
      <w:r>
        <w:rPr>
          <w:spacing w:val="12"/>
        </w:rPr>
        <w:t> </w:t>
      </w:r>
      <w:r>
        <w:rPr>
          <w:spacing w:val="12"/>
        </w:rPr>
      </w:r>
      <w:r>
        <w:rPr>
          <w:spacing w:val="-2"/>
        </w:rPr>
        <w:t>按照公司的会计政策及会计期间，对被投资单位的净利润进行调整后确认。在持有投资期间，被投资单位</w:t>
      </w:r>
      <w:r>
        <w:rPr>
          <w:spacing w:val="11"/>
        </w:rPr>
        <w:t> </w:t>
      </w:r>
      <w:r>
        <w:rPr>
          <w:spacing w:val="11"/>
        </w:rPr>
      </w:r>
      <w:r>
        <w:rPr>
          <w:spacing w:val="-2"/>
        </w:rPr>
        <w:t>编制合并财务报表的，以合并财务报表中的净利润、其他综合收益和其他所有者权益变动中归属于被投资</w:t>
      </w:r>
      <w:r>
        <w:rPr>
          <w:spacing w:val="12"/>
        </w:rPr>
        <w:t> </w:t>
      </w:r>
      <w:r>
        <w:rPr>
          <w:spacing w:val="12"/>
        </w:rPr>
      </w:r>
      <w:r>
        <w:rPr/>
        <w:t>单位的金额为基础进行核算。</w:t>
      </w:r>
      <w:r>
        <w:rPr>
          <w:spacing w:val="-43"/>
        </w:rPr>
        <w:t> </w:t>
      </w:r>
      <w:r>
        <w:rPr>
          <w:spacing w:val="-43"/>
        </w:rPr>
      </w:r>
      <w:r>
        <w:rPr>
          <w:spacing w:val="-2"/>
        </w:rPr>
        <w:t>公司与联营企业、合营企业之间发生的未实现内部交易损益按照应享有的比例计算归属于公司的部分，予</w:t>
      </w:r>
      <w:r>
        <w:rPr>
          <w:spacing w:val="12"/>
        </w:rPr>
        <w:t> </w:t>
      </w:r>
      <w:r>
        <w:rPr>
          <w:spacing w:val="12"/>
        </w:rPr>
      </w:r>
      <w:r>
        <w:rPr>
          <w:spacing w:val="-2"/>
        </w:rPr>
        <w:t>以抵销，在此基础上确认投资收益。与被投资单位发生的未实现内部交易损失，属于资产减值损失的，全</w:t>
      </w:r>
      <w:r>
        <w:rPr>
          <w:b w:val="0"/>
          <w:bCs w:val="0"/>
          <w:spacing w:val="-2"/>
        </w:rPr>
      </w:r>
    </w:p>
    <w:p>
      <w:pPr>
        <w:pStyle w:val="Heading5"/>
        <w:spacing w:line="277" w:lineRule="exact"/>
        <w:ind w:right="0"/>
        <w:jc w:val="left"/>
        <w:rPr>
          <w:b w:val="0"/>
          <w:bCs w:val="0"/>
        </w:rPr>
      </w:pPr>
      <w:r>
        <w:rPr>
          <w:spacing w:val="-7"/>
        </w:rPr>
        <w:t>额确认。公司与联营企业、合营企业之间发生投出或出售资产的交易，该资产构成业务的，按照本附注</w:t>
      </w:r>
      <w:r>
        <w:rPr>
          <w:rFonts w:ascii="Times New Roman" w:hAnsi="Times New Roman" w:cs="Times New Roman" w:eastAsia="Times New Roman" w:hint="default"/>
          <w:spacing w:val="-7"/>
        </w:rPr>
        <w:t>“</w:t>
      </w:r>
      <w:r>
        <w:rPr>
          <w:spacing w:val="-7"/>
        </w:rPr>
        <w:t>三、</w:t>
      </w:r>
      <w:r>
        <w:rPr>
          <w:b w:val="0"/>
          <w:bCs w:val="0"/>
          <w:spacing w:val="-7"/>
        </w:rPr>
      </w:r>
    </w:p>
    <w:p>
      <w:pPr>
        <w:pStyle w:val="Heading5"/>
        <w:spacing w:line="312" w:lineRule="exact" w:before="35"/>
        <w:ind w:right="0"/>
        <w:jc w:val="left"/>
        <w:rPr>
          <w:b w:val="0"/>
          <w:bCs w:val="0"/>
        </w:rPr>
      </w:pPr>
      <w:r>
        <w:rPr/>
        <w:t>（五）同一控制下和非同一控制下企业合并的会计处理方法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w:t>
      </w:r>
      <w:r>
        <w:rPr>
          <w:spacing w:val="29"/>
        </w:rPr>
        <w:t> </w:t>
      </w:r>
      <w:r>
        <w:rPr/>
        <w:t>披露的相关政策进行会计处理。</w:t>
      </w:r>
      <w:r>
        <w:rPr>
          <w:spacing w:val="-42"/>
        </w:rPr>
        <w:t> </w:t>
      </w:r>
      <w:r>
        <w:rPr>
          <w:spacing w:val="-42"/>
        </w:rPr>
      </w:r>
      <w:r>
        <w:rPr>
          <w:spacing w:val="-2"/>
        </w:rPr>
        <w:t>在公司确认应分担被投资单位发生的亏损时，按照以下顺序进行处理：首先，冲减长期股权投资的账面价</w:t>
      </w:r>
      <w:r>
        <w:rPr>
          <w:spacing w:val="10"/>
        </w:rPr>
        <w:t> </w:t>
      </w:r>
      <w:r>
        <w:rPr>
          <w:spacing w:val="10"/>
        </w:rPr>
      </w:r>
      <w:r>
        <w:rPr>
          <w:spacing w:val="-2"/>
        </w:rPr>
        <w:t>值。其次，长期股权投资的账面价值不足以冲减的，以其他实质上构成对被投资单位净投资的长期权益账</w:t>
      </w:r>
      <w:r>
        <w:rPr>
          <w:spacing w:val="11"/>
        </w:rPr>
        <w:t> </w:t>
      </w:r>
      <w:r>
        <w:rPr>
          <w:spacing w:val="11"/>
        </w:rPr>
      </w:r>
      <w:r>
        <w:rPr>
          <w:spacing w:val="-2"/>
        </w:rPr>
        <w:t>面价值为限继续确认投资损失，冲减长期应收项目等的账面价值。最后，经过上述处理，按照投资合同或</w:t>
      </w:r>
      <w:r>
        <w:rPr>
          <w:spacing w:val="10"/>
        </w:rPr>
        <w:t> </w:t>
      </w:r>
      <w:r>
        <w:rPr>
          <w:spacing w:val="10"/>
        </w:rPr>
      </w:r>
      <w:r>
        <w:rPr/>
        <w:t>协议约定企业仍承担额外义务的，按预计承担的义务确认预计负债，计入当期投资损失。</w:t>
      </w:r>
      <w:r>
        <w:rPr>
          <w:b w:val="0"/>
          <w:bCs w:val="0"/>
        </w:rPr>
      </w:r>
    </w:p>
    <w:p>
      <w:pPr>
        <w:pStyle w:val="Heading5"/>
        <w:spacing w:line="303" w:lineRule="exact"/>
        <w:ind w:right="0"/>
        <w:jc w:val="left"/>
        <w:rPr>
          <w:b w:val="0"/>
          <w:bCs w:val="0"/>
        </w:rPr>
      </w:pPr>
      <w:r>
        <w:rPr/>
        <w:t>（</w:t>
      </w:r>
      <w:r>
        <w:rPr>
          <w:rFonts w:ascii="Times New Roman" w:hAnsi="Times New Roman" w:cs="Times New Roman" w:eastAsia="Times New Roman" w:hint="default"/>
        </w:rPr>
        <w:t>3</w:t>
      </w:r>
      <w:r>
        <w:rPr/>
        <w:t>）长期股权投资的处置</w:t>
      </w:r>
      <w:r>
        <w:rPr>
          <w:b w:val="0"/>
          <w:bCs w:val="0"/>
        </w:rPr>
      </w:r>
    </w:p>
    <w:p>
      <w:pPr>
        <w:spacing w:after="0" w:line="303" w:lineRule="exact"/>
        <w:jc w:val="left"/>
        <w:sectPr>
          <w:pgSz w:w="11910" w:h="16840"/>
          <w:pgMar w:header="745" w:footer="980" w:top="1060" w:bottom="1160" w:left="980" w:right="92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204" w:lineRule="auto" w:before="16"/>
        <w:ind w:right="0"/>
        <w:jc w:val="left"/>
        <w:rPr>
          <w:b w:val="0"/>
          <w:bCs w:val="0"/>
        </w:rPr>
      </w:pPr>
      <w:r>
        <w:rPr/>
        <w:t>处置长期股权投资，其账面价值与实际取得价款的差额，计入当期损益。</w:t>
      </w:r>
      <w:r>
        <w:rPr>
          <w:spacing w:val="-30"/>
        </w:rPr>
        <w:t> </w:t>
      </w:r>
      <w:r>
        <w:rPr>
          <w:spacing w:val="-30"/>
        </w:rPr>
      </w:r>
      <w:r>
        <w:rPr>
          <w:spacing w:val="-2"/>
        </w:rPr>
        <w:t>采用权益法核算的长期股权投资，在处置该项投资时，采用与被投资单位直接处置相关资产或负债相同的</w:t>
      </w:r>
      <w:r>
        <w:rPr>
          <w:spacing w:val="12"/>
        </w:rPr>
        <w:t> </w:t>
      </w:r>
      <w:r>
        <w:rPr>
          <w:spacing w:val="12"/>
        </w:rPr>
      </w:r>
      <w:r>
        <w:rPr>
          <w:spacing w:val="-2"/>
        </w:rPr>
        <w:t>基础，按相应比例对原计入其他综合收益的部分进行会计处理。因被投资单位除净损益、其他综合收益和</w:t>
      </w:r>
      <w:r>
        <w:rPr>
          <w:spacing w:val="11"/>
        </w:rPr>
        <w:t> </w:t>
      </w:r>
      <w:r>
        <w:rPr>
          <w:spacing w:val="11"/>
        </w:rPr>
      </w:r>
      <w:r>
        <w:rPr>
          <w:spacing w:val="-2"/>
        </w:rPr>
        <w:t>利润分配以外的其他所有者权益变动而确认的所有者权益，按比例结转入当期损益，由于被投资方重新计</w:t>
      </w:r>
      <w:r>
        <w:rPr>
          <w:spacing w:val="12"/>
        </w:rPr>
        <w:t> </w:t>
      </w:r>
      <w:r>
        <w:rPr>
          <w:spacing w:val="12"/>
        </w:rPr>
      </w:r>
      <w:r>
        <w:rPr/>
        <w:t>量设定受益计划净负债或净资产变动而产生的其他综合收益除外。</w:t>
      </w:r>
      <w:r>
        <w:rPr>
          <w:spacing w:val="-30"/>
        </w:rPr>
        <w:t> </w:t>
      </w:r>
      <w:r>
        <w:rPr>
          <w:spacing w:val="-30"/>
        </w:rPr>
      </w:r>
      <w:r>
        <w:rPr>
          <w:spacing w:val="-2"/>
        </w:rPr>
        <w:t>因处置部分股权投资等原因丧失了对被投资单位的共同控制或重大影响的，处置后的剩余股权改按金融工</w:t>
      </w:r>
      <w:r>
        <w:rPr>
          <w:spacing w:val="10"/>
        </w:rPr>
        <w:t> </w:t>
      </w:r>
      <w:r>
        <w:rPr>
          <w:spacing w:val="10"/>
        </w:rPr>
      </w:r>
      <w:r>
        <w:rPr>
          <w:spacing w:val="-2"/>
        </w:rPr>
        <w:t>具确认和计量准则核算，其在丧失共同控制或重大影响之日的公允价值与账面价值之间的差额计入当期损</w:t>
      </w:r>
      <w:r>
        <w:rPr>
          <w:spacing w:val="10"/>
        </w:rPr>
        <w:t> </w:t>
      </w:r>
      <w:r>
        <w:rPr>
          <w:spacing w:val="10"/>
        </w:rPr>
      </w:r>
      <w:r>
        <w:rPr>
          <w:spacing w:val="-2"/>
        </w:rPr>
        <w:t>益。原股权投资因采用权益法核算而确认的其他综合收益，在终止采用权益法核算时采用与被投资单位直</w:t>
      </w:r>
      <w:r>
        <w:rPr>
          <w:spacing w:val="12"/>
        </w:rPr>
        <w:t> </w:t>
      </w:r>
      <w:r>
        <w:rPr>
          <w:spacing w:val="12"/>
        </w:rPr>
      </w:r>
      <w:r>
        <w:rPr>
          <w:spacing w:val="-2"/>
        </w:rPr>
        <w:t>接处置相关资产或负债相同的基础进行会计处理。因被投资方除净损益、其他综合收益和利润分配以外的</w:t>
      </w:r>
      <w:r>
        <w:rPr>
          <w:spacing w:val="13"/>
        </w:rPr>
        <w:t> </w:t>
      </w:r>
      <w:r>
        <w:rPr>
          <w:spacing w:val="13"/>
        </w:rPr>
      </w:r>
      <w:r>
        <w:rPr/>
        <w:t>其他所有者权益变动而确认的所有者权益，在终止采用权益法核算时全部转入当期损益。</w:t>
      </w:r>
      <w:r>
        <w:rPr>
          <w:spacing w:val="-24"/>
        </w:rPr>
        <w:t> </w:t>
      </w:r>
      <w:r>
        <w:rPr>
          <w:spacing w:val="-24"/>
        </w:rPr>
      </w:r>
      <w:r>
        <w:rPr>
          <w:spacing w:val="-2"/>
        </w:rPr>
        <w:t>因处置部分股权投资、因其他投资方对子公司增资而导致本公司持股比例下降等原因丧失了对被投资单位</w:t>
      </w:r>
      <w:r>
        <w:rPr>
          <w:spacing w:val="10"/>
        </w:rPr>
        <w:t> </w:t>
      </w:r>
      <w:r>
        <w:rPr>
          <w:spacing w:val="10"/>
        </w:rPr>
      </w:r>
      <w:r>
        <w:rPr>
          <w:spacing w:val="-2"/>
        </w:rPr>
        <w:t>控制权的，在编制个别财务报表时，剩余股权能够对被投资单位实施共同控制或重大影响的，改按权益法</w:t>
      </w:r>
      <w:r>
        <w:rPr>
          <w:spacing w:val="10"/>
        </w:rPr>
        <w:t> </w:t>
      </w:r>
      <w:r>
        <w:rPr>
          <w:spacing w:val="10"/>
        </w:rPr>
      </w:r>
      <w:r>
        <w:rPr>
          <w:spacing w:val="-2"/>
        </w:rPr>
        <w:t>核算，并对该剩余股权视同自取得时即采用权益法核算进行调整；剩余股权不能对被投资单位实施共同控</w:t>
      </w:r>
      <w:r>
        <w:rPr>
          <w:spacing w:val="12"/>
        </w:rPr>
        <w:t> </w:t>
      </w:r>
      <w:r>
        <w:rPr>
          <w:spacing w:val="12"/>
        </w:rPr>
      </w:r>
      <w:r>
        <w:rPr>
          <w:spacing w:val="-2"/>
        </w:rPr>
        <w:t>制或施加重大影响的，改按金融工具确认和计量准则的有关规定进行会计处理，其在丧失控制之日的公允</w:t>
      </w:r>
      <w:r>
        <w:rPr>
          <w:spacing w:val="12"/>
        </w:rPr>
        <w:t> </w:t>
      </w:r>
      <w:r>
        <w:rPr>
          <w:spacing w:val="12"/>
        </w:rPr>
      </w:r>
      <w:r>
        <w:rPr/>
        <w:t>价值与账面价值间的差额计入当期损益。</w:t>
      </w:r>
      <w:r>
        <w:rPr>
          <w:spacing w:val="-37"/>
        </w:rPr>
        <w:t> </w:t>
      </w:r>
      <w:r>
        <w:rPr>
          <w:spacing w:val="-37"/>
        </w:rPr>
      </w:r>
      <w:r>
        <w:rPr>
          <w:spacing w:val="-2"/>
        </w:rPr>
        <w:t>处置的股权是因追加投资等原因通过企业合并取得的，在编制个别财务报表时，处置后的剩余股权采用成</w:t>
      </w:r>
      <w:r>
        <w:rPr>
          <w:spacing w:val="12"/>
        </w:rPr>
        <w:t> </w:t>
      </w:r>
      <w:r>
        <w:rPr>
          <w:spacing w:val="12"/>
        </w:rPr>
      </w:r>
      <w:r>
        <w:rPr>
          <w:spacing w:val="-2"/>
        </w:rPr>
        <w:t>本法或权益法核算的，购买日之前持有的股权投资因采用权益法核算而确认的其他综合收益和其他所有者</w:t>
      </w:r>
      <w:r>
        <w:rPr>
          <w:spacing w:val="10"/>
        </w:rPr>
        <w:t> </w:t>
      </w:r>
      <w:r>
        <w:rPr>
          <w:spacing w:val="10"/>
        </w:rPr>
      </w:r>
      <w:r>
        <w:rPr>
          <w:spacing w:val="-2"/>
        </w:rPr>
        <w:t>权益按比例结转；处置后的剩余股权改按金融工具确认和计量准则进行会计处理的，其他综合收益和其他</w:t>
      </w:r>
      <w:r>
        <w:rPr>
          <w:spacing w:val="12"/>
        </w:rPr>
        <w:t> </w:t>
      </w:r>
      <w:r>
        <w:rPr>
          <w:spacing w:val="12"/>
        </w:rPr>
      </w:r>
      <w:r>
        <w:rPr/>
        <w:t>所有者权益全部结转。</w:t>
      </w:r>
      <w:r>
        <w:rPr>
          <w:b w:val="0"/>
          <w:bCs w:val="0"/>
        </w:rPr>
      </w:r>
    </w:p>
    <w:p>
      <w:pPr>
        <w:spacing w:line="240" w:lineRule="auto" w:before="11"/>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974"/>
        <w:jc w:val="left"/>
      </w:pPr>
      <w:r>
        <w:rPr/>
        <w:t>投资性房地产计量模式 成本法计量 折旧或摊销方法</w:t>
      </w:r>
    </w:p>
    <w:p>
      <w:pPr>
        <w:pStyle w:val="Heading6"/>
        <w:spacing w:line="273" w:lineRule="auto" w:before="8"/>
        <w:ind w:right="0"/>
        <w:jc w:val="left"/>
      </w:pPr>
      <w:r>
        <w:rPr>
          <w:spacing w:val="-2"/>
        </w:rPr>
        <w:t>投资性房地产是指为赚取租金或资本增值，或两者兼有而持有的房地产，包括已出租的土地使用权、持有</w:t>
      </w:r>
      <w:r>
        <w:rPr>
          <w:spacing w:val="-44"/>
        </w:rPr>
        <w:t> </w:t>
      </w:r>
      <w:r>
        <w:rPr>
          <w:spacing w:val="-44"/>
        </w:rPr>
      </w:r>
      <w:r>
        <w:rPr>
          <w:spacing w:val="-2"/>
        </w:rPr>
        <w:t>并准备增值后转让的土地使用权、已出租的建筑物（含自行建造或开发活动完成后用于出租的建筑物以及</w:t>
      </w:r>
      <w:r>
        <w:rPr>
          <w:spacing w:val="-43"/>
        </w:rPr>
        <w:t> </w:t>
      </w:r>
      <w:r>
        <w:rPr>
          <w:spacing w:val="-43"/>
        </w:rPr>
      </w:r>
      <w:r>
        <w:rPr/>
        <w:t>正在建造或开发过程中将来用于出租的建筑物）。</w:t>
      </w:r>
      <w:r>
        <w:rPr>
          <w:w w:val="100"/>
        </w:rPr>
        <w:t> </w:t>
      </w:r>
      <w:r>
        <w:rPr>
          <w:spacing w:val="-2"/>
        </w:rPr>
        <w:t>公司对现有投资性房地产采用成本模式计量。对按照成本模式计量的投资性房地产－出租用建筑物采用与</w:t>
      </w:r>
      <w:r>
        <w:rPr>
          <w:spacing w:val="-43"/>
        </w:rPr>
        <w:t> </w:t>
      </w:r>
      <w:r>
        <w:rPr>
          <w:spacing w:val="-43"/>
        </w:rPr>
      </w:r>
      <w:r>
        <w:rPr/>
        <w:t>本公司固定资产相同的折旧政策，出租用土地使用权按与无形资产相同的摊销政策执行。</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9" w:lineRule="auto"/>
        <w:ind w:right="151"/>
        <w:jc w:val="both"/>
      </w:pPr>
      <w:r>
        <w:rPr>
          <w:spacing w:val="-2"/>
        </w:rPr>
        <w:t>固定资产指为生产商品、提供劳务、出租或经营管理而持有，并且使用寿命超过一个会计年度的有形资产。固定资产在同时</w:t>
      </w:r>
      <w:r>
        <w:rPr>
          <w:spacing w:val="-65"/>
        </w:rPr>
        <w:t> </w:t>
      </w:r>
      <w:r>
        <w:rPr>
          <w:spacing w:val="-65"/>
        </w:rPr>
      </w:r>
      <w:r>
        <w:rPr/>
        <w:t>满足下列条件时予以确认： （</w:t>
      </w:r>
      <w:r>
        <w:rPr>
          <w:rFonts w:ascii="Times New Roman" w:hAnsi="Times New Roman" w:cs="Times New Roman" w:eastAsia="Times New Roman" w:hint="default"/>
        </w:rPr>
        <w:t>1</w:t>
      </w:r>
      <w:r>
        <w:rPr/>
        <w:t>）与该固定资产有关的经济利益很可能流入企业；</w:t>
      </w:r>
      <w:r>
        <w:rPr>
          <w:spacing w:val="4"/>
        </w:rPr>
        <w:t> </w:t>
      </w:r>
      <w:r>
        <w:rPr/>
        <w:t>（</w:t>
      </w:r>
      <w:r>
        <w:rPr>
          <w:rFonts w:ascii="Times New Roman" w:hAnsi="Times New Roman" w:cs="Times New Roman" w:eastAsia="Times New Roman" w:hint="default"/>
        </w:rPr>
        <w:t>2</w:t>
      </w:r>
      <w:r>
        <w:rPr/>
        <w:t>）该固定资产的成本能够可靠地计 量。</w:t>
      </w:r>
    </w:p>
    <w:p>
      <w:pPr>
        <w:spacing w:line="240" w:lineRule="auto" w:before="12"/>
        <w:rPr>
          <w:rFonts w:ascii="宋体" w:hAnsi="宋体" w:cs="宋体" w:eastAsia="宋体" w:hint="default"/>
          <w:sz w:val="17"/>
          <w:szCs w:val="1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3.23%-9.70%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5"/>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4" w:lineRule="auto"/>
        <w:ind w:right="0"/>
        <w:jc w:val="left"/>
      </w:pPr>
      <w:r>
        <w:rPr/>
        <w:t>公司与租赁方所签订的租赁协议条款中规定了下列条件之一的，确认为融资租入资产：</w:t>
      </w:r>
      <w:r>
        <w:rPr>
          <w:spacing w:val="50"/>
        </w:rPr>
        <w:t> </w:t>
      </w:r>
      <w:r>
        <w:rPr/>
        <w:t>（</w:t>
      </w:r>
      <w:r>
        <w:rPr>
          <w:rFonts w:ascii="Times New Roman" w:hAnsi="Times New Roman" w:cs="Times New Roman" w:eastAsia="Times New Roman" w:hint="default"/>
        </w:rPr>
        <w:t>1</w:t>
      </w:r>
      <w:r>
        <w:rPr/>
        <w:t>）租赁期满后租赁资产的所有 权归属于本公司； （</w:t>
      </w:r>
      <w:r>
        <w:rPr>
          <w:rFonts w:ascii="Times New Roman" w:hAnsi="Times New Roman" w:cs="Times New Roman" w:eastAsia="Times New Roman" w:hint="default"/>
        </w:rPr>
        <w:t>2</w:t>
      </w:r>
      <w:r>
        <w:rPr/>
        <w:t>）公司具有购买资产的选择权，购买价款远低于行使选择权时该资产的公允价值；</w:t>
      </w:r>
      <w:r>
        <w:rPr>
          <w:spacing w:val="10"/>
        </w:rPr>
        <w:t> </w:t>
      </w:r>
      <w:r>
        <w:rPr/>
        <w:t>（</w:t>
      </w:r>
      <w:r>
        <w:rPr>
          <w:rFonts w:ascii="Times New Roman" w:hAnsi="Times New Roman" w:cs="Times New Roman" w:eastAsia="Times New Roman" w:hint="default"/>
        </w:rPr>
        <w:t>3</w:t>
      </w:r>
      <w:r>
        <w:rPr/>
        <w:t>）租赁期占 所租赁资产使用寿命的大部分； （</w:t>
      </w:r>
      <w:r>
        <w:rPr>
          <w:rFonts w:ascii="Times New Roman" w:hAnsi="Times New Roman" w:cs="Times New Roman" w:eastAsia="Times New Roman" w:hint="default"/>
        </w:rPr>
        <w:t>4</w:t>
      </w:r>
      <w:r>
        <w:rPr/>
        <w:t>）租赁开始日的最低租赁付款额现值，与该资产的公允价值不存在较大的差异。</w:t>
      </w:r>
      <w:r>
        <w:rPr>
          <w:spacing w:val="10"/>
        </w:rPr>
        <w:t> </w:t>
      </w:r>
      <w:r>
        <w:rPr/>
        <w:t>公</w:t>
      </w:r>
      <w:r>
        <w:rPr/>
        <w:t> </w:t>
      </w:r>
      <w:r>
        <w:rPr>
          <w:spacing w:val="-2"/>
        </w:rPr>
        <w:t>司在承租开始日，将租赁资产公允价值与最低租赁付款额现值两者中较低者作为租入资产的入账价值，将最低租赁付款额作</w:t>
      </w:r>
      <w:r>
        <w:rPr>
          <w:spacing w:val="-64"/>
        </w:rPr>
        <w:t> </w:t>
      </w:r>
      <w:r>
        <w:rPr>
          <w:spacing w:val="-64"/>
        </w:rPr>
      </w:r>
      <w:r>
        <w:rPr/>
        <w:t>为长期应付款的入账价值，其差额作为未确认的融资费。</w:t>
      </w:r>
    </w:p>
    <w:p>
      <w:pPr>
        <w:spacing w:line="240" w:lineRule="auto" w:before="3"/>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714"/>
        <w:jc w:val="left"/>
      </w:pPr>
      <w:r>
        <w:rPr/>
        <w:t>公司是否需要遵守特殊行业的披露要求 否</w:t>
      </w:r>
    </w:p>
    <w:p>
      <w:pPr>
        <w:pStyle w:val="Heading6"/>
        <w:spacing w:line="273" w:lineRule="auto" w:before="6"/>
        <w:ind w:right="125"/>
        <w:jc w:val="both"/>
      </w:pPr>
      <w:r>
        <w:rPr>
          <w:spacing w:val="-2"/>
        </w:rPr>
        <w:t>在建工程项目按建造该项资产达到预定可使用状态前所发生的必要支出，作为固定资产的入账价值。所建</w:t>
      </w:r>
      <w:r>
        <w:rPr>
          <w:spacing w:val="-43"/>
        </w:rPr>
        <w:t> </w:t>
      </w:r>
      <w:r>
        <w:rPr>
          <w:spacing w:val="-43"/>
        </w:rPr>
      </w:r>
      <w:r>
        <w:rPr>
          <w:spacing w:val="-2"/>
        </w:rPr>
        <w:t>造的固定资产在工程已达到预定可使用状态，但尚未办理竣工决算的，自达到预定可使用状态之日起，根</w:t>
      </w:r>
      <w:r>
        <w:rPr>
          <w:spacing w:val="-42"/>
        </w:rPr>
        <w:t> </w:t>
      </w:r>
      <w:r>
        <w:rPr>
          <w:spacing w:val="-42"/>
        </w:rPr>
      </w:r>
      <w:r>
        <w:rPr>
          <w:spacing w:val="-2"/>
        </w:rPr>
        <w:t>据工程预算、造价或者工程实际成本等，按估计的价值转入固定资产，并按本公司固定资产折旧政策计提</w:t>
      </w:r>
      <w:r>
        <w:rPr>
          <w:spacing w:val="-43"/>
        </w:rPr>
        <w:t> </w:t>
      </w:r>
      <w:r>
        <w:rPr>
          <w:spacing w:val="-43"/>
        </w:rPr>
      </w:r>
      <w:r>
        <w:rPr>
          <w:spacing w:val="-2"/>
        </w:rPr>
        <w:t>固定资产的折旧，待办理竣工决算后，再按实际成本调整原来的暂估价值，但不调整原已计提的折旧额。</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2"/>
        <w:rPr>
          <w:rFonts w:ascii="Microsoft JhengHei" w:hAnsi="Microsoft JhengHei" w:cs="Microsoft JhengHei" w:eastAsia="Microsoft JhengHei" w:hint="default"/>
          <w:b/>
          <w:bCs/>
          <w:sz w:val="13"/>
          <w:szCs w:val="13"/>
        </w:rPr>
      </w:pPr>
    </w:p>
    <w:p>
      <w:pPr>
        <w:pStyle w:val="Heading5"/>
        <w:spacing w:line="312" w:lineRule="exact"/>
        <w:ind w:right="0"/>
        <w:jc w:val="left"/>
        <w:rPr>
          <w:b w:val="0"/>
          <w:bCs w:val="0"/>
        </w:rPr>
      </w:pPr>
      <w:r>
        <w:rPr>
          <w:rFonts w:ascii="Times New Roman" w:hAnsi="Times New Roman" w:cs="Times New Roman" w:eastAsia="Times New Roman" w:hint="default"/>
        </w:rPr>
        <w:t>1.</w:t>
      </w:r>
      <w:r>
        <w:rPr/>
        <w:t>借款费用资本化的确认原则</w:t>
      </w:r>
      <w:r>
        <w:rPr>
          <w:spacing w:val="-43"/>
        </w:rPr>
        <w:t> </w:t>
      </w:r>
      <w:r>
        <w:rPr>
          <w:spacing w:val="-43"/>
        </w:rPr>
      </w:r>
      <w:r>
        <w:rPr/>
        <w:t>借款费用，包括借款利息、折价或者溢价的摊销、辅助费用以及因外币借款而发生的汇兑差额等。</w:t>
      </w:r>
      <w:r>
        <w:rPr>
          <w:spacing w:val="-22"/>
        </w:rPr>
        <w:t> </w:t>
      </w:r>
      <w:r>
        <w:rPr>
          <w:spacing w:val="-22"/>
        </w:rPr>
      </w:r>
      <w:r>
        <w:rPr>
          <w:spacing w:val="-2"/>
        </w:rPr>
        <w:t>公司发生的借款费用，可直接归属于符合资本化条件的资产的购建或者生产的，予以资本化，计入相关资</w:t>
      </w:r>
      <w:r>
        <w:rPr>
          <w:spacing w:val="11"/>
        </w:rPr>
        <w:t> </w:t>
      </w:r>
      <w:r>
        <w:rPr>
          <w:spacing w:val="11"/>
        </w:rPr>
      </w:r>
      <w:r>
        <w:rPr/>
        <w:t>产成本；其他借款费用，在发生时根据其发生额确认为费用，计入当期损益。</w:t>
      </w:r>
      <w:r>
        <w:rPr>
          <w:spacing w:val="-30"/>
        </w:rPr>
        <w:t> </w:t>
      </w:r>
      <w:r>
        <w:rPr>
          <w:spacing w:val="-30"/>
        </w:rPr>
      </w:r>
      <w:r>
        <w:rPr>
          <w:spacing w:val="-2"/>
        </w:rPr>
        <w:t>符合资本化条件的资产，是指需要经过相当长时间的购建或者生产活动才能达到预定可使用或者可销售状</w:t>
      </w:r>
      <w:r>
        <w:rPr>
          <w:spacing w:val="10"/>
        </w:rPr>
        <w:t> </w:t>
      </w:r>
      <w:r>
        <w:rPr>
          <w:spacing w:val="10"/>
        </w:rPr>
      </w:r>
      <w:r>
        <w:rPr/>
        <w:t>态的固定资产、投资性房地产和存货等资产。</w:t>
      </w:r>
      <w:r>
        <w:rPr>
          <w:b w:val="0"/>
          <w:bCs w:val="0"/>
        </w:rPr>
      </w:r>
    </w:p>
    <w:p>
      <w:pPr>
        <w:pStyle w:val="Heading5"/>
        <w:spacing w:line="276" w:lineRule="exact"/>
        <w:ind w:right="0"/>
        <w:jc w:val="left"/>
        <w:rPr>
          <w:b w:val="0"/>
          <w:bCs w:val="0"/>
        </w:rPr>
      </w:pPr>
      <w:r>
        <w:rPr/>
        <w:t>借款费用同时满足下列条件时开始资本化：</w:t>
      </w:r>
      <w:r>
        <w:rPr>
          <w:b w:val="0"/>
          <w:bCs w:val="0"/>
        </w:rPr>
      </w:r>
    </w:p>
    <w:p>
      <w:pPr>
        <w:pStyle w:val="Heading5"/>
        <w:spacing w:line="312" w:lineRule="exact" w:before="35"/>
        <w:ind w:right="0"/>
        <w:jc w:val="left"/>
        <w:rPr>
          <w:b w:val="0"/>
          <w:bCs w:val="0"/>
        </w:rPr>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26"/>
        </w:rPr>
        <w:t> </w:t>
      </w:r>
      <w:r>
        <w:rPr>
          <w:spacing w:val="26"/>
        </w:rPr>
      </w:r>
      <w:r>
        <w:rPr/>
        <w:t>金资产或者承担带息债务形式发生的支出；</w:t>
      </w:r>
      <w:r>
        <w:rPr>
          <w:b w:val="0"/>
          <w:bCs w:val="0"/>
        </w:rPr>
      </w:r>
    </w:p>
    <w:p>
      <w:pPr>
        <w:pStyle w:val="Heading5"/>
        <w:spacing w:line="277" w:lineRule="exact"/>
        <w:ind w:right="0"/>
        <w:jc w:val="left"/>
        <w:rPr>
          <w:b w:val="0"/>
          <w:bCs w:val="0"/>
        </w:rPr>
      </w:pPr>
      <w:r>
        <w:rPr/>
        <w:t>（</w:t>
      </w:r>
      <w:r>
        <w:rPr>
          <w:rFonts w:ascii="Times New Roman" w:hAnsi="Times New Roman" w:cs="Times New Roman" w:eastAsia="Times New Roman" w:hint="default"/>
        </w:rPr>
        <w:t>2</w:t>
      </w:r>
      <w:r>
        <w:rPr/>
        <w:t>）借款费用已经发生；</w:t>
      </w:r>
      <w:r>
        <w:rPr>
          <w:b w:val="0"/>
          <w:bCs w:val="0"/>
        </w:rPr>
      </w:r>
    </w:p>
    <w:p>
      <w:pPr>
        <w:pStyle w:val="Heading5"/>
        <w:spacing w:line="339" w:lineRule="exact"/>
        <w:ind w:right="0"/>
        <w:jc w:val="left"/>
        <w:rPr>
          <w:b w:val="0"/>
          <w:bCs w:val="0"/>
        </w:rPr>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b w:val="0"/>
          <w:bCs w:val="0"/>
        </w:rPr>
      </w:r>
    </w:p>
    <w:p>
      <w:pPr>
        <w:spacing w:line="240" w:lineRule="auto" w:before="8"/>
        <w:rPr>
          <w:rFonts w:ascii="Microsoft JhengHei" w:hAnsi="Microsoft JhengHei" w:cs="Microsoft JhengHei" w:eastAsia="Microsoft JhengHei" w:hint="default"/>
          <w:b/>
          <w:bCs/>
          <w:sz w:val="18"/>
          <w:szCs w:val="18"/>
        </w:rPr>
      </w:pPr>
    </w:p>
    <w:p>
      <w:pPr>
        <w:pStyle w:val="Heading5"/>
        <w:spacing w:line="312" w:lineRule="exact"/>
        <w:ind w:right="157"/>
        <w:jc w:val="left"/>
        <w:rPr>
          <w:b w:val="0"/>
          <w:bCs w:val="0"/>
        </w:rPr>
      </w:pPr>
      <w:r>
        <w:rPr>
          <w:rFonts w:ascii="Times New Roman" w:hAnsi="Times New Roman" w:cs="Times New Roman" w:eastAsia="Times New Roman" w:hint="default"/>
        </w:rPr>
        <w:t>2.</w:t>
      </w:r>
      <w:r>
        <w:rPr/>
        <w:t>借款费用资本化期间</w:t>
      </w:r>
      <w:r>
        <w:rPr>
          <w:spacing w:val="-43"/>
        </w:rPr>
        <w:t> </w:t>
      </w:r>
      <w:r>
        <w:rPr>
          <w:spacing w:val="-2"/>
        </w:rPr>
        <w:t>资本化期间，指从借款费用开始资本化时点到停止资本化时点的期间，借款费用暂停资本化的期间不包括</w:t>
      </w:r>
      <w:r>
        <w:rPr>
          <w:spacing w:val="12"/>
        </w:rPr>
        <w:t> </w:t>
      </w:r>
      <w:r>
        <w:rPr>
          <w:spacing w:val="12"/>
        </w:rPr>
      </w:r>
      <w:r>
        <w:rPr/>
        <w:t>在内。</w:t>
      </w:r>
      <w:r>
        <w:rPr>
          <w:spacing w:val="-49"/>
        </w:rPr>
        <w:t> </w:t>
      </w:r>
      <w:r>
        <w:rPr/>
        <w:t>当购建或者生产符合资本化条件的资产达到预定可使用或者可销售状态时，借款费用停止资本化。</w:t>
      </w:r>
      <w:r>
        <w:rPr>
          <w:spacing w:val="-22"/>
        </w:rPr>
        <w:t> </w:t>
      </w:r>
      <w:r>
        <w:rPr>
          <w:spacing w:val="-22"/>
        </w:rPr>
      </w:r>
      <w:r>
        <w:rPr>
          <w:spacing w:val="-2"/>
        </w:rPr>
        <w:t>当购建或者生产符合资本化条件的资产中部分项目分别完工且可单独使用时，该部分资产借款费用停止资</w:t>
      </w:r>
      <w:r>
        <w:rPr>
          <w:spacing w:val="10"/>
        </w:rPr>
        <w:t> </w:t>
      </w:r>
      <w:r>
        <w:rPr>
          <w:spacing w:val="10"/>
        </w:rPr>
      </w:r>
      <w:r>
        <w:rPr/>
        <w:t>本化。</w:t>
      </w:r>
      <w:r>
        <w:rPr>
          <w:b w:val="0"/>
          <w:bCs w:val="0"/>
        </w:rPr>
      </w:r>
    </w:p>
    <w:p>
      <w:pPr>
        <w:spacing w:after="0" w:line="312" w:lineRule="exact"/>
        <w:jc w:val="left"/>
        <w:sectPr>
          <w:pgSz w:w="11910" w:h="16840"/>
          <w:pgMar w:header="745" w:footer="980"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312" w:lineRule="exact" w:before="32"/>
        <w:ind w:right="0"/>
        <w:jc w:val="left"/>
        <w:rPr>
          <w:b w:val="0"/>
          <w:bCs w:val="0"/>
        </w:rPr>
      </w:pPr>
      <w:r>
        <w:rPr>
          <w:spacing w:val="-2"/>
        </w:rPr>
        <w:t>购建或者生产的资产的各部分分别完工，但必须等到整体完工后才可使用或可对外销售的，在该资产整体</w:t>
      </w:r>
      <w:r>
        <w:rPr>
          <w:spacing w:val="12"/>
        </w:rPr>
        <w:t> </w:t>
      </w:r>
      <w:r>
        <w:rPr>
          <w:spacing w:val="12"/>
        </w:rPr>
      </w:r>
      <w:r>
        <w:rPr/>
        <w:t>完工时停止借款费用资本化。</w:t>
      </w:r>
      <w:r>
        <w:rPr>
          <w:b w:val="0"/>
          <w:bCs w:val="0"/>
        </w:rPr>
      </w:r>
    </w:p>
    <w:p>
      <w:pPr>
        <w:spacing w:line="240" w:lineRule="auto" w:before="16"/>
        <w:rPr>
          <w:rFonts w:ascii="Microsoft JhengHei" w:hAnsi="Microsoft JhengHei" w:cs="Microsoft JhengHei" w:eastAsia="Microsoft JhengHei" w:hint="default"/>
          <w:b/>
          <w:bCs/>
          <w:sz w:val="17"/>
          <w:szCs w:val="17"/>
        </w:rPr>
      </w:pPr>
    </w:p>
    <w:p>
      <w:pPr>
        <w:pStyle w:val="Heading5"/>
        <w:spacing w:line="312" w:lineRule="exact"/>
        <w:ind w:right="0"/>
        <w:jc w:val="left"/>
        <w:rPr>
          <w:b w:val="0"/>
          <w:bCs w:val="0"/>
        </w:rPr>
      </w:pPr>
      <w:r>
        <w:rPr>
          <w:rFonts w:ascii="Times New Roman" w:hAnsi="Times New Roman" w:cs="Times New Roman" w:eastAsia="Times New Roman" w:hint="default"/>
        </w:rPr>
        <w:t>3.</w:t>
      </w:r>
      <w:r>
        <w:rPr/>
        <w:t>暂停资本化期间</w:t>
      </w:r>
      <w:r>
        <w:rPr>
          <w:spacing w:val="-46"/>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30"/>
        </w:rPr>
        <w:t> </w:t>
      </w:r>
      <w:r>
        <w:rPr>
          <w:spacing w:val="30"/>
        </w:rPr>
      </w:r>
      <w:r>
        <w:rPr>
          <w:spacing w:val="-2"/>
        </w:rPr>
        <w:t>用暂停资本化；该项中断如是所购建或生产的符合资本化条件的资产达到预定可使用状态或者可销售状态</w:t>
      </w:r>
      <w:r>
        <w:rPr>
          <w:spacing w:val="10"/>
        </w:rPr>
        <w:t> </w:t>
      </w:r>
      <w:r>
        <w:rPr>
          <w:spacing w:val="10"/>
        </w:rPr>
      </w:r>
      <w:r>
        <w:rPr>
          <w:spacing w:val="-2"/>
        </w:rPr>
        <w:t>必要的程序，则借款费用继续资本化。在中断期间发生的借款费用确认为当期损益，直至资产的购建或者</w:t>
      </w:r>
      <w:r>
        <w:rPr>
          <w:spacing w:val="10"/>
        </w:rPr>
        <w:t> </w:t>
      </w:r>
      <w:r>
        <w:rPr>
          <w:spacing w:val="10"/>
        </w:rPr>
      </w:r>
      <w:r>
        <w:rPr/>
        <w:t>生产活动重新开始后借款费用继续资本化。</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Heading5"/>
        <w:spacing w:line="204" w:lineRule="auto"/>
        <w:ind w:right="0"/>
        <w:jc w:val="left"/>
        <w:rPr>
          <w:b w:val="0"/>
          <w:bCs w:val="0"/>
        </w:rPr>
      </w:pPr>
      <w:r>
        <w:rPr>
          <w:rFonts w:ascii="Times New Roman" w:hAnsi="Times New Roman" w:cs="Times New Roman" w:eastAsia="Times New Roman" w:hint="default"/>
        </w:rPr>
        <w:t>4.</w:t>
      </w:r>
      <w:r>
        <w:rPr/>
        <w:t>借款费用资本化率、资本化金额的计算方法</w:t>
      </w:r>
      <w:r>
        <w:rPr>
          <w:spacing w:val="-34"/>
        </w:rPr>
        <w:t> </w:t>
      </w:r>
      <w:r>
        <w:rPr>
          <w:spacing w:val="-34"/>
        </w:rPr>
      </w:r>
      <w:r>
        <w:rPr>
          <w:spacing w:val="-2"/>
        </w:rPr>
        <w:t>对于为购建或者生产符合资本化条件的资产而借入的专门借款，以专门借款当期实际发生的借款费用，减</w:t>
      </w:r>
      <w:r>
        <w:rPr>
          <w:spacing w:val="12"/>
        </w:rPr>
        <w:t> </w:t>
      </w:r>
      <w:r>
        <w:rPr>
          <w:spacing w:val="12"/>
        </w:rPr>
      </w:r>
      <w:r>
        <w:rPr>
          <w:spacing w:val="-2"/>
        </w:rPr>
        <w:t>去尚未动用的借款资金存入银行取得的利息收入或进行暂时性投资取得的投资收益后的金额，来确定借款</w:t>
      </w:r>
      <w:r>
        <w:rPr>
          <w:spacing w:val="10"/>
        </w:rPr>
        <w:t> </w:t>
      </w:r>
      <w:r>
        <w:rPr>
          <w:spacing w:val="10"/>
        </w:rPr>
      </w:r>
      <w:r>
        <w:rPr/>
        <w:t>费用的资本化金额。</w:t>
      </w:r>
      <w:r>
        <w:rPr>
          <w:spacing w:val="-42"/>
        </w:rPr>
        <w:t> </w:t>
      </w:r>
      <w:r>
        <w:rPr>
          <w:spacing w:val="-2"/>
        </w:rPr>
        <w:t>对于为购建或者生产符合资本化条件的资产而占用的一般借款，根据累计资产支出超过专门借款部分的资</w:t>
      </w:r>
      <w:r>
        <w:rPr>
          <w:spacing w:val="10"/>
        </w:rPr>
        <w:t> </w:t>
      </w:r>
      <w:r>
        <w:rPr>
          <w:spacing w:val="10"/>
        </w:rPr>
      </w:r>
      <w:r>
        <w:rPr>
          <w:spacing w:val="-2"/>
        </w:rPr>
        <w:t>产支出加权平均数乘以所占用一般借款的资本化率，计算确定一般借款应予资本化的借款费用金额。资本</w:t>
      </w:r>
      <w:r>
        <w:rPr>
          <w:spacing w:val="12"/>
        </w:rPr>
        <w:t> </w:t>
      </w:r>
      <w:r>
        <w:rPr>
          <w:spacing w:val="12"/>
        </w:rPr>
      </w:r>
      <w:r>
        <w:rPr/>
        <w:t>化率根据一般借款加权平均利率计算确定。</w:t>
      </w:r>
      <w:r>
        <w:rPr>
          <w:spacing w:val="-36"/>
        </w:rPr>
        <w:t> </w:t>
      </w:r>
      <w:r>
        <w:rPr>
          <w:spacing w:val="-36"/>
        </w:rPr>
      </w:r>
      <w:r>
        <w:rPr>
          <w:spacing w:val="-2"/>
        </w:rPr>
        <w:t>借款存在折价或者溢价的，按照实际利率法确定每一会计期间应摊销的折价或者溢价金额，调整每期利息</w:t>
      </w:r>
      <w:r>
        <w:rPr>
          <w:spacing w:val="12"/>
        </w:rPr>
        <w:t> </w:t>
      </w:r>
      <w:r>
        <w:rPr>
          <w:spacing w:val="12"/>
        </w:rPr>
      </w:r>
      <w:r>
        <w:rPr/>
        <w:t>金额。</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2"/>
          <w:szCs w:val="12"/>
        </w:rPr>
      </w:pPr>
    </w:p>
    <w:p>
      <w:pPr>
        <w:pStyle w:val="Heading5"/>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14"/>
        <w:jc w:val="left"/>
      </w:pPr>
      <w:r>
        <w:rPr/>
        <w:t>公司是否需要遵守特殊行业的披露要求 否</w:t>
      </w:r>
    </w:p>
    <w:p>
      <w:pPr>
        <w:pStyle w:val="Heading5"/>
        <w:spacing w:line="303" w:lineRule="exact"/>
        <w:ind w:right="0"/>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Heading6"/>
        <w:spacing w:line="271" w:lineRule="auto"/>
        <w:ind w:left="230" w:right="0" w:hanging="78"/>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4"/>
        </w:rPr>
        <w:t>外购无形资产的成本，包括购买价款、相关税费以及直接归属于使该项资产达到预定用途所发生的其他支</w:t>
      </w:r>
      <w:r>
        <w:rPr>
          <w:w w:val="100"/>
        </w:rPr>
        <w:t> </w:t>
      </w:r>
      <w:r>
        <w:rPr>
          <w:spacing w:val="-4"/>
        </w:rPr>
        <w:t>出。购买无形资产的价款超过正常信用条件延期支付，实质上具有融资性质的，无形资产的成本以购买价</w:t>
      </w:r>
      <w:r>
        <w:rPr>
          <w:w w:val="100"/>
        </w:rPr>
        <w:t> </w:t>
      </w:r>
      <w:r>
        <w:rPr/>
        <w:t>款的现值为基础确定。</w:t>
      </w:r>
      <w:r>
        <w:rPr>
          <w:w w:val="100"/>
        </w:rPr>
        <w:t> </w:t>
      </w:r>
      <w:r>
        <w:rPr>
          <w:spacing w:val="-4"/>
        </w:rPr>
        <w:t>债务重组取得债务人用以抵债的无形资产，以该无形资产的公允价值为基础确定其入账价值，并将重组债</w:t>
      </w:r>
      <w:r>
        <w:rPr>
          <w:w w:val="100"/>
        </w:rPr>
        <w:t> </w:t>
      </w:r>
      <w:r>
        <w:rPr/>
        <w:t>务的账面价值与该用以抵债的无形资产公允价值之间的差额，计入当期损益。</w:t>
      </w:r>
      <w:r>
        <w:rPr>
          <w:w w:val="100"/>
        </w:rPr>
        <w:t> </w:t>
      </w:r>
      <w:r>
        <w:rPr>
          <w:spacing w:val="-4"/>
          <w:w w:val="100"/>
        </w:rPr>
        <w:t>在非货币性资产交换具备商业实质且换入资产或换出资产的公允价值能够可靠计量的前提下，非货币性资</w:t>
      </w:r>
      <w:r>
        <w:rPr>
          <w:w w:val="100"/>
        </w:rPr>
        <w:t> </w:t>
      </w:r>
      <w:r>
        <w:rPr>
          <w:spacing w:val="-4"/>
          <w:w w:val="100"/>
        </w:rPr>
        <w:t>产交换换入的无形资产以换出资产的公允价值为基础确定其入账价值，除非有确凿证据表明换入资产的公</w:t>
      </w:r>
      <w:r>
        <w:rPr>
          <w:w w:val="100"/>
        </w:rPr>
        <w:t> </w:t>
      </w:r>
      <w:r>
        <w:rPr>
          <w:spacing w:val="-4"/>
        </w:rPr>
        <w:t>允价值更加可靠；不满足上述前提的非货币性资产交换，以换出资产的账面价值和应支付的相关税费作为</w:t>
      </w:r>
      <w:r>
        <w:rPr>
          <w:w w:val="100"/>
        </w:rPr>
        <w:t> </w:t>
      </w:r>
      <w:r>
        <w:rPr/>
        <w:t>换入无形资产的成本，不确认损益。</w:t>
      </w:r>
    </w:p>
    <w:p>
      <w:pPr>
        <w:pStyle w:val="Heading6"/>
        <w:spacing w:line="256" w:lineRule="auto" w:before="10"/>
        <w:ind w:left="230" w:right="5494" w:hanging="78"/>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273" w:lineRule="auto" w:before="36"/>
        <w:ind w:right="0" w:firstLine="77"/>
        <w:jc w:val="left"/>
      </w:pPr>
      <w:r>
        <w:rPr>
          <w:spacing w:val="-4"/>
        </w:rPr>
        <w:t>对于使用寿命有限的无形资产，在为企业带来经济利益的期限内按直线法摊销；无法预见无形资产为企业</w:t>
      </w:r>
      <w:r>
        <w:rPr>
          <w:w w:val="100"/>
        </w:rPr>
        <w:t> </w:t>
      </w:r>
      <w:r>
        <w:rPr/>
        <w:t>带来经济利益期限的，视为使用寿命不确定的无形资产，不予摊销。</w:t>
      </w:r>
    </w:p>
    <w:p>
      <w:pPr>
        <w:spacing w:line="240" w:lineRule="auto" w:before="4"/>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583"/>
        <w:gridCol w:w="2950"/>
        <w:gridCol w:w="2883"/>
      </w:tblGrid>
      <w:tr>
        <w:trPr>
          <w:trHeight w:val="355" w:hRule="exact"/>
        </w:trPr>
        <w:tc>
          <w:tcPr>
            <w:tcW w:w="2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657"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8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1"/>
              <w:jc w:val="right"/>
              <w:rPr>
                <w:rFonts w:ascii="Times New Roman" w:hAnsi="Times New Roman" w:cs="Times New Roman" w:eastAsia="Times New Roman" w:hint="default"/>
                <w:sz w:val="18"/>
                <w:szCs w:val="18"/>
              </w:rPr>
            </w:pPr>
            <w:r>
              <w:rPr>
                <w:rFonts w:ascii="Times New Roman"/>
                <w:sz w:val="18"/>
              </w:rPr>
              <w:t>50</w:t>
            </w:r>
          </w:p>
        </w:tc>
        <w:tc>
          <w:tcPr>
            <w:tcW w:w="2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土地使用权证对应年限</w:t>
            </w:r>
          </w:p>
        </w:tc>
      </w:tr>
      <w:tr>
        <w:trPr>
          <w:trHeight w:val="353" w:hRule="exact"/>
        </w:trPr>
        <w:tc>
          <w:tcPr>
            <w:tcW w:w="2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8"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2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43"/>
              <w:jc w:val="right"/>
              <w:rPr>
                <w:rFonts w:ascii="Times New Roman" w:hAnsi="Times New Roman" w:cs="Times New Roman" w:eastAsia="Times New Roman" w:hint="default"/>
                <w:sz w:val="18"/>
                <w:szCs w:val="18"/>
              </w:rPr>
            </w:pPr>
            <w:r>
              <w:rPr>
                <w:rFonts w:ascii="Times New Roman"/>
                <w:spacing w:val="-1"/>
                <w:sz w:val="18"/>
              </w:rPr>
              <w:t>3-10</w:t>
            </w:r>
            <w:r>
              <w:rPr>
                <w:rFonts w:ascii="Times New Roman"/>
                <w:sz w:val="18"/>
              </w:rPr>
            </w:r>
          </w:p>
        </w:tc>
        <w:tc>
          <w:tcPr>
            <w:tcW w:w="2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3" w:hRule="exact"/>
        </w:trPr>
        <w:tc>
          <w:tcPr>
            <w:tcW w:w="2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9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z w:val="18"/>
              </w:rPr>
              <w:t>3</w:t>
            </w:r>
          </w:p>
        </w:tc>
        <w:tc>
          <w:tcPr>
            <w:tcW w:w="288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Heading6"/>
        <w:spacing w:line="253" w:lineRule="exact"/>
        <w:ind w:right="0"/>
        <w:jc w:val="left"/>
      </w:pPr>
      <w:r>
        <w:rPr/>
        <w:t>每年度终了，对使用寿命有限的无形资产的使用寿命及摊销方法进行复核。</w:t>
      </w:r>
    </w:p>
    <w:p>
      <w:pPr>
        <w:pStyle w:val="Heading6"/>
        <w:spacing w:line="240" w:lineRule="auto" w:before="37"/>
        <w:ind w:right="0"/>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ind w:right="0"/>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开发阶段：在进行商业性生产或使用前，将研究成果或其他知识应用于某项计划或设计，以生产出新的或</w:t>
      </w:r>
      <w:r>
        <w:rPr>
          <w:spacing w:val="-44"/>
        </w:rPr>
        <w:t> </w:t>
      </w:r>
      <w:r>
        <w:rPr>
          <w:spacing w:val="-44"/>
        </w:rPr>
      </w:r>
      <w:r>
        <w:rPr/>
        <w:t>具有实质性改进的材料、装置、产品等活动的阶段。</w:t>
      </w:r>
      <w:r>
        <w:rPr>
          <w:w w:val="100"/>
        </w:rPr>
        <w:t> </w:t>
      </w:r>
      <w:r>
        <w:rPr/>
        <w:t>内部研究开发项目开发阶段的支出，同时满足下列条件时确认为无形资产：</w:t>
      </w:r>
    </w:p>
    <w:p>
      <w:pPr>
        <w:pStyle w:val="Heading6"/>
        <w:spacing w:line="240" w:lineRule="auto" w:before="7"/>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21"/>
        <w:ind w:right="0"/>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56" w:lineRule="auto" w:before="21"/>
        <w:ind w:right="0"/>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w:t>
      </w:r>
      <w:r>
        <w:rPr>
          <w:spacing w:val="-22"/>
        </w:rPr>
        <w:t> </w:t>
      </w:r>
      <w:r>
        <w:rPr>
          <w:spacing w:val="-22"/>
        </w:rPr>
      </w:r>
      <w:r>
        <w:rPr/>
        <w:t>存在市场，无形资产将在内部使用的，能够证明其有用性；</w:t>
      </w:r>
    </w:p>
    <w:p>
      <w:pPr>
        <w:pStyle w:val="Heading6"/>
        <w:spacing w:line="256" w:lineRule="auto" w:before="22"/>
        <w:ind w:right="0"/>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）有足够的技术、财务资源和其他资源支持，以完成该无形资产的开发，并有能力使用或出售该无形</w:t>
      </w:r>
      <w:r>
        <w:rPr>
          <w:spacing w:val="-22"/>
        </w:rPr>
        <w:t> </w:t>
      </w:r>
      <w:r>
        <w:rPr>
          <w:spacing w:val="-22"/>
        </w:rPr>
      </w:r>
      <w:r>
        <w:rPr/>
        <w:t>资产；</w:t>
      </w:r>
    </w:p>
    <w:p>
      <w:pPr>
        <w:pStyle w:val="Heading6"/>
        <w:spacing w:line="264" w:lineRule="auto" w:before="22"/>
        <w:ind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开发阶段的支出，若不满足上列条件的，于发生时计入当期损益。研究阶段的支出，在发生时计入当期损</w:t>
      </w:r>
      <w:r>
        <w:rPr>
          <w:spacing w:val="-50"/>
        </w:rPr>
        <w:t> </w:t>
      </w:r>
      <w:r>
        <w:rPr>
          <w:spacing w:val="-50"/>
        </w:rPr>
      </w:r>
      <w:r>
        <w:rPr/>
        <w:t>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73" w:lineRule="auto"/>
        <w:ind w:right="0"/>
        <w:jc w:val="left"/>
      </w:pPr>
      <w:r>
        <w:rPr>
          <w:spacing w:val="-2"/>
        </w:rPr>
        <w:t>长期股权投资、采用成本模式计量的投资性房地产、固定资产、在建工程、使用寿命有限的无形资产等长</w:t>
      </w:r>
      <w:r>
        <w:rPr>
          <w:spacing w:val="-44"/>
        </w:rPr>
        <w:t> </w:t>
      </w:r>
      <w:r>
        <w:rPr>
          <w:spacing w:val="-44"/>
        </w:rPr>
      </w:r>
      <w:r>
        <w:rPr>
          <w:spacing w:val="-2"/>
        </w:rPr>
        <w:t>期资产，于资产负债表日存在减值迹象的，进行减值测试。减值测试结果表明资产的可收回金额低于其账</w:t>
      </w:r>
      <w:r>
        <w:rPr>
          <w:spacing w:val="-43"/>
        </w:rPr>
        <w:t> </w:t>
      </w:r>
      <w:r>
        <w:rPr>
          <w:spacing w:val="-43"/>
        </w:rPr>
      </w:r>
      <w:r>
        <w:rPr>
          <w:spacing w:val="-2"/>
        </w:rPr>
        <w:t>面价值的，按其差额计提减值准备并计入减值损失。可收回金额为资产的公允价值减去处置费用后的净额</w:t>
      </w:r>
      <w:r>
        <w:rPr>
          <w:spacing w:val="-43"/>
        </w:rPr>
        <w:t> </w:t>
      </w:r>
      <w:r>
        <w:rPr>
          <w:spacing w:val="-43"/>
        </w:rPr>
      </w:r>
      <w:r>
        <w:rPr>
          <w:spacing w:val="-2"/>
        </w:rPr>
        <w:t>与资产预计未来现金流量的现值两者之间的较高者。资产减值准备按单项资产为基础计算并确认，如果难</w:t>
      </w:r>
      <w:r>
        <w:rPr>
          <w:spacing w:val="-44"/>
        </w:rPr>
        <w:t> </w:t>
      </w:r>
      <w:r>
        <w:rPr>
          <w:spacing w:val="-44"/>
        </w:rPr>
      </w:r>
      <w:r>
        <w:rPr>
          <w:spacing w:val="-2"/>
        </w:rPr>
        <w:t>以对单项资产的可收回金额进行估计的，以该资产所属的资产组确定资产组的可收回金额。资产组是能够</w:t>
      </w:r>
      <w:r>
        <w:rPr>
          <w:spacing w:val="-42"/>
        </w:rPr>
        <w:t> </w:t>
      </w:r>
      <w:r>
        <w:rPr>
          <w:spacing w:val="-42"/>
        </w:rPr>
      </w:r>
      <w:r>
        <w:rPr/>
        <w:t>独立产生现金流入的最小资产组合。</w:t>
      </w:r>
      <w:r>
        <w:rPr>
          <w:w w:val="100"/>
        </w:rPr>
        <w:t> </w:t>
      </w: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关的资产组；难以分摊至相关的资产组的，将其分摊至相关的资产组组合。在将商誉的账面价值分摊至相</w:t>
      </w:r>
      <w:r>
        <w:rPr>
          <w:spacing w:val="-43"/>
        </w:rPr>
        <w:t> </w:t>
      </w:r>
      <w:r>
        <w:rPr>
          <w:spacing w:val="-43"/>
        </w:rPr>
      </w:r>
      <w:r>
        <w:rPr>
          <w:spacing w:val="-2"/>
        </w:rPr>
        <w:t>关的资产组或者资产组组合时，按照各资产组或者资产组组合的公允价值占相关资产组或者资产组组合公</w:t>
      </w:r>
      <w:r>
        <w:rPr>
          <w:spacing w:val="-43"/>
        </w:rPr>
        <w:t> </w:t>
      </w:r>
      <w:r>
        <w:rPr>
          <w:spacing w:val="-43"/>
        </w:rPr>
      </w:r>
      <w:r>
        <w:rPr>
          <w:spacing w:val="-2"/>
        </w:rPr>
        <w:t>允价值总额的比例进行分摊。公允价值难以可靠计量的，按照各资产组或者资产组组合的账面价值占相关</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273" w:lineRule="auto" w:before="36"/>
        <w:ind w:right="0"/>
        <w:jc w:val="left"/>
      </w:pPr>
      <w:r>
        <w:rPr/>
        <w:t>资产组或者资产组组合账面价值总额的比例进行分摊。</w:t>
      </w:r>
      <w:r>
        <w:rPr>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t>者资产组组合的可收回金额低于其账面价值的，确认商誉的减值损失。</w:t>
      </w:r>
      <w:r>
        <w:rPr>
          <w:spacing w:val="-25"/>
        </w:rPr>
        <w:t> </w:t>
      </w:r>
      <w:r>
        <w:rPr/>
        <w:t>上述资产减值损失一经确认，在</w:t>
      </w:r>
      <w:r>
        <w:rPr>
          <w:w w:val="100"/>
        </w:rPr>
        <w:t> </w:t>
      </w:r>
      <w:r>
        <w:rPr/>
        <w:t>以后会计期间不予转回。</w:t>
      </w:r>
    </w:p>
    <w:p>
      <w:pPr>
        <w:spacing w:line="240" w:lineRule="auto" w:before="1"/>
        <w:rPr>
          <w:rFonts w:ascii="宋体" w:hAnsi="宋体" w:cs="宋体" w:eastAsia="宋体" w:hint="default"/>
          <w:sz w:val="25"/>
          <w:szCs w:val="25"/>
        </w:rPr>
      </w:pPr>
    </w:p>
    <w:p>
      <w:pPr>
        <w:spacing w:line="590" w:lineRule="atLeast" w:before="0"/>
        <w:ind w:left="152" w:right="5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长期待摊费用为已经发生但应由本期和以后各期负担的分摊期限在一年以上的各项费用。</w:t>
      </w:r>
    </w:p>
    <w:p>
      <w:pPr>
        <w:pStyle w:val="Heading6"/>
        <w:spacing w:line="259" w:lineRule="auto" w:before="37"/>
        <w:ind w:right="5994"/>
        <w:jc w:val="left"/>
      </w:pPr>
      <w:r>
        <w:rPr>
          <w:rFonts w:ascii="Times New Roman" w:hAnsi="Times New Roman" w:cs="Times New Roman" w:eastAsia="Times New Roman" w:hint="default"/>
        </w:rPr>
        <w:t>1.</w:t>
      </w:r>
      <w:r>
        <w:rPr/>
        <w:t>摊销方法</w:t>
      </w:r>
      <w:r>
        <w:rPr>
          <w:spacing w:val="-103"/>
        </w:rPr>
        <w:t> </w:t>
      </w:r>
      <w:r>
        <w:rPr>
          <w:spacing w:val="-103"/>
        </w:rPr>
      </w:r>
      <w:r>
        <w:rPr>
          <w:spacing w:val="-2"/>
        </w:rPr>
        <w:t>长期待摊费用在受益期内平均摊销</w:t>
      </w:r>
    </w:p>
    <w:p>
      <w:pPr>
        <w:spacing w:line="240" w:lineRule="auto" w:before="5"/>
        <w:rPr>
          <w:rFonts w:ascii="宋体" w:hAnsi="宋体" w:cs="宋体" w:eastAsia="宋体" w:hint="default"/>
          <w:sz w:val="25"/>
          <w:szCs w:val="25"/>
        </w:rPr>
      </w:pPr>
    </w:p>
    <w:p>
      <w:pPr>
        <w:pStyle w:val="Heading6"/>
        <w:spacing w:line="268" w:lineRule="auto"/>
        <w:ind w:right="0"/>
        <w:jc w:val="left"/>
      </w:pPr>
      <w:r>
        <w:rPr>
          <w:rFonts w:ascii="Times New Roman" w:hAnsi="Times New Roman" w:cs="Times New Roman" w:eastAsia="Times New Roman" w:hint="default"/>
        </w:rPr>
        <w:t>2.</w:t>
      </w:r>
      <w:r>
        <w:rPr/>
        <w:t>摊销年限</w:t>
      </w:r>
      <w:r>
        <w:rPr>
          <w:spacing w:val="-103"/>
        </w:rPr>
        <w:t> </w:t>
      </w:r>
      <w:r>
        <w:rPr>
          <w:spacing w:val="-103"/>
        </w:rPr>
      </w:r>
      <w:r>
        <w:rPr>
          <w:spacing w:val="-2"/>
        </w:rPr>
        <w:t>长期待摊费用在取得时按照实际成本计价，开办费在发生时计入当期损益；经营性租赁固定资产的装修费</w:t>
      </w:r>
      <w:r>
        <w:rPr>
          <w:spacing w:val="-43"/>
        </w:rPr>
        <w:t> </w:t>
      </w:r>
      <w:r>
        <w:rPr>
          <w:spacing w:val="-43"/>
        </w:rPr>
      </w:r>
      <w:r>
        <w:rPr>
          <w:spacing w:val="-2"/>
        </w:rPr>
        <w:t>用在可使用年限和租赁期两者较低年限进行平均摊销，其他长期待摊费用按项目的受益期平均摊销。对于</w:t>
      </w:r>
      <w:r>
        <w:rPr>
          <w:spacing w:val="-43"/>
        </w:rPr>
        <w:t> </w:t>
      </w:r>
      <w:r>
        <w:rPr>
          <w:spacing w:val="-43"/>
        </w:rPr>
      </w:r>
      <w:r>
        <w:rPr>
          <w:spacing w:val="-2"/>
        </w:rPr>
        <w:t>在以后会计期间已无法带来预期经济利益的长期待摊费用，本公司对其尚未摊销的摊余价值全部转入当期</w:t>
      </w:r>
      <w:r>
        <w:rPr>
          <w:spacing w:val="-43"/>
        </w:rPr>
        <w:t> </w:t>
      </w:r>
      <w:r>
        <w:rPr>
          <w:spacing w:val="-43"/>
        </w:rPr>
      </w:r>
      <w:r>
        <w:rPr/>
        <w:t>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73" w:lineRule="auto"/>
        <w:ind w:right="0"/>
        <w:jc w:val="left"/>
      </w:pPr>
      <w:r>
        <w:rPr>
          <w:spacing w:val="-2"/>
        </w:rPr>
        <w:t>本公司在职工为本公司提供服务的会计期间，将实际发生的短期薪酬确认为负债，并计入当期损益或相关</w:t>
      </w:r>
      <w:r>
        <w:rPr>
          <w:spacing w:val="-42"/>
        </w:rPr>
        <w:t> </w:t>
      </w:r>
      <w:r>
        <w:rPr>
          <w:spacing w:val="-42"/>
        </w:rPr>
      </w:r>
      <w:r>
        <w:rPr/>
        <w:t>资产成本。</w:t>
      </w:r>
      <w:r>
        <w:rPr>
          <w:spacing w:val="-102"/>
        </w:rPr>
        <w:t> </w:t>
      </w:r>
      <w:r>
        <w:rPr>
          <w:spacing w:val="-102"/>
        </w:rPr>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64" w:lineRule="auto"/>
        <w:ind w:right="0"/>
        <w:jc w:val="left"/>
      </w:pPr>
      <w:r>
        <w:rPr/>
        <w:t>（</w:t>
      </w:r>
      <w:r>
        <w:rPr>
          <w:rFonts w:ascii="Times New Roman" w:hAnsi="Times New Roman" w:cs="Times New Roman" w:eastAsia="Times New Roman" w:hint="default"/>
        </w:rPr>
        <w:t>1</w:t>
      </w:r>
      <w:r>
        <w:rPr/>
        <w:t>）设定提存计划</w:t>
      </w:r>
      <w:r>
        <w:rPr>
          <w:w w:val="100"/>
        </w:rPr>
        <w:t> </w:t>
      </w:r>
      <w:r>
        <w:rPr>
          <w:spacing w:val="-2"/>
        </w:rPr>
        <w:t>本公司按当地政府的相关规定为职工缴纳基本养老保险和失业保险，在职工为本公司提供服务的会计期</w:t>
      </w:r>
      <w:r>
        <w:rPr>
          <w:spacing w:val="-21"/>
        </w:rPr>
        <w:t> </w:t>
      </w:r>
      <w:r>
        <w:rPr>
          <w:spacing w:val="-21"/>
        </w:rPr>
      </w:r>
      <w:r>
        <w:rPr>
          <w:spacing w:val="-2"/>
        </w:rPr>
        <w:t>间，按以当地规定的缴纳基数和比例计算应缴纳金额，确认为负债，并计入当期损益或相关资产成本。</w:t>
      </w:r>
    </w:p>
    <w:p>
      <w:pPr>
        <w:pStyle w:val="Heading6"/>
        <w:spacing w:line="271" w:lineRule="auto" w:before="16"/>
        <w:ind w:right="0"/>
        <w:jc w:val="left"/>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本公司根据预期累计福利单位法确定的公式将设定受益计划产生的福利义务归属于职工提供服务的期间，</w:t>
      </w:r>
      <w:r>
        <w:rPr>
          <w:spacing w:val="-21"/>
        </w:rPr>
        <w:t> </w:t>
      </w:r>
      <w:r>
        <w:rPr>
          <w:spacing w:val="-21"/>
        </w:rPr>
      </w:r>
      <w:r>
        <w:rPr/>
        <w:t>并计入当期损益或相关资产成本。</w:t>
      </w:r>
      <w:r>
        <w:rPr>
          <w:w w:val="100"/>
        </w:rPr>
        <w:t> </w:t>
      </w:r>
      <w:r>
        <w:rPr/>
        <w:t>设定受益计划义务现值减去设定受益计划资产公允价值所形成的赤字或盈余确认为一项设定受益计划净</w:t>
      </w:r>
      <w:r>
        <w:rPr>
          <w:w w:val="100"/>
        </w:rPr>
        <w:t> </w:t>
      </w:r>
      <w:r>
        <w:rPr>
          <w:spacing w:val="-2"/>
        </w:rPr>
        <w:t>负债或净资产。设定受益计划存在盈余的，本公司以设定受益计划的盈余和资产上限两项的孰低者计量设</w:t>
      </w:r>
      <w:r>
        <w:rPr>
          <w:spacing w:val="-43"/>
        </w:rPr>
        <w:t> </w:t>
      </w:r>
      <w:r>
        <w:rPr>
          <w:spacing w:val="-43"/>
        </w:rPr>
      </w:r>
      <w:r>
        <w:rPr/>
        <w:t>定受益计划净资产。</w:t>
      </w:r>
      <w:r>
        <w:rPr>
          <w:w w:val="100"/>
        </w:rPr>
        <w:t> </w:t>
      </w:r>
      <w:r>
        <w:rPr>
          <w:spacing w:val="-2"/>
        </w:rPr>
        <w:t>所有设定受益计划义务，包括预期在职工提供服务的年度报告期间结束后的十二个月内支付的义务，根据</w:t>
      </w:r>
      <w:r>
        <w:rPr>
          <w:spacing w:val="-42"/>
        </w:rPr>
        <w:t> </w:t>
      </w:r>
      <w:r>
        <w:rPr>
          <w:spacing w:val="-42"/>
        </w:rPr>
      </w:r>
      <w:r>
        <w:rPr/>
        <w:t>资产负债表日与设定受益计划义务期限和币种相匹配的国债或活跃市场上的高质量公司债券的市场收益</w:t>
      </w:r>
    </w:p>
    <w:p>
      <w:pPr>
        <w:spacing w:after="0" w:line="271"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6"/>
        <w:spacing w:line="273" w:lineRule="auto" w:before="36"/>
        <w:ind w:right="0"/>
        <w:jc w:val="left"/>
      </w:pPr>
      <w:r>
        <w:rPr/>
        <w:t>率予以折现。</w:t>
      </w:r>
      <w:r>
        <w:rPr>
          <w:w w:val="100"/>
        </w:rPr>
        <w:t> </w:t>
      </w:r>
      <w:r>
        <w:rPr>
          <w:spacing w:val="-2"/>
        </w:rPr>
        <w:t>设定受益计划产生的服务成本和设定受益计划净负债或净资产的利息净额计入当期损益或相关资产成本；</w:t>
      </w:r>
      <w:r>
        <w:rPr>
          <w:spacing w:val="-21"/>
        </w:rPr>
        <w:t> </w:t>
      </w:r>
      <w:r>
        <w:rPr>
          <w:spacing w:val="-21"/>
        </w:rPr>
      </w:r>
      <w:r>
        <w:rPr>
          <w:spacing w:val="-2"/>
        </w:rPr>
        <w:t>重新计量设定受益计划净负债或净资产所产生的变动计入其他综合收益，并且在后续会计期间不转回至损</w:t>
      </w:r>
      <w:r>
        <w:rPr>
          <w:spacing w:val="-43"/>
        </w:rPr>
        <w:t> </w:t>
      </w:r>
      <w:r>
        <w:rPr>
          <w:spacing w:val="-43"/>
        </w:rPr>
      </w:r>
      <w:r>
        <w:rPr/>
        <w:t>益，在原设定受益计划终止时在权益范围内将原计入其他综合收益的部分全部结转至未分配利润。</w:t>
      </w:r>
      <w:r>
        <w:rPr>
          <w:w w:val="100"/>
        </w:rPr>
        <w:t> </w:t>
      </w:r>
      <w:r>
        <w:rPr>
          <w:spacing w:val="-2"/>
        </w:rPr>
        <w:t>在设定受益计划结算时，按在结算日确定的设定受益计划义务现值和结算价格两者的差额，确认结算利得</w:t>
      </w:r>
      <w:r>
        <w:rPr>
          <w:spacing w:val="-42"/>
        </w:rPr>
        <w:t> </w:t>
      </w:r>
      <w:r>
        <w:rPr>
          <w:spacing w:val="-42"/>
        </w:rPr>
      </w:r>
      <w:r>
        <w:rPr/>
        <w:t>或损失。</w:t>
      </w:r>
    </w:p>
    <w:p>
      <w:pPr>
        <w:pStyle w:val="Heading6"/>
        <w:spacing w:line="240" w:lineRule="auto" w:before="7"/>
        <w:ind w:right="0"/>
        <w:jc w:val="left"/>
      </w:pPr>
      <w:r>
        <w:rPr/>
        <w:t>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应付职工薪酬</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ind w:left="230" w:right="0"/>
        <w:jc w:val="left"/>
      </w:pPr>
      <w:r>
        <w:rPr>
          <w:spacing w:val="-4"/>
          <w:w w:val="100"/>
        </w:rPr>
        <w:t>本公司在不能单方面撤回因解除劳动关系计划或裁减建议所提供的辞退福利时，或确认与涉及支付辞退福</w:t>
      </w:r>
      <w:r>
        <w:rPr>
          <w:spacing w:val="-86"/>
          <w:w w:val="100"/>
        </w:rPr>
        <w:t> </w:t>
      </w:r>
      <w:r>
        <w:rPr>
          <w:spacing w:val="-86"/>
          <w:w w:val="100"/>
        </w:rPr>
      </w:r>
      <w:r>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6"/>
        <w:spacing w:line="261" w:lineRule="auto"/>
        <w:ind w:right="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预计负债的确认标准</w:t>
      </w:r>
      <w:r>
        <w:rPr>
          <w:rFonts w:ascii="Microsoft JhengHei" w:hAnsi="Microsoft JhengHei" w:cs="Microsoft JhengHei" w:eastAsia="Microsoft JhengHei" w:hint="default"/>
          <w:b/>
          <w:bCs/>
          <w:spacing w:val="-43"/>
        </w:rPr>
        <w:t> </w:t>
      </w:r>
      <w:r>
        <w:rPr>
          <w:spacing w:val="-2"/>
        </w:rPr>
        <w:t>与诉讼、债务担保、亏损合同、重组事项等或有事项相关的义务同时满足下列条件时，本公司确认为预计</w:t>
      </w:r>
      <w:r>
        <w:rPr>
          <w:spacing w:val="-47"/>
        </w:rPr>
        <w:t> </w:t>
      </w:r>
      <w:r>
        <w:rPr>
          <w:spacing w:val="-47"/>
        </w:rPr>
      </w:r>
      <w:r>
        <w:rPr/>
        <w:t>负债：</w:t>
      </w:r>
    </w:p>
    <w:p>
      <w:pPr>
        <w:pStyle w:val="Heading6"/>
        <w:spacing w:line="240" w:lineRule="auto" w:before="18"/>
        <w:ind w:right="0"/>
        <w:jc w:val="left"/>
      </w:pPr>
      <w:r>
        <w:rPr/>
        <w:t>（</w:t>
      </w:r>
      <w:r>
        <w:rPr>
          <w:rFonts w:ascii="Times New Roman" w:hAnsi="Times New Roman" w:cs="Times New Roman" w:eastAsia="Times New Roman" w:hint="default"/>
        </w:rPr>
        <w:t>1</w:t>
      </w:r>
      <w:r>
        <w:rPr/>
        <w:t>）该义务是本公司承担的现时义务；</w:t>
      </w:r>
    </w:p>
    <w:p>
      <w:pPr>
        <w:pStyle w:val="Heading6"/>
        <w:spacing w:line="240" w:lineRule="auto" w:before="21"/>
        <w:ind w:right="0"/>
        <w:jc w:val="left"/>
      </w:pPr>
      <w:r>
        <w:rPr/>
        <w:t>（</w:t>
      </w:r>
      <w:r>
        <w:rPr>
          <w:rFonts w:ascii="Times New Roman" w:hAnsi="Times New Roman" w:cs="Times New Roman" w:eastAsia="Times New Roman" w:hint="default"/>
        </w:rPr>
        <w:t>2</w:t>
      </w:r>
      <w:r>
        <w:rPr/>
        <w:t>）履行该义务很可能导致经济利益流出本公司；</w:t>
      </w:r>
    </w:p>
    <w:p>
      <w:pPr>
        <w:pStyle w:val="Heading6"/>
        <w:spacing w:line="240" w:lineRule="auto" w:before="21"/>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5"/>
        <w:rPr>
          <w:rFonts w:ascii="宋体" w:hAnsi="宋体" w:cs="宋体" w:eastAsia="宋体" w:hint="default"/>
          <w:sz w:val="20"/>
          <w:szCs w:val="20"/>
        </w:rPr>
      </w:pPr>
    </w:p>
    <w:p>
      <w:pPr>
        <w:spacing w:line="249" w:lineRule="auto" w:before="0"/>
        <w:ind w:left="230" w:right="595" w:hanging="7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各类预计负债的计量方法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本公司预计负债按履行相关现时义务所需的支出的最佳估计数进行初始计量。</w:t>
      </w:r>
    </w:p>
    <w:p>
      <w:pPr>
        <w:pStyle w:val="Heading6"/>
        <w:spacing w:line="273" w:lineRule="auto" w:before="28"/>
        <w:ind w:left="230" w:right="0"/>
        <w:jc w:val="left"/>
      </w:pPr>
      <w:r>
        <w:rPr>
          <w:spacing w:val="-4"/>
        </w:rPr>
        <w:t>本公司在确定最佳估计数时，综合考虑与或有事项有关的风险、不确定性和货币时间价值等因素。对于货</w:t>
      </w:r>
      <w:r>
        <w:rPr>
          <w:spacing w:val="-28"/>
        </w:rPr>
        <w:t> </w:t>
      </w:r>
      <w:r>
        <w:rPr>
          <w:spacing w:val="-28"/>
        </w:rPr>
      </w:r>
      <w:r>
        <w:rPr/>
        <w:t>币时间价值影响重大的，通过对相关未来现金流出进行折现后确定最佳估计数。</w:t>
      </w:r>
      <w:r>
        <w:rPr>
          <w:w w:val="100"/>
        </w:rPr>
        <w:t> </w:t>
      </w:r>
      <w:r>
        <w:rPr/>
        <w:t>最佳估计数分别以下情况处理：</w:t>
      </w:r>
      <w:r>
        <w:rPr>
          <w:w w:val="100"/>
        </w:rPr>
        <w:t> </w:t>
      </w:r>
      <w:r>
        <w:rPr>
          <w:spacing w:val="-4"/>
        </w:rPr>
        <w:t>所需支出存在一个连续范围（或区间），且该范围内各种结果发生的可能性相同的，则最佳估计数按照该</w:t>
      </w:r>
      <w:r>
        <w:rPr>
          <w:spacing w:val="-33"/>
        </w:rPr>
        <w:t> </w:t>
      </w:r>
      <w:r>
        <w:rPr>
          <w:spacing w:val="-33"/>
        </w:rPr>
      </w:r>
      <w:r>
        <w:rPr/>
        <w:t>范围的中间值即上下限金额的平均数确定。</w:t>
      </w:r>
      <w:r>
        <w:rPr>
          <w:w w:val="100"/>
        </w:rPr>
        <w:t> </w:t>
      </w:r>
      <w:r>
        <w:rPr>
          <w:spacing w:val="-4"/>
        </w:rPr>
        <w:t>所需支出不存在一个连续范围（或区间），或虽然存在一个连续范围但该范围内各种结果发生的可能性不</w:t>
      </w:r>
      <w:r>
        <w:rPr>
          <w:spacing w:val="-30"/>
        </w:rPr>
        <w:t> </w:t>
      </w:r>
      <w:r>
        <w:rPr>
          <w:spacing w:val="-30"/>
        </w:rPr>
      </w:r>
      <w:r>
        <w:rPr>
          <w:spacing w:val="-4"/>
        </w:rPr>
        <w:t>相同的，如或有事项涉及单个项目的，则最佳估计数按照最可能发生金额确定；如或有事项涉及多个项目</w:t>
      </w:r>
      <w:r>
        <w:rPr>
          <w:spacing w:val="-28"/>
        </w:rPr>
        <w:t> </w:t>
      </w:r>
      <w:r>
        <w:rPr>
          <w:spacing w:val="-28"/>
        </w:rPr>
      </w:r>
      <w:r>
        <w:rPr/>
        <w:t>的，则最佳估计数按各种可能结果及相关概率计算确定。</w:t>
      </w:r>
      <w:r>
        <w:rPr>
          <w:w w:val="100"/>
        </w:rPr>
        <w:t> </w:t>
      </w:r>
      <w:r>
        <w:rPr>
          <w:spacing w:val="-4"/>
        </w:rPr>
        <w:t>本公司清偿预计负债所需支出全部或部分预期由第三方补偿的，补偿金额在基本确定能够收到时，作为资</w:t>
      </w:r>
      <w:r>
        <w:rPr>
          <w:spacing w:val="-28"/>
        </w:rPr>
        <w:t> </w:t>
      </w:r>
      <w:r>
        <w:rPr>
          <w:spacing w:val="-28"/>
        </w:rPr>
      </w:r>
      <w:r>
        <w:rPr/>
        <w:t>产单独确认，确认的补偿金额不超过预计负债的账面价值。</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34"/>
        <w:jc w:val="left"/>
      </w:pPr>
      <w:r>
        <w:rPr/>
        <w:t>公司是否需要遵守特殊行业的披露要求 否</w:t>
      </w:r>
    </w:p>
    <w:p>
      <w:pPr>
        <w:pStyle w:val="Heading5"/>
        <w:spacing w:line="312" w:lineRule="exact" w:before="4"/>
        <w:ind w:right="0"/>
        <w:jc w:val="left"/>
        <w:rPr>
          <w:b w:val="0"/>
          <w:bCs w:val="0"/>
        </w:rPr>
      </w:pPr>
      <w:r>
        <w:rPr>
          <w:rFonts w:ascii="Times New Roman" w:hAnsi="Times New Roman" w:cs="Times New Roman" w:eastAsia="Times New Roman" w:hint="default"/>
        </w:rPr>
        <w:t>1</w:t>
      </w:r>
      <w:r>
        <w:rPr/>
        <w:t>、销售商品收入确认时间的具体判断标准</w:t>
      </w:r>
      <w:r>
        <w:rPr>
          <w:spacing w:val="-37"/>
        </w:rPr>
        <w:t> </w:t>
      </w:r>
      <w:r>
        <w:rPr>
          <w:spacing w:val="-37"/>
        </w:rPr>
      </w:r>
      <w:r>
        <w:rPr>
          <w:spacing w:val="-1"/>
        </w:rPr>
        <w:t>公司已将商品所有权上的主要风险和报酬转移给购买方；公司既没有保留与所有权相联系的继续管理权，</w:t>
      </w:r>
      <w:r>
        <w:rPr>
          <w:spacing w:val="25"/>
        </w:rPr>
        <w:t> </w:t>
      </w:r>
      <w:r>
        <w:rPr>
          <w:spacing w:val="25"/>
        </w:rPr>
      </w:r>
      <w:r>
        <w:rPr>
          <w:spacing w:val="-2"/>
        </w:rPr>
        <w:t>也没有对已售出的商品实施有效控制；收入的金额能够可靠地计量；相关的经济利益很可能流入企业；相</w:t>
      </w:r>
      <w:r>
        <w:rPr>
          <w:spacing w:val="10"/>
        </w:rPr>
        <w:t> </w:t>
      </w:r>
      <w:r>
        <w:rPr>
          <w:spacing w:val="10"/>
        </w:rPr>
      </w:r>
      <w:r>
        <w:rPr/>
        <w:t>关的已发生或将发生的成本能够可靠地计量时，确认商品销售收入实现。</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Heading5"/>
        <w:spacing w:line="312" w:lineRule="exact"/>
        <w:ind w:right="0"/>
        <w:jc w:val="left"/>
        <w:rPr>
          <w:b w:val="0"/>
          <w:bCs w:val="0"/>
        </w:rPr>
      </w:pPr>
      <w:r>
        <w:rPr>
          <w:rFonts w:ascii="Times New Roman" w:hAnsi="Times New Roman" w:cs="Times New Roman" w:eastAsia="Times New Roman" w:hint="default"/>
        </w:rPr>
        <w:t>2</w:t>
      </w:r>
      <w:r>
        <w:rPr/>
        <w:t>、确认让渡资产使用权收入的依据</w:t>
      </w:r>
      <w:r>
        <w:rPr>
          <w:spacing w:val="-40"/>
        </w:rPr>
        <w:t> </w:t>
      </w:r>
      <w:r>
        <w:rPr>
          <w:spacing w:val="-40"/>
        </w:rPr>
      </w:r>
      <w:r>
        <w:rPr>
          <w:spacing w:val="-2"/>
        </w:rPr>
        <w:t>与交易相关的经济利益很可能流入企业，收入的金额能够可靠地计量时。分别下列情况确定让渡资产使用</w:t>
      </w:r>
      <w:r>
        <w:rPr>
          <w:spacing w:val="12"/>
        </w:rPr>
        <w:t> </w:t>
      </w:r>
      <w:r>
        <w:rPr>
          <w:spacing w:val="12"/>
        </w:rPr>
      </w:r>
      <w:r>
        <w:rPr/>
        <w:t>权收入金额</w:t>
      </w:r>
      <w:r>
        <w:rPr>
          <w:b w:val="0"/>
          <w:bCs w:val="0"/>
        </w:rPr>
      </w:r>
    </w:p>
    <w:p>
      <w:pPr>
        <w:pStyle w:val="Heading5"/>
        <w:spacing w:line="276" w:lineRule="exact"/>
        <w:ind w:right="0"/>
        <w:jc w:val="left"/>
        <w:rPr>
          <w:b w:val="0"/>
          <w:bCs w:val="0"/>
        </w:rPr>
      </w:pPr>
      <w:r>
        <w:rPr/>
        <w:t>（</w:t>
      </w:r>
      <w:r>
        <w:rPr>
          <w:rFonts w:ascii="Times New Roman" w:hAnsi="Times New Roman" w:cs="Times New Roman" w:eastAsia="Times New Roman" w:hint="default"/>
        </w:rPr>
        <w:t>1</w:t>
      </w:r>
      <w:r>
        <w:rPr/>
        <w:t>）利息收入金额，按照他人使用本企业货币资金的时间和实际利率计算确定。</w:t>
      </w:r>
      <w:r>
        <w:rPr>
          <w:b w:val="0"/>
          <w:bCs w:val="0"/>
        </w:rPr>
      </w:r>
    </w:p>
    <w:p>
      <w:pPr>
        <w:pStyle w:val="Heading5"/>
        <w:spacing w:line="339" w:lineRule="exact"/>
        <w:ind w:right="0"/>
        <w:jc w:val="left"/>
        <w:rPr>
          <w:b w:val="0"/>
          <w:bCs w:val="0"/>
        </w:rPr>
      </w:pPr>
      <w:r>
        <w:rPr/>
        <w:t>（</w:t>
      </w:r>
      <w:r>
        <w:rPr>
          <w:rFonts w:ascii="Times New Roman" w:hAnsi="Times New Roman" w:cs="Times New Roman" w:eastAsia="Times New Roman" w:hint="default"/>
        </w:rPr>
        <w:t>2</w:t>
      </w:r>
      <w:r>
        <w:rPr/>
        <w:t>）使用费收入金额，按照有关合同或协议约定的收费时间和方法计算确定。</w:t>
      </w:r>
      <w:r>
        <w:rPr>
          <w:b w:val="0"/>
          <w:bCs w:val="0"/>
        </w:rPr>
      </w:r>
    </w:p>
    <w:p>
      <w:pPr>
        <w:spacing w:line="240" w:lineRule="auto" w:before="9"/>
        <w:rPr>
          <w:rFonts w:ascii="Microsoft JhengHei" w:hAnsi="Microsoft JhengHei" w:cs="Microsoft JhengHei" w:eastAsia="Microsoft JhengHei" w:hint="default"/>
          <w:b/>
          <w:bCs/>
          <w:sz w:val="17"/>
          <w:szCs w:val="17"/>
        </w:rPr>
      </w:pPr>
    </w:p>
    <w:p>
      <w:pPr>
        <w:pStyle w:val="Heading5"/>
        <w:spacing w:line="204" w:lineRule="auto"/>
        <w:ind w:right="0"/>
        <w:jc w:val="left"/>
        <w:rPr>
          <w:b w:val="0"/>
          <w:bCs w:val="0"/>
        </w:rPr>
      </w:pPr>
      <w:r>
        <w:rPr>
          <w:rFonts w:ascii="Times New Roman" w:hAnsi="Times New Roman" w:cs="Times New Roman" w:eastAsia="Times New Roman" w:hint="default"/>
        </w:rPr>
        <w:t>3</w:t>
      </w:r>
      <w:r>
        <w:rPr/>
        <w:t>、按完工百分比法确认提供劳务的收入和建造合同收入时，确定合同完工进度的依据和方法</w:t>
      </w:r>
      <w:r>
        <w:rPr>
          <w:spacing w:val="-22"/>
        </w:rPr>
        <w:t> </w:t>
      </w:r>
      <w:r>
        <w:rPr>
          <w:spacing w:val="-22"/>
        </w:rPr>
      </w:r>
      <w:r>
        <w:rPr>
          <w:spacing w:val="-2"/>
        </w:rPr>
        <w:t>在资产负债表日提供劳务交易的结果能够可靠估计的，采用完工百分比法确认提供劳务收入。提供劳务交</w:t>
      </w:r>
      <w:r>
        <w:rPr>
          <w:spacing w:val="12"/>
        </w:rPr>
        <w:t> </w:t>
      </w:r>
      <w:r>
        <w:rPr>
          <w:spacing w:val="12"/>
        </w:rPr>
      </w:r>
      <w:r>
        <w:rPr/>
        <w:t>易的完工进度，依据已完工作的测量确定。</w:t>
      </w:r>
      <w:r>
        <w:rPr>
          <w:spacing w:val="-36"/>
        </w:rPr>
        <w:t> </w:t>
      </w:r>
      <w:r>
        <w:rPr>
          <w:spacing w:val="-36"/>
        </w:rPr>
      </w:r>
      <w:r>
        <w:rPr>
          <w:spacing w:val="2"/>
        </w:rPr>
        <w:t>按照已收或应收的合同或协议价款确定提供劳务收入总额，但已收或应收的合同或协议价款不公允的除</w:t>
      </w:r>
      <w:r>
        <w:rPr>
          <w:spacing w:val="23"/>
        </w:rPr>
        <w:t> </w:t>
      </w:r>
      <w:r>
        <w:rPr>
          <w:spacing w:val="23"/>
        </w:rPr>
      </w:r>
      <w:r>
        <w:rPr>
          <w:spacing w:val="-2"/>
        </w:rPr>
        <w:t>外。资产负债表日按照提供劳务收入总额乘以完工进度扣除以前会计期间累计已确认提供劳务收入后的金</w:t>
      </w:r>
      <w:r>
        <w:rPr>
          <w:spacing w:val="10"/>
        </w:rPr>
        <w:t> </w:t>
      </w:r>
      <w:r>
        <w:rPr>
          <w:spacing w:val="10"/>
        </w:rPr>
      </w:r>
      <w:r>
        <w:rPr>
          <w:spacing w:val="-2"/>
        </w:rPr>
        <w:t>额，确认当期提供劳务收入；同时，按照提供劳务估计总成本乘以完工进度扣除以前会计期间累计已确认</w:t>
      </w:r>
      <w:r>
        <w:rPr>
          <w:spacing w:val="11"/>
        </w:rPr>
        <w:t> </w:t>
      </w:r>
      <w:r>
        <w:rPr>
          <w:spacing w:val="11"/>
        </w:rPr>
      </w:r>
      <w:r>
        <w:rPr/>
        <w:t>劳务成本后的金额，结转当期劳务成本。</w:t>
      </w:r>
      <w:r>
        <w:rPr>
          <w:spacing w:val="-37"/>
        </w:rPr>
        <w:t> </w:t>
      </w:r>
      <w:r>
        <w:rPr>
          <w:spacing w:val="-37"/>
        </w:rPr>
      </w:r>
      <w:r>
        <w:rPr/>
        <w:t>在资产负债表日提供劳务交易结果不能够可靠估计的，分别下列情况处理</w:t>
      </w:r>
      <w:r>
        <w:rPr>
          <w:b w:val="0"/>
          <w:bCs w:val="0"/>
        </w:rPr>
      </w:r>
    </w:p>
    <w:p>
      <w:pPr>
        <w:pStyle w:val="Heading5"/>
        <w:spacing w:line="312" w:lineRule="exact" w:before="17"/>
        <w:ind w:right="0"/>
        <w:jc w:val="left"/>
        <w:rPr>
          <w:b w:val="0"/>
          <w:bCs w:val="0"/>
        </w:rPr>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w:t>
      </w:r>
      <w:r>
        <w:rPr>
          <w:spacing w:val="26"/>
        </w:rPr>
        <w:t> </w:t>
      </w:r>
      <w:r>
        <w:rPr>
          <w:spacing w:val="26"/>
        </w:rPr>
      </w:r>
      <w:r>
        <w:rPr/>
        <w:t>相同金额结转劳务成本。</w:t>
      </w:r>
      <w:r>
        <w:rPr>
          <w:b w:val="0"/>
          <w:bCs w:val="0"/>
        </w:rPr>
      </w:r>
    </w:p>
    <w:p>
      <w:pPr>
        <w:pStyle w:val="Heading5"/>
        <w:spacing w:line="312" w:lineRule="exact"/>
        <w:ind w:right="0"/>
        <w:jc w:val="left"/>
        <w:rPr>
          <w:b w:val="0"/>
          <w:bCs w:val="0"/>
        </w:rPr>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w:t>
      </w:r>
      <w:r>
        <w:rPr>
          <w:spacing w:val="26"/>
        </w:rPr>
        <w:t> </w:t>
      </w:r>
      <w:r>
        <w:rPr>
          <w:spacing w:val="26"/>
        </w:rPr>
      </w:r>
      <w:r>
        <w:rPr/>
        <w:t>务收入。</w:t>
      </w:r>
      <w:r>
        <w:rPr>
          <w:spacing w:val="-48"/>
        </w:rPr>
        <w:t> </w:t>
      </w:r>
      <w:r>
        <w:rPr>
          <w:spacing w:val="-2"/>
        </w:rPr>
        <w:t>公司主营业务主要分为：建筑设计、绿色建筑咨询、生态城市规划及公信业务等，公司各业务类型收入收</w:t>
      </w:r>
      <w:r>
        <w:rPr>
          <w:spacing w:val="11"/>
        </w:rPr>
        <w:t> </w:t>
      </w:r>
      <w:r>
        <w:rPr>
          <w:spacing w:val="11"/>
        </w:rPr>
      </w:r>
      <w:r>
        <w:rPr/>
        <w:t>入具体确认流程和方式如下：</w:t>
      </w:r>
      <w:r>
        <w:rPr>
          <w:b w:val="0"/>
          <w:bCs w:val="0"/>
        </w:rPr>
      </w:r>
    </w:p>
    <w:p>
      <w:pPr>
        <w:pStyle w:val="Heading5"/>
        <w:spacing w:line="312" w:lineRule="exact"/>
        <w:ind w:right="0"/>
        <w:jc w:val="left"/>
        <w:rPr>
          <w:b w:val="0"/>
          <w:bCs w:val="0"/>
        </w:rPr>
      </w:pPr>
      <w:r>
        <w:rPr/>
        <w:t>①建筑设计业务</w:t>
      </w:r>
      <w:r>
        <w:rPr>
          <w:spacing w:val="-45"/>
        </w:rPr>
        <w:t> </w:t>
      </w:r>
      <w:r>
        <w:rPr>
          <w:spacing w:val="-2"/>
        </w:rPr>
        <w:t>参照《工程勘察设计收费标准》（</w:t>
      </w:r>
      <w:r>
        <w:rPr>
          <w:rFonts w:ascii="Times New Roman" w:hAnsi="Times New Roman" w:cs="Times New Roman" w:eastAsia="Times New Roman" w:hint="default"/>
          <w:spacing w:val="-2"/>
        </w:rPr>
        <w:t>2002</w:t>
      </w:r>
      <w:r>
        <w:rPr>
          <w:spacing w:val="-2"/>
        </w:rPr>
        <w:t>年修订本，国家发展计划委员会、建设部编写）规定，公司建筑设</w:t>
      </w:r>
      <w:r>
        <w:rPr>
          <w:spacing w:val="12"/>
        </w:rPr>
        <w:t> </w:t>
      </w:r>
      <w:r>
        <w:rPr>
          <w:spacing w:val="12"/>
        </w:rPr>
      </w:r>
      <w:r>
        <w:rPr>
          <w:spacing w:val="-2"/>
        </w:rPr>
        <w:t>计业务具体工作流程一般分为业务承接、方案设计、初步设计、施工图设计和施工配合等五个阶段，各阶</w:t>
      </w:r>
      <w:r>
        <w:rPr>
          <w:b w:val="0"/>
          <w:bCs w:val="0"/>
          <w:spacing w:val="-2"/>
        </w:rPr>
      </w:r>
    </w:p>
    <w:p>
      <w:pPr>
        <w:pStyle w:val="Heading5"/>
        <w:spacing w:line="312" w:lineRule="exact"/>
        <w:ind w:right="0"/>
        <w:jc w:val="left"/>
        <w:rPr>
          <w:b w:val="0"/>
          <w:bCs w:val="0"/>
        </w:rPr>
      </w:pPr>
      <w:r>
        <w:rPr/>
        <w:t>段收入确认具体情况如下：</w:t>
      </w:r>
      <w:r>
        <w:rPr>
          <w:spacing w:val="-45"/>
        </w:rPr>
        <w:t> </w:t>
      </w:r>
      <w:r>
        <w:rPr>
          <w:spacing w:val="-45"/>
        </w:rPr>
      </w:r>
      <w:r>
        <w:rPr>
          <w:rFonts w:ascii="Times New Roman" w:hAnsi="Times New Roman" w:cs="Times New Roman" w:eastAsia="Times New Roman" w:hint="default"/>
        </w:rPr>
        <w:t>I.</w:t>
      </w:r>
      <w:r>
        <w:rPr/>
        <w:t>业务承接阶段：该阶段公司与委托方签订设计合同之后，一般会收取合同首期款，该款项属于预收款性</w:t>
      </w:r>
      <w:r>
        <w:rPr>
          <w:spacing w:val="1"/>
        </w:rPr>
        <w:t> </w:t>
      </w:r>
      <w:r>
        <w:rPr/>
        <w:t>质，公司在收到时作为项目预收款，不确认收入；</w:t>
      </w:r>
      <w:r>
        <w:rPr>
          <w:spacing w:val="-36"/>
        </w:rPr>
        <w:t> </w:t>
      </w:r>
      <w:r>
        <w:rPr>
          <w:spacing w:val="-36"/>
        </w:rPr>
      </w:r>
      <w:r>
        <w:rPr>
          <w:rFonts w:ascii="Times New Roman" w:hAnsi="Times New Roman" w:cs="Times New Roman" w:eastAsia="Times New Roman" w:hint="default"/>
          <w:spacing w:val="-2"/>
        </w:rPr>
        <w:t>II.</w:t>
      </w:r>
      <w:r>
        <w:rPr>
          <w:spacing w:val="-2"/>
        </w:rPr>
        <w:t>方案设计阶段：该阶段主要工作是公司设计部门根据合同要求进行总体方案设计，当公司向委托方提交</w:t>
      </w:r>
      <w:r>
        <w:rPr>
          <w:spacing w:val="10"/>
        </w:rPr>
        <w:t> </w:t>
      </w:r>
      <w:r>
        <w:rPr>
          <w:spacing w:val="10"/>
        </w:rPr>
      </w:r>
      <w:r>
        <w:rPr/>
        <w:t>阶段项目成果后并经客户确认，根据合同约定的结算款项确认该阶段的设计费收入；</w:t>
      </w:r>
      <w:r>
        <w:rPr>
          <w:spacing w:val="-27"/>
        </w:rPr>
        <w:t> </w:t>
      </w:r>
      <w:r>
        <w:rPr>
          <w:spacing w:val="-27"/>
        </w:rPr>
      </w:r>
      <w:r>
        <w:rPr>
          <w:rFonts w:ascii="Times New Roman" w:hAnsi="Times New Roman" w:cs="Times New Roman" w:eastAsia="Times New Roman" w:hint="default"/>
        </w:rPr>
        <w:t>III.</w:t>
      </w:r>
      <w:r>
        <w:rPr/>
        <w:t>初步设计阶段：该阶段主要工作系设计部门对方案进行深入设计，当公司向委托方提交阶段项目成果</w:t>
      </w:r>
      <w:r>
        <w:rPr>
          <w:spacing w:val="38"/>
        </w:rPr>
        <w:t> </w:t>
      </w:r>
      <w:r>
        <w:rPr>
          <w:spacing w:val="38"/>
        </w:rPr>
      </w:r>
      <w:r>
        <w:rPr/>
        <w:t>后并经客户确认，根据合同约定的结算款项确认该阶段的设计费收入；</w:t>
      </w:r>
      <w:r>
        <w:rPr>
          <w:spacing w:val="-28"/>
        </w:rPr>
        <w:t> </w:t>
      </w:r>
      <w:r>
        <w:rPr>
          <w:spacing w:val="-28"/>
        </w:rPr>
      </w:r>
      <w:r>
        <w:rPr>
          <w:rFonts w:ascii="Times New Roman" w:hAnsi="Times New Roman" w:cs="Times New Roman" w:eastAsia="Times New Roman" w:hint="default"/>
        </w:rPr>
        <w:t>IV.</w:t>
      </w:r>
      <w:r>
        <w:rPr/>
        <w:t>施工图设计阶段：该阶段主要工作系设计部门根据初步设计成果进行详细的施工图设计，当公司向委</w:t>
      </w:r>
      <w:r>
        <w:rPr>
          <w:b w:val="0"/>
          <w:bCs w:val="0"/>
        </w:rPr>
      </w:r>
    </w:p>
    <w:p>
      <w:pPr>
        <w:spacing w:after="0" w:line="312" w:lineRule="exact"/>
        <w:jc w:val="left"/>
        <w:sectPr>
          <w:pgSz w:w="11910" w:h="16840"/>
          <w:pgMar w:header="745" w:footer="980" w:top="1060" w:bottom="1160" w:left="980" w:right="960"/>
        </w:sectPr>
      </w:pPr>
    </w:p>
    <w:p>
      <w:pPr>
        <w:spacing w:line="240" w:lineRule="auto" w:before="11"/>
        <w:rPr>
          <w:rFonts w:ascii="Microsoft JhengHei" w:hAnsi="Microsoft JhengHei" w:cs="Microsoft JhengHei" w:eastAsia="Microsoft JhengHei" w:hint="default"/>
          <w:b/>
          <w:bCs/>
          <w:sz w:val="18"/>
          <w:szCs w:val="18"/>
        </w:rPr>
      </w:pPr>
    </w:p>
    <w:p>
      <w:pPr>
        <w:pStyle w:val="Heading5"/>
        <w:spacing w:line="204" w:lineRule="auto" w:before="16"/>
        <w:ind w:right="0"/>
        <w:jc w:val="left"/>
        <w:rPr>
          <w:b w:val="0"/>
          <w:bCs w:val="0"/>
        </w:rPr>
      </w:pPr>
      <w:r>
        <w:rPr/>
        <w:t>托方提交阶段项目成果后并经客户确认，根据合同约定的结算款项确认为该阶段的设计费收入；</w:t>
      </w:r>
      <w:r>
        <w:rPr>
          <w:spacing w:val="-21"/>
        </w:rPr>
        <w:t> </w:t>
      </w:r>
      <w:r>
        <w:rPr>
          <w:spacing w:val="-21"/>
        </w:rPr>
      </w:r>
      <w:r>
        <w:rPr>
          <w:rFonts w:ascii="Times New Roman" w:hAnsi="Times New Roman" w:cs="Times New Roman" w:eastAsia="Times New Roman" w:hint="default"/>
          <w:spacing w:val="-2"/>
        </w:rPr>
        <w:t>V.</w:t>
      </w:r>
      <w:r>
        <w:rPr>
          <w:spacing w:val="-2"/>
        </w:rPr>
        <w:t>施工配合阶段：该阶段工作主要系设计部门在出具施工图之后，配合委托方进行详细的施工、处理施工</w:t>
      </w:r>
      <w:r>
        <w:rPr>
          <w:spacing w:val="19"/>
        </w:rPr>
        <w:t> </w:t>
      </w:r>
      <w:r>
        <w:rPr>
          <w:spacing w:val="19"/>
        </w:rPr>
      </w:r>
      <w:r>
        <w:rPr>
          <w:spacing w:val="-2"/>
        </w:rPr>
        <w:t>过程中的临时工程施工障碍等，并在必要时进行设计修改。在施工配合阶段，根据施工进度和合同约定的</w:t>
      </w:r>
      <w:r>
        <w:rPr>
          <w:spacing w:val="10"/>
        </w:rPr>
        <w:t> </w:t>
      </w:r>
      <w:r>
        <w:rPr>
          <w:spacing w:val="10"/>
        </w:rPr>
      </w:r>
      <w:r>
        <w:rPr/>
        <w:t>结算款项确认该阶段的设计费收入。</w:t>
      </w:r>
      <w:r>
        <w:rPr>
          <w:b w:val="0"/>
          <w:bCs w:val="0"/>
        </w:rPr>
      </w:r>
    </w:p>
    <w:p>
      <w:pPr>
        <w:pStyle w:val="Heading5"/>
        <w:spacing w:line="204" w:lineRule="auto" w:before="1"/>
        <w:ind w:right="0"/>
        <w:jc w:val="left"/>
        <w:rPr>
          <w:b w:val="0"/>
          <w:bCs w:val="0"/>
        </w:rPr>
      </w:pPr>
      <w:r>
        <w:rPr/>
        <w:t>②绿色建筑咨询业务</w:t>
      </w:r>
      <w:r>
        <w:rPr>
          <w:spacing w:val="-42"/>
        </w:rPr>
        <w:t> </w:t>
      </w:r>
      <w:r>
        <w:rPr>
          <w:spacing w:val="-2"/>
        </w:rPr>
        <w:t>公司绿建咨询业务的具体工作流程一般分为业务接洽、方案评估、初步设计审查、施工图审查和绿色建筑</w:t>
      </w:r>
      <w:r>
        <w:rPr>
          <w:spacing w:val="10"/>
        </w:rPr>
        <w:t> </w:t>
      </w:r>
      <w:r>
        <w:rPr>
          <w:spacing w:val="10"/>
        </w:rPr>
      </w:r>
      <w:r>
        <w:rPr/>
        <w:t>标识申报等五个阶段，各阶段收入确认具体情况如下：</w:t>
      </w:r>
      <w:r>
        <w:rPr>
          <w:spacing w:val="-36"/>
        </w:rPr>
        <w:t> </w:t>
      </w:r>
      <w:r>
        <w:rPr>
          <w:spacing w:val="-36"/>
        </w:rPr>
      </w:r>
      <w:r>
        <w:rPr>
          <w:rFonts w:ascii="Times New Roman" w:hAnsi="Times New Roman" w:cs="Times New Roman" w:eastAsia="Times New Roman" w:hint="default"/>
        </w:rPr>
        <w:t>I.</w:t>
      </w:r>
      <w:r>
        <w:rPr/>
        <w:t>业务承接阶段：该阶段公司与委托方签订绿建咨询合同之后，一般会收取合同首期款，该款项属于预收</w:t>
      </w:r>
      <w:r>
        <w:rPr>
          <w:spacing w:val="1"/>
        </w:rPr>
        <w:t> </w:t>
      </w:r>
      <w:r>
        <w:rPr/>
        <w:t>款性质，公司在收到时作为项目预收款，不确认收入；</w:t>
      </w:r>
      <w:r>
        <w:rPr>
          <w:spacing w:val="-36"/>
        </w:rPr>
        <w:t> </w:t>
      </w:r>
      <w:r>
        <w:rPr>
          <w:spacing w:val="-36"/>
        </w:rPr>
      </w:r>
      <w:r>
        <w:rPr>
          <w:rFonts w:ascii="Times New Roman" w:hAnsi="Times New Roman" w:cs="Times New Roman" w:eastAsia="Times New Roman" w:hint="default"/>
          <w:spacing w:val="-2"/>
        </w:rPr>
        <w:t>II.</w:t>
      </w:r>
      <w:r>
        <w:rPr>
          <w:spacing w:val="-2"/>
        </w:rPr>
        <w:t>方案评估阶段：该阶段主要工作系公司咨询部门根据合同要求对设计方案进行分析、评估，并提出优化</w:t>
      </w:r>
      <w:r>
        <w:rPr>
          <w:spacing w:val="6"/>
        </w:rPr>
        <w:t> </w:t>
      </w:r>
      <w:r>
        <w:rPr>
          <w:spacing w:val="6"/>
        </w:rPr>
      </w:r>
      <w:r>
        <w:rPr>
          <w:spacing w:val="-2"/>
        </w:rPr>
        <w:t>建议，当公司向委托方提交阶段性项目成果之后并经客户确认，根据合同约定的结算款项确认该阶段的咨</w:t>
      </w:r>
      <w:r>
        <w:rPr>
          <w:spacing w:val="12"/>
        </w:rPr>
        <w:t> </w:t>
      </w:r>
      <w:r>
        <w:rPr>
          <w:spacing w:val="12"/>
        </w:rPr>
      </w:r>
      <w:r>
        <w:rPr/>
        <w:t>询费收入；</w:t>
      </w:r>
      <w:r>
        <w:rPr>
          <w:spacing w:val="-47"/>
        </w:rPr>
        <w:t> </w:t>
      </w:r>
      <w:r>
        <w:rPr>
          <w:rFonts w:ascii="Times New Roman" w:hAnsi="Times New Roman" w:cs="Times New Roman" w:eastAsia="Times New Roman" w:hint="default"/>
        </w:rPr>
        <w:t>III.</w:t>
      </w:r>
      <w:r>
        <w:rPr/>
        <w:t>初步设计审查阶段：该阶段主要工作系公司咨询部门根据项目绿色建筑目标，针对初步设计图纸进行</w:t>
      </w:r>
      <w:r>
        <w:rPr>
          <w:spacing w:val="43"/>
        </w:rPr>
        <w:t> </w:t>
      </w:r>
      <w:r>
        <w:rPr>
          <w:spacing w:val="43"/>
        </w:rPr>
      </w:r>
      <w:r>
        <w:rPr>
          <w:spacing w:val="-2"/>
        </w:rPr>
        <w:t>专项分析，当公司向委托方提交阶段项目成果之后并经客户确认，根据合同约定的结算款项确认该阶段的</w:t>
      </w:r>
      <w:r>
        <w:rPr>
          <w:spacing w:val="12"/>
        </w:rPr>
        <w:t> </w:t>
      </w:r>
      <w:r>
        <w:rPr>
          <w:spacing w:val="12"/>
        </w:rPr>
      </w:r>
      <w:r>
        <w:rPr/>
        <w:t>咨询费收入；</w:t>
      </w:r>
      <w:r>
        <w:rPr>
          <w:spacing w:val="-46"/>
        </w:rPr>
        <w:t> </w:t>
      </w:r>
      <w:r>
        <w:rPr>
          <w:rFonts w:ascii="Times New Roman" w:hAnsi="Times New Roman" w:cs="Times New Roman" w:eastAsia="Times New Roman" w:hint="default"/>
        </w:rPr>
        <w:t>IV.</w:t>
      </w:r>
      <w:r>
        <w:rPr/>
        <w:t>施工图审查阶段：该阶段主要工作系公司咨询部门根据就施工图设计文件的绿色建筑达标情况进行审</w:t>
      </w:r>
      <w:r>
        <w:rPr>
          <w:spacing w:val="49"/>
        </w:rPr>
        <w:t> </w:t>
      </w:r>
      <w:r>
        <w:rPr>
          <w:spacing w:val="49"/>
        </w:rPr>
      </w:r>
      <w:r>
        <w:rPr>
          <w:spacing w:val="-2"/>
        </w:rPr>
        <w:t>查，并对项目星级达标情况进行评估，当公司向委托方提交阶段项目成果之后并经客户确认，根据合同约</w:t>
      </w:r>
      <w:r>
        <w:rPr>
          <w:spacing w:val="10"/>
        </w:rPr>
        <w:t> </w:t>
      </w:r>
      <w:r>
        <w:rPr>
          <w:spacing w:val="10"/>
        </w:rPr>
      </w:r>
      <w:r>
        <w:rPr/>
        <w:t>定的结算款项确认为该阶段的做咨询费收入；</w:t>
      </w:r>
      <w:r>
        <w:rPr>
          <w:spacing w:val="-35"/>
        </w:rPr>
        <w:t> </w:t>
      </w:r>
      <w:r>
        <w:rPr>
          <w:spacing w:val="-35"/>
        </w:rPr>
      </w:r>
      <w:r>
        <w:rPr>
          <w:rFonts w:ascii="Times New Roman" w:hAnsi="Times New Roman" w:cs="Times New Roman" w:eastAsia="Times New Roman" w:hint="default"/>
          <w:spacing w:val="-2"/>
        </w:rPr>
        <w:t>V.</w:t>
      </w:r>
      <w:r>
        <w:rPr>
          <w:spacing w:val="-2"/>
        </w:rPr>
        <w:t>绿色标识认证阶段：该阶段工作主要系公司咨询部门在审查施工图之后，对委托方项目的绿色建筑认证</w:t>
      </w:r>
      <w:r>
        <w:rPr>
          <w:spacing w:val="18"/>
        </w:rPr>
        <w:t> </w:t>
      </w:r>
      <w:r>
        <w:rPr>
          <w:spacing w:val="18"/>
        </w:rPr>
      </w:r>
      <w:r>
        <w:rPr/>
        <w:t>等级进行自评估，并在递交申请材料后，根据合同约定的结算款项确认该阶段的咨询费收入。</w:t>
      </w:r>
      <w:r>
        <w:rPr>
          <w:b w:val="0"/>
          <w:bCs w:val="0"/>
        </w:rPr>
      </w:r>
    </w:p>
    <w:p>
      <w:pPr>
        <w:pStyle w:val="Heading5"/>
        <w:spacing w:line="204" w:lineRule="auto" w:before="1"/>
        <w:ind w:right="0"/>
        <w:jc w:val="left"/>
        <w:rPr>
          <w:b w:val="0"/>
          <w:bCs w:val="0"/>
        </w:rPr>
      </w:pPr>
      <w:r>
        <w:rPr/>
        <w:t>③生态城市规划业务</w:t>
      </w:r>
      <w:r>
        <w:rPr>
          <w:spacing w:val="-42"/>
        </w:rPr>
        <w:t> </w:t>
      </w:r>
      <w:r>
        <w:rPr>
          <w:spacing w:val="-2"/>
        </w:rPr>
        <w:t>公司规划业务的具体工作流程一般划分为业务接洽、完成规划初稿、完成规划送审稿、规划成果通过评审</w:t>
      </w:r>
      <w:r>
        <w:rPr>
          <w:spacing w:val="10"/>
        </w:rPr>
        <w:t> </w:t>
      </w:r>
      <w:r>
        <w:rPr>
          <w:spacing w:val="10"/>
        </w:rPr>
      </w:r>
      <w:r>
        <w:rPr/>
        <w:t>等四个阶段，各阶段收入确认具体情况如下；</w:t>
      </w:r>
      <w:r>
        <w:rPr>
          <w:spacing w:val="-35"/>
        </w:rPr>
        <w:t> </w:t>
      </w:r>
      <w:r>
        <w:rPr>
          <w:spacing w:val="-35"/>
        </w:rPr>
      </w:r>
      <w:r>
        <w:rPr>
          <w:rFonts w:ascii="Times New Roman" w:hAnsi="Times New Roman" w:cs="Times New Roman" w:eastAsia="Times New Roman" w:hint="default"/>
        </w:rPr>
        <w:t>I.</w:t>
      </w:r>
      <w:r>
        <w:rPr/>
        <w:t>业务承接阶段：该阶段公司与委托方签订规划合同之后，一般会收取合同首期款，该款项属于预收款性</w:t>
      </w:r>
      <w:r>
        <w:rPr>
          <w:spacing w:val="1"/>
        </w:rPr>
        <w:t> </w:t>
      </w:r>
      <w:r>
        <w:rPr/>
        <w:t>质，公司在收到时作为项目预收款，不确认收入；</w:t>
      </w:r>
      <w:r>
        <w:rPr>
          <w:spacing w:val="-36"/>
        </w:rPr>
        <w:t> </w:t>
      </w:r>
      <w:r>
        <w:rPr>
          <w:spacing w:val="-36"/>
        </w:rPr>
      </w:r>
      <w:r>
        <w:rPr>
          <w:rFonts w:ascii="Times New Roman" w:hAnsi="Times New Roman" w:cs="Times New Roman" w:eastAsia="Times New Roman" w:hint="default"/>
          <w:spacing w:val="-2"/>
        </w:rPr>
        <w:t>II.</w:t>
      </w:r>
      <w:r>
        <w:rPr>
          <w:spacing w:val="-2"/>
        </w:rPr>
        <w:t>完成规划初稿阶段：该阶段主要工作系公司规划部门根据合同要求完成项目规划的初稿，当公司向委托</w:t>
      </w:r>
      <w:r>
        <w:rPr>
          <w:spacing w:val="10"/>
        </w:rPr>
        <w:t> </w:t>
      </w:r>
      <w:r>
        <w:rPr>
          <w:spacing w:val="10"/>
        </w:rPr>
      </w:r>
      <w:r>
        <w:rPr/>
        <w:t>方提交阶段性项目成果之后并经客户确认，根据合同约定的结算款项确认该阶段的规划费收入；</w:t>
      </w:r>
      <w:r>
        <w:rPr>
          <w:spacing w:val="-21"/>
        </w:rPr>
        <w:t> </w:t>
      </w:r>
      <w:r>
        <w:rPr>
          <w:spacing w:val="-21"/>
        </w:rPr>
      </w:r>
      <w:r>
        <w:rPr>
          <w:rFonts w:ascii="Times New Roman" w:hAnsi="Times New Roman" w:cs="Times New Roman" w:eastAsia="Times New Roman" w:hint="default"/>
        </w:rPr>
        <w:t>III.</w:t>
      </w:r>
      <w:r>
        <w:rPr/>
        <w:t>完成规划送审稿阶段：该阶段主要工作系公司规划部门根据初步规划方案完成规划送审稿，并经委托</w:t>
      </w:r>
      <w:r>
        <w:rPr>
          <w:spacing w:val="38"/>
        </w:rPr>
        <w:t> </w:t>
      </w:r>
      <w:r>
        <w:rPr>
          <w:spacing w:val="38"/>
        </w:rPr>
      </w:r>
      <w:r>
        <w:rPr>
          <w:spacing w:val="-2"/>
        </w:rPr>
        <w:t>方内部确认，当公司向委托方提交阶段项目成果之后并经客户确认，根据合同约定的结算款项确认该阶段</w:t>
      </w:r>
      <w:r>
        <w:rPr>
          <w:spacing w:val="12"/>
        </w:rPr>
        <w:t> </w:t>
      </w:r>
      <w:r>
        <w:rPr>
          <w:spacing w:val="12"/>
        </w:rPr>
      </w:r>
      <w:r>
        <w:rPr/>
        <w:t>的规划费收入；</w:t>
      </w:r>
      <w:r>
        <w:rPr>
          <w:spacing w:val="-45"/>
        </w:rPr>
        <w:t> </w:t>
      </w:r>
      <w:r>
        <w:rPr>
          <w:rFonts w:ascii="Times New Roman" w:hAnsi="Times New Roman" w:cs="Times New Roman" w:eastAsia="Times New Roman" w:hint="default"/>
        </w:rPr>
        <w:t>IV.</w:t>
      </w:r>
      <w:r>
        <w:rPr/>
        <w:t>规划成果通过评审阶段：该阶段主要工作系公司规划部门协助规划方案通过外部专家的评审（或者项</w:t>
      </w:r>
      <w:r>
        <w:rPr>
          <w:spacing w:val="49"/>
        </w:rPr>
        <w:t> </w:t>
      </w:r>
      <w:r>
        <w:rPr>
          <w:spacing w:val="49"/>
        </w:rPr>
      </w:r>
      <w:r>
        <w:rPr>
          <w:spacing w:val="-2"/>
        </w:rPr>
        <w:t>目获得绿色建筑的认证）等，当公司提交的规划成果获得外部专家的评审之后，根据合同约定的结算款项</w:t>
      </w:r>
      <w:r>
        <w:rPr>
          <w:spacing w:val="11"/>
        </w:rPr>
        <w:t> </w:t>
      </w:r>
      <w:r>
        <w:rPr>
          <w:spacing w:val="11"/>
        </w:rPr>
      </w:r>
      <w:r>
        <w:rPr/>
        <w:t>确认为该阶段的做咨询费收入。</w:t>
      </w:r>
      <w:r>
        <w:rPr>
          <w:b w:val="0"/>
          <w:bCs w:val="0"/>
        </w:rPr>
      </w:r>
    </w:p>
    <w:p>
      <w:pPr>
        <w:pStyle w:val="Heading5"/>
        <w:spacing w:line="312" w:lineRule="exact" w:before="17"/>
        <w:ind w:right="0"/>
        <w:jc w:val="left"/>
        <w:rPr>
          <w:b w:val="0"/>
          <w:bCs w:val="0"/>
        </w:rPr>
      </w:pPr>
      <w:r>
        <w:rPr/>
        <w:t>④公信业务</w:t>
      </w:r>
      <w:r>
        <w:rPr>
          <w:spacing w:val="-47"/>
        </w:rPr>
        <w:t> </w:t>
      </w:r>
      <w:r>
        <w:rPr>
          <w:spacing w:val="-1"/>
        </w:rPr>
        <w:t>公司公信业务主要为检测业务，当公司向委托方提交检测报告后按合同约定的结算款项确认收入。</w:t>
      </w:r>
      <w:r>
        <w:rPr>
          <w:b w:val="0"/>
          <w:bCs w:val="0"/>
          <w:spacing w:val="-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1"/>
          <w:szCs w:val="11"/>
        </w:rPr>
      </w:pPr>
    </w:p>
    <w:p>
      <w:pPr>
        <w:pStyle w:val="Heading5"/>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73" w:lineRule="auto"/>
        <w:ind w:right="146"/>
        <w:jc w:val="both"/>
      </w:pPr>
      <w:r>
        <w:rPr>
          <w:spacing w:val="-2"/>
        </w:rPr>
        <w:t>与资产相关的政府补助，冲减相关资产账面价值或确认为递延收益。确认为递延收益的，在相关资产使用</w:t>
      </w:r>
      <w:r>
        <w:rPr>
          <w:spacing w:val="-43"/>
        </w:rPr>
        <w:t> </w:t>
      </w:r>
      <w:r>
        <w:rPr>
          <w:spacing w:val="-43"/>
        </w:rPr>
      </w:r>
      <w:r>
        <w:rPr>
          <w:spacing w:val="-2"/>
        </w:rPr>
        <w:t>寿命内按照合理、系统的方法分期计入当期损益（与本公司日常活动相关的，计入其他收益；与本公司日</w:t>
      </w:r>
      <w:r>
        <w:rPr>
          <w:spacing w:val="-47"/>
        </w:rPr>
        <w:t> </w:t>
      </w:r>
      <w:r>
        <w:rPr>
          <w:spacing w:val="-47"/>
        </w:rPr>
      </w:r>
      <w:r>
        <w:rPr/>
        <w:t>常活动无关的，计入营业外收入）；</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73" w:lineRule="auto"/>
        <w:ind w:right="146"/>
        <w:jc w:val="both"/>
      </w:pPr>
      <w:r>
        <w:rPr>
          <w:spacing w:val="-2"/>
        </w:rPr>
        <w:t>与收益相关的政府补助，用于补偿本公司以后期间的相关成本费用或损失的，确认为递延收益，并在确认</w:t>
      </w:r>
      <w:r>
        <w:rPr>
          <w:spacing w:val="-44"/>
        </w:rPr>
        <w:t> </w:t>
      </w:r>
      <w:r>
        <w:rPr>
          <w:spacing w:val="-44"/>
        </w:rPr>
      </w:r>
      <w:r>
        <w:rPr>
          <w:spacing w:val="-2"/>
        </w:rPr>
        <w:t>相关成本费用或损失的期间，计入当期损益（与本公司日常活动相关的，计入其他收益；与本公司日常活</w:t>
      </w:r>
      <w:r>
        <w:rPr>
          <w:spacing w:val="-47"/>
        </w:rPr>
        <w:t> </w:t>
      </w:r>
      <w:r>
        <w:rPr>
          <w:spacing w:val="-47"/>
        </w:rPr>
      </w:r>
      <w:r>
        <w:rPr>
          <w:spacing w:val="-2"/>
        </w:rPr>
        <w:t>动无关的，计入营业外收入）或冲减相关成本费用或损失；用于补偿本公司已发生的相关成本费用或损失</w:t>
      </w:r>
      <w:r>
        <w:rPr>
          <w:spacing w:val="-43"/>
        </w:rPr>
        <w:t> </w:t>
      </w:r>
      <w:r>
        <w:rPr>
          <w:spacing w:val="-43"/>
        </w:rPr>
      </w:r>
      <w:r>
        <w:rPr>
          <w:spacing w:val="-2"/>
        </w:rPr>
        <w:t>的，直接计入当期损益（与本公司日常活动相关的，计入其他收益；与本公司日常活动无关的，计入营业</w:t>
      </w:r>
      <w:r>
        <w:rPr>
          <w:spacing w:val="-43"/>
        </w:rPr>
        <w:t> </w:t>
      </w:r>
      <w:r>
        <w:rPr>
          <w:spacing w:val="-43"/>
        </w:rPr>
      </w:r>
      <w:r>
        <w:rPr/>
        <w:t>外收入）或冲减相关成本费用或损失。</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73" w:lineRule="auto"/>
        <w:ind w:right="0"/>
        <w:jc w:val="left"/>
      </w:pPr>
      <w:r>
        <w:rPr>
          <w:spacing w:val="-2"/>
        </w:rPr>
        <w:t>对于可抵扣暂时性差异确认递延所得税资产，以未来期间很可能取得的用来抵扣可抵扣暂时性差异的应纳</w:t>
      </w:r>
      <w:r>
        <w:rPr>
          <w:spacing w:val="-43"/>
        </w:rPr>
        <w:t> </w:t>
      </w:r>
      <w:r>
        <w:rPr>
          <w:spacing w:val="-43"/>
        </w:rPr>
      </w:r>
      <w:r>
        <w:rPr>
          <w:spacing w:val="-2"/>
        </w:rPr>
        <w:t>税所得额为限。对于能够结转以后年度的可抵扣亏损和税款抵减，以很可能获得用来抵扣可抵扣亏损和税</w:t>
      </w:r>
      <w:r>
        <w:rPr>
          <w:spacing w:val="-42"/>
        </w:rPr>
        <w:t> </w:t>
      </w:r>
      <w:r>
        <w:rPr>
          <w:spacing w:val="-42"/>
        </w:rPr>
      </w:r>
      <w:r>
        <w:rPr/>
        <w:t>款抵减的未来应纳税所得额为限，确认相应的递延所得税资产。</w:t>
      </w:r>
      <w:r>
        <w:rPr>
          <w:w w:val="100"/>
        </w:rPr>
        <w:t> </w:t>
      </w: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不确认递延所得税资产或递延所得税负债的特殊情况包括：商誉的初始确认；除企业合并以外的发生时既</w:t>
      </w:r>
      <w:r>
        <w:rPr>
          <w:spacing w:val="-44"/>
        </w:rPr>
        <w:t> </w:t>
      </w:r>
      <w:r>
        <w:rPr>
          <w:spacing w:val="-44"/>
        </w:rPr>
      </w:r>
      <w:r>
        <w:rPr/>
        <w:t>不影响会计利润也不影响应纳税所得额（或可抵扣亏损）的其他交易或事项。</w:t>
      </w:r>
      <w:r>
        <w:rPr>
          <w:w w:val="100"/>
        </w:rPr>
        <w:t> </w:t>
      </w:r>
      <w:r>
        <w:rPr>
          <w:spacing w:val="-2"/>
        </w:rPr>
        <w:t>当拥有以净额结算的法定权利，且意图以净额结算或取得资产、清偿负债同时进行时，当期所得税资产及</w:t>
      </w:r>
      <w:r>
        <w:rPr>
          <w:spacing w:val="-44"/>
        </w:rPr>
        <w:t> </w:t>
      </w:r>
      <w:r>
        <w:rPr>
          <w:spacing w:val="-44"/>
        </w:rPr>
      </w:r>
      <w:r>
        <w:rPr/>
        <w:t>当期所得税负债以抵销后的净额列报。</w:t>
      </w:r>
      <w:r>
        <w:rPr>
          <w:w w:val="100"/>
        </w:rPr>
        <w:t> </w:t>
      </w:r>
      <w:r>
        <w:rPr>
          <w:spacing w:val="-2"/>
        </w:rPr>
        <w:t>当拥有以净额结算当期所得税资产及当期所得税负债的法定权利，且递延所得税资产及递延所得税负债是</w:t>
      </w:r>
      <w:r>
        <w:rPr>
          <w:spacing w:val="-43"/>
        </w:rPr>
        <w:t> </w:t>
      </w:r>
      <w:r>
        <w:rPr>
          <w:spacing w:val="-43"/>
        </w:rPr>
      </w:r>
      <w:r>
        <w:rPr>
          <w:spacing w:val="-2"/>
        </w:rPr>
        <w:t>与同一税收征管部门对同一纳税主体征收的所得税相关或者是对不同的纳税主体相关，但在未来每一具有</w:t>
      </w:r>
      <w:r>
        <w:rPr>
          <w:spacing w:val="-42"/>
        </w:rPr>
        <w:t> </w:t>
      </w:r>
      <w:r>
        <w:rPr>
          <w:spacing w:val="-42"/>
        </w:rPr>
      </w:r>
      <w:r>
        <w:rPr>
          <w:spacing w:val="-2"/>
        </w:rPr>
        <w:t>重要性的递延所得税资产及负债转回的期间内，涉及的纳税主体意图以净额结算当期所得税资产和负债或</w:t>
      </w:r>
      <w:r>
        <w:rPr>
          <w:spacing w:val="-43"/>
        </w:rPr>
        <w:t> </w:t>
      </w:r>
      <w:r>
        <w:rPr>
          <w:spacing w:val="-43"/>
        </w:rPr>
      </w:r>
      <w:r>
        <w:rPr/>
        <w:t>是同时取得资产、清偿负债时，递延所得税资产及递延所得税负债以抵销后的净额列报。</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Heading6"/>
        <w:spacing w:line="266" w:lineRule="auto"/>
        <w:ind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w w:val="100"/>
        </w:rPr>
        <w:t> </w:t>
      </w:r>
      <w:r>
        <w:rPr/>
        <w:t>用。公司支付的与租赁交易相关的初始直接费用，计入当期费用。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pStyle w:val="Heading6"/>
        <w:spacing w:line="268" w:lineRule="auto" w:before="14"/>
        <w:ind w:right="0"/>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w w:val="100"/>
        </w:rPr>
        <w:t> </w:t>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Heading6"/>
        <w:spacing w:line="266" w:lineRule="auto"/>
        <w:ind w:right="0"/>
        <w:jc w:val="left"/>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w w:val="100"/>
        </w:rPr>
        <w:t> </w:t>
      </w:r>
      <w:r>
        <w:rPr>
          <w:spacing w:val="-2"/>
        </w:rPr>
        <w:t>租入资产的入账价值，将最低租赁付款额作为长期应付款的入账价值，其差额作为未确认的融资费用。公</w:t>
      </w:r>
      <w:r>
        <w:rPr>
          <w:spacing w:val="-43"/>
        </w:rPr>
        <w:t> </w:t>
      </w:r>
      <w:r>
        <w:rPr>
          <w:spacing w:val="-43"/>
        </w:rPr>
      </w:r>
      <w:r>
        <w:rPr>
          <w:spacing w:val="-2"/>
        </w:rPr>
        <w:t>司采用实际利率法对未确认的融资费用，在资产租赁期间内摊销，计入财务费用。公司发生的初始直接费</w:t>
      </w:r>
      <w:r>
        <w:rPr>
          <w:spacing w:val="-45"/>
        </w:rPr>
        <w:t> </w:t>
      </w:r>
      <w:r>
        <w:rPr>
          <w:spacing w:val="-45"/>
        </w:rPr>
      </w:r>
      <w:r>
        <w:rPr/>
        <w:t>用，计入租入资产价值。</w:t>
      </w:r>
    </w:p>
    <w:p>
      <w:pPr>
        <w:pStyle w:val="Heading6"/>
        <w:spacing w:line="240" w:lineRule="auto" w:before="14"/>
        <w:ind w:right="0"/>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shape style="position:absolute;margin-left:147.360001pt;margin-top:330.889984pt;width:228.2pt;height:35.3pt;mso-position-horizontal-relative:page;mso-position-vertical-relative:page;z-index:-129421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比较数据不调整。</w:t>
                  </w:r>
                </w:p>
              </w:txbxContent>
            </v:textbox>
            <w10:wrap type="none"/>
          </v:shape>
        </w:pict>
      </w:r>
    </w:p>
    <w:p>
      <w:pPr>
        <w:pStyle w:val="Heading6"/>
        <w:spacing w:line="273" w:lineRule="auto" w:before="36"/>
        <w:ind w:right="0"/>
        <w:jc w:val="left"/>
      </w:pPr>
      <w:r>
        <w:rPr>
          <w:spacing w:val="-5"/>
        </w:rPr>
        <w:t>实现融资收益，在将来收到租金的各期间内确认为租赁收入。公司发生的与出租交易相关的初始直接费用，</w:t>
      </w:r>
      <w:r>
        <w:rPr>
          <w:spacing w:val="-6"/>
        </w:rPr>
        <w:t> </w:t>
      </w:r>
      <w:r>
        <w:rPr>
          <w:spacing w:val="-6"/>
        </w:rPr>
      </w:r>
      <w:r>
        <w:rPr/>
        <w:t>计入应收融资租赁款的初始计量中，并减少租赁期内确认的收益金额。</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line="156" w:lineRule="exact"/>
        <w:ind w:left="3350"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156" w:lineRule="exact"/>
        <w:ind w:left="3350"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9.050pt;height:7.8pt;mso-position-horizontal-relative:char;mso-position-vertical-relative:line" coordorigin="0,0" coordsize="3181,156">
            <v:group style="position:absolute;left:0;top:0;width:3181;height:156" coordorigin="0,0" coordsize="3181,156">
              <v:shape style="position:absolute;left:0;top:0;width:3181;height:156" coordorigin="0,0" coordsize="3181,156" path="m0,156l3180,156,3180,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44"/>
        <w:ind w:left="0" w:right="215"/>
        <w:jc w:val="right"/>
      </w:pPr>
      <w:r>
        <w:rPr/>
        <w:pict>
          <v:group style="position:absolute;margin-left:216.529999pt;margin-top:-31.472284pt;width:159.050pt;height:97.6pt;mso-position-horizontal-relative:page;mso-position-vertical-relative:paragraph;z-index:1792" coordorigin="4331,-629" coordsize="3181,1952">
            <v:group style="position:absolute;left:4331;top:-629;width:3181;height:781" coordorigin="4331,-629" coordsize="3181,781">
              <v:shape style="position:absolute;left:4331;top:-629;width:3181;height:781" coordorigin="4331,-629" coordsize="3181,781" path="m4331,151l7511,151,7511,-629,4331,-629,4331,151xe" filled="true" fillcolor="#ffffff" stroked="false">
                <v:path arrowok="t"/>
                <v:fill type="solid"/>
              </v:shape>
            </v:group>
            <v:group style="position:absolute;left:4331;top:542;width:3181;height:780" coordorigin="4331,542" coordsize="3181,780">
              <v:shape style="position:absolute;left:4331;top:542;width:3181;height:780" coordorigin="4331,542" coordsize="3181,780" path="m4331,1322l7511,1322,7511,542,4331,542,4331,1322xe" filled="true" fillcolor="#ffffff" stroked="false">
                <v:path arrowok="t"/>
                <v:fill type="solid"/>
              </v:shape>
            </v:group>
            <v:group style="position:absolute;left:4355;top:151;width:3133;height:392" coordorigin="4355,151" coordsize="3133,392">
              <v:shape style="position:absolute;left:4355;top:151;width:3133;height:392" coordorigin="4355,151" coordsize="3133,392" path="m4355,542l7487,542,7487,151,4355,151,4355,542xe" filled="true" fillcolor="#ffffff" stroked="false">
                <v:path arrowok="t"/>
                <v:fill type="solid"/>
              </v:shape>
            </v:group>
            <w10:wrap type="none"/>
          </v:group>
        </w:pict>
      </w:r>
      <w:r>
        <w:rPr/>
        <w:pict>
          <v:shape style="position:absolute;margin-left:56.400002pt;margin-top:-257.338287pt;width:479.3pt;height:323.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4"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 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 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33,904,614.66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元，终止经营净利润本年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元；列示持续经营净利润上年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31,655,362.36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元，终止经营净利润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）部分与资产相关的政府补助，冲减</w:t>
                        </w:r>
                        <w:r>
                          <w:rPr>
                            <w:rFonts w:ascii="宋体" w:hAnsi="宋体" w:cs="宋体" w:eastAsia="宋体" w:hint="default"/>
                            <w:sz w:val="18"/>
                            <w:szCs w:val="18"/>
                          </w:rPr>
                          <w:t> 了相关资产账面价值。</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71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）部分与收益相关的政府补助，冲减</w:t>
                        </w:r>
                        <w:r>
                          <w:rPr>
                            <w:rFonts w:ascii="宋体" w:hAnsi="宋体" w:cs="宋体" w:eastAsia="宋体" w:hint="default"/>
                            <w:sz w:val="18"/>
                            <w:szCs w:val="18"/>
                          </w:rPr>
                          <w:t> 了相关成本费用。比较数据不调整。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）与本公司日常活动相关的政府补 助，计入其他收益，不再计入营业外收 入。比较数据不调整。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6,876,123.77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96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5"/>
                            <w:w w:val="100"/>
                            <w:sz w:val="18"/>
                            <w:szCs w:val="18"/>
                          </w:rPr>
                          <w:t>目，将部分原列示为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的资产</w:t>
                        </w:r>
                        <w:r>
                          <w:rPr>
                            <w:rFonts w:ascii="宋体" w:hAnsi="宋体" w:cs="宋体" w:eastAsia="宋体" w:hint="default"/>
                            <w:spacing w:val="-83"/>
                            <w:w w:val="100"/>
                            <w:sz w:val="18"/>
                            <w:szCs w:val="18"/>
                          </w:rPr>
                          <w:t> </w:t>
                        </w:r>
                        <w:r>
                          <w:rPr>
                            <w:rFonts w:ascii="宋体" w:hAnsi="宋体" w:cs="宋体" w:eastAsia="宋体" w:hint="default"/>
                            <w:sz w:val="18"/>
                            <w:szCs w:val="18"/>
                          </w:rPr>
                          <w:t>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2"/>
                          <w:ind w:left="23" w:right="0"/>
                          <w:jc w:val="left"/>
                          <w:rPr>
                            <w:rFonts w:ascii="宋体" w:hAnsi="宋体" w:cs="宋体" w:eastAsia="宋体" w:hint="default"/>
                            <w:sz w:val="18"/>
                            <w:szCs w:val="18"/>
                          </w:rPr>
                        </w:pPr>
                        <w:r>
                          <w:rPr>
                            <w:rFonts w:ascii="宋体" w:hAnsi="宋体" w:cs="宋体" w:eastAsia="宋体" w:hint="default"/>
                            <w:sz w:val="18"/>
                            <w:szCs w:val="18"/>
                          </w:rPr>
                          <w:t>已执行</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调减营业外收入本年金额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5,136.15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调减营业外支出本年金额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7,002.3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元，调</w:t>
                        </w:r>
                        <w:r>
                          <w:rPr>
                            <w:rFonts w:ascii="宋体" w:hAnsi="宋体" w:cs="宋体" w:eastAsia="宋体" w:hint="default"/>
                            <w:sz w:val="18"/>
                            <w:szCs w:val="18"/>
                          </w:rPr>
                          <w:t> </w:t>
                        </w:r>
                        <w:r>
                          <w:rPr>
                            <w:rFonts w:ascii="宋体" w:hAnsi="宋体" w:cs="宋体" w:eastAsia="宋体" w:hint="default"/>
                            <w:spacing w:val="-5"/>
                            <w:sz w:val="18"/>
                            <w:szCs w:val="18"/>
                          </w:rPr>
                          <w:t>增资产处置收益本年金额（</w:t>
                        </w:r>
                        <w:r>
                          <w:rPr>
                            <w:rFonts w:ascii="Times New Roman" w:hAnsi="Times New Roman" w:cs="Times New Roman" w:eastAsia="Times New Roman" w:hint="default"/>
                            <w:spacing w:val="-5"/>
                            <w:sz w:val="18"/>
                            <w:szCs w:val="18"/>
                          </w:rPr>
                          <w:t>1,866.15</w:t>
                        </w:r>
                        <w:r>
                          <w:rPr>
                            <w:rFonts w:ascii="宋体" w:hAnsi="宋体" w:cs="宋体" w:eastAsia="宋体" w:hint="default"/>
                            <w:spacing w:val="-5"/>
                            <w:sz w:val="18"/>
                            <w:szCs w:val="18"/>
                          </w:rPr>
                          <w:t>）元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追溯调减营业外支出上年金额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6,131.17 </w:t>
                        </w:r>
                        <w:r>
                          <w:rPr>
                            <w:rFonts w:ascii="宋体" w:hAnsi="宋体" w:cs="宋体" w:eastAsia="宋体" w:hint="default"/>
                            <w:sz w:val="18"/>
                            <w:szCs w:val="18"/>
                          </w:rPr>
                          <w:t>元，追溯调增资产处置收益上年金额</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6,131.17</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307" w:lineRule="auto" w:before="44"/>
        <w:ind w:right="204"/>
        <w:jc w:val="left"/>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 行，对于施行日存在的持有待售的非流动资产、处置组和终止经营，要求采用未来适用法处理。 财政部于</w:t>
      </w:r>
      <w:r>
        <w:rPr>
          <w:rFonts w:ascii="Times New Roman" w:hAnsi="Times New Roman" w:cs="Times New Roman" w:eastAsia="Times New Roman" w:hint="default"/>
        </w:rPr>
        <w:t>2017</w:t>
      </w:r>
      <w:r>
        <w:rPr/>
        <w:t>年度修订了《企业会计准则第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政府补助》，修订后的准则自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spacing w:val="-2"/>
        </w:rPr>
        <w:t>日存在的政府补助，要求采用未来适用法处理；对于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日至施行日新增的政府补助，也要求按照修订后的准则进行</w:t>
      </w:r>
      <w:r>
        <w:rPr>
          <w:spacing w:val="-58"/>
        </w:rPr>
        <w:t> </w:t>
      </w:r>
      <w:r>
        <w:rPr>
          <w:spacing w:val="-58"/>
        </w:rPr>
      </w:r>
      <w:r>
        <w:rPr/>
        <w:t>调整。 </w:t>
      </w:r>
      <w:r>
        <w:rPr>
          <w:spacing w:val="-2"/>
        </w:rPr>
        <w:t>财政部于</w:t>
      </w:r>
      <w:r>
        <w:rPr>
          <w:rFonts w:ascii="Times New Roman" w:hAnsi="Times New Roman" w:cs="Times New Roman" w:eastAsia="Times New Roman" w:hint="default"/>
          <w:spacing w:val="-2"/>
        </w:rPr>
        <w:t>2017</w:t>
      </w:r>
      <w:r>
        <w:rPr>
          <w:spacing w:val="-2"/>
        </w:rPr>
        <w:t>年度发布了《财政部关于修订印发一般企业财务报表格式的通知》，对一般企业财务报表格式进行了修订，适</w:t>
      </w:r>
      <w:r>
        <w:rPr>
          <w:spacing w:val="-63"/>
        </w:rPr>
        <w:t> </w:t>
      </w:r>
      <w:r>
        <w:rPr>
          <w:spacing w:val="-63"/>
        </w:rPr>
      </w:r>
      <w:r>
        <w:rPr/>
        <w:t>用于</w:t>
      </w:r>
      <w:r>
        <w:rPr>
          <w:rFonts w:ascii="Times New Roman" w:hAnsi="Times New Roman" w:cs="Times New Roman" w:eastAsia="Times New Roman" w:hint="default"/>
        </w:rPr>
        <w:t>2017</w:t>
      </w:r>
      <w:r>
        <w:rPr/>
        <w:t>年度及以后期间的财务报表。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11.00</w:t>
            </w:r>
            <w:r>
              <w:rPr>
                <w:rFonts w:ascii="宋体" w:hAnsi="宋体" w:cs="宋体" w:eastAsia="宋体" w:hint="default"/>
                <w:sz w:val="18"/>
                <w:szCs w:val="18"/>
              </w:rPr>
              <w:t>、</w:t>
            </w:r>
            <w:r>
              <w:rPr>
                <w:rFonts w:ascii="Times New Roman" w:hAnsi="Times New Roman" w:cs="Times New Roman" w:eastAsia="Times New Roman" w:hint="default"/>
                <w:sz w:val="18"/>
                <w:szCs w:val="18"/>
              </w:rPr>
              <w:t>17.00</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25.00</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深圳九一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6"/>
        <w:spacing w:line="240" w:lineRule="auto"/>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本公司被认定为国家高新技术企业，证书编号：</w:t>
      </w:r>
      <w:r>
        <w:rPr>
          <w:rFonts w:ascii="Times New Roman" w:hAnsi="Times New Roman" w:cs="Times New Roman" w:eastAsia="Times New Roman" w:hint="default"/>
        </w:rPr>
        <w:t>GF201744204015</w:t>
      </w:r>
      <w:r>
        <w:rPr/>
        <w:t>，有效期为</w:t>
      </w:r>
      <w:r>
        <w:rPr>
          <w:rFonts w:ascii="Times New Roman" w:hAnsi="Times New Roman" w:cs="Times New Roman" w:eastAsia="Times New Roman" w:hint="default"/>
        </w:rPr>
        <w:t>2017</w:t>
      </w:r>
      <w:r>
        <w:rPr/>
        <w:t>至</w:t>
      </w:r>
    </w:p>
    <w:p>
      <w:pPr>
        <w:pStyle w:val="Heading6"/>
        <w:spacing w:line="240" w:lineRule="auto" w:before="21"/>
        <w:ind w:right="0"/>
        <w:jc w:val="left"/>
      </w:pP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15.00%</w:t>
      </w:r>
      <w:r>
        <w:rPr/>
        <w:t>。</w:t>
      </w:r>
    </w:p>
    <w:p>
      <w:pPr>
        <w:pStyle w:val="Heading6"/>
        <w:spacing w:line="256" w:lineRule="auto" w:before="21"/>
        <w:ind w:right="0"/>
        <w:jc w:val="left"/>
      </w:pPr>
      <w:r>
        <w:rPr>
          <w:spacing w:val="-8"/>
          <w:w w:val="100"/>
        </w:rPr>
        <w:t>（</w:t>
      </w:r>
      <w:r>
        <w:rPr>
          <w:rFonts w:ascii="Times New Roman" w:hAnsi="Times New Roman" w:cs="Times New Roman" w:eastAsia="Times New Roman" w:hint="default"/>
          <w:spacing w:val="-8"/>
          <w:w w:val="100"/>
        </w:rPr>
        <w:t>2</w:t>
      </w:r>
      <w:r>
        <w:rPr>
          <w:spacing w:val="-8"/>
          <w:w w:val="100"/>
        </w:rPr>
        <w:t>）</w:t>
      </w:r>
      <w:r>
        <w:rPr>
          <w:rFonts w:ascii="Times New Roman" w:hAnsi="Times New Roman" w:cs="Times New Roman" w:eastAsia="Times New Roman" w:hint="default"/>
          <w:spacing w:val="-8"/>
          <w:w w:val="100"/>
        </w:rPr>
        <w:t>2017</w:t>
      </w:r>
      <w:r>
        <w:rPr>
          <w:spacing w:val="-8"/>
          <w:w w:val="100"/>
        </w:rPr>
        <w:t>年</w:t>
      </w:r>
      <w:r>
        <w:rPr>
          <w:rFonts w:ascii="Times New Roman" w:hAnsi="Times New Roman" w:cs="Times New Roman" w:eastAsia="Times New Roman" w:hint="default"/>
          <w:spacing w:val="-8"/>
          <w:w w:val="100"/>
        </w:rPr>
        <w:t>10</w:t>
      </w:r>
      <w:r>
        <w:rPr>
          <w:spacing w:val="-8"/>
          <w:w w:val="100"/>
        </w:rPr>
        <w:t>月</w:t>
      </w:r>
      <w:r>
        <w:rPr>
          <w:rFonts w:ascii="Times New Roman" w:hAnsi="Times New Roman" w:cs="Times New Roman" w:eastAsia="Times New Roman" w:hint="default"/>
          <w:spacing w:val="-8"/>
          <w:w w:val="100"/>
        </w:rPr>
        <w:t>25</w:t>
      </w:r>
      <w:r>
        <w:rPr>
          <w:spacing w:val="-8"/>
          <w:w w:val="100"/>
        </w:rPr>
        <w:t>日，本公司子公司北京艾科城被认定为国家高新技术企业，证书编号：</w:t>
      </w:r>
      <w:r>
        <w:rPr>
          <w:rFonts w:ascii="Times New Roman" w:hAnsi="Times New Roman" w:cs="Times New Roman" w:eastAsia="Times New Roman" w:hint="default"/>
          <w:spacing w:val="-8"/>
          <w:w w:val="100"/>
        </w:rPr>
        <w:t>GF2011711002555</w:t>
      </w:r>
      <w:r>
        <w:rPr>
          <w:spacing w:val="-8"/>
          <w:w w:val="100"/>
        </w:rPr>
        <w:t>，</w:t>
      </w:r>
      <w:r>
        <w:rPr>
          <w:spacing w:val="-95"/>
          <w:w w:val="100"/>
        </w:rPr>
        <w:t> </w:t>
      </w:r>
      <w:r>
        <w:rPr/>
        <w:t>有效期为</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15.00%</w:t>
      </w:r>
      <w:r>
        <w:rPr/>
        <w:t>。</w:t>
      </w:r>
    </w:p>
    <w:p>
      <w:pPr>
        <w:pStyle w:val="Heading6"/>
        <w:spacing w:line="256" w:lineRule="auto" w:before="5"/>
        <w:ind w:right="0"/>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15</w:t>
      </w:r>
      <w:r>
        <w:rPr>
          <w:spacing w:val="-3"/>
        </w:rPr>
        <w:t>日，本公司子公司建研检测被认定为国家高新技术企业，证书编号：</w:t>
      </w:r>
      <w:r>
        <w:rPr>
          <w:rFonts w:ascii="Times New Roman" w:hAnsi="Times New Roman" w:cs="Times New Roman" w:eastAsia="Times New Roman" w:hint="default"/>
          <w:spacing w:val="-3"/>
        </w:rPr>
        <w:t>GR201644200964</w:t>
      </w:r>
      <w:r>
        <w:rPr>
          <w:spacing w:val="-3"/>
        </w:rPr>
        <w:t>，</w:t>
      </w:r>
      <w:r>
        <w:rPr>
          <w:spacing w:val="-43"/>
        </w:rPr>
        <w:t> </w:t>
      </w:r>
      <w:r>
        <w:rPr/>
        <w:t>有效期为</w:t>
      </w:r>
      <w:r>
        <w:rPr>
          <w:rFonts w:ascii="Times New Roman" w:hAnsi="Times New Roman" w:cs="Times New Roman" w:eastAsia="Times New Roman" w:hint="default"/>
        </w:rPr>
        <w:t>2016</w:t>
      </w:r>
      <w:r>
        <w:rPr/>
        <w:t>至</w:t>
      </w:r>
      <w:r>
        <w:rPr>
          <w:rFonts w:ascii="Times New Roman" w:hAnsi="Times New Roman" w:cs="Times New Roman" w:eastAsia="Times New Roman" w:hint="default"/>
        </w:rPr>
        <w:t>2018</w:t>
      </w:r>
      <w:r>
        <w:rPr/>
        <w:t>年度，企业所得税税率为</w:t>
      </w:r>
      <w:r>
        <w:rPr>
          <w:rFonts w:ascii="Times New Roman" w:hAnsi="Times New Roman" w:cs="Times New Roman" w:eastAsia="Times New Roman" w:hint="default"/>
        </w:rPr>
        <w:t>15%</w:t>
      </w:r>
      <w:r>
        <w:rPr/>
        <w:t>。</w:t>
      </w:r>
    </w:p>
    <w:p>
      <w:pPr>
        <w:pStyle w:val="Heading6"/>
        <w:spacing w:line="256" w:lineRule="auto" w:before="5"/>
        <w:ind w:right="0"/>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w:t>
      </w:r>
      <w:r>
        <w:rPr>
          <w:spacing w:val="-2"/>
        </w:rPr>
        <w:t>日，本公司子公司市政中心被认定为国家高新技术企业，证书编号：</w:t>
      </w:r>
      <w:r>
        <w:rPr>
          <w:rFonts w:ascii="Times New Roman" w:hAnsi="Times New Roman" w:cs="Times New Roman" w:eastAsia="Times New Roman" w:hint="default"/>
          <w:spacing w:val="-2"/>
        </w:rPr>
        <w:t>GR201744205019</w:t>
      </w:r>
      <w:r>
        <w:rPr>
          <w:spacing w:val="-2"/>
        </w:rPr>
        <w:t>，</w:t>
      </w:r>
      <w:r>
        <w:rPr/>
        <w:t> 有效期为</w:t>
      </w:r>
      <w:r>
        <w:rPr>
          <w:rFonts w:ascii="Times New Roman" w:hAnsi="Times New Roman" w:cs="Times New Roman" w:eastAsia="Times New Roman" w:hint="default"/>
        </w:rPr>
        <w:t>2017</w:t>
      </w:r>
      <w:r>
        <w:rPr/>
        <w:t>至</w:t>
      </w:r>
      <w:r>
        <w:rPr>
          <w:rFonts w:ascii="Times New Roman" w:hAnsi="Times New Roman" w:cs="Times New Roman" w:eastAsia="Times New Roman" w:hint="default"/>
        </w:rPr>
        <w:t>2019</w:t>
      </w:r>
      <w:r>
        <w:rPr/>
        <w:t>年度，企业所得税税率为</w:t>
      </w:r>
      <w:r>
        <w:rPr>
          <w:rFonts w:ascii="Times New Roman" w:hAnsi="Times New Roman" w:cs="Times New Roman" w:eastAsia="Times New Roman" w:hint="default"/>
        </w:rPr>
        <w:t>15%</w:t>
      </w:r>
      <w:r>
        <w:rPr/>
        <w:t>。</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256" w:lineRule="auto" w:before="36"/>
        <w:ind w:right="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年度，本公司子公司常州城建艾科符合财政部和国家税务总局发布的财税</w:t>
      </w:r>
      <w:r>
        <w:rPr>
          <w:rFonts w:ascii="Times New Roman" w:hAnsi="Times New Roman" w:cs="Times New Roman" w:eastAsia="Times New Roman" w:hint="default"/>
          <w:spacing w:val="-3"/>
        </w:rPr>
        <w:t>[2017]43</w:t>
      </w:r>
      <w:r>
        <w:rPr>
          <w:spacing w:val="-3"/>
        </w:rPr>
        <w:t>号《关于扩大</w:t>
      </w:r>
      <w:r>
        <w:rPr>
          <w:spacing w:val="-14"/>
        </w:rPr>
        <w:t> </w:t>
      </w:r>
      <w:r>
        <w:rPr>
          <w:spacing w:val="-14"/>
        </w:rPr>
      </w:r>
      <w:r>
        <w:rPr/>
        <w:t>小型微利企业所得税优惠政策范围的通知》中的相关条件，执行</w:t>
      </w:r>
      <w:r>
        <w:rPr>
          <w:rFonts w:ascii="Times New Roman" w:hAnsi="Times New Roman" w:cs="Times New Roman" w:eastAsia="Times New Roman" w:hint="default"/>
        </w:rPr>
        <w:t>20%</w:t>
      </w:r>
      <w:r>
        <w:rPr/>
        <w:t>的税率减半征收。</w:t>
      </w:r>
    </w:p>
    <w:p>
      <w:pPr>
        <w:pStyle w:val="Heading6"/>
        <w:spacing w:line="256" w:lineRule="auto" w:before="5"/>
        <w:ind w:right="0"/>
        <w:jc w:val="left"/>
      </w:pPr>
      <w:r>
        <w:rPr>
          <w:spacing w:val="-3"/>
        </w:rPr>
        <w:t>（</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2017</w:t>
      </w:r>
      <w:r>
        <w:rPr>
          <w:spacing w:val="-3"/>
        </w:rPr>
        <w:t>年度，本公司子公司迪赛恩符合财政部和国家税务总局发布的财税</w:t>
      </w:r>
      <w:r>
        <w:rPr>
          <w:rFonts w:ascii="Times New Roman" w:hAnsi="Times New Roman" w:cs="Times New Roman" w:eastAsia="Times New Roman" w:hint="default"/>
          <w:spacing w:val="-3"/>
        </w:rPr>
        <w:t>[2017]43</w:t>
      </w:r>
      <w:r>
        <w:rPr>
          <w:spacing w:val="-3"/>
        </w:rPr>
        <w:t>号《关于扩大小型微</w:t>
      </w:r>
      <w:r>
        <w:rPr>
          <w:spacing w:val="-13"/>
        </w:rPr>
        <w:t> </w:t>
      </w:r>
      <w:r>
        <w:rPr>
          <w:spacing w:val="-13"/>
        </w:rPr>
      </w:r>
      <w:r>
        <w:rPr/>
        <w:t>利企业所得税优惠政策范围的通知》中的相关条件，执行</w:t>
      </w:r>
      <w:r>
        <w:rPr>
          <w:rFonts w:ascii="Times New Roman" w:hAnsi="Times New Roman" w:cs="Times New Roman" w:eastAsia="Times New Roman" w:hint="default"/>
        </w:rPr>
        <w:t>20%</w:t>
      </w:r>
      <w:r>
        <w:rPr/>
        <w:t>的税率减半征收。</w:t>
      </w:r>
    </w:p>
    <w:p>
      <w:pPr>
        <w:spacing w:line="240" w:lineRule="auto" w:before="3"/>
        <w:rPr>
          <w:rFonts w:ascii="宋体" w:hAnsi="宋体" w:cs="宋体" w:eastAsia="宋体" w:hint="default"/>
          <w:sz w:val="18"/>
          <w:szCs w:val="18"/>
        </w:rPr>
      </w:pPr>
    </w:p>
    <w:p>
      <w:pPr>
        <w:spacing w:line="376" w:lineRule="auto" w:before="0"/>
        <w:ind w:left="152" w:right="68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pStyle w:val="BodyText"/>
        <w:spacing w:line="240" w:lineRule="auto" w:before="17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92,486.40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220,139,982.22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97,299,247.28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1,268,792.09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1,488,493.07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221,508,379.49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98,880,226.75</w:t>
            </w:r>
          </w:p>
        </w:tc>
      </w:tr>
    </w:tbl>
    <w:p>
      <w:pPr>
        <w:pStyle w:val="BodyText"/>
        <w:spacing w:line="357" w:lineRule="auto" w:before="49"/>
        <w:ind w:right="7434"/>
        <w:jc w:val="left"/>
      </w:pPr>
      <w:r>
        <w:rPr/>
        <w:t>其他说明 其中其他货币资金明细如下：</w:t>
      </w:r>
    </w:p>
    <w:p>
      <w:pPr>
        <w:spacing w:line="240" w:lineRule="auto" w:before="1"/>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2944"/>
        <w:gridCol w:w="3486"/>
        <w:gridCol w:w="2212"/>
      </w:tblGrid>
      <w:tr>
        <w:trPr>
          <w:trHeight w:val="275" w:hRule="exact"/>
        </w:trPr>
        <w:tc>
          <w:tcPr>
            <w:tcW w:w="2944" w:type="dxa"/>
            <w:tcBorders>
              <w:top w:val="nil" w:sz="6" w:space="0" w:color="auto"/>
              <w:left w:val="nil" w:sz="6" w:space="0" w:color="auto"/>
              <w:bottom w:val="single" w:sz="12" w:space="0" w:color="000000"/>
              <w:right w:val="nil" w:sz="6" w:space="0" w:color="auto"/>
            </w:tcBorders>
          </w:tcPr>
          <w:p>
            <w:pPr>
              <w:pStyle w:val="TableParagraph"/>
              <w:spacing w:line="180" w:lineRule="exact"/>
              <w:ind w:right="1211"/>
              <w:jc w:val="right"/>
              <w:rPr>
                <w:rFonts w:ascii="宋体" w:hAnsi="宋体" w:cs="宋体" w:eastAsia="宋体" w:hint="default"/>
                <w:sz w:val="18"/>
                <w:szCs w:val="18"/>
              </w:rPr>
            </w:pPr>
            <w:r>
              <w:rPr>
                <w:rFonts w:ascii="宋体" w:hAnsi="宋体" w:cs="宋体" w:eastAsia="宋体" w:hint="default"/>
                <w:sz w:val="18"/>
                <w:szCs w:val="18"/>
              </w:rPr>
              <w:t>项目</w:t>
            </w:r>
          </w:p>
        </w:tc>
        <w:tc>
          <w:tcPr>
            <w:tcW w:w="3486" w:type="dxa"/>
            <w:tcBorders>
              <w:top w:val="nil" w:sz="6" w:space="0" w:color="auto"/>
              <w:left w:val="nil" w:sz="6" w:space="0" w:color="auto"/>
              <w:bottom w:val="single" w:sz="12" w:space="0" w:color="000000"/>
              <w:right w:val="nil" w:sz="6" w:space="0" w:color="auto"/>
            </w:tcBorders>
          </w:tcPr>
          <w:p>
            <w:pPr>
              <w:pStyle w:val="TableParagraph"/>
              <w:spacing w:line="180" w:lineRule="exact"/>
              <w:ind w:right="33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12" w:type="dxa"/>
            <w:tcBorders>
              <w:top w:val="nil" w:sz="6" w:space="0" w:color="auto"/>
              <w:left w:val="nil" w:sz="6" w:space="0" w:color="auto"/>
              <w:bottom w:val="single" w:sz="12" w:space="0" w:color="000000"/>
              <w:right w:val="nil" w:sz="6" w:space="0" w:color="auto"/>
            </w:tcBorders>
          </w:tcPr>
          <w:p>
            <w:pPr>
              <w:pStyle w:val="TableParagraph"/>
              <w:spacing w:line="180" w:lineRule="exact"/>
              <w:ind w:left="50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4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98"/>
              <w:jc w:val="right"/>
              <w:rPr>
                <w:rFonts w:ascii="Times New Roman" w:hAnsi="Times New Roman" w:cs="Times New Roman" w:eastAsia="Times New Roman" w:hint="default"/>
                <w:sz w:val="18"/>
                <w:szCs w:val="18"/>
              </w:rPr>
            </w:pPr>
            <w:r>
              <w:rPr>
                <w:rFonts w:ascii="Times New Roman"/>
                <w:spacing w:val="-1"/>
                <w:sz w:val="18"/>
              </w:rPr>
              <w:t>1,041,646.87</w:t>
            </w:r>
          </w:p>
        </w:tc>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1,129,646.87</w:t>
            </w:r>
          </w:p>
        </w:tc>
      </w:tr>
      <w:tr>
        <w:trPr>
          <w:trHeight w:val="353" w:hRule="exact"/>
        </w:trPr>
        <w:tc>
          <w:tcPr>
            <w:tcW w:w="2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支付宝</w:t>
            </w:r>
          </w:p>
        </w:tc>
        <w:tc>
          <w:tcPr>
            <w:tcW w:w="34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98"/>
              <w:jc w:val="right"/>
              <w:rPr>
                <w:rFonts w:ascii="Times New Roman" w:hAnsi="Times New Roman" w:cs="Times New Roman" w:eastAsia="Times New Roman" w:hint="default"/>
                <w:sz w:val="18"/>
                <w:szCs w:val="18"/>
              </w:rPr>
            </w:pPr>
            <w:r>
              <w:rPr>
                <w:rFonts w:ascii="Times New Roman"/>
                <w:spacing w:val="-1"/>
                <w:sz w:val="18"/>
              </w:rPr>
              <w:t>227,145.22</w:t>
            </w:r>
          </w:p>
        </w:tc>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358,846.20</w:t>
            </w:r>
          </w:p>
        </w:tc>
      </w:tr>
      <w:tr>
        <w:trPr>
          <w:trHeight w:val="353" w:hRule="exact"/>
        </w:trPr>
        <w:tc>
          <w:tcPr>
            <w:tcW w:w="294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1211"/>
              <w:jc w:val="right"/>
              <w:rPr>
                <w:rFonts w:ascii="宋体" w:hAnsi="宋体" w:cs="宋体" w:eastAsia="宋体" w:hint="default"/>
                <w:sz w:val="18"/>
                <w:szCs w:val="18"/>
              </w:rPr>
            </w:pPr>
            <w:r>
              <w:rPr>
                <w:rFonts w:ascii="宋体" w:hAnsi="宋体" w:cs="宋体" w:eastAsia="宋体" w:hint="default"/>
                <w:sz w:val="18"/>
                <w:szCs w:val="18"/>
              </w:rPr>
              <w:t>合计</w:t>
            </w:r>
          </w:p>
        </w:tc>
        <w:tc>
          <w:tcPr>
            <w:tcW w:w="34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98"/>
              <w:jc w:val="right"/>
              <w:rPr>
                <w:rFonts w:ascii="Times New Roman" w:hAnsi="Times New Roman" w:cs="Times New Roman" w:eastAsia="Times New Roman" w:hint="default"/>
                <w:sz w:val="18"/>
                <w:szCs w:val="18"/>
              </w:rPr>
            </w:pPr>
            <w:r>
              <w:rPr>
                <w:rFonts w:ascii="Times New Roman"/>
                <w:spacing w:val="-1"/>
                <w:sz w:val="18"/>
              </w:rPr>
              <w:t>1,268,792.09</w:t>
            </w:r>
          </w:p>
        </w:tc>
        <w:tc>
          <w:tcPr>
            <w:tcW w:w="22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1,488,493.07</w:t>
            </w:r>
          </w:p>
        </w:tc>
      </w:tr>
    </w:tbl>
    <w:p>
      <w:pPr>
        <w:pStyle w:val="BodyText"/>
        <w:spacing w:line="240" w:lineRule="auto" w:before="8"/>
        <w:ind w:right="0"/>
        <w:jc w:val="left"/>
      </w:pPr>
      <w:r>
        <w:rPr/>
        <w:t>受限制的货币资金明细如下：</w:t>
      </w: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902"/>
        <w:gridCol w:w="3016"/>
        <w:gridCol w:w="2738"/>
      </w:tblGrid>
      <w:tr>
        <w:trPr>
          <w:trHeight w:val="272" w:hRule="exact"/>
        </w:trPr>
        <w:tc>
          <w:tcPr>
            <w:tcW w:w="2902" w:type="dxa"/>
            <w:tcBorders>
              <w:top w:val="nil" w:sz="6" w:space="0" w:color="auto"/>
              <w:left w:val="nil" w:sz="6" w:space="0" w:color="auto"/>
              <w:bottom w:val="single" w:sz="12" w:space="0" w:color="000000"/>
              <w:right w:val="nil" w:sz="6" w:space="0" w:color="auto"/>
            </w:tcBorders>
          </w:tcPr>
          <w:p>
            <w:pPr>
              <w:pStyle w:val="TableParagraph"/>
              <w:spacing w:line="180" w:lineRule="exact"/>
              <w:ind w:right="1155"/>
              <w:jc w:val="right"/>
              <w:rPr>
                <w:rFonts w:ascii="宋体" w:hAnsi="宋体" w:cs="宋体" w:eastAsia="宋体" w:hint="default"/>
                <w:sz w:val="18"/>
                <w:szCs w:val="18"/>
              </w:rPr>
            </w:pPr>
            <w:r>
              <w:rPr>
                <w:rFonts w:ascii="宋体" w:hAnsi="宋体" w:cs="宋体" w:eastAsia="宋体" w:hint="default"/>
                <w:sz w:val="18"/>
                <w:szCs w:val="18"/>
              </w:rPr>
              <w:t>项目</w:t>
            </w:r>
          </w:p>
        </w:tc>
        <w:tc>
          <w:tcPr>
            <w:tcW w:w="3016" w:type="dxa"/>
            <w:tcBorders>
              <w:top w:val="nil" w:sz="6" w:space="0" w:color="auto"/>
              <w:left w:val="nil" w:sz="6" w:space="0" w:color="auto"/>
              <w:bottom w:val="single" w:sz="12" w:space="0" w:color="000000"/>
              <w:right w:val="nil" w:sz="6" w:space="0" w:color="auto"/>
            </w:tcBorders>
          </w:tcPr>
          <w:p>
            <w:pPr>
              <w:pStyle w:val="TableParagraph"/>
              <w:spacing w:line="180" w:lineRule="exact"/>
              <w:ind w:left="24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38" w:type="dxa"/>
            <w:tcBorders>
              <w:top w:val="nil" w:sz="6" w:space="0" w:color="auto"/>
              <w:left w:val="nil" w:sz="6" w:space="0" w:color="auto"/>
              <w:bottom w:val="single" w:sz="12" w:space="0" w:color="000000"/>
              <w:right w:val="nil" w:sz="6" w:space="0" w:color="auto"/>
            </w:tcBorders>
          </w:tcPr>
          <w:p>
            <w:pPr>
              <w:pStyle w:val="TableParagraph"/>
              <w:spacing w:line="180" w:lineRule="exact"/>
              <w:ind w:left="3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3" w:hRule="exact"/>
        </w:trPr>
        <w:tc>
          <w:tcPr>
            <w:tcW w:w="29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0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243" w:right="0"/>
              <w:jc w:val="center"/>
              <w:rPr>
                <w:rFonts w:ascii="Times New Roman" w:hAnsi="Times New Roman" w:cs="Times New Roman" w:eastAsia="Times New Roman" w:hint="default"/>
                <w:sz w:val="18"/>
                <w:szCs w:val="18"/>
              </w:rPr>
            </w:pPr>
            <w:r>
              <w:rPr>
                <w:rFonts w:ascii="Times New Roman"/>
                <w:sz w:val="18"/>
              </w:rPr>
              <w:t>1,041,646.87</w:t>
            </w:r>
          </w:p>
        </w:tc>
        <w:tc>
          <w:tcPr>
            <w:tcW w:w="27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4" w:right="0"/>
              <w:jc w:val="center"/>
              <w:rPr>
                <w:rFonts w:ascii="Times New Roman" w:hAnsi="Times New Roman" w:cs="Times New Roman" w:eastAsia="Times New Roman" w:hint="default"/>
                <w:sz w:val="18"/>
                <w:szCs w:val="18"/>
              </w:rPr>
            </w:pPr>
            <w:r>
              <w:rPr>
                <w:rFonts w:ascii="Times New Roman"/>
                <w:sz w:val="18"/>
              </w:rPr>
              <w:t>1,129,646.87</w:t>
            </w:r>
          </w:p>
        </w:tc>
      </w:tr>
      <w:tr>
        <w:trPr>
          <w:trHeight w:val="353" w:hRule="exact"/>
        </w:trPr>
        <w:tc>
          <w:tcPr>
            <w:tcW w:w="2902" w:type="dxa"/>
            <w:tcBorders>
              <w:top w:val="single" w:sz="12" w:space="0" w:color="000000"/>
              <w:left w:val="nil" w:sz="6" w:space="0" w:color="auto"/>
              <w:bottom w:val="single" w:sz="12" w:space="0" w:color="000000"/>
              <w:right w:val="nil" w:sz="6" w:space="0" w:color="auto"/>
            </w:tcBorders>
          </w:tcPr>
          <w:p>
            <w:pPr/>
          </w:p>
        </w:tc>
        <w:tc>
          <w:tcPr>
            <w:tcW w:w="3016" w:type="dxa"/>
            <w:tcBorders>
              <w:top w:val="single" w:sz="12" w:space="0" w:color="000000"/>
              <w:left w:val="nil" w:sz="6" w:space="0" w:color="auto"/>
              <w:bottom w:val="single" w:sz="12" w:space="0" w:color="000000"/>
              <w:right w:val="nil" w:sz="6" w:space="0" w:color="auto"/>
            </w:tcBorders>
          </w:tcPr>
          <w:p>
            <w:pPr/>
          </w:p>
        </w:tc>
        <w:tc>
          <w:tcPr>
            <w:tcW w:w="273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2902"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1155"/>
              <w:jc w:val="right"/>
              <w:rPr>
                <w:rFonts w:ascii="宋体" w:hAnsi="宋体" w:cs="宋体" w:eastAsia="宋体" w:hint="default"/>
                <w:sz w:val="18"/>
                <w:szCs w:val="18"/>
              </w:rPr>
            </w:pPr>
            <w:r>
              <w:rPr>
                <w:rFonts w:ascii="宋体" w:hAnsi="宋体" w:cs="宋体" w:eastAsia="宋体" w:hint="default"/>
                <w:sz w:val="18"/>
                <w:szCs w:val="18"/>
              </w:rPr>
              <w:t>合计</w:t>
            </w:r>
          </w:p>
        </w:tc>
        <w:tc>
          <w:tcPr>
            <w:tcW w:w="30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43" w:right="0"/>
              <w:jc w:val="center"/>
              <w:rPr>
                <w:rFonts w:ascii="Times New Roman" w:hAnsi="Times New Roman" w:cs="Times New Roman" w:eastAsia="Times New Roman" w:hint="default"/>
                <w:sz w:val="18"/>
                <w:szCs w:val="18"/>
              </w:rPr>
            </w:pPr>
            <w:r>
              <w:rPr>
                <w:rFonts w:ascii="Times New Roman"/>
                <w:sz w:val="18"/>
              </w:rPr>
              <w:t>1,041,646.87</w:t>
            </w:r>
          </w:p>
        </w:tc>
        <w:tc>
          <w:tcPr>
            <w:tcW w:w="273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4" w:right="0"/>
              <w:jc w:val="center"/>
              <w:rPr>
                <w:rFonts w:ascii="Times New Roman" w:hAnsi="Times New Roman" w:cs="Times New Roman" w:eastAsia="Times New Roman" w:hint="default"/>
                <w:sz w:val="18"/>
                <w:szCs w:val="18"/>
              </w:rPr>
            </w:pPr>
            <w:r>
              <w:rPr>
                <w:rFonts w:ascii="Times New Roman"/>
                <w:sz w:val="18"/>
              </w:rPr>
              <w:t>1,129,646.87</w:t>
            </w:r>
          </w:p>
        </w:tc>
      </w:tr>
    </w:tbl>
    <w:p>
      <w:pPr>
        <w:pStyle w:val="BodyText"/>
        <w:spacing w:line="300" w:lineRule="auto" w:before="8"/>
        <w:ind w:right="189"/>
        <w:jc w:val="left"/>
      </w:pPr>
      <w:r>
        <w:rPr/>
        <w:t>其中截至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1,041,646.87</w:t>
      </w:r>
      <w:r>
        <w:rPr/>
        <w:t>元为本公司向银行申请开具无条件、不可撤销的担保函所存 入的保证金存款。</w:t>
      </w:r>
    </w:p>
    <w:p>
      <w:pPr>
        <w:spacing w:line="240" w:lineRule="auto" w:before="8"/>
        <w:rPr>
          <w:rFonts w:ascii="宋体" w:hAnsi="宋体" w:cs="宋体" w:eastAsia="宋体" w:hint="default"/>
          <w:sz w:val="18"/>
          <w:szCs w:val="18"/>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1,199,009.00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1,199,009.00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2,273,6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1,705,218.7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232,848,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689.93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39,619,0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17.01%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193,229,6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203,879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,814.55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25,991,58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177,888,23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3.38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1,504,45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1,504,45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1,504,450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236,626,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764.93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43,397,0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98.00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18.34%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193,229,6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207,657</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,889.55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28,064,43</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7.42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179,593,45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广东创盈房地产开发有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预计款项无法收回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132,333,485.26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6,616,674.27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39,606,104.62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3,960,610.46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27,055,884.00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8,116,765.20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21,333,767.79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10,666,883.90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11,306,795.46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9,045,436.37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1,212,652.80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1,212,652.80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232,848,689.93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39,619,023.00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17.01%</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38"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15,487,935.65 </w:t>
      </w:r>
      <w:r>
        <w:rPr/>
        <w:t>元；本期收回或转回坏账准备金额</w:t>
      </w:r>
      <w:r>
        <w:rPr>
          <w:spacing w:val="-48"/>
        </w:rPr>
        <w:t> </w:t>
      </w:r>
      <w:r>
        <w:rPr>
          <w:rFonts w:ascii="Times New Roman" w:hAnsi="Times New Roman" w:cs="Times New Roman" w:eastAsia="Times New Roman" w:hint="default"/>
        </w:rPr>
        <w:t>155,275.07</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7043" w:space="178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应收账款核销说明：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94"/>
        <w:jc w:val="left"/>
      </w:pPr>
      <w:r>
        <w:rPr/>
        <w:pict>
          <v:shape style="position:absolute;margin-left:56.279999pt;margin-top:34.751732pt;width:540.5pt;height:189.6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49"/>
                    <w:gridCol w:w="2309"/>
                    <w:gridCol w:w="2062"/>
                    <w:gridCol w:w="1553"/>
                  </w:tblGrid>
                  <w:tr>
                    <w:trPr>
                      <w:trHeight w:val="434" w:hRule="exact"/>
                    </w:trPr>
                    <w:tc>
                      <w:tcPr>
                        <w:tcW w:w="4849" w:type="dxa"/>
                        <w:vMerge w:val="restart"/>
                        <w:tcBorders>
                          <w:top w:val="single" w:sz="6" w:space="0" w:color="000000"/>
                          <w:left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925"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58"/>
                          <w:ind w:left="50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4" w:hRule="exact"/>
                    </w:trPr>
                    <w:tc>
                      <w:tcPr>
                        <w:tcW w:w="4849" w:type="dxa"/>
                        <w:vMerge/>
                        <w:tcBorders>
                          <w:left w:val="single" w:sz="6" w:space="0" w:color="000000"/>
                          <w:bottom w:val="single" w:sz="12" w:space="0" w:color="000000"/>
                          <w:right w:val="single" w:sz="6" w:space="0" w:color="000000"/>
                        </w:tcBorders>
                      </w:tcPr>
                      <w:p>
                        <w:pP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占应收账款合计数的比例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深圳市建筑设计研究总院有限公司</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13,355,449.13</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5.64</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2,852,</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深圳市建筑工务署工程管理中心</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9,563,694.06</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4.04</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1,169,</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深圳市龙华区政府投资工程项目前期工作办公室</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8,177,664.00</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3.46</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408,</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深圳市龙岗区建筑工务局</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8,168,705.80</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3.45</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1,937,</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深圳市龙岗区住房和建设局</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6,812,169.55</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2.88</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341,</w:t>
                        </w:r>
                      </w:p>
                    </w:tc>
                  </w:tr>
                  <w:tr>
                    <w:trPr>
                      <w:trHeight w:val="432" w:hRule="exact"/>
                    </w:trPr>
                    <w:tc>
                      <w:tcPr>
                        <w:tcW w:w="48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46,077,682.54</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19.47</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6,709,</w:t>
                        </w:r>
                      </w:p>
                    </w:tc>
                  </w:tr>
                </w:tbl>
                <w:p>
                  <w:pPr/>
                </w:p>
              </w:txbxContent>
            </v:textbox>
            <w10:wrap type="none"/>
          </v:shape>
        </w:pict>
      </w:r>
      <w:r>
        <w:rPr/>
        <w:t>公司是否需要遵守特殊行业的披露要求 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5"/>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6,420,328.20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7,064,599.04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6"/>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8,209,175.12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442,135.40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140,076.95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538,731.60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509,498.33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7,676,197.84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15,923,349.44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Microsoft JhengHei" w:hAnsi="Microsoft JhengHei" w:cs="Microsoft JhengHei" w:eastAsia="Microsoft JhengHei" w:hint="default"/>
          <w:b/>
          <w:bCs/>
          <w:sz w:val="23"/>
          <w:szCs w:val="23"/>
        </w:rPr>
      </w:pPr>
    </w:p>
    <w:tbl>
      <w:tblPr>
        <w:tblW w:w="0" w:type="auto"/>
        <w:jc w:val="left"/>
        <w:tblInd w:w="152" w:type="dxa"/>
        <w:tblLayout w:type="fixed"/>
        <w:tblCellMar>
          <w:top w:w="0" w:type="dxa"/>
          <w:left w:w="0" w:type="dxa"/>
          <w:bottom w:w="0" w:type="dxa"/>
          <w:right w:w="0" w:type="dxa"/>
        </w:tblCellMar>
        <w:tblLook w:val="01E0"/>
      </w:tblPr>
      <w:tblGrid>
        <w:gridCol w:w="3321"/>
        <w:gridCol w:w="2046"/>
        <w:gridCol w:w="1835"/>
      </w:tblGrid>
      <w:tr>
        <w:trPr>
          <w:trHeight w:val="584" w:hRule="exact"/>
        </w:trPr>
        <w:tc>
          <w:tcPr>
            <w:tcW w:w="3321" w:type="dxa"/>
            <w:tcBorders>
              <w:top w:val="nil" w:sz="6" w:space="0" w:color="auto"/>
              <w:left w:val="nil" w:sz="6" w:space="0" w:color="auto"/>
              <w:bottom w:val="single" w:sz="12" w:space="0" w:color="000000"/>
              <w:right w:val="nil" w:sz="6" w:space="0" w:color="auto"/>
            </w:tcBorders>
          </w:tcPr>
          <w:p>
            <w:pPr>
              <w:pStyle w:val="TableParagraph"/>
              <w:spacing w:line="180" w:lineRule="exact"/>
              <w:ind w:left="260"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46" w:type="dxa"/>
            <w:tcBorders>
              <w:top w:val="nil" w:sz="6" w:space="0" w:color="auto"/>
              <w:left w:val="nil" w:sz="6" w:space="0" w:color="auto"/>
              <w:bottom w:val="single" w:sz="12" w:space="0" w:color="000000"/>
              <w:right w:val="nil" w:sz="6" w:space="0" w:color="auto"/>
            </w:tcBorders>
          </w:tcPr>
          <w:p>
            <w:pPr>
              <w:pStyle w:val="TableParagraph"/>
              <w:spacing w:line="180" w:lineRule="exact"/>
              <w:ind w:left="7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35" w:type="dxa"/>
            <w:tcBorders>
              <w:top w:val="nil" w:sz="6" w:space="0" w:color="auto"/>
              <w:left w:val="nil" w:sz="6" w:space="0" w:color="auto"/>
              <w:bottom w:val="single" w:sz="12"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占预付款项期末余额合</w:t>
            </w:r>
          </w:p>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计数的比例</w:t>
            </w:r>
          </w:p>
        </w:tc>
      </w:tr>
      <w:tr>
        <w:trPr>
          <w:trHeight w:val="350"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广州嘉为科技咨询有限公司</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1,630,156.33</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21.24%</w:t>
            </w:r>
          </w:p>
        </w:tc>
      </w:tr>
      <w:tr>
        <w:trPr>
          <w:trHeight w:val="353"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美国绿色建筑认证协会</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13"/>
              <w:jc w:val="right"/>
              <w:rPr>
                <w:rFonts w:ascii="Times New Roman" w:hAnsi="Times New Roman" w:cs="Times New Roman" w:eastAsia="Times New Roman" w:hint="default"/>
                <w:sz w:val="18"/>
                <w:szCs w:val="18"/>
              </w:rPr>
            </w:pPr>
            <w:r>
              <w:rPr>
                <w:rFonts w:ascii="Times New Roman"/>
                <w:spacing w:val="-1"/>
                <w:sz w:val="18"/>
              </w:rPr>
              <w:t>960,581.74</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3"/>
              <w:ind w:right="4"/>
              <w:jc w:val="right"/>
              <w:rPr>
                <w:rFonts w:ascii="Times New Roman" w:hAnsi="Times New Roman" w:cs="Times New Roman" w:eastAsia="Times New Roman" w:hint="default"/>
                <w:sz w:val="18"/>
                <w:szCs w:val="18"/>
              </w:rPr>
            </w:pPr>
            <w:r>
              <w:rPr>
                <w:rFonts w:ascii="Times New Roman"/>
                <w:sz w:val="18"/>
              </w:rPr>
              <w:t>12.51%</w:t>
            </w:r>
          </w:p>
        </w:tc>
      </w:tr>
      <w:tr>
        <w:trPr>
          <w:trHeight w:val="353"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深圳供电局有限公司</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600,818.03</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7.83%</w:t>
            </w:r>
          </w:p>
        </w:tc>
      </w:tr>
      <w:tr>
        <w:trPr>
          <w:trHeight w:val="350"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上海浦韵商务咨询服务有限公司</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13"/>
              <w:jc w:val="right"/>
              <w:rPr>
                <w:rFonts w:ascii="Times New Roman" w:hAnsi="Times New Roman" w:cs="Times New Roman" w:eastAsia="Times New Roman" w:hint="default"/>
                <w:sz w:val="18"/>
                <w:szCs w:val="18"/>
              </w:rPr>
            </w:pPr>
            <w:r>
              <w:rPr>
                <w:rFonts w:ascii="Times New Roman"/>
                <w:spacing w:val="-1"/>
                <w:sz w:val="18"/>
              </w:rPr>
              <w:t>339,805.83</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4.43%</w:t>
            </w:r>
          </w:p>
        </w:tc>
      </w:tr>
      <w:tr>
        <w:trPr>
          <w:trHeight w:val="353"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深圳市蓝凌软件股份有限公司</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254,188.03</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3.31%</w:t>
            </w:r>
          </w:p>
        </w:tc>
      </w:tr>
      <w:tr>
        <w:trPr>
          <w:trHeight w:val="353" w:hRule="exact"/>
        </w:trPr>
        <w:tc>
          <w:tcPr>
            <w:tcW w:w="33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3,785,549.96</w:t>
            </w:r>
          </w:p>
        </w:tc>
        <w:tc>
          <w:tcPr>
            <w:tcW w:w="183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z w:val="18"/>
              </w:rPr>
              <w:t>49.32%</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5,579,37</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3.84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1,077,73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2.25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4,501,641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4,669,9</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15.35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847,598.2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3,822,317.1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5,579,37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1,077,73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2.25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4,669,9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15.35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847,598.2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3,822,317.1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2,779,056.57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138,952.82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1,765,611.04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176,561.10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50,411.58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368,768.00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280,369.86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280,369.86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5,579,373.84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1,077,732.25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19.32%</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230,858.77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724.72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05" w:space="2324"/>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1,452,767.40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1,743,370.17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2,861,372.90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2,040,678.44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501,306.02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329,003.01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763,927.52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505,563.73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5,579,373.84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4,669,915.35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朔黄铁路发展有限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1,744,608.75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157,014.79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深圳市联泰房地产 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14,580.40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深圳市新华财富资 产管理有限公司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大邑县新场镇人民 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柳州市公共资源交 易服务中心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2,474,216.75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289,495.19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534"/>
        <w:jc w:val="left"/>
      </w:pPr>
      <w:r>
        <w:rPr/>
        <w:t>公司是否需要遵守房地产行业的披露要求 否</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120,623.06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120,623.06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120,623.06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120,623.06</w:t>
            </w:r>
          </w:p>
        </w:tc>
      </w:tr>
    </w:tbl>
    <w:p>
      <w:pPr>
        <w:pStyle w:val="BodyText"/>
        <w:spacing w:line="340"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775"/>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6"/>
        <w:rPr>
          <w:rFonts w:ascii="宋体" w:hAnsi="宋体" w:cs="宋体" w:eastAsia="宋体" w:hint="default"/>
          <w:sz w:val="16"/>
          <w:szCs w:val="1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4"/>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865,275.99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355,993.38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1,804,685.60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1,213,096.66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4,499.88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2,669,961.59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1,573,589.92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2"/>
        <w:gridCol w:w="869"/>
        <w:gridCol w:w="871"/>
      </w:tblGrid>
      <w:tr>
        <w:trPr>
          <w:trHeight w:val="403"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firstLine="91"/>
              <w:jc w:val="left"/>
              <w:rPr>
                <w:rFonts w:ascii="宋体" w:hAnsi="宋体" w:cs="宋体" w:eastAsia="宋体" w:hint="default"/>
                <w:sz w:val="18"/>
                <w:szCs w:val="18"/>
              </w:rPr>
            </w:pPr>
            <w:r>
              <w:rPr>
                <w:rFonts w:ascii="宋体" w:hAnsi="宋体" w:cs="宋体" w:eastAsia="宋体" w:hint="default"/>
                <w:sz w:val="18"/>
                <w:szCs w:val="18"/>
              </w:rPr>
              <w:t>荆门玖 伊园科技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雄安绿研 智库有限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585.44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2,400,585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14,577,690.96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14,577,690.96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14,577,690.96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3,970,429.22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3,970,429.22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551,852.52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551,852.52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551,852.52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551,852.52</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4,522,281.74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4,522,281.74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10,055,409.22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10,055,409.22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10,607,261.74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10,607,261.74</w:t>
            </w:r>
          </w:p>
        </w:tc>
      </w:tr>
    </w:tbl>
    <w:p>
      <w:pPr>
        <w:spacing w:line="240" w:lineRule="auto" w:before="10"/>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49"/>
        <w:ind w:right="7054"/>
        <w:jc w:val="left"/>
      </w:pPr>
      <w:r>
        <w:rPr/>
        <w:t>其他说明 期末用于抵押的投资性房地产明细情况：</w:t>
      </w:r>
    </w:p>
    <w:p>
      <w:pPr>
        <w:spacing w:line="240" w:lineRule="auto" w:before="3"/>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1776"/>
        <w:gridCol w:w="1986"/>
        <w:gridCol w:w="2334"/>
        <w:gridCol w:w="1541"/>
        <w:gridCol w:w="1358"/>
        <w:gridCol w:w="1208"/>
      </w:tblGrid>
      <w:tr>
        <w:trPr>
          <w:trHeight w:val="272" w:hRule="exact"/>
        </w:trPr>
        <w:tc>
          <w:tcPr>
            <w:tcW w:w="1776" w:type="dxa"/>
            <w:tcBorders>
              <w:top w:val="nil" w:sz="6" w:space="0" w:color="auto"/>
              <w:left w:val="nil" w:sz="6" w:space="0" w:color="auto"/>
              <w:bottom w:val="single" w:sz="12" w:space="0" w:color="000000"/>
              <w:right w:val="nil" w:sz="6" w:space="0" w:color="auto"/>
            </w:tcBorders>
          </w:tcPr>
          <w:p>
            <w:pPr>
              <w:pStyle w:val="TableParagraph"/>
              <w:spacing w:line="180" w:lineRule="exact"/>
              <w:ind w:left="22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86" w:type="dxa"/>
            <w:tcBorders>
              <w:top w:val="nil" w:sz="6" w:space="0" w:color="auto"/>
              <w:left w:val="nil" w:sz="6" w:space="0" w:color="auto"/>
              <w:bottom w:val="single" w:sz="12" w:space="0" w:color="000000"/>
              <w:right w:val="nil" w:sz="6" w:space="0" w:color="auto"/>
            </w:tcBorders>
          </w:tcPr>
          <w:p>
            <w:pPr>
              <w:pStyle w:val="TableParagraph"/>
              <w:spacing w:line="194" w:lineRule="exact"/>
              <w:ind w:left="5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建筑面积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334" w:type="dxa"/>
            <w:tcBorders>
              <w:top w:val="nil" w:sz="6" w:space="0" w:color="auto"/>
              <w:left w:val="nil" w:sz="6" w:space="0" w:color="auto"/>
              <w:bottom w:val="single" w:sz="12" w:space="0" w:color="000000"/>
              <w:right w:val="nil" w:sz="6" w:space="0" w:color="auto"/>
            </w:tcBorders>
          </w:tcPr>
          <w:p>
            <w:pPr>
              <w:pStyle w:val="TableParagraph"/>
              <w:spacing w:line="180" w:lineRule="exact"/>
              <w:ind w:left="724" w:right="0"/>
              <w:jc w:val="left"/>
              <w:rPr>
                <w:rFonts w:ascii="宋体" w:hAnsi="宋体" w:cs="宋体" w:eastAsia="宋体" w:hint="default"/>
                <w:sz w:val="18"/>
                <w:szCs w:val="18"/>
              </w:rPr>
            </w:pPr>
            <w:r>
              <w:rPr>
                <w:rFonts w:ascii="宋体" w:hAnsi="宋体" w:cs="宋体" w:eastAsia="宋体" w:hint="default"/>
                <w:sz w:val="18"/>
                <w:szCs w:val="18"/>
              </w:rPr>
              <w:t>产权证编号</w:t>
            </w:r>
          </w:p>
        </w:tc>
        <w:tc>
          <w:tcPr>
            <w:tcW w:w="1541" w:type="dxa"/>
            <w:tcBorders>
              <w:top w:val="nil" w:sz="6" w:space="0" w:color="auto"/>
              <w:left w:val="nil" w:sz="6" w:space="0" w:color="auto"/>
              <w:bottom w:val="single" w:sz="12" w:space="0" w:color="000000"/>
              <w:right w:val="nil" w:sz="6" w:space="0" w:color="auto"/>
            </w:tcBorders>
          </w:tcPr>
          <w:p>
            <w:pPr>
              <w:pStyle w:val="TableParagraph"/>
              <w:spacing w:line="180" w:lineRule="exact"/>
              <w:ind w:right="135"/>
              <w:jc w:val="center"/>
              <w:rPr>
                <w:rFonts w:ascii="宋体" w:hAnsi="宋体" w:cs="宋体" w:eastAsia="宋体" w:hint="default"/>
                <w:sz w:val="18"/>
                <w:szCs w:val="18"/>
              </w:rPr>
            </w:pPr>
            <w:r>
              <w:rPr>
                <w:rFonts w:ascii="宋体" w:hAnsi="宋体" w:cs="宋体" w:eastAsia="宋体" w:hint="default"/>
                <w:sz w:val="18"/>
                <w:szCs w:val="18"/>
              </w:rPr>
              <w:t>原值</w:t>
            </w:r>
          </w:p>
        </w:tc>
        <w:tc>
          <w:tcPr>
            <w:tcW w:w="1358" w:type="dxa"/>
            <w:tcBorders>
              <w:top w:val="nil" w:sz="6" w:space="0" w:color="auto"/>
              <w:left w:val="nil" w:sz="6" w:space="0" w:color="auto"/>
              <w:bottom w:val="single" w:sz="12" w:space="0" w:color="000000"/>
              <w:right w:val="nil" w:sz="6" w:space="0" w:color="auto"/>
            </w:tcBorders>
          </w:tcPr>
          <w:p>
            <w:pPr>
              <w:pStyle w:val="TableParagraph"/>
              <w:spacing w:line="180" w:lineRule="exact"/>
              <w:ind w:left="16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180" w:lineRule="exact"/>
              <w:ind w:left="347" w:right="0"/>
              <w:jc w:val="left"/>
              <w:rPr>
                <w:rFonts w:ascii="宋体" w:hAnsi="宋体" w:cs="宋体" w:eastAsia="宋体" w:hint="default"/>
                <w:sz w:val="18"/>
                <w:szCs w:val="18"/>
              </w:rPr>
            </w:pPr>
            <w:r>
              <w:rPr>
                <w:rFonts w:ascii="宋体" w:hAnsi="宋体" w:cs="宋体" w:eastAsia="宋体" w:hint="default"/>
                <w:sz w:val="18"/>
                <w:szCs w:val="18"/>
              </w:rPr>
              <w:t>净值</w:t>
            </w:r>
          </w:p>
        </w:tc>
      </w:tr>
      <w:tr>
        <w:trPr>
          <w:trHeight w:val="353" w:hRule="exact"/>
        </w:trPr>
        <w:tc>
          <w:tcPr>
            <w:tcW w:w="17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建科大楼</w:t>
            </w:r>
          </w:p>
        </w:tc>
        <w:tc>
          <w:tcPr>
            <w:tcW w:w="198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1,926.38</w:t>
            </w:r>
          </w:p>
        </w:tc>
        <w:tc>
          <w:tcPr>
            <w:tcW w:w="2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Times New Roman" w:hAnsi="Times New Roman" w:cs="Times New Roman" w:eastAsia="Times New Roman" w:hint="default"/>
                <w:sz w:val="18"/>
                <w:szCs w:val="18"/>
              </w:rPr>
              <w:t>3000749885</w:t>
            </w:r>
            <w:r>
              <w:rPr>
                <w:rFonts w:ascii="宋体" w:hAnsi="宋体" w:cs="宋体" w:eastAsia="宋体" w:hint="default"/>
                <w:sz w:val="18"/>
                <w:szCs w:val="18"/>
              </w:rPr>
              <w:t>号</w:t>
            </w:r>
          </w:p>
        </w:tc>
        <w:tc>
          <w:tcPr>
            <w:tcW w:w="15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41" w:right="0"/>
              <w:jc w:val="left"/>
              <w:rPr>
                <w:rFonts w:ascii="Times New Roman" w:hAnsi="Times New Roman" w:cs="Times New Roman" w:eastAsia="Times New Roman" w:hint="default"/>
                <w:sz w:val="18"/>
                <w:szCs w:val="18"/>
              </w:rPr>
            </w:pPr>
            <w:r>
              <w:rPr>
                <w:rFonts w:ascii="Times New Roman"/>
                <w:sz w:val="18"/>
              </w:rPr>
              <w:t>14,577,690.96</w:t>
            </w:r>
          </w:p>
        </w:tc>
        <w:tc>
          <w:tcPr>
            <w:tcW w:w="13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48" w:right="0"/>
              <w:jc w:val="left"/>
              <w:rPr>
                <w:rFonts w:ascii="Times New Roman" w:hAnsi="Times New Roman" w:cs="Times New Roman" w:eastAsia="Times New Roman" w:hint="default"/>
                <w:sz w:val="18"/>
                <w:szCs w:val="18"/>
              </w:rPr>
            </w:pPr>
            <w:r>
              <w:rPr>
                <w:rFonts w:ascii="Times New Roman"/>
                <w:sz w:val="18"/>
              </w:rPr>
              <w:t>4,522,281.74</w:t>
            </w:r>
          </w:p>
        </w:tc>
        <w:tc>
          <w:tcPr>
            <w:tcW w:w="12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10,055,409.22</w:t>
            </w:r>
          </w:p>
        </w:tc>
      </w:tr>
    </w:tbl>
    <w:p>
      <w:pPr>
        <w:pStyle w:val="BodyText"/>
        <w:spacing w:line="240" w:lineRule="auto" w:before="8"/>
        <w:ind w:right="0"/>
        <w:jc w:val="left"/>
      </w:pPr>
      <w:r>
        <w:rPr/>
        <w:t>说明：上述投资性房地产抵押用于取得短期借款，详见</w:t>
      </w:r>
      <w:r>
        <w:rPr>
          <w:spacing w:val="-24"/>
        </w:rPr>
        <w:t> </w:t>
      </w:r>
      <w:r>
        <w:rPr/>
        <w:t>合并财务报表项目注释</w:t>
      </w:r>
      <w:r>
        <w:rPr>
          <w:rFonts w:ascii="Times New Roman" w:hAnsi="Times New Roman" w:cs="Times New Roman" w:eastAsia="Times New Roman" w:hint="default"/>
        </w:rPr>
        <w:t>"16.</w:t>
      </w:r>
      <w:r>
        <w:rPr/>
        <w:t>短期借款</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77,081,166.22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299,145.30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39,103,177.30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22,465,115.57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139,928,604.39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4,657,782.54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5,867,948.72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4,945,681.43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2,739,355.32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18,210,768.01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5,867,948.72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4,945,681.43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2,739,355.32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13,552,985.47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4,657,782.54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4,657,782.54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816,888.50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1,488,173.50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816,888.50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1,488,173.50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4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81,738,948.76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6,167,094.02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43,377,573.73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24,387,582.39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156,651,198.90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21,069,126.96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588,000.24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26,863,707.08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18,809,929.85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67,335,749.89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3,057,366.38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76,022.80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4,414,684.41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1,769,273.84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9,415,347.47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3,057,366.38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4,414,684.41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1,769,273.84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9,415,347.47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806,513.35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1,477,798.35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671,285.00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806,513.35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1,477,798.35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24,126,493.34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81,008.56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686,000.28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30,607,106.49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19,772,690.34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75,273,299.01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57,612,455.42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6,086,085.46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293,999.72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11,441,345.23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5,944,014.06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81,377,899.89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56,012,039.26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294,159.54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391,999.76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10,910,348.21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4,984,307.73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72,592,854.50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0"/>
        <w:ind w:right="7414"/>
        <w:jc w:val="left"/>
      </w:pPr>
      <w:r>
        <w:rPr/>
        <w:t>其他说明 期末用于抵押的固定资产明细情况：</w:t>
      </w:r>
    </w:p>
    <w:p>
      <w:pPr>
        <w:spacing w:line="240" w:lineRule="auto" w:before="1"/>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1977"/>
        <w:gridCol w:w="1785"/>
        <w:gridCol w:w="2334"/>
        <w:gridCol w:w="1539"/>
        <w:gridCol w:w="1360"/>
        <w:gridCol w:w="1208"/>
      </w:tblGrid>
      <w:tr>
        <w:trPr>
          <w:trHeight w:val="272" w:hRule="exact"/>
        </w:trPr>
        <w:tc>
          <w:tcPr>
            <w:tcW w:w="1977" w:type="dxa"/>
            <w:tcBorders>
              <w:top w:val="nil" w:sz="6" w:space="0" w:color="auto"/>
              <w:left w:val="nil" w:sz="6" w:space="0" w:color="auto"/>
              <w:bottom w:val="single" w:sz="12" w:space="0" w:color="000000"/>
              <w:right w:val="nil" w:sz="6" w:space="0" w:color="auto"/>
            </w:tcBorders>
          </w:tcPr>
          <w:p>
            <w:pPr>
              <w:pStyle w:val="TableParagraph"/>
              <w:spacing w:line="180" w:lineRule="exact"/>
              <w:ind w:left="10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785" w:type="dxa"/>
            <w:tcBorders>
              <w:top w:val="nil" w:sz="6" w:space="0" w:color="auto"/>
              <w:left w:val="nil" w:sz="6" w:space="0" w:color="auto"/>
              <w:bottom w:val="single" w:sz="12" w:space="0" w:color="000000"/>
              <w:right w:val="nil" w:sz="6" w:space="0" w:color="auto"/>
            </w:tcBorders>
          </w:tcPr>
          <w:p>
            <w:pPr>
              <w:pStyle w:val="TableParagraph"/>
              <w:spacing w:line="194" w:lineRule="exact"/>
              <w:ind w:left="5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建筑面积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334" w:type="dxa"/>
            <w:tcBorders>
              <w:top w:val="nil" w:sz="6" w:space="0" w:color="auto"/>
              <w:left w:val="nil" w:sz="6" w:space="0" w:color="auto"/>
              <w:bottom w:val="single" w:sz="12" w:space="0" w:color="000000"/>
              <w:right w:val="nil" w:sz="6" w:space="0" w:color="auto"/>
            </w:tcBorders>
          </w:tcPr>
          <w:p>
            <w:pPr>
              <w:pStyle w:val="TableParagraph"/>
              <w:spacing w:line="180" w:lineRule="exact"/>
              <w:ind w:left="724" w:right="0"/>
              <w:jc w:val="left"/>
              <w:rPr>
                <w:rFonts w:ascii="宋体" w:hAnsi="宋体" w:cs="宋体" w:eastAsia="宋体" w:hint="default"/>
                <w:sz w:val="18"/>
                <w:szCs w:val="18"/>
              </w:rPr>
            </w:pPr>
            <w:r>
              <w:rPr>
                <w:rFonts w:ascii="宋体" w:hAnsi="宋体" w:cs="宋体" w:eastAsia="宋体" w:hint="default"/>
                <w:sz w:val="18"/>
                <w:szCs w:val="18"/>
              </w:rPr>
              <w:t>产权证编号</w:t>
            </w:r>
          </w:p>
        </w:tc>
        <w:tc>
          <w:tcPr>
            <w:tcW w:w="1539" w:type="dxa"/>
            <w:tcBorders>
              <w:top w:val="nil" w:sz="6" w:space="0" w:color="auto"/>
              <w:left w:val="nil" w:sz="6" w:space="0" w:color="auto"/>
              <w:bottom w:val="single" w:sz="12" w:space="0" w:color="000000"/>
              <w:right w:val="nil" w:sz="6" w:space="0" w:color="auto"/>
            </w:tcBorders>
          </w:tcPr>
          <w:p>
            <w:pPr>
              <w:pStyle w:val="TableParagraph"/>
              <w:spacing w:line="180" w:lineRule="exact"/>
              <w:ind w:right="132"/>
              <w:jc w:val="center"/>
              <w:rPr>
                <w:rFonts w:ascii="宋体" w:hAnsi="宋体" w:cs="宋体" w:eastAsia="宋体" w:hint="default"/>
                <w:sz w:val="18"/>
                <w:szCs w:val="18"/>
              </w:rPr>
            </w:pPr>
            <w:r>
              <w:rPr>
                <w:rFonts w:ascii="宋体" w:hAnsi="宋体" w:cs="宋体" w:eastAsia="宋体" w:hint="default"/>
                <w:sz w:val="18"/>
                <w:szCs w:val="18"/>
              </w:rPr>
              <w:t>原值</w:t>
            </w:r>
          </w:p>
        </w:tc>
        <w:tc>
          <w:tcPr>
            <w:tcW w:w="1360" w:type="dxa"/>
            <w:tcBorders>
              <w:top w:val="nil" w:sz="6" w:space="0" w:color="auto"/>
              <w:left w:val="nil" w:sz="6" w:space="0" w:color="auto"/>
              <w:bottom w:val="single" w:sz="12" w:space="0" w:color="000000"/>
              <w:right w:val="nil" w:sz="6" w:space="0" w:color="auto"/>
            </w:tcBorders>
          </w:tcPr>
          <w:p>
            <w:pPr>
              <w:pStyle w:val="TableParagraph"/>
              <w:spacing w:line="180" w:lineRule="exact"/>
              <w:ind w:left="16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180" w:lineRule="exact"/>
              <w:ind w:left="348" w:right="0"/>
              <w:jc w:val="left"/>
              <w:rPr>
                <w:rFonts w:ascii="宋体" w:hAnsi="宋体" w:cs="宋体" w:eastAsia="宋体" w:hint="default"/>
                <w:sz w:val="18"/>
                <w:szCs w:val="18"/>
              </w:rPr>
            </w:pPr>
            <w:r>
              <w:rPr>
                <w:rFonts w:ascii="宋体" w:hAnsi="宋体" w:cs="宋体" w:eastAsia="宋体" w:hint="default"/>
                <w:sz w:val="18"/>
                <w:szCs w:val="18"/>
              </w:rPr>
              <w:t>净值</w:t>
            </w:r>
          </w:p>
        </w:tc>
      </w:tr>
      <w:tr>
        <w:trPr>
          <w:trHeight w:val="353" w:hRule="exact"/>
        </w:trPr>
        <w:tc>
          <w:tcPr>
            <w:tcW w:w="19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建科大楼</w:t>
            </w:r>
          </w:p>
        </w:tc>
        <w:tc>
          <w:tcPr>
            <w:tcW w:w="17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055" w:right="0"/>
              <w:jc w:val="left"/>
              <w:rPr>
                <w:rFonts w:ascii="Times New Roman" w:hAnsi="Times New Roman" w:cs="Times New Roman" w:eastAsia="Times New Roman" w:hint="default"/>
                <w:sz w:val="18"/>
                <w:szCs w:val="18"/>
              </w:rPr>
            </w:pPr>
            <w:r>
              <w:rPr>
                <w:rFonts w:ascii="Times New Roman"/>
                <w:sz w:val="18"/>
              </w:rPr>
              <w:t>10,223.11</w:t>
            </w:r>
          </w:p>
        </w:tc>
        <w:tc>
          <w:tcPr>
            <w:tcW w:w="23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深房地字第</w:t>
            </w:r>
            <w:r>
              <w:rPr>
                <w:rFonts w:ascii="Times New Roman" w:hAnsi="Times New Roman" w:cs="Times New Roman" w:eastAsia="Times New Roman" w:hint="default"/>
                <w:sz w:val="18"/>
                <w:szCs w:val="18"/>
              </w:rPr>
              <w:t>3000749885</w:t>
            </w:r>
            <w:r>
              <w:rPr>
                <w:rFonts w:ascii="宋体" w:hAnsi="宋体" w:cs="宋体" w:eastAsia="宋体" w:hint="default"/>
                <w:sz w:val="18"/>
                <w:szCs w:val="18"/>
              </w:rPr>
              <w:t>号</w:t>
            </w:r>
          </w:p>
        </w:tc>
        <w:tc>
          <w:tcPr>
            <w:tcW w:w="15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341" w:right="0"/>
              <w:jc w:val="left"/>
              <w:rPr>
                <w:rFonts w:ascii="Times New Roman" w:hAnsi="Times New Roman" w:cs="Times New Roman" w:eastAsia="Times New Roman" w:hint="default"/>
                <w:sz w:val="18"/>
                <w:szCs w:val="18"/>
              </w:rPr>
            </w:pPr>
            <w:r>
              <w:rPr>
                <w:rFonts w:ascii="Times New Roman"/>
                <w:sz w:val="18"/>
              </w:rPr>
              <w:t>77,081,166.22</w:t>
            </w:r>
          </w:p>
        </w:tc>
        <w:tc>
          <w:tcPr>
            <w:tcW w:w="13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62" w:right="0"/>
              <w:jc w:val="left"/>
              <w:rPr>
                <w:rFonts w:ascii="Times New Roman" w:hAnsi="Times New Roman" w:cs="Times New Roman" w:eastAsia="Times New Roman" w:hint="default"/>
                <w:sz w:val="18"/>
                <w:szCs w:val="18"/>
              </w:rPr>
            </w:pPr>
            <w:r>
              <w:rPr>
                <w:rFonts w:ascii="Times New Roman"/>
                <w:sz w:val="18"/>
              </w:rPr>
              <w:t>23,988,441.84</w:t>
            </w:r>
          </w:p>
        </w:tc>
        <w:tc>
          <w:tcPr>
            <w:tcW w:w="120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63" w:right="0"/>
              <w:jc w:val="left"/>
              <w:rPr>
                <w:rFonts w:ascii="Times New Roman" w:hAnsi="Times New Roman" w:cs="Times New Roman" w:eastAsia="Times New Roman" w:hint="default"/>
                <w:sz w:val="18"/>
                <w:szCs w:val="18"/>
              </w:rPr>
            </w:pPr>
            <w:r>
              <w:rPr>
                <w:rFonts w:ascii="Times New Roman"/>
                <w:sz w:val="18"/>
              </w:rPr>
              <w:t>53,092,724.38</w:t>
            </w:r>
          </w:p>
        </w:tc>
      </w:tr>
    </w:tbl>
    <w:p>
      <w:pPr>
        <w:pStyle w:val="BodyText"/>
        <w:spacing w:line="240" w:lineRule="auto" w:before="8"/>
        <w:ind w:right="0"/>
        <w:jc w:val="left"/>
      </w:pPr>
      <w:r>
        <w:rPr/>
        <w:t>说明：上述固定资产抵押用于取得短期借款，详见</w:t>
      </w:r>
      <w:r>
        <w:rPr>
          <w:spacing w:val="-20"/>
        </w:rPr>
        <w:t> </w:t>
      </w:r>
      <w:r>
        <w:rPr/>
        <w:t>合并财务报表项目注释</w:t>
      </w:r>
      <w:r>
        <w:rPr>
          <w:rFonts w:ascii="Times New Roman" w:hAnsi="Times New Roman" w:cs="Times New Roman" w:eastAsia="Times New Roman" w:hint="default"/>
        </w:rPr>
        <w:t>"16.</w:t>
      </w:r>
      <w:r>
        <w:rPr/>
        <w:t>短期借款</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firstLine="91"/>
              <w:jc w:val="left"/>
              <w:rPr>
                <w:rFonts w:ascii="宋体" w:hAnsi="宋体" w:cs="宋体" w:eastAsia="宋体" w:hint="default"/>
                <w:sz w:val="18"/>
                <w:szCs w:val="18"/>
              </w:rPr>
            </w:pPr>
            <w:r>
              <w:rPr>
                <w:rFonts w:ascii="宋体" w:hAnsi="宋体" w:cs="宋体" w:eastAsia="宋体" w:hint="default"/>
                <w:sz w:val="18"/>
                <w:szCs w:val="18"/>
              </w:rPr>
              <w:t>中美低碳建筑 与社区创新实验 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33,803,802.75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33,803,802.75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20,827,502.96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20,827,502.96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33,803,802.75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33,803,802.75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20,827,502.96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20,827,502.96</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67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65" w:firstLine="91"/>
              <w:jc w:val="left"/>
              <w:rPr>
                <w:rFonts w:ascii="宋体" w:hAnsi="宋体" w:cs="宋体" w:eastAsia="宋体" w:hint="default"/>
                <w:sz w:val="18"/>
                <w:szCs w:val="18"/>
              </w:rPr>
            </w:pPr>
            <w:r>
              <w:rPr>
                <w:rFonts w:ascii="宋体" w:hAnsi="宋体" w:cs="宋体" w:eastAsia="宋体" w:hint="default"/>
                <w:sz w:val="18"/>
                <w:szCs w:val="18"/>
              </w:rPr>
              <w:t>中美低 碳建筑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479,484,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20,827,5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17,634,0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4,657,78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33,803,8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1,338,20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1,076,58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4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9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6"/>
              <w:jc w:val="both"/>
              <w:rPr>
                <w:rFonts w:ascii="宋体" w:hAnsi="宋体" w:cs="宋体" w:eastAsia="宋体" w:hint="default"/>
                <w:sz w:val="18"/>
                <w:szCs w:val="18"/>
              </w:rPr>
            </w:pPr>
            <w:r>
              <w:rPr>
                <w:rFonts w:ascii="宋体" w:hAnsi="宋体" w:cs="宋体" w:eastAsia="宋体" w:hint="default"/>
                <w:sz w:val="18"/>
                <w:szCs w:val="18"/>
              </w:rPr>
              <w:t>与社区 创新实 验中心</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479,484,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20,827,5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17,634,0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4,657,78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33,803,8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1,338,20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1,076,58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21.34%</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 </w:t>
      </w:r>
      <w:r>
        <w:rPr/>
        <w:t>号</w:t>
      </w:r>
      <w:r>
        <w:rPr>
          <w:rFonts w:ascii="Times New Roman" w:hAnsi="Times New Roman" w:cs="Times New Roman" w:eastAsia="Times New Roman" w:hint="default"/>
        </w:rPr>
        <w:t>——</w:t>
      </w:r>
      <w:r>
        <w:rPr/>
        <w:t>上市公司从事互联网游戏业务》的披露要求</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85,511,997.00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15,352,508.87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101,084,430.87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5,479,542.44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5,479,542.44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4,641,922.94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4,641,922.93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837,619.50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837,619.51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85,511,997.00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20,832,051.31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106,563,973.31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5,011,045.77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11,630,352.57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16,861,323.34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2,740,247.44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2,814,976.85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5,555,224.29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2,740,247.44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2,814,976.85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5,555,224.29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7,751,293.21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14,445,329.42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22,416,547.63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77,760,703.79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6,386,721.89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84,147,425.68</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80,500,950.23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3,722,157.30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84,223,107.53</w:t>
            </w:r>
          </w:p>
        </w:tc>
      </w:tr>
    </w:tbl>
    <w:p>
      <w:pPr>
        <w:pStyle w:val="BodyText"/>
        <w:spacing w:line="240" w:lineRule="auto" w:before="49"/>
        <w:ind w:right="0"/>
        <w:jc w:val="left"/>
      </w:pPr>
      <w:r>
        <w:rPr/>
        <w:t>本期末通过公司内部研发形成的无形资产占无形资产余额的比例</w:t>
      </w:r>
      <w:r>
        <w:rPr>
          <w:spacing w:val="-44"/>
        </w:rPr>
        <w:t> </w:t>
      </w:r>
      <w:r>
        <w:rPr>
          <w:rFonts w:ascii="Times New Roman" w:hAnsi="Times New Roman" w:cs="Times New Roman" w:eastAsia="Times New Roman" w:hint="default"/>
        </w:rPr>
        <w:t>1.00%</w:t>
      </w:r>
      <w:r>
        <w:rPr/>
        <w:t>。</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6894"/>
        <w:jc w:val="left"/>
      </w:pPr>
      <w:r>
        <w:rPr/>
        <w:t>其他说明： 期末用于抵押的无形资产明细情况：</w:t>
      </w:r>
    </w:p>
    <w:tbl>
      <w:tblPr>
        <w:tblW w:w="0" w:type="auto"/>
        <w:jc w:val="left"/>
        <w:tblInd w:w="712" w:type="dxa"/>
        <w:tblLayout w:type="fixed"/>
        <w:tblCellMar>
          <w:top w:w="0" w:type="dxa"/>
          <w:left w:w="0" w:type="dxa"/>
          <w:bottom w:w="0" w:type="dxa"/>
          <w:right w:w="0" w:type="dxa"/>
        </w:tblCellMar>
        <w:tblLook w:val="01E0"/>
      </w:tblPr>
      <w:tblGrid>
        <w:gridCol w:w="1277"/>
        <w:gridCol w:w="1258"/>
        <w:gridCol w:w="1435"/>
        <w:gridCol w:w="1323"/>
        <w:gridCol w:w="1325"/>
        <w:gridCol w:w="1323"/>
      </w:tblGrid>
      <w:tr>
        <w:trPr>
          <w:trHeight w:val="355" w:hRule="exact"/>
        </w:trPr>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宗地面积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435" w:type="dxa"/>
            <w:tcBorders>
              <w:top w:val="single" w:sz="6" w:space="0" w:color="000000"/>
              <w:left w:val="single" w:sz="6" w:space="0" w:color="000000"/>
              <w:bottom w:val="single" w:sz="12" w:space="0" w:color="000000"/>
              <w:right w:val="single" w:sz="6" w:space="0" w:color="000000"/>
            </w:tcBorders>
          </w:tcPr>
          <w:p>
            <w:pPr>
              <w:pStyle w:val="TableParagraph"/>
              <w:spacing w:line="233" w:lineRule="exact"/>
              <w:ind w:left="261" w:right="0"/>
              <w:jc w:val="left"/>
              <w:rPr>
                <w:rFonts w:ascii="宋体" w:hAnsi="宋体" w:cs="宋体" w:eastAsia="宋体" w:hint="default"/>
                <w:sz w:val="18"/>
                <w:szCs w:val="18"/>
              </w:rPr>
            </w:pPr>
            <w:r>
              <w:rPr>
                <w:rFonts w:ascii="宋体" w:hAnsi="宋体" w:cs="宋体" w:eastAsia="宋体" w:hint="default"/>
                <w:sz w:val="18"/>
                <w:szCs w:val="18"/>
              </w:rPr>
              <w:t>产权证编号</w:t>
            </w:r>
          </w:p>
        </w:tc>
        <w:tc>
          <w:tcPr>
            <w:tcW w:w="1323" w:type="dxa"/>
            <w:tcBorders>
              <w:top w:val="single" w:sz="6" w:space="0" w:color="000000"/>
              <w:left w:val="single" w:sz="6" w:space="0" w:color="000000"/>
              <w:bottom w:val="single" w:sz="12" w:space="0" w:color="000000"/>
              <w:right w:val="single" w:sz="6" w:space="0" w:color="000000"/>
            </w:tcBorders>
          </w:tcPr>
          <w:p>
            <w:pPr>
              <w:pStyle w:val="TableParagraph"/>
              <w:spacing w:line="233" w:lineRule="exact"/>
              <w:ind w:left="2"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33" w:lineRule="exact"/>
              <w:ind w:left="295"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323" w:type="dxa"/>
            <w:tcBorders>
              <w:top w:val="single" w:sz="6" w:space="0" w:color="000000"/>
              <w:left w:val="single" w:sz="6" w:space="0" w:color="000000"/>
              <w:bottom w:val="single" w:sz="12" w:space="0" w:color="000000"/>
              <w:right w:val="nil" w:sz="6" w:space="0" w:color="auto"/>
            </w:tcBorders>
          </w:tcPr>
          <w:p>
            <w:pPr>
              <w:pStyle w:val="TableParagraph"/>
              <w:spacing w:line="233" w:lineRule="exact"/>
              <w:ind w:right="6"/>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665" w:hRule="exact"/>
        </w:trPr>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24" w:lineRule="exact"/>
              <w:ind w:left="4" w:right="0"/>
              <w:jc w:val="left"/>
              <w:rPr>
                <w:rFonts w:ascii="宋体" w:hAnsi="宋体" w:cs="宋体" w:eastAsia="宋体" w:hint="default"/>
                <w:sz w:val="18"/>
                <w:szCs w:val="18"/>
              </w:rPr>
            </w:pPr>
            <w:r>
              <w:rPr>
                <w:rFonts w:ascii="宋体" w:hAnsi="宋体" w:cs="宋体" w:eastAsia="宋体" w:hint="default"/>
                <w:sz w:val="18"/>
                <w:szCs w:val="18"/>
              </w:rPr>
              <w:t>建科大楼土地</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2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611" w:right="0"/>
              <w:jc w:val="left"/>
              <w:rPr>
                <w:rFonts w:ascii="Times New Roman" w:hAnsi="Times New Roman" w:cs="Times New Roman" w:eastAsia="Times New Roman" w:hint="default"/>
                <w:sz w:val="18"/>
                <w:szCs w:val="18"/>
              </w:rPr>
            </w:pPr>
            <w:r>
              <w:rPr>
                <w:rFonts w:ascii="Times New Roman"/>
                <w:sz w:val="18"/>
              </w:rPr>
              <w:t>2,999.96</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24" w:lineRule="exact"/>
              <w:ind w:left="4" w:right="0"/>
              <w:jc w:val="left"/>
              <w:rPr>
                <w:rFonts w:ascii="宋体" w:hAnsi="宋体" w:cs="宋体" w:eastAsia="宋体" w:hint="default"/>
                <w:sz w:val="18"/>
                <w:szCs w:val="18"/>
              </w:rPr>
            </w:pPr>
            <w:r>
              <w:rPr>
                <w:rFonts w:ascii="宋体" w:hAnsi="宋体" w:cs="宋体" w:eastAsia="宋体" w:hint="default"/>
                <w:sz w:val="18"/>
                <w:szCs w:val="18"/>
              </w:rPr>
              <w:t>深房地字第</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3000749885</w:t>
            </w:r>
            <w:r>
              <w:rPr>
                <w:rFonts w:ascii="宋体" w:hAnsi="宋体" w:cs="宋体" w:eastAsia="宋体" w:hint="default"/>
                <w:sz w:val="18"/>
                <w:szCs w:val="18"/>
              </w:rPr>
              <w:t>号</w:t>
            </w:r>
          </w:p>
        </w:tc>
        <w:tc>
          <w:tcPr>
            <w:tcW w:w="13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273" w:right="0"/>
              <w:jc w:val="left"/>
              <w:rPr>
                <w:rFonts w:ascii="Times New Roman" w:hAnsi="Times New Roman" w:cs="Times New Roman" w:eastAsia="Times New Roman" w:hint="default"/>
                <w:sz w:val="18"/>
                <w:szCs w:val="18"/>
              </w:rPr>
            </w:pPr>
            <w:r>
              <w:rPr>
                <w:rFonts w:ascii="Times New Roman"/>
                <w:sz w:val="18"/>
              </w:rPr>
              <w:t>16,501,997.09</w:t>
            </w:r>
          </w:p>
        </w:tc>
        <w:tc>
          <w:tcPr>
            <w:tcW w:w="13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0"/>
              <w:ind w:left="360" w:right="0"/>
              <w:jc w:val="left"/>
              <w:rPr>
                <w:rFonts w:ascii="Times New Roman" w:hAnsi="Times New Roman" w:cs="Times New Roman" w:eastAsia="Times New Roman" w:hint="default"/>
                <w:sz w:val="18"/>
                <w:szCs w:val="18"/>
              </w:rPr>
            </w:pPr>
            <w:r>
              <w:rPr>
                <w:rFonts w:ascii="Times New Roman"/>
                <w:sz w:val="18"/>
              </w:rPr>
              <w:t>3,254,890.97</w:t>
            </w:r>
          </w:p>
        </w:tc>
        <w:tc>
          <w:tcPr>
            <w:tcW w:w="13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0"/>
              <w:ind w:left="268" w:right="0"/>
              <w:jc w:val="left"/>
              <w:rPr>
                <w:rFonts w:ascii="Times New Roman" w:hAnsi="Times New Roman" w:cs="Times New Roman" w:eastAsia="Times New Roman" w:hint="default"/>
                <w:sz w:val="18"/>
                <w:szCs w:val="18"/>
              </w:rPr>
            </w:pPr>
            <w:r>
              <w:rPr>
                <w:rFonts w:ascii="Times New Roman"/>
                <w:sz w:val="18"/>
              </w:rPr>
              <w:t>13,247,106.03</w:t>
            </w:r>
          </w:p>
        </w:tc>
      </w:tr>
    </w:tbl>
    <w:p>
      <w:pPr>
        <w:pStyle w:val="BodyText"/>
        <w:spacing w:line="237" w:lineRule="exact"/>
        <w:ind w:right="0"/>
        <w:jc w:val="left"/>
      </w:pPr>
      <w:r>
        <w:rPr/>
        <w:t>说明：上述无形资产抵押用于取得短期借款，详见</w:t>
      </w:r>
      <w:r>
        <w:rPr>
          <w:spacing w:val="-20"/>
        </w:rPr>
        <w:t> </w:t>
      </w:r>
      <w:r>
        <w:rPr/>
        <w:t>合并财务报表项目注释</w:t>
      </w:r>
      <w:r>
        <w:rPr>
          <w:rFonts w:ascii="Times New Roman" w:hAnsi="Times New Roman" w:cs="Times New Roman" w:eastAsia="Times New Roman" w:hint="default"/>
        </w:rPr>
        <w:t>"16.</w:t>
      </w:r>
      <w:r>
        <w:rPr/>
        <w:t>短期借款</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系统权限重 构</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73,020.60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73,020.60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财务管理模 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159,200.38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159,200.38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科研项目管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105,151.61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105,151.61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36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项目运营管 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2,287,571.48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2,287,571.48</w:t>
            </w: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67"/>
              <w:jc w:val="left"/>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系统框架及 性能优化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332,444.13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332,444.13</w:t>
            </w:r>
          </w:p>
        </w:tc>
      </w:tr>
      <w:tr>
        <w:trPr>
          <w:trHeight w:val="1337"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49"/>
              <w:ind w:left="22" w:right="67"/>
              <w:jc w:val="both"/>
              <w:rPr>
                <w:rFonts w:ascii="宋体" w:hAnsi="宋体" w:cs="宋体" w:eastAsia="宋体" w:hint="default"/>
                <w:sz w:val="18"/>
                <w:szCs w:val="18"/>
              </w:rPr>
            </w:pPr>
            <w:r>
              <w:rPr>
                <w:rFonts w:ascii="宋体" w:hAnsi="宋体" w:cs="宋体" w:eastAsia="宋体" w:hint="default"/>
                <w:sz w:val="18"/>
                <w:szCs w:val="18"/>
              </w:rPr>
              <w:t>线上运营平 台及乐活系 统建设项目</w:t>
            </w:r>
            <w:r>
              <w:rPr>
                <w:rFonts w:ascii="Times New Roman" w:hAnsi="Times New Roman" w:cs="Times New Roman" w:eastAsia="Times New Roman" w:hint="default"/>
                <w:sz w:val="18"/>
                <w:szCs w:val="18"/>
              </w:rPr>
              <w:t>- </w:t>
            </w:r>
            <w:r>
              <w:rPr>
                <w:rFonts w:ascii="宋体" w:hAnsi="宋体" w:cs="宋体" w:eastAsia="宋体" w:hint="default"/>
                <w:sz w:val="18"/>
                <w:szCs w:val="18"/>
              </w:rPr>
              <w:t>流程移动化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78,874.06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78,874.06</w:t>
            </w: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both"/>
              <w:rPr>
                <w:rFonts w:ascii="宋体" w:hAnsi="宋体" w:cs="宋体" w:eastAsia="宋体" w:hint="default"/>
                <w:sz w:val="18"/>
                <w:szCs w:val="18"/>
              </w:rPr>
            </w:pPr>
            <w:r>
              <w:rPr>
                <w:rFonts w:ascii="宋体" w:hAnsi="宋体" w:cs="宋体" w:eastAsia="宋体" w:hint="default"/>
                <w:sz w:val="18"/>
                <w:szCs w:val="18"/>
              </w:rPr>
              <w:t>室内装饰装 修污染预测 与控制工具</w:t>
            </w:r>
          </w:p>
          <w:p>
            <w:pPr>
              <w:pStyle w:val="TableParagraph"/>
              <w:spacing w:line="362" w:lineRule="auto" w:before="61"/>
              <w:ind w:left="22" w:right="3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IndoorPAC</w:t>
            </w:r>
            <w:r>
              <w:rPr>
                <w:rFonts w:ascii="Times New Roman" w:hAnsi="Times New Roman" w:cs="Times New Roman" w:eastAsia="Times New Roman" w:hint="default"/>
                <w:sz w:val="18"/>
                <w:szCs w:val="18"/>
              </w:rPr>
              <w:t> 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373,047.00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373,047.00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健康之眼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127,199.91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127,199.91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28" w:lineRule="auto" w:before="49"/>
              <w:ind w:left="22"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室内环境监 测系统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My Air</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219,340.46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219,340.46</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3,755,849.63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837,619.50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2,918,230.13</w:t>
            </w:r>
          </w:p>
        </w:tc>
      </w:tr>
    </w:tbl>
    <w:p>
      <w:pPr>
        <w:pStyle w:val="BodyText"/>
        <w:spacing w:line="240" w:lineRule="auto" w:before="49"/>
        <w:ind w:right="0"/>
        <w:jc w:val="left"/>
      </w:pPr>
      <w:r>
        <w:rPr/>
        <w:pict>
          <v:shape style="position:absolute;margin-left:55.919998pt;margin-top:23.347357pt;width:542.9pt;height:246.8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57"/>
                    <w:gridCol w:w="2629"/>
                    <w:gridCol w:w="2921"/>
                    <w:gridCol w:w="750"/>
                  </w:tblGrid>
                  <w:tr>
                    <w:trPr>
                      <w:trHeight w:val="272" w:hRule="exact"/>
                    </w:trPr>
                    <w:tc>
                      <w:tcPr>
                        <w:tcW w:w="4557" w:type="dxa"/>
                        <w:tcBorders>
                          <w:top w:val="nil" w:sz="6" w:space="0" w:color="auto"/>
                          <w:left w:val="nil" w:sz="6" w:space="0" w:color="auto"/>
                          <w:bottom w:val="single" w:sz="12" w:space="0" w:color="000000"/>
                          <w:right w:val="nil" w:sz="6" w:space="0" w:color="auto"/>
                        </w:tcBorders>
                      </w:tcPr>
                      <w:p>
                        <w:pPr>
                          <w:pStyle w:val="TableParagraph"/>
                          <w:spacing w:line="180" w:lineRule="exact"/>
                          <w:ind w:left="15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9" w:type="dxa"/>
                        <w:tcBorders>
                          <w:top w:val="nil" w:sz="6" w:space="0" w:color="auto"/>
                          <w:left w:val="nil" w:sz="6" w:space="0" w:color="auto"/>
                          <w:bottom w:val="single" w:sz="12" w:space="0" w:color="000000"/>
                          <w:right w:val="nil" w:sz="6" w:space="0" w:color="auto"/>
                        </w:tcBorders>
                      </w:tcPr>
                      <w:p>
                        <w:pPr>
                          <w:pStyle w:val="TableParagraph"/>
                          <w:spacing w:line="180" w:lineRule="exact"/>
                          <w:ind w:left="819"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2921" w:type="dxa"/>
                        <w:tcBorders>
                          <w:top w:val="nil" w:sz="6" w:space="0" w:color="auto"/>
                          <w:left w:val="nil" w:sz="6" w:space="0" w:color="auto"/>
                          <w:bottom w:val="single" w:sz="12" w:space="0" w:color="000000"/>
                          <w:right w:val="nil" w:sz="6" w:space="0" w:color="auto"/>
                        </w:tcBorders>
                      </w:tcPr>
                      <w:p>
                        <w:pPr>
                          <w:pStyle w:val="TableParagraph"/>
                          <w:spacing w:line="180" w:lineRule="exact"/>
                          <w:ind w:left="1090"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c>
                      <w:tcPr>
                        <w:tcW w:w="750" w:type="dxa"/>
                        <w:tcBorders>
                          <w:top w:val="nil" w:sz="6" w:space="0" w:color="auto"/>
                          <w:left w:val="nil" w:sz="6" w:space="0" w:color="auto"/>
                          <w:bottom w:val="single" w:sz="12" w:space="0" w:color="000000"/>
                          <w:right w:val="nil" w:sz="6" w:space="0" w:color="auto"/>
                        </w:tcBorders>
                      </w:tcPr>
                      <w:p>
                        <w:pPr/>
                      </w:p>
                    </w:tc>
                  </w:tr>
                  <w:tr>
                    <w:trPr>
                      <w:trHeight w:val="665"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系统权限重构</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2"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财务管理模块</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5"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科研项目管理</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5"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项目运营管理</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11"/>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2"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系统框架及性能优化</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5"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线上运营平台及乐活系统建设项目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流程移动化</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5" w:hRule="exact"/>
                    </w:trPr>
                    <w:tc>
                      <w:tcPr>
                        <w:tcW w:w="45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室内装饰装修污染预测与控制工具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IndoorPACT</w:t>
                        </w:r>
                      </w:p>
                    </w:tc>
                    <w:tc>
                      <w:tcPr>
                        <w:tcW w:w="2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71" w:type="dxa"/>
                        <w:gridSpan w:val="2"/>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39" w:right="368"/>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bl>
                <w:p>
                  <w:pPr/>
                </w:p>
              </w:txbxContent>
            </v:textbox>
            <w10:wrap type="none"/>
          </v:shape>
        </w:pict>
      </w:r>
      <w:r>
        <w:rPr/>
        <w:t>其他说明</w:t>
      </w:r>
    </w:p>
    <w:p>
      <w:pPr>
        <w:spacing w:after="0" w:line="240" w:lineRule="auto"/>
        <w:jc w:val="left"/>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right"/>
        <w:tblLayout w:type="fixed"/>
        <w:tblCellMar>
          <w:top w:w="0" w:type="dxa"/>
          <w:left w:w="0" w:type="dxa"/>
          <w:bottom w:w="0" w:type="dxa"/>
          <w:right w:w="0" w:type="dxa"/>
        </w:tblCellMar>
        <w:tblLook w:val="01E0"/>
      </w:tblPr>
      <w:tblGrid>
        <w:gridCol w:w="3368"/>
        <w:gridCol w:w="3834"/>
        <w:gridCol w:w="3601"/>
      </w:tblGrid>
      <w:tr>
        <w:trPr>
          <w:trHeight w:val="987" w:hRule="exact"/>
        </w:trPr>
        <w:tc>
          <w:tcPr>
            <w:tcW w:w="3368"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健康之眼</w:t>
            </w:r>
          </w:p>
        </w:tc>
        <w:tc>
          <w:tcPr>
            <w:tcW w:w="3834"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01"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139" w:right="300"/>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r>
        <w:trPr>
          <w:trHeight w:val="665" w:hRule="exact"/>
        </w:trPr>
        <w:tc>
          <w:tcPr>
            <w:tcW w:w="33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室内环境监测系统</w:t>
            </w:r>
            <w:r>
              <w:rPr>
                <w:rFonts w:ascii="Times New Roman" w:hAnsi="Times New Roman" w:cs="Times New Roman" w:eastAsia="Times New Roman" w:hint="default"/>
                <w:sz w:val="18"/>
                <w:szCs w:val="18"/>
              </w:rPr>
              <w:t>My</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Air</w:t>
            </w:r>
          </w:p>
        </w:tc>
        <w:tc>
          <w:tcPr>
            <w:tcW w:w="38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z w:val="18"/>
                <w:szCs w:val="18"/>
              </w:rPr>
              <w:t>产品正式进入开发需求分析后</w:t>
            </w:r>
          </w:p>
        </w:tc>
        <w:tc>
          <w:tcPr>
            <w:tcW w:w="3601"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139" w:right="300"/>
              <w:jc w:val="left"/>
              <w:rPr>
                <w:rFonts w:ascii="宋体" w:hAnsi="宋体" w:cs="宋体" w:eastAsia="宋体" w:hint="default"/>
                <w:sz w:val="18"/>
                <w:szCs w:val="18"/>
              </w:rPr>
            </w:pPr>
            <w:r>
              <w:rPr>
                <w:rFonts w:ascii="宋体" w:hAnsi="宋体" w:cs="宋体" w:eastAsia="宋体" w:hint="default"/>
                <w:spacing w:val="-5"/>
                <w:sz w:val="18"/>
                <w:szCs w:val="18"/>
              </w:rPr>
              <w:t>通过技术可行性及经济可行性研究，形成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项目立项后，进入开发阶段</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335" w:lineRule="exact"/>
        <w:ind w:left="132" w:right="6074"/>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left="132" w:right="6074"/>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5"/>
        <w:spacing w:line="335" w:lineRule="exact"/>
        <w:ind w:left="132" w:right="607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left="132" w:right="6074"/>
        <w:jc w:val="left"/>
      </w:pPr>
      <w:r>
        <w:rPr/>
        <w:t>说明商誉减值测试过程、参数及商誉减值损失的确认方法： 其他说明</w:t>
      </w:r>
    </w:p>
    <w:p>
      <w:pPr>
        <w:spacing w:line="240" w:lineRule="auto" w:before="5"/>
        <w:rPr>
          <w:rFonts w:ascii="宋体" w:hAnsi="宋体" w:cs="宋体" w:eastAsia="宋体" w:hint="default"/>
          <w:sz w:val="15"/>
          <w:szCs w:val="15"/>
        </w:rPr>
      </w:pPr>
    </w:p>
    <w:p>
      <w:pPr>
        <w:pStyle w:val="Heading5"/>
        <w:spacing w:line="240" w:lineRule="auto"/>
        <w:ind w:left="132" w:right="6074"/>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4,636,456.89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2,056,771.16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1,576,545.29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5,116,682.76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与同济大学战略合 作费用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36,160,221.76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815,748.28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6,061,432.40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30,914,537.64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余土资源化综合利 用示范生产线</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2,851,205.78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2,851,205.78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41,296,678.65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5,723,725.22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7,837,977.69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39,182,426.18</w:t>
            </w:r>
          </w:p>
        </w:tc>
      </w:tr>
    </w:tbl>
    <w:p>
      <w:pPr>
        <w:pStyle w:val="BodyText"/>
        <w:spacing w:line="240" w:lineRule="auto" w:before="49"/>
        <w:ind w:left="132" w:right="6074"/>
        <w:jc w:val="left"/>
      </w:pPr>
      <w:r>
        <w:rPr/>
        <w:t>其他说明</w:t>
      </w:r>
    </w:p>
    <w:p>
      <w:pPr>
        <w:spacing w:after="0" w:line="240" w:lineRule="auto"/>
        <w:jc w:val="left"/>
        <w:sectPr>
          <w:pgSz w:w="11910" w:h="16840"/>
          <w:pgMar w:header="745" w:footer="980" w:top="1060" w:bottom="11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335" w:lineRule="exact"/>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43,678,731.01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6,563,818.21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28,388,279.02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4,390,442.94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4,116,940.27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617,541.04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43,678,731.01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6,563,818.21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32,505,219.29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5,007,983.98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8" w:right="0"/>
              <w:jc w:val="left"/>
              <w:rPr>
                <w:rFonts w:ascii="Times New Roman" w:hAnsi="Times New Roman" w:cs="Times New Roman" w:eastAsia="Times New Roman" w:hint="default"/>
                <w:sz w:val="18"/>
                <w:szCs w:val="18"/>
              </w:rPr>
            </w:pPr>
            <w:r>
              <w:rPr>
                <w:rFonts w:ascii="Times New Roman"/>
                <w:sz w:val="18"/>
              </w:rPr>
              <w:t>6,563,818.21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6" w:right="0"/>
              <w:jc w:val="left"/>
              <w:rPr>
                <w:rFonts w:ascii="Times New Roman" w:hAnsi="Times New Roman" w:cs="Times New Roman" w:eastAsia="Times New Roman" w:hint="default"/>
                <w:sz w:val="18"/>
                <w:szCs w:val="18"/>
              </w:rPr>
            </w:pPr>
            <w:r>
              <w:rPr>
                <w:rFonts w:ascii="Times New Roman"/>
                <w:sz w:val="18"/>
              </w:rPr>
              <w:t>6,563,818.21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5" w:right="0"/>
              <w:jc w:val="left"/>
              <w:rPr>
                <w:rFonts w:ascii="Times New Roman" w:hAnsi="Times New Roman" w:cs="Times New Roman" w:eastAsia="Times New Roman" w:hint="default"/>
                <w:sz w:val="18"/>
                <w:szCs w:val="18"/>
              </w:rPr>
            </w:pPr>
            <w:r>
              <w:rPr>
                <w:rFonts w:ascii="Times New Roman"/>
                <w:sz w:val="18"/>
              </w:rPr>
              <w:t>5,007,983.98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5" w:right="0"/>
              <w:jc w:val="left"/>
              <w:rPr>
                <w:rFonts w:ascii="Times New Roman" w:hAnsi="Times New Roman" w:cs="Times New Roman" w:eastAsia="Times New Roman" w:hint="default"/>
                <w:sz w:val="18"/>
                <w:szCs w:val="18"/>
              </w:rPr>
            </w:pPr>
            <w:r>
              <w:rPr>
                <w:rFonts w:ascii="Times New Roman"/>
                <w:sz w:val="18"/>
              </w:rPr>
              <w:t>5,007,983.98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796,099.24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523,756.60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796,099.24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523,756.60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56.099998pt;margin-top:304.549988pt;width:551.9pt;height:325.8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2"/>
                    <w:gridCol w:w="1601"/>
                    <w:gridCol w:w="852"/>
                    <w:gridCol w:w="1263"/>
                    <w:gridCol w:w="1418"/>
                    <w:gridCol w:w="2041"/>
                    <w:gridCol w:w="1844"/>
                    <w:gridCol w:w="390"/>
                  </w:tblGrid>
                  <w:tr>
                    <w:trPr>
                      <w:trHeight w:val="980" w:hRule="exact"/>
                    </w:trPr>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7"/>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 w:right="165"/>
                          <w:jc w:val="left"/>
                          <w:rPr>
                            <w:rFonts w:ascii="宋体" w:hAnsi="宋体" w:cs="宋体" w:eastAsia="宋体" w:hint="default"/>
                            <w:sz w:val="18"/>
                            <w:szCs w:val="18"/>
                          </w:rPr>
                        </w:pPr>
                        <w:r>
                          <w:rPr>
                            <w:rFonts w:ascii="宋体" w:hAnsi="宋体" w:cs="宋体" w:eastAsia="宋体" w:hint="default"/>
                            <w:sz w:val="18"/>
                            <w:szCs w:val="18"/>
                          </w:rPr>
                          <w:t>合同借款开始 日期</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7"/>
                          <w:ind w:left="2" w:right="341" w:firstLine="338"/>
                          <w:jc w:val="left"/>
                          <w:rPr>
                            <w:rFonts w:ascii="宋体" w:hAnsi="宋体" w:cs="宋体" w:eastAsia="宋体" w:hint="default"/>
                            <w:sz w:val="18"/>
                            <w:szCs w:val="18"/>
                          </w:rPr>
                        </w:pPr>
                        <w:r>
                          <w:rPr>
                            <w:rFonts w:ascii="宋体" w:hAnsi="宋体" w:cs="宋体" w:eastAsia="宋体" w:hint="default"/>
                            <w:sz w:val="18"/>
                            <w:szCs w:val="18"/>
                          </w:rPr>
                          <w:t>合同还款 日期</w:t>
                        </w:r>
                      </w:p>
                    </w:tc>
                    <w:tc>
                      <w:tcPr>
                        <w:tcW w:w="20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借款合同编号</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担保或抵押合同编号</w:t>
                        </w:r>
                      </w:p>
                    </w:tc>
                    <w:tc>
                      <w:tcPr>
                        <w:tcW w:w="390" w:type="dxa"/>
                        <w:tcBorders>
                          <w:top w:val="nil" w:sz="6" w:space="0" w:color="auto"/>
                          <w:left w:val="single" w:sz="6" w:space="0" w:color="000000"/>
                          <w:bottom w:val="nil" w:sz="6" w:space="0" w:color="auto"/>
                          <w:right w:val="nil" w:sz="6" w:space="0" w:color="auto"/>
                        </w:tcBorders>
                      </w:tcPr>
                      <w:p>
                        <w:pPr/>
                      </w:p>
                    </w:tc>
                  </w:tr>
                  <w:tr>
                    <w:trPr>
                      <w:trHeight w:val="1289" w:hRule="exact"/>
                    </w:trPr>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招商银行梅林支行</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30,000,000.00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房产抵押</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2017.3.14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2018.2.13</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1017110010</w:t>
                        </w:r>
                        <w:r>
                          <w:rPr>
                            <w:rFonts w:ascii="宋体" w:hAnsi="宋体" w:cs="宋体" w:eastAsia="宋体" w:hint="default"/>
                            <w:sz w:val="18"/>
                            <w:szCs w:val="18"/>
                          </w:rPr>
                          <w:t>号</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0016110037</w:t>
                        </w:r>
                        <w:r>
                          <w:rPr>
                            <w:rFonts w:ascii="宋体" w:hAnsi="宋体" w:cs="宋体" w:eastAsia="宋体" w:hint="default"/>
                            <w:sz w:val="18"/>
                            <w:szCs w:val="18"/>
                          </w:rPr>
                          <w:t>号</w:t>
                        </w:r>
                      </w:p>
                    </w:tc>
                    <w:tc>
                      <w:tcPr>
                        <w:tcW w:w="390" w:type="dxa"/>
                        <w:tcBorders>
                          <w:top w:val="nil" w:sz="6" w:space="0" w:color="auto"/>
                          <w:left w:val="single" w:sz="6" w:space="0" w:color="000000"/>
                          <w:bottom w:val="nil" w:sz="6" w:space="0" w:color="auto"/>
                          <w:right w:val="nil" w:sz="6" w:space="0" w:color="auto"/>
                        </w:tcBorders>
                      </w:tcPr>
                      <w:p>
                        <w:pPr/>
                      </w:p>
                    </w:tc>
                  </w:tr>
                  <w:tr>
                    <w:trPr>
                      <w:trHeight w:val="1287" w:hRule="exact"/>
                    </w:trPr>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招商银行梅林支行</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107"/>
                          <w:jc w:val="center"/>
                          <w:rPr>
                            <w:rFonts w:ascii="宋体" w:hAnsi="宋体" w:cs="宋体" w:eastAsia="宋体" w:hint="default"/>
                            <w:sz w:val="18"/>
                            <w:szCs w:val="18"/>
                          </w:rPr>
                        </w:pPr>
                        <w:r>
                          <w:rPr>
                            <w:rFonts w:ascii="宋体" w:hAnsi="宋体" w:cs="宋体" w:eastAsia="宋体" w:hint="default"/>
                            <w:sz w:val="18"/>
                            <w:szCs w:val="18"/>
                          </w:rPr>
                          <w:t>房产抵押</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2017.3.7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2018.2.13</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1017110010</w:t>
                        </w:r>
                        <w:r>
                          <w:rPr>
                            <w:rFonts w:ascii="宋体" w:hAnsi="宋体" w:cs="宋体" w:eastAsia="宋体" w:hint="default"/>
                            <w:sz w:val="18"/>
                            <w:szCs w:val="18"/>
                          </w:rPr>
                          <w:t>号</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0016110037</w:t>
                        </w:r>
                        <w:r>
                          <w:rPr>
                            <w:rFonts w:ascii="宋体" w:hAnsi="宋体" w:cs="宋体" w:eastAsia="宋体" w:hint="default"/>
                            <w:sz w:val="18"/>
                            <w:szCs w:val="18"/>
                          </w:rPr>
                          <w:t>号</w:t>
                        </w:r>
                      </w:p>
                    </w:tc>
                    <w:tc>
                      <w:tcPr>
                        <w:tcW w:w="390" w:type="dxa"/>
                        <w:tcBorders>
                          <w:top w:val="nil" w:sz="6" w:space="0" w:color="auto"/>
                          <w:left w:val="single" w:sz="6" w:space="0" w:color="000000"/>
                          <w:bottom w:val="nil" w:sz="6" w:space="0" w:color="auto"/>
                          <w:right w:val="nil" w:sz="6" w:space="0" w:color="auto"/>
                        </w:tcBorders>
                      </w:tcPr>
                      <w:p>
                        <w:pPr/>
                      </w:p>
                    </w:tc>
                  </w:tr>
                  <w:tr>
                    <w:trPr>
                      <w:trHeight w:val="1289" w:hRule="exact"/>
                    </w:trPr>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招商银行梅林支行</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10,000,000.00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房产抵押</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2017.6.27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2018.6.27</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1017110034</w:t>
                        </w:r>
                        <w:r>
                          <w:rPr>
                            <w:rFonts w:ascii="宋体" w:hAnsi="宋体" w:cs="宋体" w:eastAsia="宋体" w:hint="default"/>
                            <w:sz w:val="18"/>
                            <w:szCs w:val="18"/>
                          </w:rPr>
                          <w:t>号</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0016110037</w:t>
                        </w:r>
                        <w:r>
                          <w:rPr>
                            <w:rFonts w:ascii="宋体" w:hAnsi="宋体" w:cs="宋体" w:eastAsia="宋体" w:hint="default"/>
                            <w:sz w:val="18"/>
                            <w:szCs w:val="18"/>
                          </w:rPr>
                          <w:t>号</w:t>
                        </w:r>
                      </w:p>
                    </w:tc>
                    <w:tc>
                      <w:tcPr>
                        <w:tcW w:w="390" w:type="dxa"/>
                        <w:tcBorders>
                          <w:top w:val="nil" w:sz="6" w:space="0" w:color="auto"/>
                          <w:left w:val="single" w:sz="6" w:space="0" w:color="000000"/>
                          <w:bottom w:val="nil" w:sz="6" w:space="0" w:color="auto"/>
                          <w:right w:val="nil" w:sz="6" w:space="0" w:color="auto"/>
                        </w:tcBorders>
                      </w:tcPr>
                      <w:p>
                        <w:pPr/>
                      </w:p>
                    </w:tc>
                  </w:tr>
                  <w:tr>
                    <w:trPr>
                      <w:trHeight w:val="1289" w:hRule="exact"/>
                    </w:trPr>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招商银行梅林支行</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10,000,000.00</w:t>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7"/>
                          <w:jc w:val="center"/>
                          <w:rPr>
                            <w:rFonts w:ascii="宋体" w:hAnsi="宋体" w:cs="宋体" w:eastAsia="宋体" w:hint="default"/>
                            <w:sz w:val="18"/>
                            <w:szCs w:val="18"/>
                          </w:rPr>
                        </w:pPr>
                        <w:r>
                          <w:rPr>
                            <w:rFonts w:ascii="宋体" w:hAnsi="宋体" w:cs="宋体" w:eastAsia="宋体" w:hint="default"/>
                            <w:sz w:val="18"/>
                            <w:szCs w:val="18"/>
                          </w:rPr>
                          <w:t>房产抵押</w:t>
                        </w:r>
                      </w:p>
                    </w:tc>
                    <w:tc>
                      <w:tcPr>
                        <w:tcW w:w="1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2017.5.17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18"/>
                            <w:szCs w:val="18"/>
                          </w:rPr>
                        </w:pPr>
                        <w:r>
                          <w:rPr>
                            <w:rFonts w:ascii="Times New Roman"/>
                            <w:sz w:val="18"/>
                          </w:rPr>
                          <w:t>2018.5.17</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1017110020</w:t>
                        </w:r>
                        <w:r>
                          <w:rPr>
                            <w:rFonts w:ascii="宋体" w:hAnsi="宋体" w:cs="宋体" w:eastAsia="宋体" w:hint="default"/>
                            <w:sz w:val="18"/>
                            <w:szCs w:val="18"/>
                          </w:rPr>
                          <w:t>号</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年战</w:t>
                        </w:r>
                        <w:r>
                          <w:rPr>
                            <w:rFonts w:ascii="Times New Roman" w:hAnsi="Times New Roman" w:cs="Times New Roman" w:eastAsia="Times New Roman" w:hint="default"/>
                            <w:sz w:val="18"/>
                            <w:szCs w:val="18"/>
                          </w:rPr>
                          <w:t>-</w:t>
                        </w:r>
                        <w:r>
                          <w:rPr>
                            <w:rFonts w:ascii="宋体" w:hAnsi="宋体" w:cs="宋体" w:eastAsia="宋体" w:hint="default"/>
                            <w:sz w:val="18"/>
                            <w:szCs w:val="18"/>
                          </w:rPr>
                          <w:t>字第</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0016110037</w:t>
                        </w:r>
                        <w:r>
                          <w:rPr>
                            <w:rFonts w:ascii="宋体" w:hAnsi="宋体" w:cs="宋体" w:eastAsia="宋体" w:hint="default"/>
                            <w:sz w:val="18"/>
                            <w:szCs w:val="18"/>
                          </w:rPr>
                          <w:t>号</w:t>
                        </w:r>
                      </w:p>
                    </w:tc>
                    <w:tc>
                      <w:tcPr>
                        <w:tcW w:w="390" w:type="dxa"/>
                        <w:tcBorders>
                          <w:top w:val="nil" w:sz="6" w:space="0" w:color="auto"/>
                          <w:left w:val="single" w:sz="6" w:space="0" w:color="000000"/>
                          <w:bottom w:val="nil" w:sz="6" w:space="0" w:color="auto"/>
                          <w:right w:val="nil" w:sz="6" w:space="0" w:color="auto"/>
                        </w:tcBorders>
                      </w:tcPr>
                      <w:p>
                        <w:pPr/>
                      </w:p>
                    </w:tc>
                  </w:tr>
                  <w:tr>
                    <w:trPr>
                      <w:trHeight w:val="360" w:hRule="exact"/>
                    </w:trPr>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06" w:right="0"/>
                          <w:jc w:val="left"/>
                          <w:rPr>
                            <w:rFonts w:ascii="Times New Roman" w:hAnsi="Times New Roman" w:cs="Times New Roman" w:eastAsia="Times New Roman" w:hint="default"/>
                            <w:sz w:val="18"/>
                            <w:szCs w:val="18"/>
                          </w:rPr>
                        </w:pPr>
                        <w:r>
                          <w:rPr>
                            <w:rFonts w:ascii="Times New Roman"/>
                            <w:sz w:val="18"/>
                          </w:rPr>
                          <w:t>70,000,000.00</w:t>
                        </w:r>
                      </w:p>
                    </w:tc>
                    <w:tc>
                      <w:tcPr>
                        <w:tcW w:w="852" w:type="dxa"/>
                        <w:tcBorders>
                          <w:top w:val="single" w:sz="12" w:space="0" w:color="000000"/>
                          <w:left w:val="single" w:sz="6" w:space="0" w:color="000000"/>
                          <w:bottom w:val="single" w:sz="12" w:space="0" w:color="000000"/>
                          <w:right w:val="single" w:sz="6" w:space="0" w:color="000000"/>
                        </w:tcBorders>
                      </w:tcPr>
                      <w:p>
                        <w:pPr/>
                      </w:p>
                    </w:tc>
                    <w:tc>
                      <w:tcPr>
                        <w:tcW w:w="1263" w:type="dxa"/>
                        <w:tcBorders>
                          <w:top w:val="single" w:sz="12" w:space="0" w:color="000000"/>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
                    </w:tc>
                    <w:tc>
                      <w:tcPr>
                        <w:tcW w:w="2041"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
                    </w:tc>
                    <w:tc>
                      <w:tcPr>
                        <w:tcW w:w="390" w:type="dxa"/>
                        <w:tcBorders>
                          <w:top w:val="nil" w:sz="6" w:space="0" w:color="auto"/>
                          <w:left w:val="single" w:sz="6" w:space="0" w:color="000000"/>
                          <w:bottom w:val="nil" w:sz="6" w:space="0" w:color="auto"/>
                          <w:right w:val="nil" w:sz="6" w:space="0" w:color="auto"/>
                        </w:tcBorders>
                      </w:tcPr>
                      <w:p>
                        <w:pPr/>
                      </w:p>
                    </w:tc>
                  </w:tr>
                </w:tbl>
                <w:p>
                  <w:pP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105,000,000.00</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52,203,416.82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45,773,427.59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23,045,993.54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5,751,224.36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1,959,148.03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3,185,902.16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4,465,237.61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3,554,101.55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81,673,796.00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58,264,655.66</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深圳市智拓邦设计有限公司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1,852,670.57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中国电子工程设计院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1,542,452.83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深圳市勘察测绘院有限公司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1,288,700.75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上海住总集团建设发展有限公司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1,238,815.35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8,498,342.93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11,822,761.58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11,106,569.94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1,945,703.09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1,346,269.41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230,111.50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14,635,078.67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12,682,950.85</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深圳市住宅工程管理站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合同首付款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北京未来科技城置地有限公司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合同首付款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住房和城乡建设部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合同首付款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974,820.00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24,471,965.89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152,785,928.73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148,824,518.35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28,433,376.27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54,606.39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6,822,913.40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6,877,519.79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299,547.96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299,547.96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24,526,572.28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159,908,390.09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156,001,586.10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28,433,376.27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139,670,114.61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136,061,752.12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28,018,362.49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3,314,960.86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2,966,792.86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348,168.00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3,584,723.43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3,616,993.64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3,199,547.21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3,228,633.81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133,399.13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134,255.74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2,327.00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251,777.09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254,104.09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5,441,931.93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5,442,421.93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7,762.00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21,443.68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708,520.26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728,880.16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1,083.78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65,677.64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7,677.64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24,471,965.89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152,785,928.73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148,824,518.35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28,433,376.27</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6,639,723.70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6,692,123.80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183,189.70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185,395.99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6,822,913.40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6,877,519.79</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5,869,966.33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3,818,648.55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7,314,832.43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6,361,068.59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1,320,404.17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1,298,655.95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270,412.66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292,518.06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196,850.46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218,435.55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402,489.37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242,188.96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30,375.62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15,858,244.07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12,436,636.34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126,875.00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126,875.00</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2,575,561.96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2,431,824.71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1,542,833.81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1,849,901.86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827,756.53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831,756.53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4,946,152.30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5,113,483.10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公司员工互助基金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公司员工互助基金，未产生支付条件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827,756.53</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49"/>
        <w:ind w:right="7614"/>
        <w:jc w:val="left"/>
      </w:pPr>
      <w:r>
        <w:rPr/>
        <w:t>长期借款分类的说明： 其他说明，包括利率区间：</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4"/>
        <w:jc w:val="left"/>
      </w:pPr>
      <w:r>
        <w:rPr/>
        <w:t>其他金融工具划分为金融负债的依据说明 其他说明</w:t>
      </w: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4"/>
        <w:jc w:val="left"/>
      </w:pPr>
      <w:r>
        <w:rPr/>
        <w:t>设定受益计划的内容及与之相关风险、对公司未来现金流量、时间和不确定性的影响说明： 设定受益计划重大精算假设及敏感性分析结果说明：</w:t>
      </w:r>
    </w:p>
    <w:p>
      <w:pPr>
        <w:spacing w:after="0" w:line="357" w:lineRule="auto"/>
        <w:jc w:val="left"/>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30,955,089.33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32,072,191.00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7,504,833.49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55,522,446.84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30,955,089.33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32,072,191.00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7,504,833.49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55,522,446.84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12"/>
                <w:sz w:val="18"/>
                <w:szCs w:val="18"/>
              </w:rPr>
              <w:t>建科大楼（节</w:t>
            </w:r>
            <w:r>
              <w:rPr>
                <w:rFonts w:ascii="宋体" w:hAnsi="宋体" w:cs="宋体" w:eastAsia="宋体" w:hint="default"/>
                <w:sz w:val="18"/>
                <w:szCs w:val="18"/>
              </w:rPr>
              <w:t> 能贴息）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2,210,045.62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101,650.88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2,108,394.74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可再生能源 建筑应用示 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612,132.29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272,058.84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340,073.45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绿色建筑节 能示范工程 </w:t>
            </w:r>
            <w:r>
              <w:rPr>
                <w:rFonts w:ascii="宋体" w:hAnsi="宋体" w:cs="宋体" w:eastAsia="宋体" w:hint="default"/>
                <w:spacing w:val="-12"/>
                <w:sz w:val="18"/>
                <w:szCs w:val="18"/>
              </w:rPr>
              <w:t>补贴（建科大</w:t>
            </w:r>
            <w:r>
              <w:rPr>
                <w:rFonts w:ascii="宋体" w:hAnsi="宋体" w:cs="宋体" w:eastAsia="宋体" w:hint="default"/>
                <w:sz w:val="18"/>
                <w:szCs w:val="18"/>
              </w:rPr>
              <w:t> 楼）</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节能检测评 价中心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1,092,167.43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108,534.71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983,632.72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既有建筑绿 色化改造关 键技术研究 与示范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1,189.16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1,189.16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国际低碳城 碳认证服务 中心奖励资 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2,902,304.15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1,102,966.00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7,799,338.15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深圳市低碳 试点示范项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4,703,233.37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692,388.27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4,010,845.10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年深圳 市节能环保 产业发展专 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伯克利</w:t>
            </w:r>
            <w:r>
              <w:rPr>
                <w:rFonts w:ascii="Times New Roman" w:hAnsi="Times New Roman" w:cs="Times New Roman" w:eastAsia="Times New Roman" w:hint="default"/>
                <w:sz w:val="18"/>
                <w:szCs w:val="18"/>
              </w:rPr>
              <w:t>-</w:t>
            </w:r>
            <w:r>
              <w:rPr>
                <w:rFonts w:ascii="宋体" w:hAnsi="宋体" w:cs="宋体" w:eastAsia="宋体" w:hint="default"/>
                <w:sz w:val="18"/>
                <w:szCs w:val="18"/>
              </w:rPr>
              <w:t>深圳 建科院低碳 可持续社区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648,881.94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409,613.45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239,268.49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住宅通风和 空气净化过 滤技术实施 及效果测评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388,565.30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1,104,800.00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1,080,093.31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413,271.99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12"/>
                <w:sz w:val="18"/>
                <w:szCs w:val="18"/>
              </w:rPr>
              <w:t>住宅开窗、通</w:t>
            </w:r>
            <w:r>
              <w:rPr>
                <w:rFonts w:ascii="宋体" w:hAnsi="宋体" w:cs="宋体" w:eastAsia="宋体" w:hint="default"/>
                <w:sz w:val="18"/>
                <w:szCs w:val="18"/>
              </w:rPr>
              <w:t> 风空气净化 模式调研和 室内空气质 量测试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155,382.18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12,817.82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12"/>
                <w:sz w:val="18"/>
                <w:szCs w:val="18"/>
              </w:rPr>
              <w:t>节能、经济适</w:t>
            </w:r>
            <w:r>
              <w:rPr>
                <w:rFonts w:ascii="宋体" w:hAnsi="宋体" w:cs="宋体" w:eastAsia="宋体" w:hint="default"/>
                <w:sz w:val="18"/>
                <w:szCs w:val="18"/>
              </w:rPr>
              <w:t> 用的通风及 空气质量控 制方法和技 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96,070.07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187,729.93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启动区碳排 放实时监测 公共平台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4,705,404.44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1,597,507.29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18,107,897.1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深圳国际低 碳城中美中 心建设渣土 资源化利用 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工业化建筑 部品与构配 件认证风险 防范技术研 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148,549.00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109,165.51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259,383.49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复合生物质 相变材料建 筑围护结构 的制备与性 能研究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395,913.63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395,913.63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中美低碳建 筑与社区创 新实验中心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绿色施工现 场信息化管 理规范研究 与平台示范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36,894.00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w w:val="95"/>
                <w:sz w:val="18"/>
              </w:rPr>
              <w:t>6,031.93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79,862.07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低碳检测服 务机构培训 工程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74,240.70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1,275,759.30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firstLine="91"/>
              <w:jc w:val="left"/>
              <w:rPr>
                <w:rFonts w:ascii="宋体" w:hAnsi="宋体" w:cs="宋体" w:eastAsia="宋体" w:hint="default"/>
                <w:sz w:val="18"/>
                <w:szCs w:val="18"/>
              </w:rPr>
            </w:pPr>
            <w:r>
              <w:rPr>
                <w:rFonts w:ascii="宋体" w:hAnsi="宋体" w:cs="宋体" w:eastAsia="宋体" w:hint="default"/>
                <w:sz w:val="18"/>
                <w:szCs w:val="18"/>
              </w:rPr>
              <w:t>绿色建筑与 小区低影响 开发雨水系 统设计方法 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EF </w:t>
            </w:r>
            <w:r>
              <w:rPr>
                <w:rFonts w:ascii="宋体" w:hAnsi="宋体" w:cs="宋体" w:eastAsia="宋体" w:hint="default"/>
                <w:sz w:val="18"/>
                <w:szCs w:val="18"/>
              </w:rPr>
              <w:t>十二期</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深圳市保障 性住房绿色 发展推广机 制研究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both"/>
              <w:rPr>
                <w:rFonts w:ascii="宋体" w:hAnsi="宋体" w:cs="宋体" w:eastAsia="宋体" w:hint="default"/>
                <w:sz w:val="18"/>
                <w:szCs w:val="18"/>
              </w:rPr>
            </w:pPr>
            <w:r>
              <w:rPr>
                <w:rFonts w:ascii="宋体" w:hAnsi="宋体" w:cs="宋体" w:eastAsia="宋体" w:hint="default"/>
                <w:sz w:val="18"/>
                <w:szCs w:val="18"/>
              </w:rPr>
              <w:t>国家标准</w:t>
            </w:r>
          </w:p>
          <w:p>
            <w:pPr>
              <w:pStyle w:val="TableParagraph"/>
              <w:spacing w:line="316" w:lineRule="auto" w:before="76"/>
              <w:ind w:left="24" w:right="129"/>
              <w:jc w:val="both"/>
              <w:rPr>
                <w:rFonts w:ascii="宋体" w:hAnsi="宋体" w:cs="宋体" w:eastAsia="宋体" w:hint="default"/>
                <w:sz w:val="18"/>
                <w:szCs w:val="18"/>
              </w:rPr>
            </w:pPr>
            <w:r>
              <w:rPr>
                <w:rFonts w:ascii="宋体" w:hAnsi="宋体" w:cs="宋体" w:eastAsia="宋体" w:hint="default"/>
                <w:sz w:val="18"/>
                <w:szCs w:val="18"/>
              </w:rPr>
              <w:t>《智慧城市 规划模式规 范》制定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产业资金支 持标准化战 略分项</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235,000.00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夏热冬暖地 区围护材料 耐久性分析 </w:t>
            </w:r>
            <w:r>
              <w:rPr>
                <w:rFonts w:ascii="宋体" w:hAnsi="宋体" w:cs="宋体" w:eastAsia="宋体" w:hint="default"/>
                <w:spacing w:val="-12"/>
                <w:sz w:val="18"/>
                <w:szCs w:val="18"/>
              </w:rPr>
              <w:t>模型、评价方</w:t>
            </w:r>
            <w:r>
              <w:rPr>
                <w:rFonts w:ascii="宋体" w:hAnsi="宋体" w:cs="宋体" w:eastAsia="宋体" w:hint="default"/>
                <w:sz w:val="18"/>
                <w:szCs w:val="18"/>
              </w:rPr>
              <w:t> 法及与功能 性提升关键 技术</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39,571.87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85,428.13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夏热冬暖地 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124,108.77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1,875,891.23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10.059998pt;margin-top:405.04599pt;width:52.8pt;height:82pt;mso-position-horizontal-relative:page;mso-position-vertical-relative:page;z-index:-1294048" coordorigin="2201,8101" coordsize="1056,1640">
            <v:group style="position:absolute;left:2201;top:8101;width:1056;height:1640" coordorigin="2201,8101" coordsize="1056,1640">
              <v:shape style="position:absolute;left:2201;top:8101;width:1056;height:1640" coordorigin="2201,8101" coordsize="1056,1640" path="m2201,9741l3257,9741,3257,8101,2201,8101,2201,9741xe" filled="true" fillcolor="#ffffff" stroked="false">
                <v:path arrowok="t"/>
                <v:fill type="solid"/>
              </v:shape>
            </v:group>
            <v:group style="position:absolute;left:2225;top:8725;width:1008;height:392" coordorigin="2225,8725" coordsize="1008,392">
              <v:shape style="position:absolute;left:2225;top:8725;width:1008;height:392" coordorigin="2225,8725" coordsize="1008,392" path="m2225,9116l3233,9116,3233,8725,2225,8725,2225,911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9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8"/>
              <w:jc w:val="left"/>
              <w:rPr>
                <w:rFonts w:ascii="宋体" w:hAnsi="宋体" w:cs="宋体" w:eastAsia="宋体" w:hint="default"/>
                <w:sz w:val="18"/>
                <w:szCs w:val="18"/>
              </w:rPr>
            </w:pPr>
            <w:r>
              <w:rPr>
                <w:rFonts w:ascii="宋体" w:hAnsi="宋体" w:cs="宋体" w:eastAsia="宋体" w:hint="default"/>
                <w:sz w:val="18"/>
                <w:szCs w:val="18"/>
              </w:rPr>
              <w:t>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 术综合性工 程示范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太阳能在绿 色建筑中的 综合应用研 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362,200.00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59,036.92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303,163.08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城市宜居空 间智慧模型 及个性化决 策系统研究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288,913.66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2,711,086.34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建筑室内空 气质量设计 共性关键技 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1,448,000.00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pacing w:val="-1"/>
                <w:sz w:val="18"/>
              </w:rPr>
              <w:t>466,830.53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981,169.47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既有居住建 筑室内外环 境宜居改善 关键技术研 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32,707.26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1,397,292.74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公共机构建 筑多能源系 统优化配置 评价指标和 方法研究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夏热冬暖地 区近零能耗 建筑调研及 技术指标体 系研究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7,080.35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168,919.65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室内环境质 量研究净零 能耗建筑关 键技术综合 性研究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22,282.67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262,717.33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绿色公共建 筑空间环境 控制设计技 术体系研究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w w:val="95"/>
                <w:sz w:val="18"/>
              </w:rPr>
              <w:t>5,671.53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134,328.47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橱柜绿色产 品认证关键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珠三角地区 </w:t>
            </w:r>
            <w:r>
              <w:rPr>
                <w:rFonts w:ascii="Times New Roman" w:hAnsi="Times New Roman" w:cs="Times New Roman" w:eastAsia="Times New Roman" w:hint="default"/>
                <w:sz w:val="18"/>
                <w:szCs w:val="18"/>
              </w:rPr>
              <w:t>LID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技术评 价体系与数 据库研究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0" w:right="0"/>
              <w:jc w:val="left"/>
              <w:rPr>
                <w:rFonts w:ascii="Times New Roman" w:hAnsi="Times New Roman" w:cs="Times New Roman" w:eastAsia="Times New Roman" w:hint="default"/>
                <w:sz w:val="18"/>
                <w:szCs w:val="18"/>
              </w:rPr>
            </w:pPr>
            <w:r>
              <w:rPr>
                <w:rFonts w:ascii="Times New Roman"/>
                <w:sz w:val="18"/>
              </w:rPr>
              <w:t>214,000.00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1" w:right="0"/>
              <w:jc w:val="left"/>
              <w:rPr>
                <w:rFonts w:ascii="Times New Roman" w:hAnsi="Times New Roman" w:cs="Times New Roman" w:eastAsia="Times New Roman" w:hint="default"/>
                <w:sz w:val="18"/>
                <w:szCs w:val="18"/>
              </w:rPr>
            </w:pPr>
            <w:r>
              <w:rPr>
                <w:rFonts w:ascii="Times New Roman"/>
                <w:sz w:val="18"/>
              </w:rPr>
              <w:t>214,000.00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30,955,089.3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32,072,191.0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628,709.72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6,876,123.77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55,522,446.8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110,000,000.00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36,666,700.00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36,666,700.00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146,666,700.00</w:t>
            </w:r>
          </w:p>
        </w:tc>
      </w:tr>
    </w:tbl>
    <w:p>
      <w:pPr>
        <w:pStyle w:val="BodyText"/>
        <w:spacing w:line="240" w:lineRule="auto" w:before="49"/>
        <w:ind w:right="0"/>
        <w:jc w:val="both"/>
      </w:pPr>
      <w:r>
        <w:rPr/>
        <w:t>其他说明：</w:t>
      </w:r>
    </w:p>
    <w:p>
      <w:pPr>
        <w:pStyle w:val="BodyText"/>
        <w:spacing w:line="300" w:lineRule="auto" w:before="115"/>
        <w:ind w:right="218"/>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日，本公司经中国证券监督管理委员会证监许可</w:t>
      </w:r>
      <w:r>
        <w:rPr>
          <w:rFonts w:ascii="Times New Roman" w:hAnsi="Times New Roman" w:cs="Times New Roman" w:eastAsia="Times New Roman" w:hint="default"/>
        </w:rPr>
        <w:t>[2017]1028</w:t>
      </w:r>
      <w:r>
        <w:rPr/>
        <w:t>号文《关于核准深圳市建筑科学研究院股份有限公 司首次公开发行股票的批复》核准向社会公众公开发行人民币普通股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rFonts w:ascii="Times New Roman" w:hAnsi="Times New Roman" w:cs="Times New Roman" w:eastAsia="Times New Roman" w:hint="default"/>
        </w:rPr>
        <w:t>36,666,700</w:t>
      </w:r>
      <w:r>
        <w:rPr/>
        <w:t>股。本公司于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日向社会公 众投资者定价发行人民币普通股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)36,666,700</w:t>
      </w:r>
      <w:r>
        <w:rPr/>
        <w:t>股，注册资本变更为人民币</w:t>
      </w:r>
      <w:r>
        <w:rPr>
          <w:rFonts w:ascii="Times New Roman" w:hAnsi="Times New Roman" w:cs="Times New Roman" w:eastAsia="Times New Roman" w:hint="default"/>
        </w:rPr>
        <w:t>146,666,700.00</w:t>
      </w:r>
      <w:r>
        <w:rPr/>
        <w:t>元。上述出资业经立信会计师事 务所（特殊普通合伙）出具的信会师报字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ZI10642</w:t>
      </w:r>
      <w:r>
        <w:rPr/>
        <w:t>号《验资报告》验证。</w:t>
      </w: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right="3654"/>
        <w:jc w:val="left"/>
      </w:pPr>
      <w:r>
        <w:rPr/>
        <w:t>其他权益工具本期增减变动情况、变动原因说明，以及相关会计处理的依据： 其他说明：</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55,810,431.92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97,533,422.00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26,802,500.00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126,541,353.92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55,810,431.92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98,533,422.00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26,802,500.00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127,541,353.92</w:t>
            </w:r>
          </w:p>
        </w:tc>
      </w:tr>
    </w:tbl>
    <w:p>
      <w:pPr>
        <w:pStyle w:val="BodyText"/>
        <w:spacing w:line="240" w:lineRule="auto" w:before="49"/>
        <w:ind w:right="0"/>
        <w:jc w:val="left"/>
      </w:pPr>
      <w:r>
        <w:rPr/>
        <w:t>其他说明，包括本期增减变动情况、变动原因说明：</w:t>
      </w:r>
    </w:p>
    <w:p>
      <w:pPr>
        <w:pStyle w:val="BodyText"/>
        <w:spacing w:line="240" w:lineRule="auto" w:before="117"/>
        <w:ind w:right="0"/>
        <w:jc w:val="left"/>
      </w:pPr>
      <w:r>
        <w:rPr>
          <w:rFonts w:ascii="Times New Roman" w:hAnsi="Times New Roman" w:cs="Times New Roman" w:eastAsia="Times New Roman" w:hint="default"/>
        </w:rPr>
        <w:t>1</w:t>
      </w:r>
      <w:r>
        <w:rPr/>
        <w:t>、资本溢价本期增加</w:t>
      </w:r>
      <w:r>
        <w:rPr>
          <w:rFonts w:ascii="Times New Roman" w:hAnsi="Times New Roman" w:cs="Times New Roman" w:eastAsia="Times New Roman" w:hint="default"/>
        </w:rPr>
        <w:t>97,533,422.00</w:t>
      </w:r>
      <w:r>
        <w:rPr/>
        <w:t>元，系本公司首次向社会公开发行股份募集资金溢价所致。</w:t>
      </w:r>
    </w:p>
    <w:p>
      <w:pPr>
        <w:pStyle w:val="BodyText"/>
        <w:spacing w:line="240" w:lineRule="auto" w:before="63"/>
        <w:ind w:right="0"/>
        <w:jc w:val="left"/>
      </w:pPr>
      <w:r>
        <w:rPr>
          <w:rFonts w:ascii="Times New Roman" w:hAnsi="Times New Roman" w:cs="Times New Roman" w:eastAsia="Times New Roman" w:hint="default"/>
        </w:rPr>
        <w:t>2</w:t>
      </w:r>
      <w:r>
        <w:rPr/>
        <w:t>、资本溢价本期减少</w:t>
      </w:r>
      <w:r>
        <w:rPr>
          <w:rFonts w:ascii="Times New Roman" w:hAnsi="Times New Roman" w:cs="Times New Roman" w:eastAsia="Times New Roman" w:hint="default"/>
        </w:rPr>
        <w:t>26,802,500.00</w:t>
      </w:r>
      <w:r>
        <w:rPr/>
        <w:t>元，系新股发行费用。</w:t>
      </w:r>
    </w:p>
    <w:p>
      <w:pPr>
        <w:pStyle w:val="BodyText"/>
        <w:spacing w:line="240" w:lineRule="auto" w:before="63"/>
        <w:ind w:right="0"/>
        <w:jc w:val="left"/>
      </w:pPr>
      <w:r>
        <w:rPr>
          <w:rFonts w:ascii="Times New Roman" w:hAnsi="Times New Roman" w:cs="Times New Roman" w:eastAsia="Times New Roman" w:hint="default"/>
        </w:rPr>
        <w:t>3</w:t>
      </w:r>
      <w:r>
        <w:rPr/>
        <w:t>、资本公积</w:t>
      </w:r>
      <w:r>
        <w:rPr>
          <w:rFonts w:ascii="Times New Roman" w:hAnsi="Times New Roman" w:cs="Times New Roman" w:eastAsia="Times New Roman" w:hint="default"/>
        </w:rPr>
        <w:t>-</w:t>
      </w:r>
      <w:r>
        <w:rPr/>
        <w:t>其他本期增加</w:t>
      </w:r>
      <w:r>
        <w:rPr>
          <w:rFonts w:ascii="Times New Roman" w:hAnsi="Times New Roman" w:cs="Times New Roman" w:eastAsia="Times New Roman" w:hint="default"/>
        </w:rPr>
        <w:t>1,000,000.00</w:t>
      </w:r>
      <w:r>
        <w:rPr/>
        <w:t>元，系深圳市远致投资有限公司给予的</w:t>
      </w:r>
      <w:r>
        <w:rPr>
          <w:rFonts w:ascii="Times New Roman" w:hAnsi="Times New Roman" w:cs="Times New Roman" w:eastAsia="Times New Roman" w:hint="default"/>
        </w:rPr>
        <w:t>IPO</w:t>
      </w:r>
      <w:r>
        <w:rPr/>
        <w:t>奖励金。</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其他说明，包括对现金流量套期损益的有效部分转为被套期项目初始确认金额调整：</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9,959,708.53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2,255,867.25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12,215,575.78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9,959,708.53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2,255,867.25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12,215,575.78</w:t>
            </w:r>
          </w:p>
        </w:tc>
      </w:tr>
    </w:tbl>
    <w:p>
      <w:pPr>
        <w:pStyle w:val="BodyText"/>
        <w:spacing w:line="240" w:lineRule="auto" w:before="49"/>
        <w:ind w:right="0"/>
        <w:jc w:val="left"/>
      </w:pPr>
      <w:r>
        <w:rPr/>
        <w:t>盈余公积说明，包括本期增减变动情况、变动原因说明：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法定盈余公积按净利润的</w:t>
      </w:r>
      <w:r>
        <w:rPr>
          <w:rFonts w:ascii="Times New Roman" w:hAnsi="Times New Roman" w:cs="Times New Roman" w:eastAsia="Times New Roman" w:hint="default"/>
        </w:rPr>
        <w:t>10%</w:t>
      </w:r>
      <w:r>
        <w:rPr/>
        <w:t>提取。</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109,550,652.71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87,638,703.11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109,550,652.71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87,638,703.11</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33,987,787.76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31,539,638.45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2,255,867.25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2,587,688.85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9,533,335.50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7,040,000.00</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131,749,237.72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109,550,652.71</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381,831,957.61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235,645,289.44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346,125,986.64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221,824,615.64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381,831,957.61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235,645,289.44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346,125,986.64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221,824,615.64</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986,181.02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915,694.76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651,277.82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653,953.39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582,494.80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60,112.92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87,409.94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458,398.19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258,961.62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63,651.10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3,030,867.68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2,562,165.61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21,667,954.95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19,389,454.29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1,863,045.43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3,261,518.50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4,137,261.93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4,741,625.08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4,136,817.00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2,494,969.02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3,433,428.74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3,760,382.62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3,188,474.62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2,036,950.28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1,593,725.54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1,515,401.15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2,610,461.69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2,687,296.95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825,494.70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图文制作费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2,091,036.50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1,699,802.88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1,959,163.70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1,626,692.67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47,390,255.84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44,039,588.14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20,011,861.01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18,180,404.58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8,978,450.87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5,230,178.73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4,466,361.81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3,207,450.16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3,883,506.54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1,554,439.74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2,818,374.07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1,783,701.51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959,667.94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1,656,453.35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362,353.83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377,468.73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739,857.62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262,113.31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1,045,679.26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447,984.50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476,432.99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300,963.96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水电气及维修费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244,614.62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劳务外包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741,982.93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366,522.73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79,790.97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1,710,206.41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1,188,294.87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46,634,198.36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35,162,944.62</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3,968,581.20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5,603,046.49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265,260.59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3,437.01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119,001.77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3,482,317.95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5,457,694.30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15,562,794.63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10,823,724.47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15,562,794.63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10,823,724.47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-488,363.30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81,906.35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-115,347.57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-406,456.95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-6,131.17</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太阳能在绿色建筑中的综合应用研究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59,036.92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住宅开窗、通风空气净化模式调研和室 内空气质量测试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155,382.18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节能、经济适用的通风及空气质量控制 方法和技术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96,070.07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住宅通风和空气净化过滤技术实施及效 果测评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1,080,093.31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夏热冬暖地区围护材料耐久性分析模 型、评价方法及与功能性提升关键技术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39,571.87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绿色施工现场信息化管理规范研究与平 台示范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6,031.93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既有建筑绿色化改造关键技术研究与示 范（城市社区绿色化综合改造技术研究 与工程示范）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1,189.16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深圳市低碳试点示范项目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692,388.27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复合生物质相变材料建筑围护结构的制 备与性能研究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395,913.63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年深圳市节能环保产业发展专项资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伯克利</w:t>
            </w:r>
            <w:r>
              <w:rPr>
                <w:rFonts w:ascii="Times New Roman" w:hAnsi="Times New Roman" w:cs="Times New Roman" w:eastAsia="Times New Roman" w:hint="default"/>
                <w:sz w:val="18"/>
                <w:szCs w:val="18"/>
              </w:rPr>
              <w:t>-</w:t>
            </w:r>
            <w:r>
              <w:rPr>
                <w:rFonts w:ascii="宋体" w:hAnsi="宋体" w:cs="宋体" w:eastAsia="宋体" w:hint="default"/>
                <w:sz w:val="18"/>
                <w:szCs w:val="18"/>
              </w:rPr>
              <w:t>深圳建科院低碳可持续社区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409,613.45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启动区碳排放实时监测公共平台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1,597,507.29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工业化建筑部品与构配件认证风险防范 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109,165.51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检测仪器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108,534.71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城市宜居空间智慧模型及个性化决策系 统研究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288,913.66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低碳检测服务机构培育工程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74,240.70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国际低碳城碳认证服务中心（第一笔）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8"/>
              <w:jc w:val="left"/>
              <w:rPr>
                <w:rFonts w:ascii="宋体" w:hAnsi="宋体" w:cs="宋体" w:eastAsia="宋体" w:hint="default"/>
                <w:sz w:val="18"/>
                <w:szCs w:val="18"/>
              </w:rPr>
            </w:pPr>
            <w:r>
              <w:rPr>
                <w:rFonts w:ascii="宋体" w:hAnsi="宋体" w:cs="宋体" w:eastAsia="宋体" w:hint="default"/>
                <w:sz w:val="18"/>
                <w:szCs w:val="18"/>
              </w:rPr>
              <w:t>夏热冬暖地区</w:t>
            </w:r>
            <w:r>
              <w:rPr>
                <w:rFonts w:ascii="Times New Roman" w:hAnsi="Times New Roman" w:cs="Times New Roman" w:eastAsia="Times New Roman" w:hint="default"/>
                <w:sz w:val="18"/>
                <w:szCs w:val="18"/>
              </w:rPr>
              <w:t>"</w:t>
            </w:r>
            <w:r>
              <w:rPr>
                <w:rFonts w:ascii="宋体" w:hAnsi="宋体" w:cs="宋体" w:eastAsia="宋体" w:hint="default"/>
                <w:sz w:val="18"/>
                <w:szCs w:val="18"/>
              </w:rPr>
              <w:t>净零能耗建筑</w:t>
            </w:r>
            <w:r>
              <w:rPr>
                <w:rFonts w:ascii="Times New Roman" w:hAnsi="Times New Roman" w:cs="Times New Roman" w:eastAsia="Times New Roman" w:hint="default"/>
                <w:sz w:val="18"/>
                <w:szCs w:val="18"/>
              </w:rPr>
              <w:t>"</w:t>
            </w:r>
            <w:r>
              <w:rPr>
                <w:rFonts w:ascii="宋体" w:hAnsi="宋体" w:cs="宋体" w:eastAsia="宋体" w:hint="default"/>
                <w:sz w:val="18"/>
                <w:szCs w:val="18"/>
              </w:rPr>
              <w:t>关键技术 综合性工程示范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124,108.77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建筑室内空气质量设计共性关键技术研 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466,830.53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既有居住建筑室内外环境宜居改善关键 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32,707.26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室内环境质量研究净零能耗建筑关键技 术综合性研究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22,282.67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公共机构建筑多能源系统优化配置、评 价指标和方法研究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夏热冬暖地区近零能耗建筑调研及技术 指标体系研究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7,080.35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绿色公共建筑空间环境控制设计技术体 系研究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5,671.53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6,876,123.77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4,750,471.98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9,379,816.61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4,708,471.98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166,144.57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351,653.67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165,814.57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4,916,616.55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9,731,470.28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4,874,616.55</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269.690002pt;margin-top:59.22773pt;width:52.75pt;height:169pt;mso-position-horizontal-relative:page;mso-position-vertical-relative:paragraph;z-index:-1294024" coordorigin="5394,1185" coordsize="1055,3380">
            <v:group style="position:absolute;left:5394;top:1185;width:1055;height:1328" coordorigin="5394,1185" coordsize="1055,1328">
              <v:shape style="position:absolute;left:5394;top:1185;width:1055;height:1328" coordorigin="5394,1185" coordsize="1055,1328" path="m5394,2512l6448,2512,6448,1185,5394,1185,5394,2512xe" filled="true" fillcolor="#ffffff" stroked="false">
                <v:path arrowok="t"/>
                <v:fill type="solid"/>
              </v:shape>
            </v:group>
            <v:group style="position:absolute;left:5418;top:1652;width:1007;height:392" coordorigin="5418,1652" coordsize="1007,392">
              <v:shape style="position:absolute;left:5418;top:1652;width:1007;height:392" coordorigin="5418,1652" coordsize="1007,392" path="m5418,2044l6424,2044,6424,1652,5418,1652,5418,2044xe" filled="true" fillcolor="#ffffff" stroked="false">
                <v:path arrowok="t"/>
                <v:fill type="solid"/>
              </v:shape>
            </v:group>
            <v:group style="position:absolute;left:5394;top:2522;width:1055;height:1328" coordorigin="5394,2522" coordsize="1055,1328">
              <v:shape style="position:absolute;left:5394;top:2522;width:1055;height:1328" coordorigin="5394,2522" coordsize="1055,1328" path="m5394,3849l6448,3849,6448,2522,5394,2522,5394,3849xe" filled="true" fillcolor="#ffffff" stroked="false">
                <v:path arrowok="t"/>
                <v:fill type="solid"/>
              </v:shape>
            </v:group>
            <v:group style="position:absolute;left:5418;top:2990;width:1007;height:392" coordorigin="5418,2990" coordsize="1007,392">
              <v:shape style="position:absolute;left:5418;top:2990;width:1007;height:392" coordorigin="5418,2990" coordsize="1007,392" path="m5418,3381l6424,3381,6424,2990,5418,2990,5418,3381xe" filled="true" fillcolor="#ffffff" stroked="false">
                <v:path arrowok="t"/>
                <v:fill type="solid"/>
              </v:shape>
            </v:group>
            <v:group style="position:absolute;left:5394;top:3861;width:1055;height:704" coordorigin="5394,3861" coordsize="1055,704">
              <v:shape style="position:absolute;left:5394;top:3861;width:1055;height:704" coordorigin="5394,3861" coordsize="1055,704" path="m5394,4564l6448,4564,6448,3861,5394,3861,5394,4564xe" filled="true" fillcolor="#ffffff" stroked="false">
                <v:path arrowok="t"/>
                <v:fill type="solid"/>
              </v:shape>
            </v:group>
            <v:group style="position:absolute;left:5418;top:4017;width:1007;height:392" coordorigin="5418,4017" coordsize="1007,392">
              <v:shape style="position:absolute;left:5418;top:4017;width:1007;height:392" coordorigin="5418,4017" coordsize="1007,392" path="m5418,4408l6424,4408,6424,4017,5418,4017,5418,4408xe" filled="true" fillcolor="#ffffff" stroked="false">
                <v:path arrowok="t"/>
                <v:fill type="solid"/>
              </v:shape>
            </v:group>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4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 圳标准专项 资金资助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博士后设站 单位日常经 费补助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30"/>
              <w:jc w:val="left"/>
              <w:rPr>
                <w:rFonts w:ascii="宋体" w:hAnsi="宋体" w:cs="宋体" w:eastAsia="宋体" w:hint="default"/>
                <w:sz w:val="18"/>
                <w:szCs w:val="18"/>
              </w:rPr>
            </w:pPr>
            <w:r>
              <w:rPr>
                <w:rFonts w:ascii="宋体" w:hAnsi="宋体" w:cs="宋体" w:eastAsia="宋体" w:hint="default"/>
                <w:sz w:val="18"/>
                <w:szCs w:val="18"/>
              </w:rPr>
              <w:t>产业资金支 持标准化战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福田区政府 产业资金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27"/>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before="7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pStyle w:val="BodyText"/>
        <w:tabs>
          <w:tab w:pos="3374" w:val="left" w:leader="none"/>
        </w:tabs>
        <w:spacing w:line="240" w:lineRule="auto" w:before="44"/>
        <w:ind w:left="181" w:right="0"/>
        <w:jc w:val="left"/>
      </w:pPr>
      <w:r>
        <w:rPr/>
        <w:t>略分项</w:t>
        <w:tab/>
        <w:t>改造等获得</w:t>
      </w:r>
    </w:p>
    <w:p>
      <w:pPr>
        <w:pStyle w:val="BodyText"/>
        <w:spacing w:line="240" w:lineRule="auto" w:before="77"/>
        <w:ind w:left="2071" w:right="4726"/>
        <w:jc w:val="center"/>
      </w:pPr>
      <w:r>
        <w:rPr/>
        <w:t>的补助</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spacing w:val="-12"/>
        </w:rPr>
        <w:t>建科大楼（节</w:t>
      </w:r>
      <w:r>
        <w:rPr/>
        <w:t> 能贴息）</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7" w:right="-19"/>
        <w:jc w:val="left"/>
      </w:pPr>
      <w:r>
        <w:rPr/>
        <w:t>科技工贸和 信息化委员</w:t>
      </w:r>
      <w:r>
        <w:rPr>
          <w:spacing w:val="73"/>
        </w:rPr>
        <w:t> </w:t>
      </w:r>
      <w:r>
        <w:rPr/>
        <w:t>补助</w:t>
      </w:r>
      <w:r>
        <w:rPr/>
        <w:t> 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spacing w:val="-1"/>
        </w:rPr>
        <w:t>101,650.88</w:t>
        <w:tab/>
        <w:t>101,650.88</w:t>
      </w:r>
      <w:r>
        <w:rPr>
          <w:rFonts w:ascii="Times New Roman" w:hAnsi="Times New Roman" w:cs="Times New Roman" w:eastAsia="Times New Roman" w:hint="default"/>
          <w:spacing w:val="18"/>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90" w:space="40"/>
            <w:col w:w="1442"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20"/>
        <w:jc w:val="left"/>
      </w:pPr>
      <w:r>
        <w:rPr/>
        <w:t>绿色建筑节 能示范工程</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深圳市建设</w:t>
      </w:r>
    </w:p>
    <w:p>
      <w:pPr>
        <w:pStyle w:val="BodyText"/>
        <w:spacing w:line="172" w:lineRule="exact"/>
        <w:ind w:left="0" w:right="0"/>
        <w:jc w:val="right"/>
      </w:pPr>
      <w:r>
        <w:rPr/>
        <w:t>补助</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657" w:val="left" w:leader="none"/>
          <w:tab w:pos="4720" w:val="left" w:leader="none"/>
        </w:tabs>
        <w:spacing w:line="95" w:lineRule="exact"/>
        <w:ind w:left="1244" w:right="0"/>
        <w:jc w:val="left"/>
      </w:pPr>
      <w:r>
        <w:rPr/>
        <w:t>否</w:t>
        <w:tab/>
        <w:t>否</w:t>
        <w:tab/>
      </w:r>
      <w:r>
        <w:rPr>
          <w:rFonts w:ascii="Times New Roman" w:hAnsi="Times New Roman" w:cs="Times New Roman" w:eastAsia="Times New Roman" w:hint="default"/>
          <w:spacing w:val="-1"/>
        </w:rPr>
        <w:t>20,000.00</w:t>
        <w:tab/>
        <w:t>20,000.00</w:t>
      </w:r>
      <w:r>
        <w:rPr>
          <w:rFonts w:ascii="Times New Roman" w:hAnsi="Times New Roman" w:cs="Times New Roman" w:eastAsia="Times New Roman" w:hint="default"/>
          <w:spacing w:val="16"/>
        </w:rPr>
        <w:t> </w:t>
      </w:r>
      <w:r>
        <w:rPr/>
        <w:t>与资产相关</w:t>
      </w:r>
    </w:p>
    <w:p>
      <w:pPr>
        <w:spacing w:after="0" w:line="95" w:lineRule="exact"/>
        <w:jc w:val="left"/>
        <w:sectPr>
          <w:type w:val="continuous"/>
          <w:pgSz w:w="11910" w:h="16840"/>
          <w:pgMar w:top="1060" w:bottom="1160" w:left="980" w:right="980"/>
          <w:cols w:num="3" w:equalWidth="0">
            <w:col w:w="1082" w:space="40"/>
            <w:col w:w="1550" w:space="522"/>
            <w:col w:w="6756"/>
          </w:cols>
        </w:sectPr>
      </w:pPr>
    </w:p>
    <w:p>
      <w:pPr>
        <w:pStyle w:val="BodyText"/>
        <w:spacing w:line="180" w:lineRule="exact"/>
        <w:ind w:left="181" w:right="-20"/>
        <w:jc w:val="left"/>
      </w:pPr>
      <w:r>
        <w:rPr>
          <w:spacing w:val="-12"/>
        </w:rPr>
        <w:t>补贴（建科大</w:t>
      </w:r>
      <w:r>
        <w:rPr>
          <w:spacing w:val="-32"/>
        </w:rPr>
        <w:t> </w:t>
      </w:r>
      <w:r>
        <w:rPr/>
        <w:t>局</w:t>
      </w:r>
    </w:p>
    <w:p>
      <w:pPr>
        <w:pStyle w:val="BodyText"/>
        <w:spacing w:line="240" w:lineRule="auto" w:before="76"/>
        <w:ind w:left="181" w:right="-20"/>
        <w:jc w:val="left"/>
      </w:pPr>
      <w:r>
        <w:rPr/>
        <w:t>楼）</w:t>
      </w:r>
    </w:p>
    <w:p>
      <w:pPr>
        <w:pStyle w:val="BodyText"/>
        <w:spacing w:line="180" w:lineRule="exact"/>
        <w:ind w:left="181" w:right="5472"/>
        <w:jc w:val="left"/>
      </w:pPr>
      <w:r>
        <w:rPr/>
        <w:br w:type="column"/>
      </w: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2" w:equalWidth="0">
            <w:col w:w="1428" w:space="1765"/>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19" w:lineRule="auto"/>
        <w:ind w:left="181" w:right="-20"/>
        <w:jc w:val="left"/>
      </w:pPr>
      <w:r>
        <w:rPr/>
        <w:t>可再生能源 建筑应用示</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深圳市财政</w:t>
      </w:r>
    </w:p>
    <w:p>
      <w:pPr>
        <w:pStyle w:val="BodyText"/>
        <w:spacing w:line="156" w:lineRule="exact"/>
        <w:ind w:left="0" w:right="0"/>
        <w:jc w:val="right"/>
      </w:pPr>
      <w:r>
        <w:rPr/>
        <w:t>补助</w:t>
      </w:r>
    </w:p>
    <w:p>
      <w:pPr>
        <w:pStyle w:val="BodyText"/>
        <w:spacing w:line="172" w:lineRule="exact"/>
        <w:ind w:left="125" w:right="-19"/>
        <w:jc w:val="left"/>
      </w:pPr>
      <w:r>
        <w:rPr/>
        <w:t>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4629" w:val="left" w:leader="none"/>
        </w:tabs>
        <w:spacing w:line="87" w:lineRule="exact"/>
        <w:ind w:left="1244" w:right="0"/>
        <w:jc w:val="left"/>
      </w:pPr>
      <w:r>
        <w:rPr/>
        <w:t>否</w:t>
        <w:tab/>
        <w:t>否</w:t>
        <w:tab/>
      </w:r>
      <w:r>
        <w:rPr>
          <w:rFonts w:ascii="Times New Roman" w:hAnsi="Times New Roman" w:cs="Times New Roman" w:eastAsia="Times New Roman" w:hint="default"/>
          <w:spacing w:val="-1"/>
        </w:rPr>
        <w:t>272,058.84</w:t>
        <w:tab/>
        <w:t>272,058.84</w:t>
      </w:r>
      <w:r>
        <w:rPr>
          <w:rFonts w:ascii="Times New Roman" w:hAnsi="Times New Roman" w:cs="Times New Roman" w:eastAsia="Times New Roman" w:hint="default"/>
          <w:spacing w:val="18"/>
        </w:rPr>
        <w:t> </w:t>
      </w:r>
      <w:r>
        <w:rPr/>
        <w:t>与资产相关</w:t>
      </w:r>
    </w:p>
    <w:p>
      <w:pPr>
        <w:pStyle w:val="BodyText"/>
        <w:spacing w:line="165" w:lineRule="exact"/>
        <w:ind w:left="181" w:right="5472"/>
        <w:jc w:val="left"/>
      </w:pPr>
      <w:r>
        <w:rPr/>
        <w:t>改造等获得</w:t>
      </w:r>
    </w:p>
    <w:p>
      <w:pPr>
        <w:spacing w:after="0" w:line="165" w:lineRule="exact"/>
        <w:jc w:val="left"/>
        <w:sectPr>
          <w:type w:val="continuous"/>
          <w:pgSz w:w="11910" w:h="16840"/>
          <w:pgMar w:top="1060" w:bottom="1160" w:left="980" w:right="980"/>
          <w:cols w:num="3" w:equalWidth="0">
            <w:col w:w="1082" w:space="40"/>
            <w:col w:w="1550" w:space="522"/>
            <w:col w:w="6756"/>
          </w:cols>
        </w:sectPr>
      </w:pPr>
    </w:p>
    <w:p>
      <w:pPr>
        <w:pStyle w:val="BodyText"/>
        <w:spacing w:line="180" w:lineRule="exact"/>
        <w:ind w:left="181" w:right="-20"/>
        <w:jc w:val="left"/>
      </w:pPr>
      <w:r>
        <w:rPr/>
        <w:t>范（财政部）</w:t>
      </w:r>
    </w:p>
    <w:p>
      <w:pPr>
        <w:spacing w:before="100"/>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262" w:space="1931"/>
            <w:col w:w="6757"/>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0"/>
        <w:jc w:val="both"/>
      </w:pPr>
      <w:r>
        <w:rPr/>
        <w:t>福田区产业 发展专项资 金总部认定 支持奖励金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福田区政府</w:t>
      </w:r>
    </w:p>
    <w:p>
      <w:pPr>
        <w:pStyle w:val="BodyText"/>
        <w:spacing w:line="156" w:lineRule="exact"/>
        <w:ind w:left="0" w:right="0"/>
        <w:jc w:val="right"/>
      </w:pPr>
      <w:r>
        <w:rPr/>
        <w:t>补助</w:t>
      </w:r>
    </w:p>
    <w:p>
      <w:pPr>
        <w:pStyle w:val="BodyText"/>
        <w:spacing w:line="196" w:lineRule="exact"/>
        <w:ind w:left="125" w:right="-19"/>
        <w:jc w:val="left"/>
      </w:pPr>
      <w:r>
        <w:rPr/>
        <w:t>产业资金</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6" w:lineRule="exact"/>
        <w:ind w:left="1244" w:right="0"/>
        <w:jc w:val="left"/>
      </w:pPr>
      <w:r>
        <w:rPr/>
        <w:t>否</w:t>
        <w:tab/>
        <w:t>否</w:t>
        <w:tab/>
      </w:r>
      <w:r>
        <w:rPr>
          <w:rFonts w:ascii="Times New Roman" w:hAnsi="Times New Roman" w:cs="Times New Roman" w:eastAsia="Times New Roman" w:hint="default"/>
          <w:spacing w:val="-1"/>
        </w:rPr>
        <w:t>500,000.00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4" w:lineRule="auto" w:before="110"/>
        <w:ind w:left="181" w:right="0"/>
        <w:jc w:val="both"/>
      </w:pPr>
      <w:r>
        <w:rPr/>
        <w:t>福田区产业 发展专项资 金企业上市 挂牌</w:t>
      </w:r>
      <w:r>
        <w:rPr>
          <w:rFonts w:ascii="Times New Roman" w:hAnsi="Times New Roman" w:cs="Times New Roman" w:eastAsia="Times New Roman" w:hint="default"/>
        </w:rPr>
        <w:t>-</w:t>
      </w:r>
      <w:r>
        <w:rPr/>
        <w:t>境内上 市支持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316" w:lineRule="auto"/>
        <w:ind w:left="65" w:right="7779"/>
        <w:jc w:val="left"/>
      </w:pPr>
      <w:r>
        <w:rPr/>
        <w:pict>
          <v:shape style="position:absolute;margin-left:163.100006pt;margin-top:-9.622664pt;width:367.15pt;height:127.3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4"/>
                    <w:gridCol w:w="1063"/>
                    <w:gridCol w:w="1061"/>
                    <w:gridCol w:w="1063"/>
                    <w:gridCol w:w="1063"/>
                    <w:gridCol w:w="1064"/>
                    <w:gridCol w:w="964"/>
                  </w:tblGrid>
                  <w:tr>
                    <w:trPr>
                      <w:trHeight w:val="655" w:hRule="exact"/>
                    </w:trPr>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36"/>
                          <w:ind w:left="28" w:right="132"/>
                          <w:jc w:val="left"/>
                          <w:rPr>
                            <w:rFonts w:ascii="宋体" w:hAnsi="宋体" w:cs="宋体" w:eastAsia="宋体" w:hint="default"/>
                            <w:sz w:val="18"/>
                            <w:szCs w:val="18"/>
                          </w:rPr>
                        </w:pPr>
                        <w:r>
                          <w:rPr>
                            <w:rFonts w:ascii="宋体" w:hAnsi="宋体" w:cs="宋体" w:eastAsia="宋体" w:hint="default"/>
                            <w:sz w:val="18"/>
                            <w:szCs w:val="18"/>
                          </w:rPr>
                          <w:t>奖励上市而 给予的政府</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5" w:hRule="exact"/>
                    </w:trPr>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668" w:hRule="exact"/>
                    </w:trPr>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奖励上市而</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558" w:hRule="exact"/>
                    </w:trPr>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给予的政府</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1,200,000.00</w:t>
                        </w:r>
                      </w:p>
                    </w:tc>
                    <w:tc>
                      <w:tcPr>
                        <w:tcW w:w="1064"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
              </w:txbxContent>
            </v:textbox>
            <w10:wrap type="none"/>
          </v:shape>
        </w:pict>
      </w:r>
      <w:r>
        <w:rPr/>
        <w:t>福田区政府 产业资金</w:t>
      </w:r>
    </w:p>
    <w:p>
      <w:pPr>
        <w:spacing w:after="0" w:line="316" w:lineRule="auto"/>
        <w:jc w:val="left"/>
        <w:sectPr>
          <w:type w:val="continuous"/>
          <w:pgSz w:w="11910" w:h="16840"/>
          <w:pgMar w:top="1060" w:bottom="1160" w:left="980" w:right="980"/>
          <w:cols w:num="2" w:equalWidth="0">
            <w:col w:w="1143" w:space="40"/>
            <w:col w:w="8767"/>
          </w:cols>
        </w:sectPr>
      </w:pPr>
    </w:p>
    <w:p>
      <w:pPr>
        <w:pStyle w:val="BodyText"/>
        <w:spacing w:line="309" w:lineRule="auto" w:before="110"/>
        <w:ind w:left="181" w:right="0"/>
        <w:jc w:val="both"/>
      </w:pPr>
      <w:r>
        <w:rPr/>
        <w:t>福田区产业 发展专项资 金</w:t>
      </w:r>
      <w:r>
        <w:rPr>
          <w:rFonts w:ascii="Times New Roman" w:hAnsi="Times New Roman" w:cs="Times New Roman" w:eastAsia="Times New Roman" w:hint="default"/>
        </w:rPr>
        <w:t>-</w:t>
      </w:r>
      <w:r>
        <w:rPr/>
        <w:t>支持上市 企业</w:t>
      </w:r>
      <w:r>
        <w:rPr>
          <w:rFonts w:ascii="Times New Roman" w:hAnsi="Times New Roman" w:cs="Times New Roman" w:eastAsia="Times New Roman" w:hint="default"/>
        </w:rPr>
        <w:t>-</w:t>
      </w:r>
      <w:r>
        <w:rPr/>
        <w:t>完成境 内上市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316" w:lineRule="auto"/>
        <w:ind w:left="65" w:right="7779"/>
        <w:jc w:val="left"/>
      </w:pPr>
      <w:r>
        <w:rPr/>
        <w:t>福田区政府 产业资金</w:t>
      </w:r>
    </w:p>
    <w:p>
      <w:pPr>
        <w:spacing w:after="0" w:line="316" w:lineRule="auto"/>
        <w:jc w:val="left"/>
        <w:sectPr>
          <w:type w:val="continuous"/>
          <w:pgSz w:w="11910" w:h="16840"/>
          <w:pgMar w:top="1060" w:bottom="1160" w:left="980" w:right="980"/>
          <w:cols w:num="2" w:equalWidth="0">
            <w:col w:w="1143" w:space="40"/>
            <w:col w:w="8767"/>
          </w:cols>
        </w:sect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16" w:lineRule="auto"/>
        <w:ind w:left="181" w:right="-20"/>
        <w:jc w:val="left"/>
      </w:pPr>
      <w:r>
        <w:rPr/>
        <w:t>上海市科技 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pStyle w:val="BodyText"/>
        <w:spacing w:line="196" w:lineRule="exact"/>
        <w:ind w:left="125" w:right="-19"/>
        <w:jc w:val="left"/>
      </w:pPr>
      <w:r>
        <w:rPr/>
        <w:t>上海市科技</w:t>
      </w:r>
    </w:p>
    <w:p>
      <w:pPr>
        <w:pStyle w:val="BodyText"/>
        <w:spacing w:line="156" w:lineRule="exact"/>
        <w:ind w:left="0" w:right="0"/>
        <w:jc w:val="right"/>
      </w:pPr>
      <w:r>
        <w:rPr/>
        <w:t>补助</w:t>
      </w:r>
    </w:p>
    <w:p>
      <w:pPr>
        <w:pStyle w:val="BodyText"/>
        <w:spacing w:line="196" w:lineRule="exact"/>
        <w:ind w:left="125" w:right="-19"/>
        <w:jc w:val="left"/>
      </w:pPr>
      <w:r>
        <w:rPr/>
        <w:t>专项资金</w:t>
      </w:r>
    </w:p>
    <w:p>
      <w:pPr>
        <w:pStyle w:val="BodyText"/>
        <w:spacing w:line="310" w:lineRule="atLeast" w:before="41"/>
        <w:ind w:left="181" w:right="5472"/>
        <w:jc w:val="left"/>
      </w:pPr>
      <w:r>
        <w:rPr/>
        <w:br w:type="column"/>
      </w:r>
      <w:r>
        <w:rPr/>
        <w:t>因研究开发、 技术更新及</w:t>
      </w:r>
    </w:p>
    <w:p>
      <w:pPr>
        <w:pStyle w:val="BodyText"/>
        <w:tabs>
          <w:tab w:pos="2308" w:val="left" w:leader="none"/>
          <w:tab w:pos="3657" w:val="left" w:leader="none"/>
          <w:tab w:pos="5496" w:val="left" w:leader="none"/>
        </w:tabs>
        <w:spacing w:line="123" w:lineRule="exact"/>
        <w:ind w:left="1244" w:right="0"/>
        <w:jc w:val="left"/>
      </w:pPr>
      <w:r>
        <w:rPr/>
        <w:t>否</w:t>
        <w:tab/>
        <w:t>否</w:t>
        <w:tab/>
      </w:r>
      <w:r>
        <w:rPr>
          <w:rFonts w:ascii="Times New Roman" w:hAnsi="Times New Roman" w:cs="Times New Roman" w:eastAsia="Times New Roman" w:hint="default"/>
          <w:spacing w:val="-1"/>
        </w:rPr>
        <w:t>28,000.00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20"/>
        <w:jc w:val="left"/>
      </w:pPr>
      <w:r>
        <w:rPr/>
        <w:t>福田英才荟 博士后工作</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福田区科技</w:t>
      </w:r>
    </w:p>
    <w:p>
      <w:pPr>
        <w:pStyle w:val="BodyText"/>
        <w:spacing w:line="172" w:lineRule="exact"/>
        <w:ind w:left="0" w:right="0"/>
        <w:jc w:val="right"/>
      </w:pPr>
      <w:r>
        <w:rPr/>
        <w:t>补助</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657" w:val="left" w:leader="none"/>
          <w:tab w:pos="5496" w:val="left" w:leader="none"/>
        </w:tabs>
        <w:spacing w:line="96" w:lineRule="exact"/>
        <w:ind w:left="1244" w:right="0"/>
        <w:jc w:val="left"/>
      </w:pPr>
      <w:r>
        <w:rPr/>
        <w:t>否</w:t>
        <w:tab/>
        <w:t>否</w:t>
        <w:tab/>
      </w:r>
      <w:r>
        <w:rPr>
          <w:rFonts w:ascii="Times New Roman" w:hAnsi="Times New Roman" w:cs="Times New Roman" w:eastAsia="Times New Roman" w:hint="default"/>
          <w:spacing w:val="-1"/>
        </w:rPr>
        <w:t>40,000.00</w:t>
        <w:tab/>
      </w:r>
      <w:r>
        <w:rPr/>
        <w:t>与收益相关</w:t>
      </w:r>
    </w:p>
    <w:p>
      <w:pPr>
        <w:spacing w:after="0" w:line="96" w:lineRule="exact"/>
        <w:jc w:val="left"/>
        <w:sectPr>
          <w:type w:val="continuous"/>
          <w:pgSz w:w="11910" w:h="16840"/>
          <w:pgMar w:top="1060" w:bottom="1160" w:left="980" w:right="980"/>
          <w:cols w:num="3" w:equalWidth="0">
            <w:col w:w="1082" w:space="40"/>
            <w:col w:w="1550" w:space="522"/>
            <w:col w:w="6756"/>
          </w:cols>
        </w:sectPr>
      </w:pPr>
    </w:p>
    <w:p>
      <w:pPr>
        <w:pStyle w:val="BodyText"/>
        <w:spacing w:line="180" w:lineRule="exact"/>
        <w:ind w:left="181" w:right="-20"/>
        <w:jc w:val="left"/>
      </w:pPr>
      <w:r>
        <w:rPr>
          <w:spacing w:val="-12"/>
        </w:rPr>
        <w:t>站（创新实验</w:t>
      </w:r>
      <w:r>
        <w:rPr>
          <w:spacing w:val="-32"/>
        </w:rPr>
        <w:t> </w:t>
      </w:r>
      <w:r>
        <w:rPr/>
        <w:t>创新局</w:t>
      </w:r>
    </w:p>
    <w:p>
      <w:pPr>
        <w:pStyle w:val="BodyText"/>
        <w:spacing w:line="240" w:lineRule="auto" w:before="76"/>
        <w:ind w:left="181" w:right="-20"/>
        <w:jc w:val="left"/>
      </w:pPr>
      <w:r>
        <w:rPr/>
        <w:t>基地）</w:t>
      </w:r>
    </w:p>
    <w:p>
      <w:pPr>
        <w:pStyle w:val="BodyText"/>
        <w:spacing w:line="180" w:lineRule="exact"/>
        <w:ind w:left="181" w:right="5472"/>
        <w:jc w:val="left"/>
      </w:pPr>
      <w:r>
        <w:rPr/>
        <w:br w:type="column"/>
      </w: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2" w:equalWidth="0">
            <w:col w:w="1788" w:space="1405"/>
            <w:col w:w="6757"/>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2" w:lineRule="auto" w:before="44"/>
        <w:ind w:left="181"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年国家 高新技术企 业认定激励 扶持资金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福田区科技</w:t>
      </w:r>
    </w:p>
    <w:p>
      <w:pPr>
        <w:pStyle w:val="BodyText"/>
        <w:spacing w:line="156" w:lineRule="exact"/>
        <w:ind w:left="0" w:right="0"/>
        <w:jc w:val="right"/>
      </w:pPr>
      <w:r>
        <w:rPr/>
        <w:t>补助</w:t>
      </w:r>
    </w:p>
    <w:p>
      <w:pPr>
        <w:pStyle w:val="BodyText"/>
        <w:spacing w:line="196" w:lineRule="exact"/>
        <w:ind w:left="77" w:right="0"/>
        <w:jc w:val="left"/>
      </w:pPr>
      <w:r>
        <w:rPr/>
        <w:t>创新局</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86" w:lineRule="exact"/>
        <w:ind w:left="1244" w:right="0"/>
        <w:jc w:val="left"/>
      </w:pPr>
      <w:r>
        <w:rPr/>
        <w:t>否</w:t>
        <w:tab/>
        <w:t>否</w:t>
        <w:tab/>
      </w:r>
      <w:r>
        <w:rPr>
          <w:rFonts w:ascii="Times New Roman" w:hAnsi="Times New Roman" w:cs="Times New Roman" w:eastAsia="Times New Roman" w:hint="default"/>
          <w:spacing w:val="-1"/>
        </w:rPr>
        <w:t>200,000.00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pStyle w:val="BodyText"/>
        <w:tabs>
          <w:tab w:pos="3374" w:val="left" w:leader="none"/>
          <w:tab w:pos="5501" w:val="left" w:leader="none"/>
          <w:tab w:pos="6850" w:val="left" w:leader="none"/>
          <w:tab w:pos="7822" w:val="left" w:leader="none"/>
        </w:tabs>
        <w:spacing w:line="240" w:lineRule="auto" w:before="111"/>
        <w:ind w:left="181" w:right="0"/>
        <w:jc w:val="left"/>
      </w:pPr>
      <w:r>
        <w:rPr/>
        <w:pict>
          <v:group style="position:absolute;margin-left:56.400002pt;margin-top:71.759979pt;width:479.05pt;height:688.2pt;mso-position-horizontal-relative:page;mso-position-vertical-relative:page;z-index:-1294000" coordorigin="1128,1435" coordsize="9581,13764">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2124;width:1055;height:1328" coordorigin="5394,2124" coordsize="1055,1328">
              <v:shape style="position:absolute;left:5394;top:2124;width:1055;height:1328" coordorigin="5394,2124" coordsize="1055,1328" path="m5394,3452l6448,3452,6448,2124,5394,2124,5394,3452xe" filled="true" fillcolor="#ffffff" stroked="false">
                <v:path arrowok="t"/>
                <v:fill type="solid"/>
              </v:shape>
            </v:group>
            <v:group style="position:absolute;left:5418;top:2592;width:1007;height:392" coordorigin="5418,2592" coordsize="1007,392">
              <v:shape style="position:absolute;left:5418;top:2592;width:1007;height:392" coordorigin="5418,2592" coordsize="1007,392" path="m5418,2984l6424,2984,6424,2592,5418,2592,5418,2984xe" filled="true" fillcolor="#ffffff" stroked="false">
                <v:path arrowok="t"/>
                <v:fill type="solid"/>
              </v:shape>
            </v:group>
            <v:group style="position:absolute;left:1138;top:2120;width:1057;height:2" coordorigin="1138,2120" coordsize="1057,2">
              <v:shape style="position:absolute;left:1138;top:2120;width:1057;height:2" coordorigin="1138,2120" coordsize="1057,0" path="m1138,2120l2194,2120e" filled="false" stroked="true" strokeweight=".48pt" strokecolor="#000000">
                <v:path arrowok="t"/>
              </v:shape>
            </v:group>
            <v:group style="position:absolute;left:2204;top:2120;width:1054;height:2" coordorigin="2204,2120" coordsize="1054,2">
              <v:shape style="position:absolute;left:2204;top:2120;width:1054;height:2" coordorigin="2204,2120" coordsize="1054,0" path="m2204,2120l3257,2120e" filled="false" stroked="true" strokeweight=".48pt" strokecolor="#000000">
                <v:path arrowok="t"/>
              </v:shape>
            </v:group>
            <v:group style="position:absolute;left:3267;top:2120;width:1055;height:2" coordorigin="3267,2120" coordsize="1055,2">
              <v:shape style="position:absolute;left:3267;top:2120;width:1055;height:2" coordorigin="3267,2120" coordsize="1055,0" path="m3267,2120l4321,2120e" filled="false" stroked="true" strokeweight=".48pt" strokecolor="#000000">
                <v:path arrowok="t"/>
              </v:shape>
            </v:group>
            <v:group style="position:absolute;left:4331;top:2120;width:1054;height:2" coordorigin="4331,2120" coordsize="1054,2">
              <v:shape style="position:absolute;left:4331;top:2120;width:1054;height:2" coordorigin="4331,2120" coordsize="1054,0" path="m4331,2120l5384,2120e" filled="false" stroked="true" strokeweight=".48pt" strokecolor="#000000">
                <v:path arrowok="t"/>
              </v:shape>
            </v:group>
            <v:group style="position:absolute;left:5394;top:2120;width:1052;height:2" coordorigin="5394,2120" coordsize="1052,2">
              <v:shape style="position:absolute;left:5394;top:2120;width:1052;height:2" coordorigin="5394,2120" coordsize="1052,0" path="m5394,2120l6445,2120e" filled="false" stroked="true" strokeweight=".48pt" strokecolor="#000000">
                <v:path arrowok="t"/>
              </v:shape>
            </v:group>
            <v:group style="position:absolute;left:6455;top:2120;width:1054;height:2" coordorigin="6455,2120" coordsize="1054,2">
              <v:shape style="position:absolute;left:6455;top:2120;width:1054;height:2" coordorigin="6455,2120" coordsize="1054,0" path="m6455,2120l7509,2120e" filled="false" stroked="true" strokeweight=".48pt" strokecolor="#000000">
                <v:path arrowok="t"/>
              </v:shape>
            </v:group>
            <v:group style="position:absolute;left:7518;top:2120;width:1054;height:2" coordorigin="7518,2120" coordsize="1054,2">
              <v:shape style="position:absolute;left:7518;top:2120;width:1054;height:2" coordorigin="7518,2120" coordsize="1054,0" path="m7518,2120l8572,2120e" filled="false" stroked="true" strokeweight=".48pt" strokecolor="#000000">
                <v:path arrowok="t"/>
              </v:shape>
            </v:group>
            <v:group style="position:absolute;left:8581;top:2120;width:1055;height:2" coordorigin="8581,2120" coordsize="1055,2">
              <v:shape style="position:absolute;left:8581;top:2120;width:1055;height:2" coordorigin="8581,2120" coordsize="1055,0" path="m8581,2120l9635,2120e" filled="false" stroked="true" strokeweight=".48pt" strokecolor="#000000">
                <v:path arrowok="t"/>
              </v:shape>
            </v:group>
            <v:group style="position:absolute;left:9645;top:2120;width:1054;height:2" coordorigin="9645,2120" coordsize="1054,2">
              <v:shape style="position:absolute;left:9645;top:2120;width:1054;height:2" coordorigin="9645,2120" coordsize="1054,0" path="m9645,2120l10699,2120e" filled="false" stroked="true" strokeweight=".48pt" strokecolor="#000000">
                <v:path arrowok="t"/>
              </v:shape>
            </v:group>
            <v:group style="position:absolute;left:5394;top:3461;width:1055;height:1330" coordorigin="5394,3461" coordsize="1055,1330">
              <v:shape style="position:absolute;left:5394;top:3461;width:1055;height:1330" coordorigin="5394,3461" coordsize="1055,1330" path="m5394,4791l6448,4791,6448,3461,5394,3461,5394,4791xe" filled="true" fillcolor="#ffffff" stroked="false">
                <v:path arrowok="t"/>
                <v:fill type="solid"/>
              </v:shape>
            </v:group>
            <v:group style="position:absolute;left:5418;top:3929;width:1007;height:394" coordorigin="5418,3929" coordsize="1007,394">
              <v:shape style="position:absolute;left:5418;top:3929;width:1007;height:394" coordorigin="5418,3929" coordsize="1007,394" path="m5418,4323l6424,4323,6424,3929,5418,3929,5418,4323xe" filled="true" fillcolor="#ffffff" stroked="false">
                <v:path arrowok="t"/>
                <v:fill type="solid"/>
              </v:shape>
            </v:group>
            <v:group style="position:absolute;left:1138;top:3456;width:1057;height:2" coordorigin="1138,3456" coordsize="1057,2">
              <v:shape style="position:absolute;left:1138;top:3456;width:1057;height:2" coordorigin="1138,3456" coordsize="1057,0" path="m1138,3456l2194,3456e" filled="false" stroked="true" strokeweight=".48pt" strokecolor="#000000">
                <v:path arrowok="t"/>
              </v:shape>
            </v:group>
            <v:group style="position:absolute;left:2204;top:3456;width:1054;height:2" coordorigin="2204,3456" coordsize="1054,2">
              <v:shape style="position:absolute;left:2204;top:3456;width:1054;height:2" coordorigin="2204,3456" coordsize="1054,0" path="m2204,3456l3257,3456e" filled="false" stroked="true" strokeweight=".48pt" strokecolor="#000000">
                <v:path arrowok="t"/>
              </v:shape>
            </v:group>
            <v:group style="position:absolute;left:3267;top:3456;width:1055;height:2" coordorigin="3267,3456" coordsize="1055,2">
              <v:shape style="position:absolute;left:3267;top:3456;width:1055;height:2" coordorigin="3267,3456" coordsize="1055,0" path="m3267,3456l4321,3456e" filled="false" stroked="true" strokeweight=".48pt" strokecolor="#000000">
                <v:path arrowok="t"/>
              </v:shape>
            </v:group>
            <v:group style="position:absolute;left:4331;top:3456;width:1054;height:2" coordorigin="4331,3456" coordsize="1054,2">
              <v:shape style="position:absolute;left:4331;top:3456;width:1054;height:2" coordorigin="4331,3456" coordsize="1054,0" path="m4331,3456l5384,3456e" filled="false" stroked="true" strokeweight=".48pt" strokecolor="#000000">
                <v:path arrowok="t"/>
              </v:shape>
            </v:group>
            <v:group style="position:absolute;left:5394;top:3456;width:1052;height:2" coordorigin="5394,3456" coordsize="1052,2">
              <v:shape style="position:absolute;left:5394;top:3456;width:1052;height:2" coordorigin="5394,3456" coordsize="1052,0" path="m5394,3456l6445,3456e" filled="false" stroked="true" strokeweight=".48pt" strokecolor="#000000">
                <v:path arrowok="t"/>
              </v:shape>
            </v:group>
            <v:group style="position:absolute;left:6455;top:3456;width:1054;height:2" coordorigin="6455,3456" coordsize="1054,2">
              <v:shape style="position:absolute;left:6455;top:3456;width:1054;height:2" coordorigin="6455,3456" coordsize="1054,0" path="m6455,3456l7509,3456e" filled="false" stroked="true" strokeweight=".48pt" strokecolor="#000000">
                <v:path arrowok="t"/>
              </v:shape>
            </v:group>
            <v:group style="position:absolute;left:7518;top:3456;width:1054;height:2" coordorigin="7518,3456" coordsize="1054,2">
              <v:shape style="position:absolute;left:7518;top:3456;width:1054;height:2" coordorigin="7518,3456" coordsize="1054,0" path="m7518,3456l8572,3456e" filled="false" stroked="true" strokeweight=".48pt" strokecolor="#000000">
                <v:path arrowok="t"/>
              </v:shape>
            </v:group>
            <v:group style="position:absolute;left:8581;top:3456;width:1055;height:2" coordorigin="8581,3456" coordsize="1055,2">
              <v:shape style="position:absolute;left:8581;top:3456;width:1055;height:2" coordorigin="8581,3456" coordsize="1055,0" path="m8581,3456l9635,3456e" filled="false" stroked="true" strokeweight=".48pt" strokecolor="#000000">
                <v:path arrowok="t"/>
              </v:shape>
            </v:group>
            <v:group style="position:absolute;left:9645;top:3456;width:1054;height:2" coordorigin="9645,3456" coordsize="1054,2">
              <v:shape style="position:absolute;left:9645;top:3456;width:1054;height:2" coordorigin="9645,3456" coordsize="1054,0" path="m9645,3456l10699,3456e" filled="false" stroked="true" strokeweight=".48pt" strokecolor="#000000">
                <v:path arrowok="t"/>
              </v:shape>
            </v:group>
            <v:group style="position:absolute;left:2204;top:4801;width:1054;height:1328" coordorigin="2204,4801" coordsize="1054,1328">
              <v:shape style="position:absolute;left:2204;top:4801;width:1054;height:1328" coordorigin="2204,4801" coordsize="1054,1328" path="m2204,6128l3257,6128,3257,4801,2204,4801,2204,6128xe" filled="true" fillcolor="#ffffff" stroked="false">
                <v:path arrowok="t"/>
                <v:fill type="solid"/>
              </v:shape>
            </v:group>
            <v:group style="position:absolute;left:2228;top:5113;width:1006;height:354" coordorigin="2228,5113" coordsize="1006,354">
              <v:shape style="position:absolute;left:2228;top:5113;width:1006;height:354" coordorigin="2228,5113" coordsize="1006,354" path="m2228,5466l3233,5466,3233,5113,2228,5113,2228,5466xe" filled="true" fillcolor="#ffffff" stroked="false">
                <v:path arrowok="t"/>
                <v:fill type="solid"/>
              </v:shape>
            </v:group>
            <v:group style="position:absolute;left:2228;top:5466;width:1006;height:351" coordorigin="2228,5466" coordsize="1006,351">
              <v:shape style="position:absolute;left:2228;top:5466;width:1006;height:351" coordorigin="2228,5466" coordsize="1006,351" path="m2228,5816l3233,5816,3233,5466,2228,5466,2228,5816xe" filled="true" fillcolor="#ffffff" stroked="false">
                <v:path arrowok="t"/>
                <v:fill type="solid"/>
              </v:shape>
            </v:group>
            <v:group style="position:absolute;left:5394;top:4801;width:1055;height:1328" coordorigin="5394,4801" coordsize="1055,1328">
              <v:shape style="position:absolute;left:5394;top:4801;width:1055;height:1328" coordorigin="5394,4801" coordsize="1055,1328" path="m5394,6128l6448,6128,6448,4801,5394,4801,5394,6128xe" filled="true" fillcolor="#ffffff" stroked="false">
                <v:path arrowok="t"/>
                <v:fill type="solid"/>
              </v:shape>
            </v:group>
            <v:group style="position:absolute;left:5418;top:5269;width:1007;height:392" coordorigin="5418,5269" coordsize="1007,392">
              <v:shape style="position:absolute;left:5418;top:5269;width:1007;height:392" coordorigin="5418,5269" coordsize="1007,392" path="m5418,5660l6424,5660,6424,5269,5418,5269,5418,5660xe" filled="true" fillcolor="#ffffff" stroked="false">
                <v:path arrowok="t"/>
                <v:fill type="solid"/>
              </v:shape>
            </v:group>
            <v:group style="position:absolute;left:1138;top:4796;width:1057;height:2" coordorigin="1138,4796" coordsize="1057,2">
              <v:shape style="position:absolute;left:1138;top:4796;width:1057;height:2" coordorigin="1138,4796" coordsize="1057,0" path="m1138,4796l2194,4796e" filled="false" stroked="true" strokeweight=".48pt" strokecolor="#000000">
                <v:path arrowok="t"/>
              </v:shape>
            </v:group>
            <v:group style="position:absolute;left:2204;top:4796;width:1054;height:2" coordorigin="2204,4796" coordsize="1054,2">
              <v:shape style="position:absolute;left:2204;top:4796;width:1054;height:2" coordorigin="2204,4796" coordsize="1054,0" path="m2204,4796l3257,4796e" filled="false" stroked="true" strokeweight=".48pt" strokecolor="#000000">
                <v:path arrowok="t"/>
              </v:shape>
            </v:group>
            <v:group style="position:absolute;left:3267;top:4796;width:1055;height:2" coordorigin="3267,4796" coordsize="1055,2">
              <v:shape style="position:absolute;left:3267;top:4796;width:1055;height:2" coordorigin="3267,4796" coordsize="1055,0" path="m3267,4796l4321,4796e" filled="false" stroked="true" strokeweight=".48pt" strokecolor="#000000">
                <v:path arrowok="t"/>
              </v:shape>
            </v:group>
            <v:group style="position:absolute;left:4331;top:4796;width:1054;height:2" coordorigin="4331,4796" coordsize="1054,2">
              <v:shape style="position:absolute;left:4331;top:4796;width:1054;height:2" coordorigin="4331,4796" coordsize="1054,0" path="m4331,4796l5384,4796e" filled="false" stroked="true" strokeweight=".48pt" strokecolor="#000000">
                <v:path arrowok="t"/>
              </v:shape>
            </v:group>
            <v:group style="position:absolute;left:5394;top:4796;width:1052;height:2" coordorigin="5394,4796" coordsize="1052,2">
              <v:shape style="position:absolute;left:5394;top:4796;width:1052;height:2" coordorigin="5394,4796" coordsize="1052,0" path="m5394,4796l6445,4796e" filled="false" stroked="true" strokeweight=".48pt" strokecolor="#000000">
                <v:path arrowok="t"/>
              </v:shape>
            </v:group>
            <v:group style="position:absolute;left:6455;top:4796;width:1054;height:2" coordorigin="6455,4796" coordsize="1054,2">
              <v:shape style="position:absolute;left:6455;top:4796;width:1054;height:2" coordorigin="6455,4796" coordsize="1054,0" path="m6455,4796l7509,4796e" filled="false" stroked="true" strokeweight=".48pt" strokecolor="#000000">
                <v:path arrowok="t"/>
              </v:shape>
            </v:group>
            <v:group style="position:absolute;left:7518;top:4796;width:1054;height:2" coordorigin="7518,4796" coordsize="1054,2">
              <v:shape style="position:absolute;left:7518;top:4796;width:1054;height:2" coordorigin="7518,4796" coordsize="1054,0" path="m7518,4796l8572,4796e" filled="false" stroked="true" strokeweight=".48pt" strokecolor="#000000">
                <v:path arrowok="t"/>
              </v:shape>
            </v:group>
            <v:group style="position:absolute;left:8581;top:4796;width:1055;height:2" coordorigin="8581,4796" coordsize="1055,2">
              <v:shape style="position:absolute;left:8581;top:4796;width:1055;height:2" coordorigin="8581,4796" coordsize="1055,0" path="m8581,4796l9635,4796e" filled="false" stroked="true" strokeweight=".48pt" strokecolor="#000000">
                <v:path arrowok="t"/>
              </v:shape>
            </v:group>
            <v:group style="position:absolute;left:9645;top:4796;width:1054;height:2" coordorigin="9645,4796" coordsize="1054,2">
              <v:shape style="position:absolute;left:9645;top:4796;width:1054;height:2" coordorigin="9645,4796" coordsize="1054,0" path="m9645,4796l10699,4796e" filled="false" stroked="true" strokeweight=".48pt" strokecolor="#000000">
                <v:path arrowok="t"/>
              </v:shape>
            </v:group>
            <v:group style="position:absolute;left:5394;top:6138;width:1055;height:1330" coordorigin="5394,6138" coordsize="1055,1330">
              <v:shape style="position:absolute;left:5394;top:6138;width:1055;height:1330" coordorigin="5394,6138" coordsize="1055,1330" path="m5394,7467l6448,7467,6448,6138,5394,6138,5394,7467xe" filled="true" fillcolor="#ffffff" stroked="false">
                <v:path arrowok="t"/>
                <v:fill type="solid"/>
              </v:shape>
            </v:group>
            <v:group style="position:absolute;left:5418;top:6606;width:1007;height:394" coordorigin="5418,6606" coordsize="1007,394">
              <v:shape style="position:absolute;left:5418;top:6606;width:1007;height:394" coordorigin="5418,6606" coordsize="1007,394" path="m5418,6999l6424,6999,6424,6606,5418,6606,5418,6999xe" filled="true" fillcolor="#ffffff" stroked="false">
                <v:path arrowok="t"/>
                <v:fill type="solid"/>
              </v:shape>
            </v:group>
            <v:group style="position:absolute;left:1138;top:6133;width:1057;height:2" coordorigin="1138,6133" coordsize="1057,2">
              <v:shape style="position:absolute;left:1138;top:6133;width:1057;height:2" coordorigin="1138,6133" coordsize="1057,0" path="m1138,6133l2194,6133e" filled="false" stroked="true" strokeweight=".48001pt" strokecolor="#000000">
                <v:path arrowok="t"/>
              </v:shape>
            </v:group>
            <v:group style="position:absolute;left:2204;top:6133;width:1054;height:2" coordorigin="2204,6133" coordsize="1054,2">
              <v:shape style="position:absolute;left:2204;top:6133;width:1054;height:2" coordorigin="2204,6133" coordsize="1054,0" path="m2204,6133l3257,6133e" filled="false" stroked="true" strokeweight=".48001pt" strokecolor="#000000">
                <v:path arrowok="t"/>
              </v:shape>
            </v:group>
            <v:group style="position:absolute;left:3267;top:6133;width:1055;height:2" coordorigin="3267,6133" coordsize="1055,2">
              <v:shape style="position:absolute;left:3267;top:6133;width:1055;height:2" coordorigin="3267,6133" coordsize="1055,0" path="m3267,6133l4321,6133e" filled="false" stroked="true" strokeweight=".48001pt" strokecolor="#000000">
                <v:path arrowok="t"/>
              </v:shape>
            </v:group>
            <v:group style="position:absolute;left:4331;top:6133;width:1054;height:2" coordorigin="4331,6133" coordsize="1054,2">
              <v:shape style="position:absolute;left:4331;top:6133;width:1054;height:2" coordorigin="4331,6133" coordsize="1054,0" path="m4331,6133l5384,6133e" filled="false" stroked="true" strokeweight=".48001pt" strokecolor="#000000">
                <v:path arrowok="t"/>
              </v:shape>
            </v:group>
            <v:group style="position:absolute;left:5394;top:6133;width:1052;height:2" coordorigin="5394,6133" coordsize="1052,2">
              <v:shape style="position:absolute;left:5394;top:6133;width:1052;height:2" coordorigin="5394,6133" coordsize="1052,0" path="m5394,6133l6445,6133e" filled="false" stroked="true" strokeweight=".48001pt" strokecolor="#000000">
                <v:path arrowok="t"/>
              </v:shape>
            </v:group>
            <v:group style="position:absolute;left:6455;top:6133;width:1054;height:2" coordorigin="6455,6133" coordsize="1054,2">
              <v:shape style="position:absolute;left:6455;top:6133;width:1054;height:2" coordorigin="6455,6133" coordsize="1054,0" path="m6455,6133l7509,6133e" filled="false" stroked="true" strokeweight=".48001pt" strokecolor="#000000">
                <v:path arrowok="t"/>
              </v:shape>
            </v:group>
            <v:group style="position:absolute;left:7518;top:6133;width:1054;height:2" coordorigin="7518,6133" coordsize="1054,2">
              <v:shape style="position:absolute;left:7518;top:6133;width:1054;height:2" coordorigin="7518,6133" coordsize="1054,0" path="m7518,6133l8572,6133e" filled="false" stroked="true" strokeweight=".48001pt" strokecolor="#000000">
                <v:path arrowok="t"/>
              </v:shape>
            </v:group>
            <v:group style="position:absolute;left:8581;top:6133;width:1055;height:2" coordorigin="8581,6133" coordsize="1055,2">
              <v:shape style="position:absolute;left:8581;top:6133;width:1055;height:2" coordorigin="8581,6133" coordsize="1055,0" path="m8581,6133l9635,6133e" filled="false" stroked="true" strokeweight=".48001pt" strokecolor="#000000">
                <v:path arrowok="t"/>
              </v:shape>
            </v:group>
            <v:group style="position:absolute;left:9645;top:6133;width:1054;height:2" coordorigin="9645,6133" coordsize="1054,2">
              <v:shape style="position:absolute;left:9645;top:6133;width:1054;height:2" coordorigin="9645,6133" coordsize="1054,0" path="m9645,6133l10699,6133e" filled="false" stroked="true" strokeweight=".48001pt" strokecolor="#000000">
                <v:path arrowok="t"/>
              </v:shape>
            </v:group>
            <v:group style="position:absolute;left:1138;top:7472;width:1057;height:2" coordorigin="1138,7472" coordsize="1057,2">
              <v:shape style="position:absolute;left:1138;top:7472;width:1057;height:2" coordorigin="1138,7472" coordsize="1057,0" path="m1138,7472l2194,7472e" filled="false" stroked="true" strokeweight=".47998pt" strokecolor="#000000">
                <v:path arrowok="t"/>
              </v:shape>
            </v:group>
            <v:group style="position:absolute;left:2204;top:7472;width:1054;height:2" coordorigin="2204,7472" coordsize="1054,2">
              <v:shape style="position:absolute;left:2204;top:7472;width:1054;height:2" coordorigin="2204,7472" coordsize="1054,0" path="m2204,7472l3257,7472e" filled="false" stroked="true" strokeweight=".47998pt" strokecolor="#000000">
                <v:path arrowok="t"/>
              </v:shape>
            </v:group>
            <v:group style="position:absolute;left:3267;top:7472;width:1055;height:2" coordorigin="3267,7472" coordsize="1055,2">
              <v:shape style="position:absolute;left:3267;top:7472;width:1055;height:2" coordorigin="3267,7472" coordsize="1055,0" path="m3267,7472l4321,7472e" filled="false" stroked="true" strokeweight=".47998pt" strokecolor="#000000">
                <v:path arrowok="t"/>
              </v:shape>
            </v:group>
            <v:group style="position:absolute;left:4331;top:7472;width:1054;height:2" coordorigin="4331,7472" coordsize="1054,2">
              <v:shape style="position:absolute;left:4331;top:7472;width:1054;height:2" coordorigin="4331,7472" coordsize="1054,0" path="m4331,7472l5384,7472e" filled="false" stroked="true" strokeweight=".47998pt" strokecolor="#000000">
                <v:path arrowok="t"/>
              </v:shape>
            </v:group>
            <v:group style="position:absolute;left:5394;top:7472;width:1052;height:2" coordorigin="5394,7472" coordsize="1052,2">
              <v:shape style="position:absolute;left:5394;top:7472;width:1052;height:2" coordorigin="5394,7472" coordsize="1052,0" path="m5394,7472l6445,7472e" filled="false" stroked="true" strokeweight=".47998pt" strokecolor="#000000">
                <v:path arrowok="t"/>
              </v:shape>
            </v:group>
            <v:group style="position:absolute;left:6455;top:7472;width:1054;height:2" coordorigin="6455,7472" coordsize="1054,2">
              <v:shape style="position:absolute;left:6455;top:7472;width:1054;height:2" coordorigin="6455,7472" coordsize="1054,0" path="m6455,7472l7509,7472e" filled="false" stroked="true" strokeweight=".47998pt" strokecolor="#000000">
                <v:path arrowok="t"/>
              </v:shape>
            </v:group>
            <v:group style="position:absolute;left:7518;top:7472;width:1054;height:2" coordorigin="7518,7472" coordsize="1054,2">
              <v:shape style="position:absolute;left:7518;top:7472;width:1054;height:2" coordorigin="7518,7472" coordsize="1054,0" path="m7518,7472l8572,7472e" filled="false" stroked="true" strokeweight=".47998pt" strokecolor="#000000">
                <v:path arrowok="t"/>
              </v:shape>
            </v:group>
            <v:group style="position:absolute;left:8581;top:7472;width:1055;height:2" coordorigin="8581,7472" coordsize="1055,2">
              <v:shape style="position:absolute;left:8581;top:7472;width:1055;height:2" coordorigin="8581,7472" coordsize="1055,0" path="m8581,7472l9635,7472e" filled="false" stroked="true" strokeweight=".47998pt" strokecolor="#000000">
                <v:path arrowok="t"/>
              </v:shape>
            </v:group>
            <v:group style="position:absolute;left:9645;top:7472;width:1054;height:2" coordorigin="9645,7472" coordsize="1054,2">
              <v:shape style="position:absolute;left:9645;top:7472;width:1054;height:2" coordorigin="9645,7472" coordsize="1054,0" path="m9645,7472l10699,7472e" filled="false" stroked="true" strokeweight=".47998pt" strokecolor="#000000">
                <v:path arrowok="t"/>
              </v:shape>
            </v:group>
            <v:group style="position:absolute;left:1138;top:9121;width:1057;height:2" coordorigin="1138,9121" coordsize="1057,2">
              <v:shape style="position:absolute;left:1138;top:9121;width:1057;height:2" coordorigin="1138,9121" coordsize="1057,0" path="m1138,9121l2194,9121e" filled="false" stroked="true" strokeweight=".47998pt" strokecolor="#000000">
                <v:path arrowok="t"/>
              </v:shape>
            </v:group>
            <v:group style="position:absolute;left:2204;top:9121;width:1054;height:2" coordorigin="2204,9121" coordsize="1054,2">
              <v:shape style="position:absolute;left:2204;top:9121;width:1054;height:2" coordorigin="2204,9121" coordsize="1054,0" path="m2204,9121l3257,9121e" filled="false" stroked="true" strokeweight=".47998pt" strokecolor="#000000">
                <v:path arrowok="t"/>
              </v:shape>
            </v:group>
            <v:group style="position:absolute;left:3267;top:9121;width:1055;height:2" coordorigin="3267,9121" coordsize="1055,2">
              <v:shape style="position:absolute;left:3267;top:9121;width:1055;height:2" coordorigin="3267,9121" coordsize="1055,0" path="m3267,9121l4321,9121e" filled="false" stroked="true" strokeweight=".47998pt" strokecolor="#000000">
                <v:path arrowok="t"/>
              </v:shape>
            </v:group>
            <v:group style="position:absolute;left:4331;top:9121;width:1054;height:2" coordorigin="4331,9121" coordsize="1054,2">
              <v:shape style="position:absolute;left:4331;top:9121;width:1054;height:2" coordorigin="4331,9121" coordsize="1054,0" path="m4331,9121l5384,9121e" filled="false" stroked="true" strokeweight=".47998pt" strokecolor="#000000">
                <v:path arrowok="t"/>
              </v:shape>
            </v:group>
            <v:group style="position:absolute;left:5394;top:9121;width:1052;height:2" coordorigin="5394,9121" coordsize="1052,2">
              <v:shape style="position:absolute;left:5394;top:9121;width:1052;height:2" coordorigin="5394,9121" coordsize="1052,0" path="m5394,9121l6445,9121e" filled="false" stroked="true" strokeweight=".47998pt" strokecolor="#000000">
                <v:path arrowok="t"/>
              </v:shape>
            </v:group>
            <v:group style="position:absolute;left:6455;top:9121;width:1054;height:2" coordorigin="6455,9121" coordsize="1054,2">
              <v:shape style="position:absolute;left:6455;top:9121;width:1054;height:2" coordorigin="6455,9121" coordsize="1054,0" path="m6455,9121l7509,9121e" filled="false" stroked="true" strokeweight=".47998pt" strokecolor="#000000">
                <v:path arrowok="t"/>
              </v:shape>
            </v:group>
            <v:group style="position:absolute;left:7518;top:9121;width:1054;height:2" coordorigin="7518,9121" coordsize="1054,2">
              <v:shape style="position:absolute;left:7518;top:9121;width:1054;height:2" coordorigin="7518,9121" coordsize="1054,0" path="m7518,9121l8572,9121e" filled="false" stroked="true" strokeweight=".47998pt" strokecolor="#000000">
                <v:path arrowok="t"/>
              </v:shape>
            </v:group>
            <v:group style="position:absolute;left:8581;top:9121;width:1055;height:2" coordorigin="8581,9121" coordsize="1055,2">
              <v:shape style="position:absolute;left:8581;top:9121;width:1055;height:2" coordorigin="8581,9121" coordsize="1055,0" path="m8581,9121l9635,9121e" filled="false" stroked="true" strokeweight=".47998pt" strokecolor="#000000">
                <v:path arrowok="t"/>
              </v:shape>
            </v:group>
            <v:group style="position:absolute;left:9645;top:9121;width:1054;height:2" coordorigin="9645,9121" coordsize="1054,2">
              <v:shape style="position:absolute;left:9645;top:9121;width:1054;height:2" coordorigin="9645,9121" coordsize="1054,0" path="m9645,9121l10699,9121e" filled="false" stroked="true" strokeweight=".47998pt" strokecolor="#000000">
                <v:path arrowok="t"/>
              </v:shape>
            </v:group>
            <v:group style="position:absolute;left:5394;top:10777;width:1055;height:1328" coordorigin="5394,10777" coordsize="1055,1328">
              <v:shape style="position:absolute;left:5394;top:10777;width:1055;height:1328" coordorigin="5394,10777" coordsize="1055,1328" path="m5394,12105l6448,12105,6448,10777,5394,10777,5394,12105xe" filled="true" fillcolor="#ffffff" stroked="false">
                <v:path arrowok="t"/>
                <v:fill type="solid"/>
              </v:shape>
            </v:group>
            <v:group style="position:absolute;left:5418;top:11245;width:1007;height:392" coordorigin="5418,11245" coordsize="1007,392">
              <v:shape style="position:absolute;left:5418;top:11245;width:1007;height:392" coordorigin="5418,11245" coordsize="1007,392" path="m5418,11637l6424,11637,6424,11245,5418,11245,5418,11637xe" filled="true" fillcolor="#ffffff" stroked="false">
                <v:path arrowok="t"/>
                <v:fill type="solid"/>
              </v:shape>
            </v:group>
            <v:group style="position:absolute;left:1138;top:10773;width:1057;height:2" coordorigin="1138,10773" coordsize="1057,2">
              <v:shape style="position:absolute;left:1138;top:10773;width:1057;height:2" coordorigin="1138,10773" coordsize="1057,0" path="m1138,10773l2194,10773e" filled="false" stroked="true" strokeweight=".47998pt" strokecolor="#000000">
                <v:path arrowok="t"/>
              </v:shape>
            </v:group>
            <v:group style="position:absolute;left:2204;top:10773;width:1054;height:2" coordorigin="2204,10773" coordsize="1054,2">
              <v:shape style="position:absolute;left:2204;top:10773;width:1054;height:2" coordorigin="2204,10773" coordsize="1054,0" path="m2204,10773l3257,10773e" filled="false" stroked="true" strokeweight=".47998pt" strokecolor="#000000">
                <v:path arrowok="t"/>
              </v:shape>
            </v:group>
            <v:group style="position:absolute;left:3267;top:10773;width:1055;height:2" coordorigin="3267,10773" coordsize="1055,2">
              <v:shape style="position:absolute;left:3267;top:10773;width:1055;height:2" coordorigin="3267,10773" coordsize="1055,0" path="m3267,10773l4321,10773e" filled="false" stroked="true" strokeweight=".47998pt" strokecolor="#000000">
                <v:path arrowok="t"/>
              </v:shape>
            </v:group>
            <v:group style="position:absolute;left:4331;top:10773;width:1054;height:2" coordorigin="4331,10773" coordsize="1054,2">
              <v:shape style="position:absolute;left:4331;top:10773;width:1054;height:2" coordorigin="4331,10773" coordsize="1054,0" path="m4331,10773l5384,10773e" filled="false" stroked="true" strokeweight=".47998pt" strokecolor="#000000">
                <v:path arrowok="t"/>
              </v:shape>
            </v:group>
            <v:group style="position:absolute;left:5394;top:10773;width:1052;height:2" coordorigin="5394,10773" coordsize="1052,2">
              <v:shape style="position:absolute;left:5394;top:10773;width:1052;height:2" coordorigin="5394,10773" coordsize="1052,0" path="m5394,10773l6445,10773e" filled="false" stroked="true" strokeweight=".47998pt" strokecolor="#000000">
                <v:path arrowok="t"/>
              </v:shape>
            </v:group>
            <v:group style="position:absolute;left:6455;top:10773;width:1054;height:2" coordorigin="6455,10773" coordsize="1054,2">
              <v:shape style="position:absolute;left:6455;top:10773;width:1054;height:2" coordorigin="6455,10773" coordsize="1054,0" path="m6455,10773l7509,10773e" filled="false" stroked="true" strokeweight=".47998pt" strokecolor="#000000">
                <v:path arrowok="t"/>
              </v:shape>
            </v:group>
            <v:group style="position:absolute;left:7518;top:10773;width:1054;height:2" coordorigin="7518,10773" coordsize="1054,2">
              <v:shape style="position:absolute;left:7518;top:10773;width:1054;height:2" coordorigin="7518,10773" coordsize="1054,0" path="m7518,10773l8572,10773e" filled="false" stroked="true" strokeweight=".47998pt" strokecolor="#000000">
                <v:path arrowok="t"/>
              </v:shape>
            </v:group>
            <v:group style="position:absolute;left:8581;top:10773;width:1055;height:2" coordorigin="8581,10773" coordsize="1055,2">
              <v:shape style="position:absolute;left:8581;top:10773;width:1055;height:2" coordorigin="8581,10773" coordsize="1055,0" path="m8581,10773l9635,10773e" filled="false" stroked="true" strokeweight=".47998pt" strokecolor="#000000">
                <v:path arrowok="t"/>
              </v:shape>
            </v:group>
            <v:group style="position:absolute;left:9645;top:10773;width:1054;height:2" coordorigin="9645,10773" coordsize="1054,2">
              <v:shape style="position:absolute;left:9645;top:10773;width:1054;height:2" coordorigin="9645,10773" coordsize="1054,0" path="m9645,10773l10699,10773e" filled="false" stroked="true" strokeweight=".47998pt" strokecolor="#000000">
                <v:path arrowok="t"/>
              </v:shape>
            </v:group>
            <v:group style="position:absolute;left:5394;top:12114;width:1055;height:1331" coordorigin="5394,12114" coordsize="1055,1331">
              <v:shape style="position:absolute;left:5394;top:12114;width:1055;height:1331" coordorigin="5394,12114" coordsize="1055,1331" path="m5394,13444l6448,13444,6448,12114,5394,12114,5394,13444xe" filled="true" fillcolor="#ffffff" stroked="false">
                <v:path arrowok="t"/>
                <v:fill type="solid"/>
              </v:shape>
            </v:group>
            <v:group style="position:absolute;left:5418;top:12582;width:1007;height:395" coordorigin="5418,12582" coordsize="1007,395">
              <v:shape style="position:absolute;left:5418;top:12582;width:1007;height:395" coordorigin="5418,12582" coordsize="1007,395" path="m5418,12976l6424,12976,6424,12582,5418,12582,5418,12976xe" filled="true" fillcolor="#ffffff" stroked="false">
                <v:path arrowok="t"/>
                <v:fill type="solid"/>
              </v:shape>
            </v:group>
            <v:group style="position:absolute;left:1138;top:12109;width:1057;height:2" coordorigin="1138,12109" coordsize="1057,2">
              <v:shape style="position:absolute;left:1138;top:12109;width:1057;height:2" coordorigin="1138,12109" coordsize="1057,0" path="m1138,12109l2194,12109e" filled="false" stroked="true" strokeweight=".47998pt" strokecolor="#000000">
                <v:path arrowok="t"/>
              </v:shape>
            </v:group>
            <v:group style="position:absolute;left:2204;top:12109;width:1054;height:2" coordorigin="2204,12109" coordsize="1054,2">
              <v:shape style="position:absolute;left:2204;top:12109;width:1054;height:2" coordorigin="2204,12109" coordsize="1054,0" path="m2204,12109l3257,12109e" filled="false" stroked="true" strokeweight=".47998pt" strokecolor="#000000">
                <v:path arrowok="t"/>
              </v:shape>
            </v:group>
            <v:group style="position:absolute;left:3267;top:12109;width:1055;height:2" coordorigin="3267,12109" coordsize="1055,2">
              <v:shape style="position:absolute;left:3267;top:12109;width:1055;height:2" coordorigin="3267,12109" coordsize="1055,0" path="m3267,12109l4321,12109e" filled="false" stroked="true" strokeweight=".47998pt" strokecolor="#000000">
                <v:path arrowok="t"/>
              </v:shape>
            </v:group>
            <v:group style="position:absolute;left:4331;top:12109;width:1054;height:2" coordorigin="4331,12109" coordsize="1054,2">
              <v:shape style="position:absolute;left:4331;top:12109;width:1054;height:2" coordorigin="4331,12109" coordsize="1054,0" path="m4331,12109l5384,12109e" filled="false" stroked="true" strokeweight=".47998pt" strokecolor="#000000">
                <v:path arrowok="t"/>
              </v:shape>
            </v:group>
            <v:group style="position:absolute;left:5394;top:12109;width:1052;height:2" coordorigin="5394,12109" coordsize="1052,2">
              <v:shape style="position:absolute;left:5394;top:12109;width:1052;height:2" coordorigin="5394,12109" coordsize="1052,0" path="m5394,12109l6445,12109e" filled="false" stroked="true" strokeweight=".47998pt" strokecolor="#000000">
                <v:path arrowok="t"/>
              </v:shape>
            </v:group>
            <v:group style="position:absolute;left:6455;top:12109;width:1054;height:2" coordorigin="6455,12109" coordsize="1054,2">
              <v:shape style="position:absolute;left:6455;top:12109;width:1054;height:2" coordorigin="6455,12109" coordsize="1054,0" path="m6455,12109l7509,12109e" filled="false" stroked="true" strokeweight=".47998pt" strokecolor="#000000">
                <v:path arrowok="t"/>
              </v:shape>
            </v:group>
            <v:group style="position:absolute;left:7518;top:12109;width:1054;height:2" coordorigin="7518,12109" coordsize="1054,2">
              <v:shape style="position:absolute;left:7518;top:12109;width:1054;height:2" coordorigin="7518,12109" coordsize="1054,0" path="m7518,12109l8572,12109e" filled="false" stroked="true" strokeweight=".47998pt" strokecolor="#000000">
                <v:path arrowok="t"/>
              </v:shape>
            </v:group>
            <v:group style="position:absolute;left:8581;top:12109;width:1055;height:2" coordorigin="8581,12109" coordsize="1055,2">
              <v:shape style="position:absolute;left:8581;top:12109;width:1055;height:2" coordorigin="8581,12109" coordsize="1055,0" path="m8581,12109l9635,12109e" filled="false" stroked="true" strokeweight=".47998pt" strokecolor="#000000">
                <v:path arrowok="t"/>
              </v:shape>
            </v:group>
            <v:group style="position:absolute;left:9645;top:12109;width:1054;height:2" coordorigin="9645,12109" coordsize="1054,2">
              <v:shape style="position:absolute;left:9645;top:12109;width:1054;height:2" coordorigin="9645,12109" coordsize="1054,0" path="m9645,12109l10699,12109e" filled="false" stroked="true" strokeweight=".47998pt" strokecolor="#000000">
                <v:path arrowok="t"/>
              </v:shape>
            </v:group>
            <v:group style="position:absolute;left:5394;top:13454;width:1055;height:1328" coordorigin="5394,13454" coordsize="1055,1328">
              <v:shape style="position:absolute;left:5394;top:13454;width:1055;height:1328" coordorigin="5394,13454" coordsize="1055,1328" path="m5394,14781l6448,14781,6448,13454,5394,13454,5394,14781xe" filled="true" fillcolor="#ffffff" stroked="false">
                <v:path arrowok="t"/>
                <v:fill type="solid"/>
              </v:shape>
            </v:group>
            <v:group style="position:absolute;left:5418;top:13922;width:1007;height:392" coordorigin="5418,13922" coordsize="1007,392">
              <v:shape style="position:absolute;left:5418;top:13922;width:1007;height:392" coordorigin="5418,13922" coordsize="1007,392" path="m5418,14313l6424,14313,6424,13922,5418,13922,5418,14313xe" filled="true" fillcolor="#ffffff" stroked="false">
                <v:path arrowok="t"/>
                <v:fill type="solid"/>
              </v:shape>
            </v:group>
            <v:group style="position:absolute;left:1138;top:13449;width:1057;height:2" coordorigin="1138,13449" coordsize="1057,2">
              <v:shape style="position:absolute;left:1138;top:13449;width:1057;height:2" coordorigin="1138,13449" coordsize="1057,0" path="m1138,13449l2194,13449e" filled="false" stroked="true" strokeweight=".47998pt" strokecolor="#000000">
                <v:path arrowok="t"/>
              </v:shape>
            </v:group>
            <v:group style="position:absolute;left:2204;top:13449;width:1054;height:2" coordorigin="2204,13449" coordsize="1054,2">
              <v:shape style="position:absolute;left:2204;top:13449;width:1054;height:2" coordorigin="2204,13449" coordsize="1054,0" path="m2204,13449l3257,13449e" filled="false" stroked="true" strokeweight=".47998pt" strokecolor="#000000">
                <v:path arrowok="t"/>
              </v:shape>
            </v:group>
            <v:group style="position:absolute;left:3267;top:13449;width:1055;height:2" coordorigin="3267,13449" coordsize="1055,2">
              <v:shape style="position:absolute;left:3267;top:13449;width:1055;height:2" coordorigin="3267,13449" coordsize="1055,0" path="m3267,13449l4321,13449e" filled="false" stroked="true" strokeweight=".47998pt" strokecolor="#000000">
                <v:path arrowok="t"/>
              </v:shape>
            </v:group>
            <v:group style="position:absolute;left:4331;top:13449;width:1054;height:2" coordorigin="4331,13449" coordsize="1054,2">
              <v:shape style="position:absolute;left:4331;top:13449;width:1054;height:2" coordorigin="4331,13449" coordsize="1054,0" path="m4331,13449l5384,13449e" filled="false" stroked="true" strokeweight=".47998pt" strokecolor="#000000">
                <v:path arrowok="t"/>
              </v:shape>
            </v:group>
            <v:group style="position:absolute;left:5394;top:13449;width:1052;height:2" coordorigin="5394,13449" coordsize="1052,2">
              <v:shape style="position:absolute;left:5394;top:13449;width:1052;height:2" coordorigin="5394,13449" coordsize="1052,0" path="m5394,13449l6445,13449e" filled="false" stroked="true" strokeweight=".47998pt" strokecolor="#000000">
                <v:path arrowok="t"/>
              </v:shape>
            </v:group>
            <v:group style="position:absolute;left:6455;top:13449;width:1054;height:2" coordorigin="6455,13449" coordsize="1054,2">
              <v:shape style="position:absolute;left:6455;top:13449;width:1054;height:2" coordorigin="6455,13449" coordsize="1054,0" path="m6455,13449l7509,13449e" filled="false" stroked="true" strokeweight=".47998pt" strokecolor="#000000">
                <v:path arrowok="t"/>
              </v:shape>
            </v:group>
            <v:group style="position:absolute;left:7518;top:13449;width:1054;height:2" coordorigin="7518,13449" coordsize="1054,2">
              <v:shape style="position:absolute;left:7518;top:13449;width:1054;height:2" coordorigin="7518,13449" coordsize="1054,0" path="m7518,13449l8572,13449e" filled="false" stroked="true" strokeweight=".47998pt" strokecolor="#000000">
                <v:path arrowok="t"/>
              </v:shape>
            </v:group>
            <v:group style="position:absolute;left:8581;top:13449;width:1055;height:2" coordorigin="8581,13449" coordsize="1055,2">
              <v:shape style="position:absolute;left:8581;top:13449;width:1055;height:2" coordorigin="8581,13449" coordsize="1055,0" path="m8581,13449l9635,13449e" filled="false" stroked="true" strokeweight=".47998pt" strokecolor="#000000">
                <v:path arrowok="t"/>
              </v:shape>
            </v:group>
            <v:group style="position:absolute;left:9645;top:13449;width:1054;height:2" coordorigin="9645,13449" coordsize="1054,2">
              <v:shape style="position:absolute;left:9645;top:13449;width:1054;height:2" coordorigin="9645,13449" coordsize="1054,0" path="m9645,13449l10699,13449e" filled="false" stroked="true" strokeweight=".47998pt" strokecolor="#000000">
                <v:path arrowok="t"/>
              </v:shape>
            </v:group>
            <v:group style="position:absolute;left:1138;top:14786;width:1057;height:2" coordorigin="1138,14786" coordsize="1057,2">
              <v:shape style="position:absolute;left:1138;top:14786;width:1057;height:2" coordorigin="1138,14786" coordsize="1057,0" path="m1138,14786l2194,14786e" filled="false" stroked="true" strokeweight=".47998pt" strokecolor="#000000">
                <v:path arrowok="t"/>
              </v:shape>
            </v:group>
            <v:group style="position:absolute;left:2204;top:14786;width:1054;height:2" coordorigin="2204,14786" coordsize="1054,2">
              <v:shape style="position:absolute;left:2204;top:14786;width:1054;height:2" coordorigin="2204,14786" coordsize="1054,0" path="m2204,14786l3257,14786e" filled="false" stroked="true" strokeweight=".47998pt" strokecolor="#000000">
                <v:path arrowok="t"/>
              </v:shape>
            </v:group>
            <v:group style="position:absolute;left:3267;top:14786;width:1055;height:2" coordorigin="3267,14786" coordsize="1055,2">
              <v:shape style="position:absolute;left:3267;top:14786;width:1055;height:2" coordorigin="3267,14786" coordsize="1055,0" path="m3267,14786l4321,14786e" filled="false" stroked="true" strokeweight=".47998pt" strokecolor="#000000">
                <v:path arrowok="t"/>
              </v:shape>
            </v:group>
            <v:group style="position:absolute;left:4331;top:14786;width:1054;height:2" coordorigin="4331,14786" coordsize="1054,2">
              <v:shape style="position:absolute;left:4331;top:14786;width:1054;height:2" coordorigin="4331,14786" coordsize="1054,0" path="m4331,14786l5384,14786e" filled="false" stroked="true" strokeweight=".47998pt" strokecolor="#000000">
                <v:path arrowok="t"/>
              </v:shape>
            </v:group>
            <v:group style="position:absolute;left:5394;top:14786;width:1052;height:2" coordorigin="5394,14786" coordsize="1052,2">
              <v:shape style="position:absolute;left:5394;top:14786;width:1052;height:2" coordorigin="5394,14786" coordsize="1052,0" path="m5394,14786l6445,14786e" filled="false" stroked="true" strokeweight=".47998pt" strokecolor="#000000">
                <v:path arrowok="t"/>
              </v:shape>
            </v:group>
            <v:group style="position:absolute;left:6455;top:14786;width:1054;height:2" coordorigin="6455,14786" coordsize="1054,2">
              <v:shape style="position:absolute;left:6455;top:14786;width:1054;height:2" coordorigin="6455,14786" coordsize="1054,0" path="m6455,14786l7509,14786e" filled="false" stroked="true" strokeweight=".47998pt" strokecolor="#000000">
                <v:path arrowok="t"/>
              </v:shape>
            </v:group>
            <v:group style="position:absolute;left:7518;top:14786;width:1054;height:2" coordorigin="7518,14786" coordsize="1054,2">
              <v:shape style="position:absolute;left:7518;top:14786;width:1054;height:2" coordorigin="7518,14786" coordsize="1054,0" path="m7518,14786l8572,14786e" filled="false" stroked="true" strokeweight=".47998pt" strokecolor="#000000">
                <v:path arrowok="t"/>
              </v:shape>
            </v:group>
            <v:group style="position:absolute;left:8581;top:14786;width:1055;height:2" coordorigin="8581,14786" coordsize="1055,2">
              <v:shape style="position:absolute;left:8581;top:14786;width:1055;height:2" coordorigin="8581,14786" coordsize="1055,0" path="m8581,14786l9635,14786e" filled="false" stroked="true" strokeweight=".47998pt" strokecolor="#000000">
                <v:path arrowok="t"/>
              </v:shape>
            </v:group>
            <v:group style="position:absolute;left:9645;top:14786;width:1054;height:2" coordorigin="9645,14786" coordsize="1054,2">
              <v:shape style="position:absolute;left:9645;top:14786;width:1054;height:2" coordorigin="9645,14786" coordsize="1054,0" path="m9645,14786l10699,14786e" filled="false" stroked="true" strokeweight=".47998pt" strokecolor="#000000">
                <v:path arrowok="t"/>
              </v:shape>
            </v:group>
            <v:group style="position:absolute;left:1133;top:1440;width:2;height:13754" coordorigin="1133,1440" coordsize="2,13754">
              <v:shape style="position:absolute;left:1133;top:1440;width:2;height:13754" coordorigin="1133,1440" coordsize="0,13754" path="m1133,1440l1133,15194e" filled="false" stroked="true" strokeweight=".48pt" strokecolor="#000000">
                <v:path arrowok="t"/>
              </v:shape>
            </v:group>
            <v:group style="position:absolute;left:1138;top:15189;width:1057;height:2" coordorigin="1138,15189" coordsize="1057,2">
              <v:shape style="position:absolute;left:1138;top:15189;width:1057;height:2" coordorigin="1138,15189" coordsize="1057,0" path="m1138,15189l2194,15189e" filled="false" stroked="true" strokeweight=".47998pt" strokecolor="#000000">
                <v:path arrowok="t"/>
              </v:shape>
            </v:group>
            <v:group style="position:absolute;left:2199;top:1440;width:2;height:13754" coordorigin="2199,1440" coordsize="2,13754">
              <v:shape style="position:absolute;left:2199;top:1440;width:2;height:13754" coordorigin="2199,1440" coordsize="0,13754" path="m2199,1440l2199,15194e" filled="false" stroked="true" strokeweight=".48pt" strokecolor="#000000">
                <v:path arrowok="t"/>
              </v:shape>
            </v:group>
            <v:group style="position:absolute;left:2204;top:15189;width:1054;height:2" coordorigin="2204,15189" coordsize="1054,2">
              <v:shape style="position:absolute;left:2204;top:15189;width:1054;height:2" coordorigin="2204,15189" coordsize="1054,0" path="m2204,15189l3257,15189e" filled="false" stroked="true" strokeweight=".47998pt" strokecolor="#000000">
                <v:path arrowok="t"/>
              </v:shape>
            </v:group>
            <v:group style="position:absolute;left:3262;top:1440;width:2;height:13754" coordorigin="3262,1440" coordsize="2,13754">
              <v:shape style="position:absolute;left:3262;top:1440;width:2;height:13754" coordorigin="3262,1440" coordsize="0,13754" path="m3262,1440l3262,15194e" filled="false" stroked="true" strokeweight=".48pt" strokecolor="#000000">
                <v:path arrowok="t"/>
              </v:shape>
            </v:group>
            <v:group style="position:absolute;left:3267;top:15189;width:1055;height:2" coordorigin="3267,15189" coordsize="1055,2">
              <v:shape style="position:absolute;left:3267;top:15189;width:1055;height:2" coordorigin="3267,15189" coordsize="1055,0" path="m3267,15189l4321,15189e" filled="false" stroked="true" strokeweight=".47998pt" strokecolor="#000000">
                <v:path arrowok="t"/>
              </v:shape>
            </v:group>
            <v:group style="position:absolute;left:4326;top:1440;width:2;height:13754" coordorigin="4326,1440" coordsize="2,13754">
              <v:shape style="position:absolute;left:4326;top:1440;width:2;height:13754" coordorigin="4326,1440" coordsize="0,13754" path="m4326,1440l4326,15194e" filled="false" stroked="true" strokeweight=".48pt" strokecolor="#000000">
                <v:path arrowok="t"/>
              </v:shape>
            </v:group>
            <v:group style="position:absolute;left:4331;top:15189;width:1054;height:2" coordorigin="4331,15189" coordsize="1054,2">
              <v:shape style="position:absolute;left:4331;top:15189;width:1054;height:2" coordorigin="4331,15189" coordsize="1054,0" path="m4331,15189l5384,15189e" filled="false" stroked="true" strokeweight=".47998pt" strokecolor="#000000">
                <v:path arrowok="t"/>
              </v:shape>
            </v:group>
            <v:group style="position:absolute;left:5389;top:1440;width:2;height:13754" coordorigin="5389,1440" coordsize="2,13754">
              <v:shape style="position:absolute;left:5389;top:1440;width:2;height:13754" coordorigin="5389,1440" coordsize="0,13754" path="m5389,1440l5389,15194e" filled="false" stroked="true" strokeweight=".47998pt" strokecolor="#000000">
                <v:path arrowok="t"/>
              </v:shape>
            </v:group>
            <v:group style="position:absolute;left:5394;top:15189;width:1052;height:2" coordorigin="5394,15189" coordsize="1052,2">
              <v:shape style="position:absolute;left:5394;top:15189;width:1052;height:2" coordorigin="5394,15189" coordsize="1052,0" path="m5394,15189l6445,15189e" filled="false" stroked="true" strokeweight=".47998pt" strokecolor="#000000">
                <v:path arrowok="t"/>
              </v:shape>
            </v:group>
            <v:group style="position:absolute;left:6450;top:1440;width:2;height:13754" coordorigin="6450,1440" coordsize="2,13754">
              <v:shape style="position:absolute;left:6450;top:1440;width:2;height:13754" coordorigin="6450,1440" coordsize="0,13754" path="m6450,1440l6450,15194e" filled="false" stroked="true" strokeweight=".48001pt" strokecolor="#000000">
                <v:path arrowok="t"/>
              </v:shape>
            </v:group>
            <v:group style="position:absolute;left:6455;top:15189;width:1054;height:2" coordorigin="6455,15189" coordsize="1054,2">
              <v:shape style="position:absolute;left:6455;top:15189;width:1054;height:2" coordorigin="6455,15189" coordsize="1054,0" path="m6455,15189l7509,15189e" filled="false" stroked="true" strokeweight=".47998pt" strokecolor="#000000">
                <v:path arrowok="t"/>
              </v:shape>
            </v:group>
            <v:group style="position:absolute;left:7513;top:1440;width:2;height:13754" coordorigin="7513,1440" coordsize="2,13754">
              <v:shape style="position:absolute;left:7513;top:1440;width:2;height:13754" coordorigin="7513,1440" coordsize="0,13754" path="m7513,1440l7513,15194e" filled="false" stroked="true" strokeweight=".48001pt" strokecolor="#000000">
                <v:path arrowok="t"/>
              </v:shape>
            </v:group>
            <v:group style="position:absolute;left:7518;top:15189;width:1054;height:2" coordorigin="7518,15189" coordsize="1054,2">
              <v:shape style="position:absolute;left:7518;top:15189;width:1054;height:2" coordorigin="7518,15189" coordsize="1054,0" path="m7518,15189l8572,15189e" filled="false" stroked="true" strokeweight=".47998pt" strokecolor="#000000">
                <v:path arrowok="t"/>
              </v:shape>
            </v:group>
            <v:group style="position:absolute;left:8577;top:1440;width:2;height:13754" coordorigin="8577,1440" coordsize="2,13754">
              <v:shape style="position:absolute;left:8577;top:1440;width:2;height:13754" coordorigin="8577,1440" coordsize="0,13754" path="m8577,1440l8577,15194e" filled="false" stroked="true" strokeweight=".47998pt" strokecolor="#000000">
                <v:path arrowok="t"/>
              </v:shape>
            </v:group>
            <v:group style="position:absolute;left:8581;top:15189;width:1055;height:2" coordorigin="8581,15189" coordsize="1055,2">
              <v:shape style="position:absolute;left:8581;top:15189;width:1055;height:2" coordorigin="8581,15189" coordsize="1055,0" path="m8581,15189l9635,15189e" filled="false" stroked="true" strokeweight=".47998pt" strokecolor="#000000">
                <v:path arrowok="t"/>
              </v:shape>
            </v:group>
            <v:group style="position:absolute;left:9640;top:1440;width:2;height:13754" coordorigin="9640,1440" coordsize="2,13754">
              <v:shape style="position:absolute;left:9640;top:1440;width:2;height:13754" coordorigin="9640,1440" coordsize="0,13754" path="m9640,1440l9640,15194e" filled="false" stroked="true" strokeweight=".48001pt" strokecolor="#000000">
                <v:path arrowok="t"/>
              </v:shape>
            </v:group>
            <v:group style="position:absolute;left:9645;top:15189;width:1054;height:2" coordorigin="9645,15189" coordsize="1054,2">
              <v:shape style="position:absolute;left:9645;top:15189;width:1054;height:2" coordorigin="9645,15189" coordsize="1054,0" path="m9645,15189l10699,15189e" filled="false" stroked="true" strokeweight=".47998pt" strokecolor="#000000">
                <v:path arrowok="t"/>
              </v:shape>
            </v:group>
            <v:group style="position:absolute;left:10704;top:1440;width:2;height:13754" coordorigin="10704,1440" coordsize="2,13754">
              <v:shape style="position:absolute;left:10704;top:1440;width:2;height:13754" coordorigin="10704,1440" coordsize="0,13754" path="m10704,1440l10704,15194e" filled="false" stroked="true" strokeweight=".47998pt" strokecolor="#000000">
                <v:path arrowok="t"/>
              </v:shape>
            </v:group>
            <w10:wrap type="none"/>
          </v:group>
        </w:pict>
      </w:r>
      <w:r>
        <w:rPr>
          <w:position w:val="-1"/>
        </w:rPr>
        <w:t>社会保险基  深圳市人力</w:t>
      </w:r>
      <w:r>
        <w:rPr>
          <w:spacing w:val="59"/>
          <w:position w:val="-1"/>
        </w:rPr>
        <w:t> </w:t>
      </w:r>
      <w:r>
        <w:rPr/>
        <w:t>补助</w:t>
        <w:tab/>
      </w:r>
      <w:r>
        <w:rPr>
          <w:position w:val="-1"/>
        </w:rPr>
        <w:t>因从事国家</w:t>
      </w:r>
      <w:r>
        <w:rPr>
          <w:spacing w:val="73"/>
          <w:position w:val="-1"/>
        </w:rPr>
        <w:t> </w:t>
      </w:r>
      <w:r>
        <w:rPr/>
        <w:t>否</w:t>
        <w:tab/>
        <w:t>否</w:t>
        <w:tab/>
      </w:r>
      <w:r>
        <w:rPr>
          <w:rFonts w:ascii="Times New Roman" w:hAnsi="Times New Roman" w:cs="Times New Roman" w:eastAsia="Times New Roman" w:hint="default"/>
          <w:spacing w:val="-1"/>
        </w:rPr>
        <w:t>41,057.98</w:t>
        <w:tab/>
        <w:t>155,135.47</w:t>
      </w:r>
      <w:r>
        <w:rPr>
          <w:rFonts w:ascii="Times New Roman" w:hAnsi="Times New Roman" w:cs="Times New Roman" w:eastAsia="Times New Roman" w:hint="default"/>
          <w:spacing w:val="18"/>
        </w:rPr>
        <w:t> </w:t>
      </w:r>
      <w:r>
        <w:rPr/>
        <w:t>与收益相关</w:t>
      </w:r>
    </w:p>
    <w:p>
      <w:pPr>
        <w:spacing w:after="0" w:line="240" w:lineRule="auto"/>
        <w:jc w:val="left"/>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1066"/>
        <w:gridCol w:w="1063"/>
        <w:gridCol w:w="1064"/>
        <w:gridCol w:w="1063"/>
      </w:tblGrid>
      <w:tr>
        <w:trPr>
          <w:trHeight w:val="315"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金管理局稳</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资源和社会</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岗补贴</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保障局</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特定行业、产</w:t>
            </w:r>
          </w:p>
        </w:tc>
      </w:tr>
      <w:tr>
        <w:trPr>
          <w:trHeight w:val="312" w:hRule="exact"/>
        </w:trPr>
        <w:tc>
          <w:tcPr>
            <w:tcW w:w="3193" w:type="dxa"/>
            <w:gridSpan w:val="3"/>
            <w:vMerge w:val="restart"/>
            <w:tcBorders>
              <w:top w:val="nil" w:sz="6" w:space="0" w:color="auto"/>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业而获得的</w:t>
            </w:r>
          </w:p>
        </w:tc>
      </w:tr>
      <w:tr>
        <w:trPr>
          <w:trHeight w:val="312" w:hRule="exact"/>
        </w:trPr>
        <w:tc>
          <w:tcPr>
            <w:tcW w:w="3193" w:type="dxa"/>
            <w:gridSpan w:val="3"/>
            <w:vMerge/>
            <w:tcBorders>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pacing w:val="-12"/>
                <w:sz w:val="18"/>
                <w:szCs w:val="18"/>
              </w:rPr>
              <w:t>补助（按国家</w:t>
            </w:r>
          </w:p>
        </w:tc>
      </w:tr>
      <w:tr>
        <w:trPr>
          <w:trHeight w:val="312" w:hRule="exact"/>
        </w:trPr>
        <w:tc>
          <w:tcPr>
            <w:tcW w:w="3193" w:type="dxa"/>
            <w:gridSpan w:val="3"/>
            <w:vMerge/>
            <w:tcBorders>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r>
      <w:tr>
        <w:trPr>
          <w:trHeight w:val="346" w:hRule="exact"/>
        </w:trPr>
        <w:tc>
          <w:tcPr>
            <w:tcW w:w="3193" w:type="dxa"/>
            <w:gridSpan w:val="3"/>
            <w:vMerge/>
            <w:tcBorders>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
        <w:rPr>
          <w:rFonts w:ascii="宋体" w:hAnsi="宋体" w:cs="宋体" w:eastAsia="宋体" w:hint="default"/>
          <w:sz w:val="17"/>
          <w:szCs w:val="17"/>
        </w:rPr>
      </w:pPr>
    </w:p>
    <w:p>
      <w:pPr>
        <w:pStyle w:val="BodyText"/>
        <w:spacing w:line="316" w:lineRule="auto"/>
        <w:ind w:left="181" w:right="0"/>
        <w:jc w:val="both"/>
      </w:pPr>
      <w:r>
        <w:rPr/>
        <w:t>社会保险基 金管理局生 育津贴</w:t>
      </w:r>
    </w:p>
    <w:p>
      <w:pPr>
        <w:spacing w:line="240" w:lineRule="auto" w:before="1"/>
        <w:rPr>
          <w:rFonts w:ascii="宋体" w:hAnsi="宋体" w:cs="宋体" w:eastAsia="宋体" w:hint="default"/>
          <w:sz w:val="17"/>
          <w:szCs w:val="17"/>
        </w:rPr>
      </w:pPr>
      <w:r>
        <w:rPr/>
        <w:br w:type="column"/>
      </w:r>
      <w:r>
        <w:rPr>
          <w:rFonts w:ascii="宋体"/>
          <w:sz w:val="17"/>
        </w:rPr>
      </w:r>
    </w:p>
    <w:p>
      <w:pPr>
        <w:pStyle w:val="BodyText"/>
        <w:spacing w:line="316" w:lineRule="auto"/>
        <w:ind w:left="125" w:right="-19"/>
        <w:jc w:val="left"/>
      </w:pPr>
      <w:r>
        <w:rPr/>
        <w:t>深圳市人力 资源和社会</w:t>
      </w:r>
      <w:r>
        <w:rPr>
          <w:spacing w:val="73"/>
        </w:rPr>
        <w:t> </w:t>
      </w:r>
      <w:r>
        <w:rPr/>
        <w:t>补助</w:t>
      </w:r>
      <w:r>
        <w:rPr/>
        <w:t> 保障局</w:t>
      </w:r>
    </w:p>
    <w:p>
      <w:pPr>
        <w:pStyle w:val="BodyText"/>
        <w:spacing w:line="312" w:lineRule="exact" w:before="28"/>
        <w:ind w:left="181" w:right="5472"/>
        <w:jc w:val="left"/>
      </w:pPr>
      <w:r>
        <w:rPr/>
        <w:br w:type="column"/>
      </w:r>
      <w:r>
        <w:rPr/>
        <w:t>因研究开发、 技术更新及</w:t>
      </w:r>
    </w:p>
    <w:p>
      <w:pPr>
        <w:pStyle w:val="BodyText"/>
        <w:tabs>
          <w:tab w:pos="2308" w:val="left" w:leader="none"/>
          <w:tab w:pos="3657" w:val="left" w:leader="none"/>
          <w:tab w:pos="5496" w:val="left" w:leader="none"/>
        </w:tabs>
        <w:spacing w:line="86" w:lineRule="exact"/>
        <w:ind w:left="1244" w:right="0"/>
        <w:jc w:val="left"/>
      </w:pPr>
      <w:r>
        <w:rPr/>
        <w:t>否</w:t>
        <w:tab/>
        <w:t>否</w:t>
        <w:tab/>
      </w:r>
      <w:r>
        <w:rPr>
          <w:rFonts w:ascii="Times New Roman" w:hAnsi="Times New Roman" w:cs="Times New Roman" w:eastAsia="Times New Roman" w:hint="default"/>
          <w:spacing w:val="-1"/>
        </w:rPr>
        <w:t>14,704.28</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2" w:lineRule="auto" w:before="44"/>
        <w:ind w:left="181" w:right="0"/>
        <w:jc w:val="both"/>
      </w:pPr>
      <w:r>
        <w:rPr/>
        <w:t>知识产权专 项奖励（企 业）</w:t>
      </w:r>
      <w:r>
        <w:rPr>
          <w:rFonts w:ascii="Times New Roman" w:hAnsi="Times New Roman" w:cs="Times New Roman" w:eastAsia="Times New Roman" w:hint="default"/>
        </w:rPr>
        <w:t>-</w:t>
      </w:r>
      <w:r>
        <w:rPr/>
        <w:t>专利资 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9" w:lineRule="auto"/>
        <w:ind w:left="65" w:right="-20"/>
        <w:jc w:val="left"/>
      </w:pPr>
      <w:r>
        <w:rPr/>
        <w:t>深圳市市场 和质量监督</w:t>
      </w:r>
      <w:r>
        <w:rPr>
          <w:spacing w:val="73"/>
        </w:rPr>
        <w:t> </w:t>
      </w:r>
      <w:r>
        <w:rPr/>
        <w:t>补助</w:t>
      </w:r>
      <w:r>
        <w:rPr/>
        <w:t> 管理委员会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3657" w:val="left" w:leader="none"/>
          <w:tab w:pos="5496" w:val="left" w:leader="none"/>
        </w:tabs>
        <w:spacing w:line="86" w:lineRule="exact"/>
        <w:ind w:left="1244" w:right="0"/>
        <w:jc w:val="left"/>
      </w:pPr>
      <w:r>
        <w:rPr/>
        <w:t>否</w:t>
        <w:tab/>
        <w:t>否</w:t>
        <w:tab/>
      </w:r>
      <w:r>
        <w:rPr>
          <w:rFonts w:ascii="Times New Roman" w:hAnsi="Times New Roman" w:cs="Times New Roman" w:eastAsia="Times New Roman" w:hint="default"/>
          <w:spacing w:val="-1"/>
        </w:rPr>
        <w:t>42,000.00</w:t>
        <w:tab/>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43" w:space="40"/>
            <w:col w:w="1489" w:space="522"/>
            <w:col w:w="6756"/>
          </w:cols>
        </w:sectPr>
      </w:pPr>
    </w:p>
    <w:p>
      <w:pPr>
        <w:pStyle w:val="BodyText"/>
        <w:spacing w:line="316" w:lineRule="auto" w:before="113"/>
        <w:ind w:left="181" w:right="0"/>
        <w:jc w:val="both"/>
      </w:pPr>
      <w:r>
        <w:rPr/>
        <w:t>住宅通风和 空气净化过 滤技术实施 及效果测评</w:t>
      </w:r>
    </w:p>
    <w:p>
      <w:pPr>
        <w:spacing w:line="240" w:lineRule="auto" w:before="8"/>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中华人民共 和国科学技</w:t>
      </w:r>
      <w:r>
        <w:rPr>
          <w:spacing w:val="73"/>
        </w:rPr>
        <w:t> </w:t>
      </w:r>
      <w:r>
        <w:rPr/>
        <w:t>补助</w:t>
      </w:r>
      <w:r>
        <w:rPr/>
        <w:t> 术部</w:t>
      </w:r>
    </w:p>
    <w:p>
      <w:pPr>
        <w:pStyle w:val="BodyText"/>
        <w:spacing w:line="310" w:lineRule="atLeast" w:before="39"/>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230,034.70</w:t>
      </w:r>
      <w:r>
        <w:rPr>
          <w:rFonts w:ascii="Times New Roman" w:hAnsi="Times New Roman" w:cs="Times New Roman" w:eastAsia="Times New Roman" w:hint="default"/>
          <w:spacing w:val="8"/>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07"/>
        <w:ind w:left="181" w:right="0"/>
        <w:jc w:val="both"/>
      </w:pPr>
      <w:r>
        <w:rPr/>
        <w:t>绿色施工现 场信息化管 理规范研究 与平台示范</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中华人民共 和国科学技</w:t>
      </w:r>
      <w:r>
        <w:rPr>
          <w:spacing w:val="73"/>
        </w:rPr>
        <w:t> </w:t>
      </w:r>
      <w:r>
        <w:rPr/>
        <w:t>补助</w:t>
      </w:r>
      <w:r>
        <w:rPr/>
        <w:t> 术部</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809" w:val="left" w:leader="none"/>
        </w:tabs>
        <w:spacing w:line="123" w:lineRule="exact"/>
        <w:ind w:left="1244" w:right="0"/>
        <w:jc w:val="left"/>
      </w:pPr>
      <w:r>
        <w:rPr/>
        <w:t>否</w:t>
        <w:tab/>
        <w:t>否</w:t>
        <w:tab/>
      </w:r>
      <w:r>
        <w:rPr>
          <w:rFonts w:ascii="Times New Roman" w:hAnsi="Times New Roman" w:cs="Times New Roman" w:eastAsia="Times New Roman" w:hint="default"/>
        </w:rPr>
        <w:t>2,306.00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10"/>
        <w:ind w:left="181" w:right="-20"/>
        <w:jc w:val="left"/>
      </w:pPr>
      <w:r>
        <w:rPr/>
        <w:t>既有建筑绿 色化改造关 键技术研究 </w:t>
      </w:r>
      <w:r>
        <w:rPr>
          <w:spacing w:val="-12"/>
        </w:rPr>
        <w:t>与示范（城市</w:t>
      </w:r>
      <w:r>
        <w:rPr/>
        <w:t> 社区绿色化 综合改造技 术研究与工 程示范）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6" w:lineRule="auto"/>
        <w:ind w:left="17" w:right="-19"/>
        <w:jc w:val="left"/>
      </w:pPr>
      <w:r>
        <w:rPr/>
        <w:t>中华人民共 和国住房和</w:t>
      </w:r>
      <w:r>
        <w:rPr>
          <w:spacing w:val="73"/>
        </w:rPr>
        <w:t> </w:t>
      </w:r>
      <w:r>
        <w:rPr/>
        <w:t>补助</w:t>
      </w:r>
      <w:r>
        <w:rPr/>
        <w:t> 城乡建设部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278,873.15</w:t>
      </w:r>
      <w:r>
        <w:rPr>
          <w:rFonts w:ascii="Times New Roman" w:hAnsi="Times New Roman" w:cs="Times New Roman" w:eastAsia="Times New Roman" w:hint="default"/>
          <w:spacing w:val="8"/>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90" w:space="40"/>
            <w:col w:w="1442" w:space="522"/>
            <w:col w:w="6756"/>
          </w:cols>
        </w:sectPr>
      </w:pPr>
    </w:p>
    <w:p>
      <w:pPr>
        <w:spacing w:line="240" w:lineRule="auto" w:before="2"/>
        <w:rPr>
          <w:rFonts w:ascii="宋体" w:hAnsi="宋体" w:cs="宋体" w:eastAsia="宋体" w:hint="default"/>
          <w:sz w:val="20"/>
          <w:szCs w:val="20"/>
        </w:rPr>
      </w:pPr>
    </w:p>
    <w:p>
      <w:pPr>
        <w:pStyle w:val="BodyText"/>
        <w:spacing w:line="316" w:lineRule="auto"/>
        <w:ind w:left="181" w:right="0"/>
        <w:jc w:val="both"/>
      </w:pPr>
      <w:r>
        <w:rPr/>
        <w:t>深圳市低碳 试点示范项 目</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深圳市发展 和改革委员</w:t>
      </w:r>
      <w:r>
        <w:rPr>
          <w:spacing w:val="73"/>
        </w:rPr>
        <w:t> </w:t>
      </w:r>
      <w:r>
        <w:rPr/>
        <w:t>补助</w:t>
      </w:r>
      <w:r>
        <w:rPr/>
        <w:t> 会</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296,766.63</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0"/>
        <w:jc w:val="both"/>
      </w:pPr>
      <w:r>
        <w:rPr/>
        <w:t>复合生物质 相变材料建 筑围护结构 的制备与性 能研究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19"/>
        <w:jc w:val="left"/>
      </w:pPr>
      <w:r>
        <w:rPr/>
        <w:t>深圳市科技</w:t>
      </w:r>
    </w:p>
    <w:p>
      <w:pPr>
        <w:pStyle w:val="BodyText"/>
        <w:spacing w:line="156" w:lineRule="exact"/>
        <w:ind w:left="0" w:right="0"/>
        <w:jc w:val="right"/>
      </w:pPr>
      <w:r>
        <w:rPr/>
        <w:t>补助</w:t>
      </w:r>
    </w:p>
    <w:p>
      <w:pPr>
        <w:pStyle w:val="BodyText"/>
        <w:spacing w:line="196" w:lineRule="exact"/>
        <w:ind w:left="125" w:right="-19"/>
        <w:jc w:val="left"/>
      </w:pPr>
      <w:r>
        <w:rPr/>
        <w:t>创新委员会</w:t>
      </w:r>
    </w:p>
    <w:p>
      <w:pPr>
        <w:pStyle w:val="BodyText"/>
        <w:spacing w:line="310" w:lineRule="atLeast" w:before="126"/>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604,086.37</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240" w:lineRule="auto" w:before="129"/>
        <w:ind w:left="181" w:right="-18"/>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年深圳</w:t>
      </w:r>
    </w:p>
    <w:p>
      <w:pPr>
        <w:pStyle w:val="BodyText"/>
        <w:spacing w:line="240" w:lineRule="auto" w:before="107"/>
        <w:ind w:left="77" w:right="-20"/>
        <w:jc w:val="left"/>
      </w:pPr>
      <w:r>
        <w:rPr/>
        <w:br w:type="column"/>
      </w:r>
      <w:r>
        <w:rPr/>
        <w:t>深圳市经济</w:t>
      </w:r>
    </w:p>
    <w:p>
      <w:pPr>
        <w:pStyle w:val="BodyText"/>
        <w:spacing w:line="240" w:lineRule="auto" w:before="129"/>
        <w:ind w:left="181" w:right="0"/>
        <w:jc w:val="left"/>
      </w:pPr>
      <w:r>
        <w:rPr/>
        <w:br w:type="column"/>
      </w:r>
      <w:r>
        <w:rPr/>
        <w:t>因研究开发、</w:t>
      </w:r>
    </w:p>
    <w:p>
      <w:pPr>
        <w:spacing w:after="0" w:line="240" w:lineRule="auto"/>
        <w:jc w:val="left"/>
        <w:sectPr>
          <w:type w:val="continuous"/>
          <w:pgSz w:w="11910" w:h="16840"/>
          <w:pgMar w:top="1060" w:bottom="1160" w:left="980" w:right="980"/>
          <w:cols w:num="3" w:equalWidth="0">
            <w:col w:w="1131" w:space="40"/>
            <w:col w:w="978" w:space="1045"/>
            <w:col w:w="6756"/>
          </w:cols>
        </w:sectPr>
      </w:pPr>
    </w:p>
    <w:p>
      <w:pPr>
        <w:pStyle w:val="BodyText"/>
        <w:spacing w:line="316" w:lineRule="auto" w:before="60"/>
        <w:ind w:left="181" w:right="-20"/>
        <w:jc w:val="left"/>
      </w:pPr>
      <w:r>
        <w:rPr/>
        <w:pict>
          <v:group style="position:absolute;margin-left:56.400002pt;margin-top:71.759979pt;width:479.05pt;height:694.8pt;mso-position-horizontal-relative:page;mso-position-vertical-relative:page;z-index:-1293952" coordorigin="1128,1435" coordsize="9581,13896">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3372;width:1055;height:1328" coordorigin="5394,3372" coordsize="1055,1328">
              <v:shape style="position:absolute;left:5394;top:3372;width:1055;height:1328" coordorigin="5394,3372" coordsize="1055,1328" path="m5394,4700l6448,4700,6448,3372,5394,3372,5394,4700xe" filled="true" fillcolor="#ffffff" stroked="false">
                <v:path arrowok="t"/>
                <v:fill type="solid"/>
              </v:shape>
            </v:group>
            <v:group style="position:absolute;left:5418;top:3840;width:1007;height:392" coordorigin="5418,3840" coordsize="1007,392">
              <v:shape style="position:absolute;left:5418;top:3840;width:1007;height:392" coordorigin="5418,3840" coordsize="1007,392" path="m5418,4232l6424,4232,6424,3840,5418,3840,5418,4232xe" filled="true" fillcolor="#ffffff" stroked="false">
                <v:path arrowok="t"/>
                <v:fill type="solid"/>
              </v:shape>
            </v:group>
            <v:group style="position:absolute;left:1138;top:3368;width:1057;height:2" coordorigin="1138,3368" coordsize="1057,2">
              <v:shape style="position:absolute;left:1138;top:3368;width:1057;height:2" coordorigin="1138,3368" coordsize="1057,0" path="m1138,3368l2194,3368e" filled="false" stroked="true" strokeweight=".48001pt" strokecolor="#000000">
                <v:path arrowok="t"/>
              </v:shape>
            </v:group>
            <v:group style="position:absolute;left:2204;top:3368;width:1054;height:2" coordorigin="2204,3368" coordsize="1054,2">
              <v:shape style="position:absolute;left:2204;top:3368;width:1054;height:2" coordorigin="2204,3368" coordsize="1054,0" path="m2204,3368l3257,3368e" filled="false" stroked="true" strokeweight=".48001pt" strokecolor="#000000">
                <v:path arrowok="t"/>
              </v:shape>
            </v:group>
            <v:group style="position:absolute;left:3267;top:3368;width:1055;height:2" coordorigin="3267,3368" coordsize="1055,2">
              <v:shape style="position:absolute;left:3267;top:3368;width:1055;height:2" coordorigin="3267,3368" coordsize="1055,0" path="m3267,3368l4321,3368e" filled="false" stroked="true" strokeweight=".48001pt" strokecolor="#000000">
                <v:path arrowok="t"/>
              </v:shape>
            </v:group>
            <v:group style="position:absolute;left:4331;top:3368;width:1054;height:2" coordorigin="4331,3368" coordsize="1054,2">
              <v:shape style="position:absolute;left:4331;top:3368;width:1054;height:2" coordorigin="4331,3368" coordsize="1054,0" path="m4331,3368l5384,3368e" filled="false" stroked="true" strokeweight=".48001pt" strokecolor="#000000">
                <v:path arrowok="t"/>
              </v:shape>
            </v:group>
            <v:group style="position:absolute;left:5394;top:3368;width:1052;height:2" coordorigin="5394,3368" coordsize="1052,2">
              <v:shape style="position:absolute;left:5394;top:3368;width:1052;height:2" coordorigin="5394,3368" coordsize="1052,0" path="m5394,3368l6445,3368e" filled="false" stroked="true" strokeweight=".48001pt" strokecolor="#000000">
                <v:path arrowok="t"/>
              </v:shape>
            </v:group>
            <v:group style="position:absolute;left:6455;top:3368;width:1054;height:2" coordorigin="6455,3368" coordsize="1054,2">
              <v:shape style="position:absolute;left:6455;top:3368;width:1054;height:2" coordorigin="6455,3368" coordsize="1054,0" path="m6455,3368l7509,3368e" filled="false" stroked="true" strokeweight=".48001pt" strokecolor="#000000">
                <v:path arrowok="t"/>
              </v:shape>
            </v:group>
            <v:group style="position:absolute;left:7518;top:3368;width:1054;height:2" coordorigin="7518,3368" coordsize="1054,2">
              <v:shape style="position:absolute;left:7518;top:3368;width:1054;height:2" coordorigin="7518,3368" coordsize="1054,0" path="m7518,3368l8572,3368e" filled="false" stroked="true" strokeweight=".48001pt" strokecolor="#000000">
                <v:path arrowok="t"/>
              </v:shape>
            </v:group>
            <v:group style="position:absolute;left:8581;top:3368;width:1055;height:2" coordorigin="8581,3368" coordsize="1055,2">
              <v:shape style="position:absolute;left:8581;top:3368;width:1055;height:2" coordorigin="8581,3368" coordsize="1055,0" path="m8581,3368l9635,3368e" filled="false" stroked="true" strokeweight=".48001pt" strokecolor="#000000">
                <v:path arrowok="t"/>
              </v:shape>
            </v:group>
            <v:group style="position:absolute;left:9645;top:3368;width:1054;height:2" coordorigin="9645,3368" coordsize="1054,2">
              <v:shape style="position:absolute;left:9645;top:3368;width:1054;height:2" coordorigin="9645,3368" coordsize="1054,0" path="m9645,3368l10699,3368e" filled="false" stroked="true" strokeweight=".48001pt" strokecolor="#000000">
                <v:path arrowok="t"/>
              </v:shape>
            </v:group>
            <v:group style="position:absolute;left:5394;top:4709;width:1055;height:1331" coordorigin="5394,4709" coordsize="1055,1331">
              <v:shape style="position:absolute;left:5394;top:4709;width:1055;height:1331" coordorigin="5394,4709" coordsize="1055,1331" path="m5394,6039l6448,6039,6448,4709,5394,4709,5394,6039xe" filled="true" fillcolor="#ffffff" stroked="false">
                <v:path arrowok="t"/>
                <v:fill type="solid"/>
              </v:shape>
            </v:group>
            <v:group style="position:absolute;left:5418;top:5177;width:1007;height:395" coordorigin="5418,5177" coordsize="1007,395">
              <v:shape style="position:absolute;left:5418;top:5177;width:1007;height:395" coordorigin="5418,5177" coordsize="1007,395" path="m5418,5571l6424,5571,6424,5177,5418,5177,5418,5571xe" filled="true" fillcolor="#ffffff" stroked="false">
                <v:path arrowok="t"/>
                <v:fill type="solid"/>
              </v:shape>
            </v:group>
            <v:group style="position:absolute;left:1138;top:4704;width:1057;height:2" coordorigin="1138,4704" coordsize="1057,2">
              <v:shape style="position:absolute;left:1138;top:4704;width:1057;height:2" coordorigin="1138,4704" coordsize="1057,0" path="m1138,4704l2194,4704e" filled="false" stroked="true" strokeweight=".48pt" strokecolor="#000000">
                <v:path arrowok="t"/>
              </v:shape>
            </v:group>
            <v:group style="position:absolute;left:2204;top:4704;width:1054;height:2" coordorigin="2204,4704" coordsize="1054,2">
              <v:shape style="position:absolute;left:2204;top:4704;width:1054;height:2" coordorigin="2204,4704" coordsize="1054,0" path="m2204,4704l3257,4704e" filled="false" stroked="true" strokeweight=".48pt" strokecolor="#000000">
                <v:path arrowok="t"/>
              </v:shape>
            </v:group>
            <v:group style="position:absolute;left:3267;top:4704;width:1055;height:2" coordorigin="3267,4704" coordsize="1055,2">
              <v:shape style="position:absolute;left:3267;top:4704;width:1055;height:2" coordorigin="3267,4704" coordsize="1055,0" path="m3267,4704l4321,4704e" filled="false" stroked="true" strokeweight=".48pt" strokecolor="#000000">
                <v:path arrowok="t"/>
              </v:shape>
            </v:group>
            <v:group style="position:absolute;left:4331;top:4704;width:1054;height:2" coordorigin="4331,4704" coordsize="1054,2">
              <v:shape style="position:absolute;left:4331;top:4704;width:1054;height:2" coordorigin="4331,4704" coordsize="1054,0" path="m4331,4704l5384,4704e" filled="false" stroked="true" strokeweight=".48pt" strokecolor="#000000">
                <v:path arrowok="t"/>
              </v:shape>
            </v:group>
            <v:group style="position:absolute;left:5394;top:4704;width:1052;height:2" coordorigin="5394,4704" coordsize="1052,2">
              <v:shape style="position:absolute;left:5394;top:4704;width:1052;height:2" coordorigin="5394,4704" coordsize="1052,0" path="m5394,4704l6445,4704e" filled="false" stroked="true" strokeweight=".48pt" strokecolor="#000000">
                <v:path arrowok="t"/>
              </v:shape>
            </v:group>
            <v:group style="position:absolute;left:6455;top:4704;width:1054;height:2" coordorigin="6455,4704" coordsize="1054,2">
              <v:shape style="position:absolute;left:6455;top:4704;width:1054;height:2" coordorigin="6455,4704" coordsize="1054,0" path="m6455,4704l7509,4704e" filled="false" stroked="true" strokeweight=".48pt" strokecolor="#000000">
                <v:path arrowok="t"/>
              </v:shape>
            </v:group>
            <v:group style="position:absolute;left:7518;top:4704;width:1054;height:2" coordorigin="7518,4704" coordsize="1054,2">
              <v:shape style="position:absolute;left:7518;top:4704;width:1054;height:2" coordorigin="7518,4704" coordsize="1054,0" path="m7518,4704l8572,4704e" filled="false" stroked="true" strokeweight=".48pt" strokecolor="#000000">
                <v:path arrowok="t"/>
              </v:shape>
            </v:group>
            <v:group style="position:absolute;left:8581;top:4704;width:1055;height:2" coordorigin="8581,4704" coordsize="1055,2">
              <v:shape style="position:absolute;left:8581;top:4704;width:1055;height:2" coordorigin="8581,4704" coordsize="1055,0" path="m8581,4704l9635,4704e" filled="false" stroked="true" strokeweight=".48pt" strokecolor="#000000">
                <v:path arrowok="t"/>
              </v:shape>
            </v:group>
            <v:group style="position:absolute;left:9645;top:4704;width:1054;height:2" coordorigin="9645,4704" coordsize="1054,2">
              <v:shape style="position:absolute;left:9645;top:4704;width:1054;height:2" coordorigin="9645,4704" coordsize="1054,0" path="m9645,4704l10699,4704e" filled="false" stroked="true" strokeweight=".48pt" strokecolor="#000000">
                <v:path arrowok="t"/>
              </v:shape>
            </v:group>
            <v:group style="position:absolute;left:5394;top:6049;width:1055;height:1328" coordorigin="5394,6049" coordsize="1055,1328">
              <v:shape style="position:absolute;left:5394;top:6049;width:1055;height:1328" coordorigin="5394,6049" coordsize="1055,1328" path="m5394,7376l6448,7376,6448,6049,5394,6049,5394,7376xe" filled="true" fillcolor="#ffffff" stroked="false">
                <v:path arrowok="t"/>
                <v:fill type="solid"/>
              </v:shape>
            </v:group>
            <v:group style="position:absolute;left:5418;top:6517;width:1007;height:392" coordorigin="5418,6517" coordsize="1007,392">
              <v:shape style="position:absolute;left:5418;top:6517;width:1007;height:392" coordorigin="5418,6517" coordsize="1007,392" path="m5418,6908l6424,6908,6424,6517,5418,6517,5418,6908xe" filled="true" fillcolor="#ffffff" stroked="false">
                <v:path arrowok="t"/>
                <v:fill type="solid"/>
              </v:shape>
            </v:group>
            <v:group style="position:absolute;left:1138;top:6044;width:1057;height:2" coordorigin="1138,6044" coordsize="1057,2">
              <v:shape style="position:absolute;left:1138;top:6044;width:1057;height:2" coordorigin="1138,6044" coordsize="1057,0" path="m1138,6044l2194,6044e" filled="false" stroked="true" strokeweight=".47998pt" strokecolor="#000000">
                <v:path arrowok="t"/>
              </v:shape>
            </v:group>
            <v:group style="position:absolute;left:2204;top:6044;width:1054;height:2" coordorigin="2204,6044" coordsize="1054,2">
              <v:shape style="position:absolute;left:2204;top:6044;width:1054;height:2" coordorigin="2204,6044" coordsize="1054,0" path="m2204,6044l3257,6044e" filled="false" stroked="true" strokeweight=".47998pt" strokecolor="#000000">
                <v:path arrowok="t"/>
              </v:shape>
            </v:group>
            <v:group style="position:absolute;left:3267;top:6044;width:1055;height:2" coordorigin="3267,6044" coordsize="1055,2">
              <v:shape style="position:absolute;left:3267;top:6044;width:1055;height:2" coordorigin="3267,6044" coordsize="1055,0" path="m3267,6044l4321,6044e" filled="false" stroked="true" strokeweight=".47998pt" strokecolor="#000000">
                <v:path arrowok="t"/>
              </v:shape>
            </v:group>
            <v:group style="position:absolute;left:4331;top:6044;width:1054;height:2" coordorigin="4331,6044" coordsize="1054,2">
              <v:shape style="position:absolute;left:4331;top:6044;width:1054;height:2" coordorigin="4331,6044" coordsize="1054,0" path="m4331,6044l5384,6044e" filled="false" stroked="true" strokeweight=".47998pt" strokecolor="#000000">
                <v:path arrowok="t"/>
              </v:shape>
            </v:group>
            <v:group style="position:absolute;left:5394;top:6044;width:1052;height:2" coordorigin="5394,6044" coordsize="1052,2">
              <v:shape style="position:absolute;left:5394;top:6044;width:1052;height:2" coordorigin="5394,6044" coordsize="1052,0" path="m5394,6044l6445,6044e" filled="false" stroked="true" strokeweight=".47998pt" strokecolor="#000000">
                <v:path arrowok="t"/>
              </v:shape>
            </v:group>
            <v:group style="position:absolute;left:6455;top:6044;width:1054;height:2" coordorigin="6455,6044" coordsize="1054,2">
              <v:shape style="position:absolute;left:6455;top:6044;width:1054;height:2" coordorigin="6455,6044" coordsize="1054,0" path="m6455,6044l7509,6044e" filled="false" stroked="true" strokeweight=".47998pt" strokecolor="#000000">
                <v:path arrowok="t"/>
              </v:shape>
            </v:group>
            <v:group style="position:absolute;left:7518;top:6044;width:1054;height:2" coordorigin="7518,6044" coordsize="1054,2">
              <v:shape style="position:absolute;left:7518;top:6044;width:1054;height:2" coordorigin="7518,6044" coordsize="1054,0" path="m7518,6044l8572,6044e" filled="false" stroked="true" strokeweight=".47998pt" strokecolor="#000000">
                <v:path arrowok="t"/>
              </v:shape>
            </v:group>
            <v:group style="position:absolute;left:8581;top:6044;width:1055;height:2" coordorigin="8581,6044" coordsize="1055,2">
              <v:shape style="position:absolute;left:8581;top:6044;width:1055;height:2" coordorigin="8581,6044" coordsize="1055,0" path="m8581,6044l9635,6044e" filled="false" stroked="true" strokeweight=".47998pt" strokecolor="#000000">
                <v:path arrowok="t"/>
              </v:shape>
            </v:group>
            <v:group style="position:absolute;left:9645;top:6044;width:1054;height:2" coordorigin="9645,6044" coordsize="1054,2">
              <v:shape style="position:absolute;left:9645;top:6044;width:1054;height:2" coordorigin="9645,6044" coordsize="1054,0" path="m9645,6044l10699,6044e" filled="false" stroked="true" strokeweight=".47998pt" strokecolor="#000000">
                <v:path arrowok="t"/>
              </v:shape>
            </v:group>
            <v:group style="position:absolute;left:5394;top:7386;width:1055;height:1330" coordorigin="5394,7386" coordsize="1055,1330">
              <v:shape style="position:absolute;left:5394;top:7386;width:1055;height:1330" coordorigin="5394,7386" coordsize="1055,1330" path="m5394,8715l6448,8715,6448,7386,5394,7386,5394,8715xe" filled="true" fillcolor="#ffffff" stroked="false">
                <v:path arrowok="t"/>
                <v:fill type="solid"/>
              </v:shape>
            </v:group>
            <v:group style="position:absolute;left:5418;top:7854;width:1007;height:394" coordorigin="5418,7854" coordsize="1007,394">
              <v:shape style="position:absolute;left:5418;top:7854;width:1007;height:394" coordorigin="5418,7854" coordsize="1007,394" path="m5418,8247l6424,8247,6424,7854,5418,7854,5418,8247xe" filled="true" fillcolor="#ffffff" stroked="false">
                <v:path arrowok="t"/>
                <v:fill type="solid"/>
              </v:shape>
            </v:group>
            <v:group style="position:absolute;left:1138;top:7381;width:1057;height:2" coordorigin="1138,7381" coordsize="1057,2">
              <v:shape style="position:absolute;left:1138;top:7381;width:1057;height:2" coordorigin="1138,7381" coordsize="1057,0" path="m1138,7381l2194,7381e" filled="false" stroked="true" strokeweight=".47998pt" strokecolor="#000000">
                <v:path arrowok="t"/>
              </v:shape>
            </v:group>
            <v:group style="position:absolute;left:2204;top:7381;width:1054;height:2" coordorigin="2204,7381" coordsize="1054,2">
              <v:shape style="position:absolute;left:2204;top:7381;width:1054;height:2" coordorigin="2204,7381" coordsize="1054,0" path="m2204,7381l3257,7381e" filled="false" stroked="true" strokeweight=".47998pt" strokecolor="#000000">
                <v:path arrowok="t"/>
              </v:shape>
            </v:group>
            <v:group style="position:absolute;left:3267;top:7381;width:1055;height:2" coordorigin="3267,7381" coordsize="1055,2">
              <v:shape style="position:absolute;left:3267;top:7381;width:1055;height:2" coordorigin="3267,7381" coordsize="1055,0" path="m3267,7381l4321,7381e" filled="false" stroked="true" strokeweight=".47998pt" strokecolor="#000000">
                <v:path arrowok="t"/>
              </v:shape>
            </v:group>
            <v:group style="position:absolute;left:4331;top:7381;width:1054;height:2" coordorigin="4331,7381" coordsize="1054,2">
              <v:shape style="position:absolute;left:4331;top:7381;width:1054;height:2" coordorigin="4331,7381" coordsize="1054,0" path="m4331,7381l5384,7381e" filled="false" stroked="true" strokeweight=".47998pt" strokecolor="#000000">
                <v:path arrowok="t"/>
              </v:shape>
            </v:group>
            <v:group style="position:absolute;left:5394;top:7381;width:1052;height:2" coordorigin="5394,7381" coordsize="1052,2">
              <v:shape style="position:absolute;left:5394;top:7381;width:1052;height:2" coordorigin="5394,7381" coordsize="1052,0" path="m5394,7381l6445,7381e" filled="false" stroked="true" strokeweight=".47998pt" strokecolor="#000000">
                <v:path arrowok="t"/>
              </v:shape>
            </v:group>
            <v:group style="position:absolute;left:6455;top:7381;width:1054;height:2" coordorigin="6455,7381" coordsize="1054,2">
              <v:shape style="position:absolute;left:6455;top:7381;width:1054;height:2" coordorigin="6455,7381" coordsize="1054,0" path="m6455,7381l7509,7381e" filled="false" stroked="true" strokeweight=".47998pt" strokecolor="#000000">
                <v:path arrowok="t"/>
              </v:shape>
            </v:group>
            <v:group style="position:absolute;left:7518;top:7381;width:1054;height:2" coordorigin="7518,7381" coordsize="1054,2">
              <v:shape style="position:absolute;left:7518;top:7381;width:1054;height:2" coordorigin="7518,7381" coordsize="1054,0" path="m7518,7381l8572,7381e" filled="false" stroked="true" strokeweight=".47998pt" strokecolor="#000000">
                <v:path arrowok="t"/>
              </v:shape>
            </v:group>
            <v:group style="position:absolute;left:8581;top:7381;width:1055;height:2" coordorigin="8581,7381" coordsize="1055,2">
              <v:shape style="position:absolute;left:8581;top:7381;width:1055;height:2" coordorigin="8581,7381" coordsize="1055,0" path="m8581,7381l9635,7381e" filled="false" stroked="true" strokeweight=".47998pt" strokecolor="#000000">
                <v:path arrowok="t"/>
              </v:shape>
            </v:group>
            <v:group style="position:absolute;left:9645;top:7381;width:1054;height:2" coordorigin="9645,7381" coordsize="1054,2">
              <v:shape style="position:absolute;left:9645;top:7381;width:1054;height:2" coordorigin="9645,7381" coordsize="1054,0" path="m9645,7381l10699,7381e" filled="false" stroked="true" strokeweight=".47998pt" strokecolor="#000000">
                <v:path arrowok="t"/>
              </v:shape>
            </v:group>
            <v:group style="position:absolute;left:5394;top:8725;width:1055;height:2576" coordorigin="5394,8725" coordsize="1055,2576">
              <v:shape style="position:absolute;left:5394;top:8725;width:1055;height:2576" coordorigin="5394,8725" coordsize="1055,2576" path="m5394,11301l6448,11301,6448,8725,5394,8725,5394,11301xe" filled="true" fillcolor="#ffffff" stroked="false">
                <v:path arrowok="t"/>
                <v:fill type="solid"/>
              </v:shape>
            </v:group>
            <v:group style="position:absolute;left:5418;top:9817;width:1007;height:392" coordorigin="5418,9817" coordsize="1007,392">
              <v:shape style="position:absolute;left:5418;top:9817;width:1007;height:392" coordorigin="5418,9817" coordsize="1007,392" path="m5418,10209l6424,10209,6424,9817,5418,9817,5418,10209xe" filled="true" fillcolor="#ffffff" stroked="false">
                <v:path arrowok="t"/>
                <v:fill type="solid"/>
              </v:shape>
            </v:group>
            <v:group style="position:absolute;left:1138;top:8720;width:1057;height:2" coordorigin="1138,8720" coordsize="1057,2">
              <v:shape style="position:absolute;left:1138;top:8720;width:1057;height:2" coordorigin="1138,8720" coordsize="1057,0" path="m1138,8720l2194,8720e" filled="false" stroked="true" strokeweight=".48001pt" strokecolor="#000000">
                <v:path arrowok="t"/>
              </v:shape>
            </v:group>
            <v:group style="position:absolute;left:2204;top:8720;width:1054;height:2" coordorigin="2204,8720" coordsize="1054,2">
              <v:shape style="position:absolute;left:2204;top:8720;width:1054;height:2" coordorigin="2204,8720" coordsize="1054,0" path="m2204,8720l3257,8720e" filled="false" stroked="true" strokeweight=".48001pt" strokecolor="#000000">
                <v:path arrowok="t"/>
              </v:shape>
            </v:group>
            <v:group style="position:absolute;left:3267;top:8720;width:1055;height:2" coordorigin="3267,8720" coordsize="1055,2">
              <v:shape style="position:absolute;left:3267;top:8720;width:1055;height:2" coordorigin="3267,8720" coordsize="1055,0" path="m3267,8720l4321,8720e" filled="false" stroked="true" strokeweight=".48001pt" strokecolor="#000000">
                <v:path arrowok="t"/>
              </v:shape>
            </v:group>
            <v:group style="position:absolute;left:4331;top:8720;width:1054;height:2" coordorigin="4331,8720" coordsize="1054,2">
              <v:shape style="position:absolute;left:4331;top:8720;width:1054;height:2" coordorigin="4331,8720" coordsize="1054,0" path="m4331,8720l5384,8720e" filled="false" stroked="true" strokeweight=".48001pt" strokecolor="#000000">
                <v:path arrowok="t"/>
              </v:shape>
            </v:group>
            <v:group style="position:absolute;left:5394;top:8720;width:1052;height:2" coordorigin="5394,8720" coordsize="1052,2">
              <v:shape style="position:absolute;left:5394;top:8720;width:1052;height:2" coordorigin="5394,8720" coordsize="1052,0" path="m5394,8720l6445,8720e" filled="false" stroked="true" strokeweight=".48001pt" strokecolor="#000000">
                <v:path arrowok="t"/>
              </v:shape>
            </v:group>
            <v:group style="position:absolute;left:6455;top:8720;width:1054;height:2" coordorigin="6455,8720" coordsize="1054,2">
              <v:shape style="position:absolute;left:6455;top:8720;width:1054;height:2" coordorigin="6455,8720" coordsize="1054,0" path="m6455,8720l7509,8720e" filled="false" stroked="true" strokeweight=".48001pt" strokecolor="#000000">
                <v:path arrowok="t"/>
              </v:shape>
            </v:group>
            <v:group style="position:absolute;left:7518;top:8720;width:1054;height:2" coordorigin="7518,8720" coordsize="1054,2">
              <v:shape style="position:absolute;left:7518;top:8720;width:1054;height:2" coordorigin="7518,8720" coordsize="1054,0" path="m7518,8720l8572,8720e" filled="false" stroked="true" strokeweight=".48001pt" strokecolor="#000000">
                <v:path arrowok="t"/>
              </v:shape>
            </v:group>
            <v:group style="position:absolute;left:8581;top:8720;width:1055;height:2" coordorigin="8581,8720" coordsize="1055,2">
              <v:shape style="position:absolute;left:8581;top:8720;width:1055;height:2" coordorigin="8581,8720" coordsize="1055,0" path="m8581,8720l9635,8720e" filled="false" stroked="true" strokeweight=".48001pt" strokecolor="#000000">
                <v:path arrowok="t"/>
              </v:shape>
            </v:group>
            <v:group style="position:absolute;left:9645;top:8720;width:1054;height:2" coordorigin="9645,8720" coordsize="1054,2">
              <v:shape style="position:absolute;left:9645;top:8720;width:1054;height:2" coordorigin="9645,8720" coordsize="1054,0" path="m9645,8720l10699,8720e" filled="false" stroked="true" strokeweight=".48001pt" strokecolor="#000000">
                <v:path arrowok="t"/>
              </v:shape>
            </v:group>
            <v:group style="position:absolute;left:5394;top:11310;width:1055;height:1330" coordorigin="5394,11310" coordsize="1055,1330">
              <v:shape style="position:absolute;left:5394;top:11310;width:1055;height:1330" coordorigin="5394,11310" coordsize="1055,1330" path="m5394,12640l6448,12640,6448,11310,5394,11310,5394,12640xe" filled="true" fillcolor="#ffffff" stroked="false">
                <v:path arrowok="t"/>
                <v:fill type="solid"/>
              </v:shape>
            </v:group>
            <v:group style="position:absolute;left:5418;top:11778;width:1007;height:394" coordorigin="5418,11778" coordsize="1007,394">
              <v:shape style="position:absolute;left:5418;top:11778;width:1007;height:394" coordorigin="5418,11778" coordsize="1007,394" path="m5418,12172l6424,12172,6424,11778,5418,11778,5418,12172xe" filled="true" fillcolor="#ffffff" stroked="false">
                <v:path arrowok="t"/>
                <v:fill type="solid"/>
              </v:shape>
            </v:group>
            <v:group style="position:absolute;left:1138;top:11305;width:1057;height:2" coordorigin="1138,11305" coordsize="1057,2">
              <v:shape style="position:absolute;left:1138;top:11305;width:1057;height:2" coordorigin="1138,11305" coordsize="1057,0" path="m1138,11305l2194,11305e" filled="false" stroked="true" strokeweight=".48004pt" strokecolor="#000000">
                <v:path arrowok="t"/>
              </v:shape>
            </v:group>
            <v:group style="position:absolute;left:2204;top:11305;width:1054;height:2" coordorigin="2204,11305" coordsize="1054,2">
              <v:shape style="position:absolute;left:2204;top:11305;width:1054;height:2" coordorigin="2204,11305" coordsize="1054,0" path="m2204,11305l3257,11305e" filled="false" stroked="true" strokeweight=".48004pt" strokecolor="#000000">
                <v:path arrowok="t"/>
              </v:shape>
            </v:group>
            <v:group style="position:absolute;left:3267;top:11305;width:1055;height:2" coordorigin="3267,11305" coordsize="1055,2">
              <v:shape style="position:absolute;left:3267;top:11305;width:1055;height:2" coordorigin="3267,11305" coordsize="1055,0" path="m3267,11305l4321,11305e" filled="false" stroked="true" strokeweight=".48004pt" strokecolor="#000000">
                <v:path arrowok="t"/>
              </v:shape>
            </v:group>
            <v:group style="position:absolute;left:4331;top:11305;width:1054;height:2" coordorigin="4331,11305" coordsize="1054,2">
              <v:shape style="position:absolute;left:4331;top:11305;width:1054;height:2" coordorigin="4331,11305" coordsize="1054,0" path="m4331,11305l5384,11305e" filled="false" stroked="true" strokeweight=".48004pt" strokecolor="#000000">
                <v:path arrowok="t"/>
              </v:shape>
            </v:group>
            <v:group style="position:absolute;left:5394;top:11305;width:1052;height:2" coordorigin="5394,11305" coordsize="1052,2">
              <v:shape style="position:absolute;left:5394;top:11305;width:1052;height:2" coordorigin="5394,11305" coordsize="1052,0" path="m5394,11305l6445,11305e" filled="false" stroked="true" strokeweight=".48004pt" strokecolor="#000000">
                <v:path arrowok="t"/>
              </v:shape>
            </v:group>
            <v:group style="position:absolute;left:6455;top:11305;width:1054;height:2" coordorigin="6455,11305" coordsize="1054,2">
              <v:shape style="position:absolute;left:6455;top:11305;width:1054;height:2" coordorigin="6455,11305" coordsize="1054,0" path="m6455,11305l7509,11305e" filled="false" stroked="true" strokeweight=".48004pt" strokecolor="#000000">
                <v:path arrowok="t"/>
              </v:shape>
            </v:group>
            <v:group style="position:absolute;left:7518;top:11305;width:1054;height:2" coordorigin="7518,11305" coordsize="1054,2">
              <v:shape style="position:absolute;left:7518;top:11305;width:1054;height:2" coordorigin="7518,11305" coordsize="1054,0" path="m7518,11305l8572,11305e" filled="false" stroked="true" strokeweight=".48004pt" strokecolor="#000000">
                <v:path arrowok="t"/>
              </v:shape>
            </v:group>
            <v:group style="position:absolute;left:8581;top:11305;width:1055;height:2" coordorigin="8581,11305" coordsize="1055,2">
              <v:shape style="position:absolute;left:8581;top:11305;width:1055;height:2" coordorigin="8581,11305" coordsize="1055,0" path="m8581,11305l9635,11305e" filled="false" stroked="true" strokeweight=".48004pt" strokecolor="#000000">
                <v:path arrowok="t"/>
              </v:shape>
            </v:group>
            <v:group style="position:absolute;left:9645;top:11305;width:1054;height:2" coordorigin="9645,11305" coordsize="1054,2">
              <v:shape style="position:absolute;left:9645;top:11305;width:1054;height:2" coordorigin="9645,11305" coordsize="1054,0" path="m9645,11305l10699,11305e" filled="false" stroked="true" strokeweight=".48004pt" strokecolor="#000000">
                <v:path arrowok="t"/>
              </v:shape>
            </v:group>
            <v:group style="position:absolute;left:5394;top:12650;width:1055;height:1640" coordorigin="5394,12650" coordsize="1055,1640">
              <v:shape style="position:absolute;left:5394;top:12650;width:1055;height:1640" coordorigin="5394,12650" coordsize="1055,1640" path="m5394,14289l6448,14289,6448,12650,5394,12650,5394,14289xe" filled="true" fillcolor="#ffffff" stroked="false">
                <v:path arrowok="t"/>
                <v:fill type="solid"/>
              </v:shape>
            </v:group>
            <v:group style="position:absolute;left:5418;top:13274;width:1007;height:392" coordorigin="5418,13274" coordsize="1007,392">
              <v:shape style="position:absolute;left:5418;top:13274;width:1007;height:392" coordorigin="5418,13274" coordsize="1007,392" path="m5418,13665l6424,13665,6424,13274,5418,13274,5418,13665xe" filled="true" fillcolor="#ffffff" stroked="false">
                <v:path arrowok="t"/>
                <v:fill type="solid"/>
              </v:shape>
            </v:group>
            <v:group style="position:absolute;left:1138;top:12645;width:1057;height:2" coordorigin="1138,12645" coordsize="1057,2">
              <v:shape style="position:absolute;left:1138;top:12645;width:1057;height:2" coordorigin="1138,12645" coordsize="1057,0" path="m1138,12645l2194,12645e" filled="false" stroked="true" strokeweight=".47998pt" strokecolor="#000000">
                <v:path arrowok="t"/>
              </v:shape>
            </v:group>
            <v:group style="position:absolute;left:2204;top:12645;width:1054;height:2" coordorigin="2204,12645" coordsize="1054,2">
              <v:shape style="position:absolute;left:2204;top:12645;width:1054;height:2" coordorigin="2204,12645" coordsize="1054,0" path="m2204,12645l3257,12645e" filled="false" stroked="true" strokeweight=".47998pt" strokecolor="#000000">
                <v:path arrowok="t"/>
              </v:shape>
            </v:group>
            <v:group style="position:absolute;left:3267;top:12645;width:1055;height:2" coordorigin="3267,12645" coordsize="1055,2">
              <v:shape style="position:absolute;left:3267;top:12645;width:1055;height:2" coordorigin="3267,12645" coordsize="1055,0" path="m3267,12645l4321,12645e" filled="false" stroked="true" strokeweight=".47998pt" strokecolor="#000000">
                <v:path arrowok="t"/>
              </v:shape>
            </v:group>
            <v:group style="position:absolute;left:4331;top:12645;width:1054;height:2" coordorigin="4331,12645" coordsize="1054,2">
              <v:shape style="position:absolute;left:4331;top:12645;width:1054;height:2" coordorigin="4331,12645" coordsize="1054,0" path="m4331,12645l5384,12645e" filled="false" stroked="true" strokeweight=".47998pt" strokecolor="#000000">
                <v:path arrowok="t"/>
              </v:shape>
            </v:group>
            <v:group style="position:absolute;left:5394;top:12645;width:1052;height:2" coordorigin="5394,12645" coordsize="1052,2">
              <v:shape style="position:absolute;left:5394;top:12645;width:1052;height:2" coordorigin="5394,12645" coordsize="1052,0" path="m5394,12645l6445,12645e" filled="false" stroked="true" strokeweight=".47998pt" strokecolor="#000000">
                <v:path arrowok="t"/>
              </v:shape>
            </v:group>
            <v:group style="position:absolute;left:6455;top:12645;width:1054;height:2" coordorigin="6455,12645" coordsize="1054,2">
              <v:shape style="position:absolute;left:6455;top:12645;width:1054;height:2" coordorigin="6455,12645" coordsize="1054,0" path="m6455,12645l7509,12645e" filled="false" stroked="true" strokeweight=".47998pt" strokecolor="#000000">
                <v:path arrowok="t"/>
              </v:shape>
            </v:group>
            <v:group style="position:absolute;left:7518;top:12645;width:1054;height:2" coordorigin="7518,12645" coordsize="1054,2">
              <v:shape style="position:absolute;left:7518;top:12645;width:1054;height:2" coordorigin="7518,12645" coordsize="1054,0" path="m7518,12645l8572,12645e" filled="false" stroked="true" strokeweight=".47998pt" strokecolor="#000000">
                <v:path arrowok="t"/>
              </v:shape>
            </v:group>
            <v:group style="position:absolute;left:8581;top:12645;width:1055;height:2" coordorigin="8581,12645" coordsize="1055,2">
              <v:shape style="position:absolute;left:8581;top:12645;width:1055;height:2" coordorigin="8581,12645" coordsize="1055,0" path="m8581,12645l9635,12645e" filled="false" stroked="true" strokeweight=".47998pt" strokecolor="#000000">
                <v:path arrowok="t"/>
              </v:shape>
            </v:group>
            <v:group style="position:absolute;left:9645;top:12645;width:1054;height:2" coordorigin="9645,12645" coordsize="1054,2">
              <v:shape style="position:absolute;left:9645;top:12645;width:1054;height:2" coordorigin="9645,12645" coordsize="1054,0" path="m9645,12645l10699,12645e" filled="false" stroked="true" strokeweight=".47998pt" strokecolor="#000000">
                <v:path arrowok="t"/>
              </v:shape>
            </v:group>
            <v:group style="position:absolute;left:5394;top:14299;width:1055;height:1018" coordorigin="5394,14299" coordsize="1055,1018">
              <v:shape style="position:absolute;left:5394;top:14299;width:1055;height:1018" coordorigin="5394,14299" coordsize="1055,1018" path="m5394,15316l6448,15316,6448,14299,5394,14299,5394,15316xe" filled="true" fillcolor="#ffffff" stroked="false">
                <v:path arrowok="t"/>
                <v:fill type="solid"/>
              </v:shape>
            </v:group>
            <v:group style="position:absolute;left:5418;top:14611;width:1007;height:394" coordorigin="5418,14611" coordsize="1007,394">
              <v:shape style="position:absolute;left:5418;top:14611;width:1007;height:394" coordorigin="5418,14611" coordsize="1007,394" path="m5418,15004l6424,15004,6424,14611,5418,14611,5418,15004xe" filled="true" fillcolor="#ffffff" stroked="false">
                <v:path arrowok="t"/>
                <v:fill type="solid"/>
              </v:shape>
            </v:group>
            <v:group style="position:absolute;left:1138;top:14294;width:1057;height:2" coordorigin="1138,14294" coordsize="1057,2">
              <v:shape style="position:absolute;left:1138;top:14294;width:1057;height:2" coordorigin="1138,14294" coordsize="1057,0" path="m1138,14294l2194,14294e" filled="false" stroked="true" strokeweight=".48004pt" strokecolor="#000000">
                <v:path arrowok="t"/>
              </v:shape>
            </v:group>
            <v:group style="position:absolute;left:2204;top:14294;width:1054;height:2" coordorigin="2204,14294" coordsize="1054,2">
              <v:shape style="position:absolute;left:2204;top:14294;width:1054;height:2" coordorigin="2204,14294" coordsize="1054,0" path="m2204,14294l3257,14294e" filled="false" stroked="true" strokeweight=".48004pt" strokecolor="#000000">
                <v:path arrowok="t"/>
              </v:shape>
            </v:group>
            <v:group style="position:absolute;left:3267;top:14294;width:1055;height:2" coordorigin="3267,14294" coordsize="1055,2">
              <v:shape style="position:absolute;left:3267;top:14294;width:1055;height:2" coordorigin="3267,14294" coordsize="1055,0" path="m3267,14294l4321,14294e" filled="false" stroked="true" strokeweight=".48004pt" strokecolor="#000000">
                <v:path arrowok="t"/>
              </v:shape>
            </v:group>
            <v:group style="position:absolute;left:4331;top:14294;width:1054;height:2" coordorigin="4331,14294" coordsize="1054,2">
              <v:shape style="position:absolute;left:4331;top:14294;width:1054;height:2" coordorigin="4331,14294" coordsize="1054,0" path="m4331,14294l5384,14294e" filled="false" stroked="true" strokeweight=".48004pt" strokecolor="#000000">
                <v:path arrowok="t"/>
              </v:shape>
            </v:group>
            <v:group style="position:absolute;left:5394;top:14294;width:1052;height:2" coordorigin="5394,14294" coordsize="1052,2">
              <v:shape style="position:absolute;left:5394;top:14294;width:1052;height:2" coordorigin="5394,14294" coordsize="1052,0" path="m5394,14294l6445,14294e" filled="false" stroked="true" strokeweight=".48004pt" strokecolor="#000000">
                <v:path arrowok="t"/>
              </v:shape>
            </v:group>
            <v:group style="position:absolute;left:6455;top:14294;width:1054;height:2" coordorigin="6455,14294" coordsize="1054,2">
              <v:shape style="position:absolute;left:6455;top:14294;width:1054;height:2" coordorigin="6455,14294" coordsize="1054,0" path="m6455,14294l7509,14294e" filled="false" stroked="true" strokeweight=".48004pt" strokecolor="#000000">
                <v:path arrowok="t"/>
              </v:shape>
            </v:group>
            <v:group style="position:absolute;left:7518;top:14294;width:1054;height:2" coordorigin="7518,14294" coordsize="1054,2">
              <v:shape style="position:absolute;left:7518;top:14294;width:1054;height:2" coordorigin="7518,14294" coordsize="1054,0" path="m7518,14294l8572,14294e" filled="false" stroked="true" strokeweight=".48004pt" strokecolor="#000000">
                <v:path arrowok="t"/>
              </v:shape>
            </v:group>
            <v:group style="position:absolute;left:8581;top:14294;width:1055;height:2" coordorigin="8581,14294" coordsize="1055,2">
              <v:shape style="position:absolute;left:8581;top:14294;width:1055;height:2" coordorigin="8581,14294" coordsize="1055,0" path="m8581,14294l9635,14294e" filled="false" stroked="true" strokeweight=".48004pt" strokecolor="#000000">
                <v:path arrowok="t"/>
              </v:shape>
            </v:group>
            <v:group style="position:absolute;left:9645;top:14294;width:1054;height:2" coordorigin="9645,14294" coordsize="1054,2">
              <v:shape style="position:absolute;left:9645;top:14294;width:1054;height:2" coordorigin="9645,14294" coordsize="1054,0" path="m9645,14294l10699,14294e" filled="false" stroked="true" strokeweight=".48004pt" strokecolor="#000000">
                <v:path arrowok="t"/>
              </v:shape>
            </v:group>
            <v:group style="position:absolute;left:1133;top:1440;width:2;height:13886" coordorigin="1133,1440" coordsize="2,13886">
              <v:shape style="position:absolute;left:1133;top:1440;width:2;height:13886" coordorigin="1133,1440" coordsize="0,13886" path="m1133,1440l1133,15326e" filled="false" stroked="true" strokeweight=".48pt" strokecolor="#000000">
                <v:path arrowok="t"/>
              </v:shape>
            </v:group>
            <v:group style="position:absolute;left:1138;top:15321;width:1057;height:2" coordorigin="1138,15321" coordsize="1057,2">
              <v:shape style="position:absolute;left:1138;top:15321;width:1057;height:2" coordorigin="1138,15321" coordsize="1057,0" path="m1138,15321l2194,15321e" filled="false" stroked="true" strokeweight=".48004pt" strokecolor="#000000">
                <v:path arrowok="t"/>
              </v:shape>
            </v:group>
            <v:group style="position:absolute;left:2199;top:1440;width:2;height:13886" coordorigin="2199,1440" coordsize="2,13886">
              <v:shape style="position:absolute;left:2199;top:1440;width:2;height:13886" coordorigin="2199,1440" coordsize="0,13886" path="m2199,1440l2199,15326e" filled="false" stroked="true" strokeweight=".48pt" strokecolor="#000000">
                <v:path arrowok="t"/>
              </v:shape>
            </v:group>
            <v:group style="position:absolute;left:2204;top:15321;width:1054;height:2" coordorigin="2204,15321" coordsize="1054,2">
              <v:shape style="position:absolute;left:2204;top:15321;width:1054;height:2" coordorigin="2204,15321" coordsize="1054,0" path="m2204,15321l3257,15321e" filled="false" stroked="true" strokeweight=".48004pt" strokecolor="#000000">
                <v:path arrowok="t"/>
              </v:shape>
            </v:group>
            <v:group style="position:absolute;left:3262;top:1440;width:2;height:13886" coordorigin="3262,1440" coordsize="2,13886">
              <v:shape style="position:absolute;left:3262;top:1440;width:2;height:13886" coordorigin="3262,1440" coordsize="0,13886" path="m3262,1440l3262,15326e" filled="false" stroked="true" strokeweight=".48pt" strokecolor="#000000">
                <v:path arrowok="t"/>
              </v:shape>
            </v:group>
            <v:group style="position:absolute;left:3267;top:15321;width:1055;height:2" coordorigin="3267,15321" coordsize="1055,2">
              <v:shape style="position:absolute;left:3267;top:15321;width:1055;height:2" coordorigin="3267,15321" coordsize="1055,0" path="m3267,15321l4321,15321e" filled="false" stroked="true" strokeweight=".48004pt" strokecolor="#000000">
                <v:path arrowok="t"/>
              </v:shape>
            </v:group>
            <v:group style="position:absolute;left:4326;top:1440;width:2;height:13886" coordorigin="4326,1440" coordsize="2,13886">
              <v:shape style="position:absolute;left:4326;top:1440;width:2;height:13886" coordorigin="4326,1440" coordsize="0,13886" path="m4326,1440l4326,15326e" filled="false" stroked="true" strokeweight=".48pt" strokecolor="#000000">
                <v:path arrowok="t"/>
              </v:shape>
            </v:group>
            <v:group style="position:absolute;left:4331;top:15321;width:1054;height:2" coordorigin="4331,15321" coordsize="1054,2">
              <v:shape style="position:absolute;left:4331;top:15321;width:1054;height:2" coordorigin="4331,15321" coordsize="1054,0" path="m4331,15321l5384,15321e" filled="false" stroked="true" strokeweight=".48004pt" strokecolor="#000000">
                <v:path arrowok="t"/>
              </v:shape>
            </v:group>
            <v:group style="position:absolute;left:5389;top:1440;width:2;height:13886" coordorigin="5389,1440" coordsize="2,13886">
              <v:shape style="position:absolute;left:5389;top:1440;width:2;height:13886" coordorigin="5389,1440" coordsize="0,13886" path="m5389,1440l5389,15326e" filled="false" stroked="true" strokeweight=".47998pt" strokecolor="#000000">
                <v:path arrowok="t"/>
              </v:shape>
            </v:group>
            <v:group style="position:absolute;left:5394;top:15321;width:1052;height:2" coordorigin="5394,15321" coordsize="1052,2">
              <v:shape style="position:absolute;left:5394;top:15321;width:1052;height:2" coordorigin="5394,15321" coordsize="1052,0" path="m5394,15321l6445,15321e" filled="false" stroked="true" strokeweight=".48004pt" strokecolor="#000000">
                <v:path arrowok="t"/>
              </v:shape>
            </v:group>
            <v:group style="position:absolute;left:6450;top:1440;width:2;height:13886" coordorigin="6450,1440" coordsize="2,13886">
              <v:shape style="position:absolute;left:6450;top:1440;width:2;height:13886" coordorigin="6450,1440" coordsize="0,13886" path="m6450,1440l6450,15326e" filled="false" stroked="true" strokeweight=".48001pt" strokecolor="#000000">
                <v:path arrowok="t"/>
              </v:shape>
            </v:group>
            <v:group style="position:absolute;left:6455;top:15321;width:1054;height:2" coordorigin="6455,15321" coordsize="1054,2">
              <v:shape style="position:absolute;left:6455;top:15321;width:1054;height:2" coordorigin="6455,15321" coordsize="1054,0" path="m6455,15321l7509,15321e" filled="false" stroked="true" strokeweight=".48004pt" strokecolor="#000000">
                <v:path arrowok="t"/>
              </v:shape>
            </v:group>
            <v:group style="position:absolute;left:7513;top:1440;width:2;height:13886" coordorigin="7513,1440" coordsize="2,13886">
              <v:shape style="position:absolute;left:7513;top:1440;width:2;height:13886" coordorigin="7513,1440" coordsize="0,13886" path="m7513,1440l7513,15326e" filled="false" stroked="true" strokeweight=".48001pt" strokecolor="#000000">
                <v:path arrowok="t"/>
              </v:shape>
            </v:group>
            <v:group style="position:absolute;left:7518;top:15321;width:1054;height:2" coordorigin="7518,15321" coordsize="1054,2">
              <v:shape style="position:absolute;left:7518;top:15321;width:1054;height:2" coordorigin="7518,15321" coordsize="1054,0" path="m7518,15321l8572,15321e" filled="false" stroked="true" strokeweight=".48004pt" strokecolor="#000000">
                <v:path arrowok="t"/>
              </v:shape>
            </v:group>
            <v:group style="position:absolute;left:8577;top:1440;width:2;height:13886" coordorigin="8577,1440" coordsize="2,13886">
              <v:shape style="position:absolute;left:8577;top:1440;width:2;height:13886" coordorigin="8577,1440" coordsize="0,13886" path="m8577,1440l8577,15326e" filled="false" stroked="true" strokeweight=".47998pt" strokecolor="#000000">
                <v:path arrowok="t"/>
              </v:shape>
            </v:group>
            <v:group style="position:absolute;left:8581;top:15321;width:1055;height:2" coordorigin="8581,15321" coordsize="1055,2">
              <v:shape style="position:absolute;left:8581;top:15321;width:1055;height:2" coordorigin="8581,15321" coordsize="1055,0" path="m8581,15321l9635,15321e" filled="false" stroked="true" strokeweight=".48004pt" strokecolor="#000000">
                <v:path arrowok="t"/>
              </v:shape>
            </v:group>
            <v:group style="position:absolute;left:9640;top:1440;width:2;height:13886" coordorigin="9640,1440" coordsize="2,13886">
              <v:shape style="position:absolute;left:9640;top:1440;width:2;height:13886" coordorigin="9640,1440" coordsize="0,13886" path="m9640,1440l9640,15326e" filled="false" stroked="true" strokeweight=".48001pt" strokecolor="#000000">
                <v:path arrowok="t"/>
              </v:shape>
            </v:group>
            <v:group style="position:absolute;left:9645;top:15321;width:1054;height:2" coordorigin="9645,15321" coordsize="1054,2">
              <v:shape style="position:absolute;left:9645;top:15321;width:1054;height:2" coordorigin="9645,15321" coordsize="1054,0" path="m9645,15321l10699,15321e" filled="false" stroked="true" strokeweight=".48004pt" strokecolor="#000000">
                <v:path arrowok="t"/>
              </v:shape>
            </v:group>
            <v:group style="position:absolute;left:10704;top:1440;width:2;height:13886" coordorigin="10704,1440" coordsize="2,13886">
              <v:shape style="position:absolute;left:10704;top:1440;width:2;height:13886" coordorigin="10704,1440" coordsize="0,13886" path="m10704,1440l10704,15326e" filled="false" stroked="true" strokeweight=".47998pt" strokecolor="#000000">
                <v:path arrowok="t"/>
              </v:shape>
            </v:group>
            <w10:wrap type="none"/>
          </v:group>
        </w:pict>
      </w:r>
      <w:r>
        <w:rPr/>
        <w:t>市节能环保 产业发展专</w:t>
      </w:r>
    </w:p>
    <w:p>
      <w:pPr>
        <w:pStyle w:val="BodyText"/>
        <w:spacing w:line="316" w:lineRule="auto" w:before="41"/>
        <w:ind w:left="125" w:right="-19"/>
        <w:jc w:val="left"/>
      </w:pPr>
      <w:r>
        <w:rPr/>
        <w:br w:type="column"/>
      </w:r>
      <w:r>
        <w:rPr/>
        <w:t>贸易和信息</w:t>
      </w:r>
      <w:r>
        <w:rPr>
          <w:spacing w:val="73"/>
        </w:rPr>
        <w:t> </w:t>
      </w:r>
      <w:r>
        <w:rPr/>
        <w:t>补助</w:t>
      </w:r>
      <w:r>
        <w:rPr/>
        <w:t> 化委员会</w:t>
      </w:r>
    </w:p>
    <w:p>
      <w:pPr>
        <w:pStyle w:val="BodyText"/>
        <w:spacing w:line="316" w:lineRule="auto" w:before="60"/>
        <w:ind w:left="181" w:right="-20"/>
        <w:jc w:val="left"/>
      </w:pPr>
      <w:r>
        <w:rPr/>
        <w:br w:type="column"/>
      </w:r>
      <w:r>
        <w:rPr/>
        <w:t>技术更新及 改造等获得</w:t>
      </w:r>
    </w:p>
    <w:p>
      <w:pPr>
        <w:pStyle w:val="BodyText"/>
        <w:tabs>
          <w:tab w:pos="1186" w:val="left" w:leader="none"/>
          <w:tab w:pos="3515" w:val="left" w:leader="none"/>
        </w:tabs>
        <w:spacing w:line="240" w:lineRule="auto" w:before="41"/>
        <w:ind w:left="123" w:right="0"/>
        <w:jc w:val="left"/>
      </w:pPr>
      <w:r>
        <w:rPr/>
        <w:br w:type="column"/>
      </w:r>
      <w:r>
        <w:rPr/>
        <w:t>否</w:t>
        <w:tab/>
        <w:t>否</w:t>
        <w:tab/>
      </w:r>
      <w:r>
        <w:rPr>
          <w:rFonts w:ascii="Times New Roman" w:hAnsi="Times New Roman" w:cs="Times New Roman" w:eastAsia="Times New Roman" w:hint="default"/>
        </w:rPr>
        <w:t>351,118.06</w:t>
      </w:r>
      <w:r>
        <w:rPr>
          <w:rFonts w:ascii="Times New Roman" w:hAnsi="Times New Roman" w:cs="Times New Roman" w:eastAsia="Times New Roman" w:hint="default"/>
          <w:spacing w:val="1"/>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80" w:top="1060" w:bottom="1160" w:left="980" w:right="980"/>
        </w:sectPr>
      </w:pPr>
    </w:p>
    <w:p>
      <w:pPr>
        <w:pStyle w:val="BodyText"/>
        <w:spacing w:line="309" w:lineRule="auto" w:before="44"/>
        <w:ind w:left="181" w:right="0"/>
        <w:jc w:val="left"/>
      </w:pPr>
      <w:r>
        <w:rPr/>
        <w:t>项资金</w:t>
      </w:r>
      <w:r>
        <w:rPr>
          <w:rFonts w:ascii="Times New Roman" w:hAnsi="Times New Roman" w:cs="Times New Roman" w:eastAsia="Times New Roman" w:hint="default"/>
        </w:rPr>
        <w:t>—— </w:t>
      </w:r>
      <w:r>
        <w:rPr/>
        <w:t>伯克利</w:t>
      </w:r>
      <w:r>
        <w:rPr>
          <w:rFonts w:ascii="Times New Roman" w:hAnsi="Times New Roman" w:cs="Times New Roman" w:eastAsia="Times New Roman" w:hint="default"/>
        </w:rPr>
        <w:t>-</w:t>
      </w:r>
      <w:r>
        <w:rPr/>
        <w:t>深圳 建科院低碳 可持续社区 项目</w:t>
      </w:r>
    </w:p>
    <w:p>
      <w:pPr>
        <w:spacing w:before="44"/>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143" w:space="2050"/>
            <w:col w:w="6757"/>
          </w:cols>
        </w:sectPr>
      </w:pPr>
    </w:p>
    <w:p>
      <w:pPr>
        <w:spacing w:line="240" w:lineRule="auto" w:before="10"/>
        <w:rPr>
          <w:rFonts w:ascii="宋体" w:hAnsi="宋体" w:cs="宋体" w:eastAsia="宋体" w:hint="default"/>
          <w:sz w:val="20"/>
          <w:szCs w:val="20"/>
        </w:rPr>
      </w:pPr>
    </w:p>
    <w:p>
      <w:pPr>
        <w:pStyle w:val="BodyText"/>
        <w:spacing w:line="316" w:lineRule="auto"/>
        <w:ind w:left="181" w:right="0"/>
        <w:jc w:val="both"/>
      </w:pPr>
      <w:r>
        <w:rPr/>
        <w:t>启动区碳排 放实时监测 公共平台</w:t>
      </w:r>
    </w:p>
    <w:p>
      <w:pPr>
        <w:spacing w:line="240" w:lineRule="auto" w:before="10"/>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深圳市发展 和改革委员</w:t>
      </w:r>
      <w:r>
        <w:rPr>
          <w:spacing w:val="73"/>
        </w:rPr>
        <w:t> </w:t>
      </w:r>
      <w:r>
        <w:rPr/>
        <w:t>补助</w:t>
      </w:r>
      <w:r>
        <w:rPr/>
        <w:t> 会</w:t>
      </w:r>
    </w:p>
    <w:p>
      <w:pPr>
        <w:pStyle w:val="BodyText"/>
        <w:spacing w:line="310" w:lineRule="atLeast" w:before="41"/>
        <w:ind w:left="181" w:right="5472"/>
        <w:jc w:val="left"/>
      </w:pPr>
      <w:r>
        <w:rPr/>
        <w:br w:type="column"/>
      </w:r>
      <w:r>
        <w:rPr/>
        <w:t>因研究开发、 技术更新及</w:t>
      </w:r>
    </w:p>
    <w:p>
      <w:pPr>
        <w:pStyle w:val="BodyText"/>
        <w:tabs>
          <w:tab w:pos="2308" w:val="left" w:leader="none"/>
          <w:tab w:pos="4495" w:val="left" w:leader="none"/>
        </w:tabs>
        <w:spacing w:line="123" w:lineRule="exact"/>
        <w:ind w:left="1244" w:right="0"/>
        <w:jc w:val="left"/>
      </w:pPr>
      <w:r>
        <w:rPr/>
        <w:t>否</w:t>
        <w:tab/>
        <w:t>否</w:t>
        <w:tab/>
      </w:r>
      <w:r>
        <w:rPr>
          <w:rFonts w:ascii="Times New Roman" w:hAnsi="Times New Roman" w:cs="Times New Roman" w:eastAsia="Times New Roman" w:hint="default"/>
        </w:rPr>
        <w:t>4,294,595.56</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9" w:lineRule="auto" w:before="44"/>
        <w:ind w:left="181" w:right="0"/>
        <w:jc w:val="both"/>
      </w:pPr>
      <w:r>
        <w:rPr/>
        <w:t>工业化建筑 部品与构配 件认证风险 防范技术研 究</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9" w:lineRule="auto" w:before="121"/>
        <w:ind w:left="125" w:right="-19"/>
        <w:jc w:val="left"/>
      </w:pPr>
      <w:r>
        <w:rPr/>
        <w:t>中华人民共 和国科学技</w:t>
      </w:r>
      <w:r>
        <w:rPr>
          <w:spacing w:val="73"/>
        </w:rPr>
        <w:t> </w:t>
      </w:r>
      <w:r>
        <w:rPr/>
        <w:t>补助</w:t>
      </w:r>
      <w:r>
        <w:rPr/>
        <w:t> 术部</w:t>
      </w:r>
    </w:p>
    <w:p>
      <w:pPr>
        <w:pStyle w:val="BodyText"/>
        <w:spacing w:line="310" w:lineRule="atLeast" w:before="126"/>
        <w:ind w:left="181" w:right="5472"/>
        <w:jc w:val="left"/>
      </w:pPr>
      <w:r>
        <w:rPr/>
        <w:br w:type="column"/>
      </w:r>
      <w:r>
        <w:rPr/>
        <w:t>因研究开发、 技术更新及</w:t>
      </w:r>
    </w:p>
    <w:p>
      <w:pPr>
        <w:pStyle w:val="BodyText"/>
        <w:tabs>
          <w:tab w:pos="2308" w:val="left" w:leader="none"/>
          <w:tab w:pos="4809" w:val="left" w:leader="none"/>
        </w:tabs>
        <w:spacing w:line="123" w:lineRule="exact"/>
        <w:ind w:left="1244" w:right="0"/>
        <w:jc w:val="left"/>
      </w:pPr>
      <w:r>
        <w:rPr/>
        <w:t>否</w:t>
        <w:tab/>
        <w:t>否</w:t>
        <w:tab/>
      </w:r>
      <w:r>
        <w:rPr>
          <w:rFonts w:ascii="Times New Roman" w:hAnsi="Times New Roman" w:cs="Times New Roman" w:eastAsia="Times New Roman" w:hint="default"/>
        </w:rPr>
        <w:t>1,451.00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08"/>
        <w:ind w:left="181" w:right="0"/>
        <w:jc w:val="both"/>
      </w:pPr>
      <w:r>
        <w:rPr/>
        <w:t>国际低碳城 碳认证服务 中心（第一 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19"/>
        <w:jc w:val="left"/>
      </w:pPr>
      <w:r>
        <w:rPr/>
        <w:t>深圳市财政</w:t>
      </w:r>
    </w:p>
    <w:p>
      <w:pPr>
        <w:pStyle w:val="BodyText"/>
        <w:spacing w:line="156" w:lineRule="exact"/>
        <w:ind w:left="0" w:right="0"/>
        <w:jc w:val="right"/>
      </w:pPr>
      <w:r>
        <w:rPr/>
        <w:t>补助</w:t>
      </w:r>
    </w:p>
    <w:p>
      <w:pPr>
        <w:pStyle w:val="BodyText"/>
        <w:spacing w:line="196" w:lineRule="exact"/>
        <w:ind w:left="125" w:right="-19"/>
        <w:jc w:val="left"/>
      </w:pPr>
      <w:r>
        <w:rPr/>
        <w:t>委员会</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244,178.01</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6" w:lineRule="auto"/>
        <w:ind w:left="181" w:right="-20"/>
        <w:jc w:val="left"/>
      </w:pPr>
      <w:r>
        <w:rPr/>
        <w:t>节能检测评 价中心</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科技工贸和 信息化委员</w:t>
      </w:r>
      <w:r>
        <w:rPr>
          <w:spacing w:val="73"/>
        </w:rPr>
        <w:t> </w:t>
      </w:r>
      <w:r>
        <w:rPr/>
        <w:t>补助</w:t>
      </w:r>
      <w:r>
        <w:rPr/>
        <w:t> 会</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772,691.94</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2" w:lineRule="auto" w:before="44"/>
        <w:ind w:left="181" w:right="0"/>
        <w:jc w:val="both"/>
      </w:pPr>
      <w:r>
        <w:rPr/>
        <w:t>知识产权专 项奖励（企 业）</w:t>
      </w:r>
      <w:r>
        <w:rPr>
          <w:rFonts w:ascii="Times New Roman" w:hAnsi="Times New Roman" w:cs="Times New Roman" w:eastAsia="Times New Roman" w:hint="default"/>
        </w:rPr>
        <w:t>-</w:t>
      </w:r>
      <w:r>
        <w:rPr/>
        <w:t>专利资 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65" w:right="-20"/>
        <w:jc w:val="left"/>
      </w:pPr>
      <w:r>
        <w:rPr/>
        <w:t>福田区政府</w:t>
      </w:r>
    </w:p>
    <w:p>
      <w:pPr>
        <w:pStyle w:val="BodyText"/>
        <w:spacing w:line="156" w:lineRule="exact"/>
        <w:ind w:left="0" w:right="0"/>
        <w:jc w:val="right"/>
      </w:pPr>
      <w:r>
        <w:rPr/>
        <w:t>补助</w:t>
      </w:r>
    </w:p>
    <w:p>
      <w:pPr>
        <w:pStyle w:val="BodyText"/>
        <w:spacing w:line="196" w:lineRule="exact"/>
        <w:ind w:left="65" w:right="-20"/>
        <w:jc w:val="left"/>
      </w:pPr>
      <w:r>
        <w:rPr/>
        <w:t>产业资金</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720" w:val="left" w:leader="none"/>
        </w:tabs>
        <w:spacing w:line="86" w:lineRule="exact"/>
        <w:ind w:left="1244" w:right="0"/>
        <w:jc w:val="left"/>
      </w:pPr>
      <w:r>
        <w:rPr/>
        <w:t>否</w:t>
        <w:tab/>
        <w:t>否</w:t>
        <w:tab/>
      </w:r>
      <w:r>
        <w:rPr>
          <w:rFonts w:ascii="Times New Roman" w:hAnsi="Times New Roman" w:cs="Times New Roman" w:eastAsia="Times New Roman" w:hint="default"/>
        </w:rPr>
        <w:t>19,800.00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43" w:space="40"/>
            <w:col w:w="1489" w:space="522"/>
            <w:col w:w="6756"/>
          </w:cols>
        </w:sectPr>
      </w:pPr>
    </w:p>
    <w:p>
      <w:pPr>
        <w:spacing w:line="240" w:lineRule="auto" w:before="6"/>
        <w:rPr>
          <w:rFonts w:ascii="宋体" w:hAnsi="宋体" w:cs="宋体" w:eastAsia="宋体" w:hint="default"/>
          <w:sz w:val="20"/>
          <w:szCs w:val="20"/>
        </w:rPr>
      </w:pPr>
    </w:p>
    <w:p>
      <w:pPr>
        <w:pStyle w:val="BodyText"/>
        <w:spacing w:line="316" w:lineRule="auto"/>
        <w:ind w:left="181" w:right="0"/>
        <w:jc w:val="both"/>
      </w:pPr>
      <w:r>
        <w:rPr/>
        <w:t>既有社区绿 色化改造技 术规程</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中华人民共 和国住房和</w:t>
      </w:r>
      <w:r>
        <w:rPr>
          <w:spacing w:val="73"/>
        </w:rPr>
        <w:t> </w:t>
      </w:r>
      <w:r>
        <w:rPr/>
        <w:t>补助</w:t>
      </w:r>
      <w:r>
        <w:rPr/>
        <w:t> 城乡建设部</w:t>
      </w:r>
    </w:p>
    <w:p>
      <w:pPr>
        <w:pStyle w:val="BodyText"/>
        <w:spacing w:line="310" w:lineRule="atLeast" w:before="37"/>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0"/>
        <w:jc w:val="both"/>
      </w:pPr>
      <w:r>
        <w:rPr/>
        <w:t>住宅建筑室 内装修污染 控制技术规 程</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中华人民共 和国住房和</w:t>
      </w:r>
      <w:r>
        <w:rPr>
          <w:spacing w:val="73"/>
        </w:rPr>
        <w:t> </w:t>
      </w:r>
      <w:r>
        <w:rPr/>
        <w:t>补助</w:t>
      </w:r>
      <w:r>
        <w:rPr/>
        <w:t> 城乡建设部</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08"/>
        <w:ind w:left="181" w:right="-20"/>
        <w:jc w:val="left"/>
      </w:pPr>
      <w:r>
        <w:rPr/>
        <w:pict>
          <v:group style="position:absolute;margin-left:56.400002pt;margin-top:71.759979pt;width:479.05pt;height:694.8pt;mso-position-horizontal-relative:page;mso-position-vertical-relative:page;z-index:-1293928" coordorigin="1128,1435" coordsize="9581,13896">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3060;width:1055;height:1328" coordorigin="5394,3060" coordsize="1055,1328">
              <v:shape style="position:absolute;left:5394;top:3060;width:1055;height:1328" coordorigin="5394,3060" coordsize="1055,1328" path="m5394,4388l6448,4388,6448,3060,5394,3060,5394,4388xe" filled="true" fillcolor="#ffffff" stroked="false">
                <v:path arrowok="t"/>
                <v:fill type="solid"/>
              </v:shape>
            </v:group>
            <v:group style="position:absolute;left:5418;top:3528;width:1007;height:392" coordorigin="5418,3528" coordsize="1007,392">
              <v:shape style="position:absolute;left:5418;top:3528;width:1007;height:392" coordorigin="5418,3528" coordsize="1007,392" path="m5418,3920l6424,3920,6424,3528,5418,3528,5418,3920xe" filled="true" fillcolor="#ffffff" stroked="false">
                <v:path arrowok="t"/>
                <v:fill type="solid"/>
              </v:shape>
            </v:group>
            <v:group style="position:absolute;left:1138;top:3056;width:1057;height:2" coordorigin="1138,3056" coordsize="1057,2">
              <v:shape style="position:absolute;left:1138;top:3056;width:1057;height:2" coordorigin="1138,3056" coordsize="1057,0" path="m1138,3056l2194,3056e" filled="false" stroked="true" strokeweight=".48pt" strokecolor="#000000">
                <v:path arrowok="t"/>
              </v:shape>
            </v:group>
            <v:group style="position:absolute;left:2204;top:3056;width:1054;height:2" coordorigin="2204,3056" coordsize="1054,2">
              <v:shape style="position:absolute;left:2204;top:3056;width:1054;height:2" coordorigin="2204,3056" coordsize="1054,0" path="m2204,3056l3257,3056e" filled="false" stroked="true" strokeweight=".48pt" strokecolor="#000000">
                <v:path arrowok="t"/>
              </v:shape>
            </v:group>
            <v:group style="position:absolute;left:3267;top:3056;width:1055;height:2" coordorigin="3267,3056" coordsize="1055,2">
              <v:shape style="position:absolute;left:3267;top:3056;width:1055;height:2" coordorigin="3267,3056" coordsize="1055,0" path="m3267,3056l4321,3056e" filled="false" stroked="true" strokeweight=".48pt" strokecolor="#000000">
                <v:path arrowok="t"/>
              </v:shape>
            </v:group>
            <v:group style="position:absolute;left:4331;top:3056;width:1054;height:2" coordorigin="4331,3056" coordsize="1054,2">
              <v:shape style="position:absolute;left:4331;top:3056;width:1054;height:2" coordorigin="4331,3056" coordsize="1054,0" path="m4331,3056l5384,3056e" filled="false" stroked="true" strokeweight=".48pt" strokecolor="#000000">
                <v:path arrowok="t"/>
              </v:shape>
            </v:group>
            <v:group style="position:absolute;left:5394;top:3056;width:1052;height:2" coordorigin="5394,3056" coordsize="1052,2">
              <v:shape style="position:absolute;left:5394;top:3056;width:1052;height:2" coordorigin="5394,3056" coordsize="1052,0" path="m5394,3056l6445,3056e" filled="false" stroked="true" strokeweight=".48pt" strokecolor="#000000">
                <v:path arrowok="t"/>
              </v:shape>
            </v:group>
            <v:group style="position:absolute;left:6455;top:3056;width:1054;height:2" coordorigin="6455,3056" coordsize="1054,2">
              <v:shape style="position:absolute;left:6455;top:3056;width:1054;height:2" coordorigin="6455,3056" coordsize="1054,0" path="m6455,3056l7509,3056e" filled="false" stroked="true" strokeweight=".48pt" strokecolor="#000000">
                <v:path arrowok="t"/>
              </v:shape>
            </v:group>
            <v:group style="position:absolute;left:7518;top:3056;width:1054;height:2" coordorigin="7518,3056" coordsize="1054,2">
              <v:shape style="position:absolute;left:7518;top:3056;width:1054;height:2" coordorigin="7518,3056" coordsize="1054,0" path="m7518,3056l8572,3056e" filled="false" stroked="true" strokeweight=".48pt" strokecolor="#000000">
                <v:path arrowok="t"/>
              </v:shape>
            </v:group>
            <v:group style="position:absolute;left:8581;top:3056;width:1055;height:2" coordorigin="8581,3056" coordsize="1055,2">
              <v:shape style="position:absolute;left:8581;top:3056;width:1055;height:2" coordorigin="8581,3056" coordsize="1055,0" path="m8581,3056l9635,3056e" filled="false" stroked="true" strokeweight=".48pt" strokecolor="#000000">
                <v:path arrowok="t"/>
              </v:shape>
            </v:group>
            <v:group style="position:absolute;left:9645;top:3056;width:1054;height:2" coordorigin="9645,3056" coordsize="1054,2">
              <v:shape style="position:absolute;left:9645;top:3056;width:1054;height:2" coordorigin="9645,3056" coordsize="1054,0" path="m9645,3056l10699,3056e" filled="false" stroked="true" strokeweight=".48pt" strokecolor="#000000">
                <v:path arrowok="t"/>
              </v:shape>
            </v:group>
            <v:group style="position:absolute;left:5394;top:4397;width:1055;height:1643" coordorigin="5394,4397" coordsize="1055,1643">
              <v:shape style="position:absolute;left:5394;top:4397;width:1055;height:1643" coordorigin="5394,4397" coordsize="1055,1643" path="m5394,6039l6448,6039,6448,4397,5394,4397,5394,6039xe" filled="true" fillcolor="#ffffff" stroked="false">
                <v:path arrowok="t"/>
                <v:fill type="solid"/>
              </v:shape>
            </v:group>
            <v:group style="position:absolute;left:5418;top:5021;width:1007;height:394" coordorigin="5418,5021" coordsize="1007,394">
              <v:shape style="position:absolute;left:5418;top:5021;width:1007;height:394" coordorigin="5418,5021" coordsize="1007,394" path="m5418,5415l6424,5415,6424,5021,5418,5021,5418,5415xe" filled="true" fillcolor="#ffffff" stroked="false">
                <v:path arrowok="t"/>
                <v:fill type="solid"/>
              </v:shape>
            </v:group>
            <v:group style="position:absolute;left:1138;top:4392;width:1057;height:2" coordorigin="1138,4392" coordsize="1057,2">
              <v:shape style="position:absolute;left:1138;top:4392;width:1057;height:2" coordorigin="1138,4392" coordsize="1057,0" path="m1138,4392l2194,4392e" filled="false" stroked="true" strokeweight=".48pt" strokecolor="#000000">
                <v:path arrowok="t"/>
              </v:shape>
            </v:group>
            <v:group style="position:absolute;left:2204;top:4392;width:1054;height:2" coordorigin="2204,4392" coordsize="1054,2">
              <v:shape style="position:absolute;left:2204;top:4392;width:1054;height:2" coordorigin="2204,4392" coordsize="1054,0" path="m2204,4392l3257,4392e" filled="false" stroked="true" strokeweight=".48pt" strokecolor="#000000">
                <v:path arrowok="t"/>
              </v:shape>
            </v:group>
            <v:group style="position:absolute;left:3267;top:4392;width:1055;height:2" coordorigin="3267,4392" coordsize="1055,2">
              <v:shape style="position:absolute;left:3267;top:4392;width:1055;height:2" coordorigin="3267,4392" coordsize="1055,0" path="m3267,4392l4321,4392e" filled="false" stroked="true" strokeweight=".48pt" strokecolor="#000000">
                <v:path arrowok="t"/>
              </v:shape>
            </v:group>
            <v:group style="position:absolute;left:4331;top:4392;width:1054;height:2" coordorigin="4331,4392" coordsize="1054,2">
              <v:shape style="position:absolute;left:4331;top:4392;width:1054;height:2" coordorigin="4331,4392" coordsize="1054,0" path="m4331,4392l5384,4392e" filled="false" stroked="true" strokeweight=".48pt" strokecolor="#000000">
                <v:path arrowok="t"/>
              </v:shape>
            </v:group>
            <v:group style="position:absolute;left:5394;top:4392;width:1052;height:2" coordorigin="5394,4392" coordsize="1052,2">
              <v:shape style="position:absolute;left:5394;top:4392;width:1052;height:2" coordorigin="5394,4392" coordsize="1052,0" path="m5394,4392l6445,4392e" filled="false" stroked="true" strokeweight=".48pt" strokecolor="#000000">
                <v:path arrowok="t"/>
              </v:shape>
            </v:group>
            <v:group style="position:absolute;left:6455;top:4392;width:1054;height:2" coordorigin="6455,4392" coordsize="1054,2">
              <v:shape style="position:absolute;left:6455;top:4392;width:1054;height:2" coordorigin="6455,4392" coordsize="1054,0" path="m6455,4392l7509,4392e" filled="false" stroked="true" strokeweight=".48pt" strokecolor="#000000">
                <v:path arrowok="t"/>
              </v:shape>
            </v:group>
            <v:group style="position:absolute;left:7518;top:4392;width:1054;height:2" coordorigin="7518,4392" coordsize="1054,2">
              <v:shape style="position:absolute;left:7518;top:4392;width:1054;height:2" coordorigin="7518,4392" coordsize="1054,0" path="m7518,4392l8572,4392e" filled="false" stroked="true" strokeweight=".48pt" strokecolor="#000000">
                <v:path arrowok="t"/>
              </v:shape>
            </v:group>
            <v:group style="position:absolute;left:8581;top:4392;width:1055;height:2" coordorigin="8581,4392" coordsize="1055,2">
              <v:shape style="position:absolute;left:8581;top:4392;width:1055;height:2" coordorigin="8581,4392" coordsize="1055,0" path="m8581,4392l9635,4392e" filled="false" stroked="true" strokeweight=".48pt" strokecolor="#000000">
                <v:path arrowok="t"/>
              </v:shape>
            </v:group>
            <v:group style="position:absolute;left:9645;top:4392;width:1054;height:2" coordorigin="9645,4392" coordsize="1054,2">
              <v:shape style="position:absolute;left:9645;top:4392;width:1054;height:2" coordorigin="9645,4392" coordsize="1054,0" path="m9645,4392l10699,4392e" filled="false" stroked="true" strokeweight=".48pt" strokecolor="#000000">
                <v:path arrowok="t"/>
              </v:shape>
            </v:group>
            <v:group style="position:absolute;left:5394;top:6049;width:1055;height:1328" coordorigin="5394,6049" coordsize="1055,1328">
              <v:shape style="position:absolute;left:5394;top:6049;width:1055;height:1328" coordorigin="5394,6049" coordsize="1055,1328" path="m5394,7376l6448,7376,6448,6049,5394,6049,5394,7376xe" filled="true" fillcolor="#ffffff" stroked="false">
                <v:path arrowok="t"/>
                <v:fill type="solid"/>
              </v:shape>
            </v:group>
            <v:group style="position:absolute;left:5418;top:6517;width:1007;height:392" coordorigin="5418,6517" coordsize="1007,392">
              <v:shape style="position:absolute;left:5418;top:6517;width:1007;height:392" coordorigin="5418,6517" coordsize="1007,392" path="m5418,6908l6424,6908,6424,6517,5418,6517,5418,6908xe" filled="true" fillcolor="#ffffff" stroked="false">
                <v:path arrowok="t"/>
                <v:fill type="solid"/>
              </v:shape>
            </v:group>
            <v:group style="position:absolute;left:1138;top:6044;width:1057;height:2" coordorigin="1138,6044" coordsize="1057,2">
              <v:shape style="position:absolute;left:1138;top:6044;width:1057;height:2" coordorigin="1138,6044" coordsize="1057,0" path="m1138,6044l2194,6044e" filled="false" stroked="true" strokeweight=".47998pt" strokecolor="#000000">
                <v:path arrowok="t"/>
              </v:shape>
            </v:group>
            <v:group style="position:absolute;left:2204;top:6044;width:1054;height:2" coordorigin="2204,6044" coordsize="1054,2">
              <v:shape style="position:absolute;left:2204;top:6044;width:1054;height:2" coordorigin="2204,6044" coordsize="1054,0" path="m2204,6044l3257,6044e" filled="false" stroked="true" strokeweight=".47998pt" strokecolor="#000000">
                <v:path arrowok="t"/>
              </v:shape>
            </v:group>
            <v:group style="position:absolute;left:3267;top:6044;width:1055;height:2" coordorigin="3267,6044" coordsize="1055,2">
              <v:shape style="position:absolute;left:3267;top:6044;width:1055;height:2" coordorigin="3267,6044" coordsize="1055,0" path="m3267,6044l4321,6044e" filled="false" stroked="true" strokeweight=".47998pt" strokecolor="#000000">
                <v:path arrowok="t"/>
              </v:shape>
            </v:group>
            <v:group style="position:absolute;left:4331;top:6044;width:1054;height:2" coordorigin="4331,6044" coordsize="1054,2">
              <v:shape style="position:absolute;left:4331;top:6044;width:1054;height:2" coordorigin="4331,6044" coordsize="1054,0" path="m4331,6044l5384,6044e" filled="false" stroked="true" strokeweight=".47998pt" strokecolor="#000000">
                <v:path arrowok="t"/>
              </v:shape>
            </v:group>
            <v:group style="position:absolute;left:5394;top:6044;width:1052;height:2" coordorigin="5394,6044" coordsize="1052,2">
              <v:shape style="position:absolute;left:5394;top:6044;width:1052;height:2" coordorigin="5394,6044" coordsize="1052,0" path="m5394,6044l6445,6044e" filled="false" stroked="true" strokeweight=".47998pt" strokecolor="#000000">
                <v:path arrowok="t"/>
              </v:shape>
            </v:group>
            <v:group style="position:absolute;left:6455;top:6044;width:1054;height:2" coordorigin="6455,6044" coordsize="1054,2">
              <v:shape style="position:absolute;left:6455;top:6044;width:1054;height:2" coordorigin="6455,6044" coordsize="1054,0" path="m6455,6044l7509,6044e" filled="false" stroked="true" strokeweight=".47998pt" strokecolor="#000000">
                <v:path arrowok="t"/>
              </v:shape>
            </v:group>
            <v:group style="position:absolute;left:7518;top:6044;width:1054;height:2" coordorigin="7518,6044" coordsize="1054,2">
              <v:shape style="position:absolute;left:7518;top:6044;width:1054;height:2" coordorigin="7518,6044" coordsize="1054,0" path="m7518,6044l8572,6044e" filled="false" stroked="true" strokeweight=".47998pt" strokecolor="#000000">
                <v:path arrowok="t"/>
              </v:shape>
            </v:group>
            <v:group style="position:absolute;left:8581;top:6044;width:1055;height:2" coordorigin="8581,6044" coordsize="1055,2">
              <v:shape style="position:absolute;left:8581;top:6044;width:1055;height:2" coordorigin="8581,6044" coordsize="1055,0" path="m8581,6044l9635,6044e" filled="false" stroked="true" strokeweight=".47998pt" strokecolor="#000000">
                <v:path arrowok="t"/>
              </v:shape>
            </v:group>
            <v:group style="position:absolute;left:9645;top:6044;width:1054;height:2" coordorigin="9645,6044" coordsize="1054,2">
              <v:shape style="position:absolute;left:9645;top:6044;width:1054;height:2" coordorigin="9645,6044" coordsize="1054,0" path="m9645,6044l10699,6044e" filled="false" stroked="true" strokeweight=".47998pt" strokecolor="#000000">
                <v:path arrowok="t"/>
              </v:shape>
            </v:group>
            <v:group style="position:absolute;left:5394;top:7386;width:1055;height:1330" coordorigin="5394,7386" coordsize="1055,1330">
              <v:shape style="position:absolute;left:5394;top:7386;width:1055;height:1330" coordorigin="5394,7386" coordsize="1055,1330" path="m5394,8715l6448,8715,6448,7386,5394,7386,5394,8715xe" filled="true" fillcolor="#ffffff" stroked="false">
                <v:path arrowok="t"/>
                <v:fill type="solid"/>
              </v:shape>
            </v:group>
            <v:group style="position:absolute;left:5418;top:7854;width:1007;height:394" coordorigin="5418,7854" coordsize="1007,394">
              <v:shape style="position:absolute;left:5418;top:7854;width:1007;height:394" coordorigin="5418,7854" coordsize="1007,394" path="m5418,8247l6424,8247,6424,7854,5418,7854,5418,8247xe" filled="true" fillcolor="#ffffff" stroked="false">
                <v:path arrowok="t"/>
                <v:fill type="solid"/>
              </v:shape>
            </v:group>
            <v:group style="position:absolute;left:1138;top:7381;width:1057;height:2" coordorigin="1138,7381" coordsize="1057,2">
              <v:shape style="position:absolute;left:1138;top:7381;width:1057;height:2" coordorigin="1138,7381" coordsize="1057,0" path="m1138,7381l2194,7381e" filled="false" stroked="true" strokeweight=".47998pt" strokecolor="#000000">
                <v:path arrowok="t"/>
              </v:shape>
            </v:group>
            <v:group style="position:absolute;left:2204;top:7381;width:1054;height:2" coordorigin="2204,7381" coordsize="1054,2">
              <v:shape style="position:absolute;left:2204;top:7381;width:1054;height:2" coordorigin="2204,7381" coordsize="1054,0" path="m2204,7381l3257,7381e" filled="false" stroked="true" strokeweight=".47998pt" strokecolor="#000000">
                <v:path arrowok="t"/>
              </v:shape>
            </v:group>
            <v:group style="position:absolute;left:3267;top:7381;width:1055;height:2" coordorigin="3267,7381" coordsize="1055,2">
              <v:shape style="position:absolute;left:3267;top:7381;width:1055;height:2" coordorigin="3267,7381" coordsize="1055,0" path="m3267,7381l4321,7381e" filled="false" stroked="true" strokeweight=".47998pt" strokecolor="#000000">
                <v:path arrowok="t"/>
              </v:shape>
            </v:group>
            <v:group style="position:absolute;left:4331;top:7381;width:1054;height:2" coordorigin="4331,7381" coordsize="1054,2">
              <v:shape style="position:absolute;left:4331;top:7381;width:1054;height:2" coordorigin="4331,7381" coordsize="1054,0" path="m4331,7381l5384,7381e" filled="false" stroked="true" strokeweight=".47998pt" strokecolor="#000000">
                <v:path arrowok="t"/>
              </v:shape>
            </v:group>
            <v:group style="position:absolute;left:5394;top:7381;width:1052;height:2" coordorigin="5394,7381" coordsize="1052,2">
              <v:shape style="position:absolute;left:5394;top:7381;width:1052;height:2" coordorigin="5394,7381" coordsize="1052,0" path="m5394,7381l6445,7381e" filled="false" stroked="true" strokeweight=".47998pt" strokecolor="#000000">
                <v:path arrowok="t"/>
              </v:shape>
            </v:group>
            <v:group style="position:absolute;left:6455;top:7381;width:1054;height:2" coordorigin="6455,7381" coordsize="1054,2">
              <v:shape style="position:absolute;left:6455;top:7381;width:1054;height:2" coordorigin="6455,7381" coordsize="1054,0" path="m6455,7381l7509,7381e" filled="false" stroked="true" strokeweight=".47998pt" strokecolor="#000000">
                <v:path arrowok="t"/>
              </v:shape>
            </v:group>
            <v:group style="position:absolute;left:7518;top:7381;width:1054;height:2" coordorigin="7518,7381" coordsize="1054,2">
              <v:shape style="position:absolute;left:7518;top:7381;width:1054;height:2" coordorigin="7518,7381" coordsize="1054,0" path="m7518,7381l8572,7381e" filled="false" stroked="true" strokeweight=".47998pt" strokecolor="#000000">
                <v:path arrowok="t"/>
              </v:shape>
            </v:group>
            <v:group style="position:absolute;left:8581;top:7381;width:1055;height:2" coordorigin="8581,7381" coordsize="1055,2">
              <v:shape style="position:absolute;left:8581;top:7381;width:1055;height:2" coordorigin="8581,7381" coordsize="1055,0" path="m8581,7381l9635,7381e" filled="false" stroked="true" strokeweight=".47998pt" strokecolor="#000000">
                <v:path arrowok="t"/>
              </v:shape>
            </v:group>
            <v:group style="position:absolute;left:9645;top:7381;width:1054;height:2" coordorigin="9645,7381" coordsize="1054,2">
              <v:shape style="position:absolute;left:9645;top:7381;width:1054;height:2" coordorigin="9645,7381" coordsize="1054,0" path="m9645,7381l10699,7381e" filled="false" stroked="true" strokeweight=".47998pt" strokecolor="#000000">
                <v:path arrowok="t"/>
              </v:shape>
            </v:group>
            <v:group style="position:absolute;left:5394;top:8725;width:1055;height:1328" coordorigin="5394,8725" coordsize="1055,1328">
              <v:shape style="position:absolute;left:5394;top:8725;width:1055;height:1328" coordorigin="5394,8725" coordsize="1055,1328" path="m5394,10053l6448,10053,6448,8725,5394,8725,5394,10053xe" filled="true" fillcolor="#ffffff" stroked="false">
                <v:path arrowok="t"/>
                <v:fill type="solid"/>
              </v:shape>
            </v:group>
            <v:group style="position:absolute;left:5418;top:9193;width:1007;height:392" coordorigin="5418,9193" coordsize="1007,392">
              <v:shape style="position:absolute;left:5418;top:9193;width:1007;height:392" coordorigin="5418,9193" coordsize="1007,392" path="m5418,9585l6424,9585,6424,9193,5418,9193,5418,9585xe" filled="true" fillcolor="#ffffff" stroked="false">
                <v:path arrowok="t"/>
                <v:fill type="solid"/>
              </v:shape>
            </v:group>
            <v:group style="position:absolute;left:1138;top:8720;width:1057;height:2" coordorigin="1138,8720" coordsize="1057,2">
              <v:shape style="position:absolute;left:1138;top:8720;width:1057;height:2" coordorigin="1138,8720" coordsize="1057,0" path="m1138,8720l2194,8720e" filled="false" stroked="true" strokeweight=".48001pt" strokecolor="#000000">
                <v:path arrowok="t"/>
              </v:shape>
            </v:group>
            <v:group style="position:absolute;left:2204;top:8720;width:1054;height:2" coordorigin="2204,8720" coordsize="1054,2">
              <v:shape style="position:absolute;left:2204;top:8720;width:1054;height:2" coordorigin="2204,8720" coordsize="1054,0" path="m2204,8720l3257,8720e" filled="false" stroked="true" strokeweight=".48001pt" strokecolor="#000000">
                <v:path arrowok="t"/>
              </v:shape>
            </v:group>
            <v:group style="position:absolute;left:3267;top:8720;width:1055;height:2" coordorigin="3267,8720" coordsize="1055,2">
              <v:shape style="position:absolute;left:3267;top:8720;width:1055;height:2" coordorigin="3267,8720" coordsize="1055,0" path="m3267,8720l4321,8720e" filled="false" stroked="true" strokeweight=".48001pt" strokecolor="#000000">
                <v:path arrowok="t"/>
              </v:shape>
            </v:group>
            <v:group style="position:absolute;left:4331;top:8720;width:1054;height:2" coordorigin="4331,8720" coordsize="1054,2">
              <v:shape style="position:absolute;left:4331;top:8720;width:1054;height:2" coordorigin="4331,8720" coordsize="1054,0" path="m4331,8720l5384,8720e" filled="false" stroked="true" strokeweight=".48001pt" strokecolor="#000000">
                <v:path arrowok="t"/>
              </v:shape>
            </v:group>
            <v:group style="position:absolute;left:5394;top:8720;width:1052;height:2" coordorigin="5394,8720" coordsize="1052,2">
              <v:shape style="position:absolute;left:5394;top:8720;width:1052;height:2" coordorigin="5394,8720" coordsize="1052,0" path="m5394,8720l6445,8720e" filled="false" stroked="true" strokeweight=".48001pt" strokecolor="#000000">
                <v:path arrowok="t"/>
              </v:shape>
            </v:group>
            <v:group style="position:absolute;left:6455;top:8720;width:1054;height:2" coordorigin="6455,8720" coordsize="1054,2">
              <v:shape style="position:absolute;left:6455;top:8720;width:1054;height:2" coordorigin="6455,8720" coordsize="1054,0" path="m6455,8720l7509,8720e" filled="false" stroked="true" strokeweight=".48001pt" strokecolor="#000000">
                <v:path arrowok="t"/>
              </v:shape>
            </v:group>
            <v:group style="position:absolute;left:7518;top:8720;width:1054;height:2" coordorigin="7518,8720" coordsize="1054,2">
              <v:shape style="position:absolute;left:7518;top:8720;width:1054;height:2" coordorigin="7518,8720" coordsize="1054,0" path="m7518,8720l8572,8720e" filled="false" stroked="true" strokeweight=".48001pt" strokecolor="#000000">
                <v:path arrowok="t"/>
              </v:shape>
            </v:group>
            <v:group style="position:absolute;left:8581;top:8720;width:1055;height:2" coordorigin="8581,8720" coordsize="1055,2">
              <v:shape style="position:absolute;left:8581;top:8720;width:1055;height:2" coordorigin="8581,8720" coordsize="1055,0" path="m8581,8720l9635,8720e" filled="false" stroked="true" strokeweight=".48001pt" strokecolor="#000000">
                <v:path arrowok="t"/>
              </v:shape>
            </v:group>
            <v:group style="position:absolute;left:9645;top:8720;width:1054;height:2" coordorigin="9645,8720" coordsize="1054,2">
              <v:shape style="position:absolute;left:9645;top:8720;width:1054;height:2" coordorigin="9645,8720" coordsize="1054,0" path="m9645,8720l10699,8720e" filled="false" stroked="true" strokeweight=".48001pt" strokecolor="#000000">
                <v:path arrowok="t"/>
              </v:shape>
            </v:group>
            <v:group style="position:absolute;left:5394;top:10062;width:1055;height:1330" coordorigin="5394,10062" coordsize="1055,1330">
              <v:shape style="position:absolute;left:5394;top:10062;width:1055;height:1330" coordorigin="5394,10062" coordsize="1055,1330" path="m5394,11392l6448,11392,6448,10062,5394,10062,5394,11392xe" filled="true" fillcolor="#ffffff" stroked="false">
                <v:path arrowok="t"/>
                <v:fill type="solid"/>
              </v:shape>
            </v:group>
            <v:group style="position:absolute;left:5418;top:10530;width:1007;height:394" coordorigin="5418,10530" coordsize="1007,394">
              <v:shape style="position:absolute;left:5418;top:10530;width:1007;height:394" coordorigin="5418,10530" coordsize="1007,394" path="m5418,10924l6424,10924,6424,10530,5418,10530,5418,10924xe" filled="true" fillcolor="#ffffff" stroked="false">
                <v:path arrowok="t"/>
                <v:fill type="solid"/>
              </v:shape>
            </v:group>
            <v:group style="position:absolute;left:1138;top:10057;width:1057;height:2" coordorigin="1138,10057" coordsize="1057,2">
              <v:shape style="position:absolute;left:1138;top:10057;width:1057;height:2" coordorigin="1138,10057" coordsize="1057,0" path="m1138,10057l2194,10057e" filled="false" stroked="true" strokeweight=".47998pt" strokecolor="#000000">
                <v:path arrowok="t"/>
              </v:shape>
            </v:group>
            <v:group style="position:absolute;left:2204;top:10057;width:1054;height:2" coordorigin="2204,10057" coordsize="1054,2">
              <v:shape style="position:absolute;left:2204;top:10057;width:1054;height:2" coordorigin="2204,10057" coordsize="1054,0" path="m2204,10057l3257,10057e" filled="false" stroked="true" strokeweight=".47998pt" strokecolor="#000000">
                <v:path arrowok="t"/>
              </v:shape>
            </v:group>
            <v:group style="position:absolute;left:3267;top:10057;width:1055;height:2" coordorigin="3267,10057" coordsize="1055,2">
              <v:shape style="position:absolute;left:3267;top:10057;width:1055;height:2" coordorigin="3267,10057" coordsize="1055,0" path="m3267,10057l4321,10057e" filled="false" stroked="true" strokeweight=".47998pt" strokecolor="#000000">
                <v:path arrowok="t"/>
              </v:shape>
            </v:group>
            <v:group style="position:absolute;left:4331;top:10057;width:1054;height:2" coordorigin="4331,10057" coordsize="1054,2">
              <v:shape style="position:absolute;left:4331;top:10057;width:1054;height:2" coordorigin="4331,10057" coordsize="1054,0" path="m4331,10057l5384,10057e" filled="false" stroked="true" strokeweight=".47998pt" strokecolor="#000000">
                <v:path arrowok="t"/>
              </v:shape>
            </v:group>
            <v:group style="position:absolute;left:5394;top:10057;width:1052;height:2" coordorigin="5394,10057" coordsize="1052,2">
              <v:shape style="position:absolute;left:5394;top:10057;width:1052;height:2" coordorigin="5394,10057" coordsize="1052,0" path="m5394,10057l6445,10057e" filled="false" stroked="true" strokeweight=".47998pt" strokecolor="#000000">
                <v:path arrowok="t"/>
              </v:shape>
            </v:group>
            <v:group style="position:absolute;left:6455;top:10057;width:1054;height:2" coordorigin="6455,10057" coordsize="1054,2">
              <v:shape style="position:absolute;left:6455;top:10057;width:1054;height:2" coordorigin="6455,10057" coordsize="1054,0" path="m6455,10057l7509,10057e" filled="false" stroked="true" strokeweight=".47998pt" strokecolor="#000000">
                <v:path arrowok="t"/>
              </v:shape>
            </v:group>
            <v:group style="position:absolute;left:7518;top:10057;width:1054;height:2" coordorigin="7518,10057" coordsize="1054,2">
              <v:shape style="position:absolute;left:7518;top:10057;width:1054;height:2" coordorigin="7518,10057" coordsize="1054,0" path="m7518,10057l8572,10057e" filled="false" stroked="true" strokeweight=".47998pt" strokecolor="#000000">
                <v:path arrowok="t"/>
              </v:shape>
            </v:group>
            <v:group style="position:absolute;left:8581;top:10057;width:1055;height:2" coordorigin="8581,10057" coordsize="1055,2">
              <v:shape style="position:absolute;left:8581;top:10057;width:1055;height:2" coordorigin="8581,10057" coordsize="1055,0" path="m8581,10057l9635,10057e" filled="false" stroked="true" strokeweight=".47998pt" strokecolor="#000000">
                <v:path arrowok="t"/>
              </v:shape>
            </v:group>
            <v:group style="position:absolute;left:9645;top:10057;width:1054;height:2" coordorigin="9645,10057" coordsize="1054,2">
              <v:shape style="position:absolute;left:9645;top:10057;width:1054;height:2" coordorigin="9645,10057" coordsize="1054,0" path="m9645,10057l10699,10057e" filled="false" stroked="true" strokeweight=".47998pt" strokecolor="#000000">
                <v:path arrowok="t"/>
              </v:shape>
            </v:group>
            <v:group style="position:absolute;left:5394;top:11401;width:1055;height:1328" coordorigin="5394,11401" coordsize="1055,1328">
              <v:shape style="position:absolute;left:5394;top:11401;width:1055;height:1328" coordorigin="5394,11401" coordsize="1055,1328" path="m5394,12729l6448,12729,6448,11401,5394,11401,5394,12729xe" filled="true" fillcolor="#ffffff" stroked="false">
                <v:path arrowok="t"/>
                <v:fill type="solid"/>
              </v:shape>
            </v:group>
            <v:group style="position:absolute;left:5418;top:11869;width:1007;height:392" coordorigin="5418,11869" coordsize="1007,392">
              <v:shape style="position:absolute;left:5418;top:11869;width:1007;height:392" coordorigin="5418,11869" coordsize="1007,392" path="m5418,12261l6424,12261,6424,11869,5418,11869,5418,12261xe" filled="true" fillcolor="#ffffff" stroked="false">
                <v:path arrowok="t"/>
                <v:fill type="solid"/>
              </v:shape>
            </v:group>
            <v:group style="position:absolute;left:1138;top:11397;width:1057;height:2" coordorigin="1138,11397" coordsize="1057,2">
              <v:shape style="position:absolute;left:1138;top:11397;width:1057;height:2" coordorigin="1138,11397" coordsize="1057,0" path="m1138,11397l2194,11397e" filled="false" stroked="true" strokeweight=".48004pt" strokecolor="#000000">
                <v:path arrowok="t"/>
              </v:shape>
            </v:group>
            <v:group style="position:absolute;left:2204;top:11397;width:1054;height:2" coordorigin="2204,11397" coordsize="1054,2">
              <v:shape style="position:absolute;left:2204;top:11397;width:1054;height:2" coordorigin="2204,11397" coordsize="1054,0" path="m2204,11397l3257,11397e" filled="false" stroked="true" strokeweight=".48004pt" strokecolor="#000000">
                <v:path arrowok="t"/>
              </v:shape>
            </v:group>
            <v:group style="position:absolute;left:3267;top:11397;width:1055;height:2" coordorigin="3267,11397" coordsize="1055,2">
              <v:shape style="position:absolute;left:3267;top:11397;width:1055;height:2" coordorigin="3267,11397" coordsize="1055,0" path="m3267,11397l4321,11397e" filled="false" stroked="true" strokeweight=".48004pt" strokecolor="#000000">
                <v:path arrowok="t"/>
              </v:shape>
            </v:group>
            <v:group style="position:absolute;left:4331;top:11397;width:1054;height:2" coordorigin="4331,11397" coordsize="1054,2">
              <v:shape style="position:absolute;left:4331;top:11397;width:1054;height:2" coordorigin="4331,11397" coordsize="1054,0" path="m4331,11397l5384,11397e" filled="false" stroked="true" strokeweight=".48004pt" strokecolor="#000000">
                <v:path arrowok="t"/>
              </v:shape>
            </v:group>
            <v:group style="position:absolute;left:5394;top:11397;width:1052;height:2" coordorigin="5394,11397" coordsize="1052,2">
              <v:shape style="position:absolute;left:5394;top:11397;width:1052;height:2" coordorigin="5394,11397" coordsize="1052,0" path="m5394,11397l6445,11397e" filled="false" stroked="true" strokeweight=".48004pt" strokecolor="#000000">
                <v:path arrowok="t"/>
              </v:shape>
            </v:group>
            <v:group style="position:absolute;left:6455;top:11397;width:1054;height:2" coordorigin="6455,11397" coordsize="1054,2">
              <v:shape style="position:absolute;left:6455;top:11397;width:1054;height:2" coordorigin="6455,11397" coordsize="1054,0" path="m6455,11397l7509,11397e" filled="false" stroked="true" strokeweight=".48004pt" strokecolor="#000000">
                <v:path arrowok="t"/>
              </v:shape>
            </v:group>
            <v:group style="position:absolute;left:7518;top:11397;width:1054;height:2" coordorigin="7518,11397" coordsize="1054,2">
              <v:shape style="position:absolute;left:7518;top:11397;width:1054;height:2" coordorigin="7518,11397" coordsize="1054,0" path="m7518,11397l8572,11397e" filled="false" stroked="true" strokeweight=".48004pt" strokecolor="#000000">
                <v:path arrowok="t"/>
              </v:shape>
            </v:group>
            <v:group style="position:absolute;left:8581;top:11397;width:1055;height:2" coordorigin="8581,11397" coordsize="1055,2">
              <v:shape style="position:absolute;left:8581;top:11397;width:1055;height:2" coordorigin="8581,11397" coordsize="1055,0" path="m8581,11397l9635,11397e" filled="false" stroked="true" strokeweight=".48004pt" strokecolor="#000000">
                <v:path arrowok="t"/>
              </v:shape>
            </v:group>
            <v:group style="position:absolute;left:9645;top:11397;width:1054;height:2" coordorigin="9645,11397" coordsize="1054,2">
              <v:shape style="position:absolute;left:9645;top:11397;width:1054;height:2" coordorigin="9645,11397" coordsize="1054,0" path="m9645,11397l10699,11397e" filled="false" stroked="true" strokeweight=".48004pt" strokecolor="#000000">
                <v:path arrowok="t"/>
              </v:shape>
            </v:group>
            <v:group style="position:absolute;left:5394;top:12738;width:1055;height:2578" coordorigin="5394,12738" coordsize="1055,2578">
              <v:shape style="position:absolute;left:5394;top:12738;width:1055;height:2578" coordorigin="5394,12738" coordsize="1055,2578" path="m5394,15316l6448,15316,6448,12738,5394,12738,5394,15316xe" filled="true" fillcolor="#ffffff" stroked="false">
                <v:path arrowok="t"/>
                <v:fill type="solid"/>
              </v:shape>
            </v:group>
            <v:group style="position:absolute;left:5418;top:13831;width:1007;height:394" coordorigin="5418,13831" coordsize="1007,394">
              <v:shape style="position:absolute;left:5418;top:13831;width:1007;height:394" coordorigin="5418,13831" coordsize="1007,394" path="m5418,14224l6424,14224,6424,13831,5418,13831,5418,14224xe" filled="true" fillcolor="#ffffff" stroked="false">
                <v:path arrowok="t"/>
                <v:fill type="solid"/>
              </v:shape>
            </v:group>
            <v:group style="position:absolute;left:1138;top:12733;width:1057;height:2" coordorigin="1138,12733" coordsize="1057,2">
              <v:shape style="position:absolute;left:1138;top:12733;width:1057;height:2" coordorigin="1138,12733" coordsize="1057,0" path="m1138,12733l2194,12733e" filled="false" stroked="true" strokeweight=".47998pt" strokecolor="#000000">
                <v:path arrowok="t"/>
              </v:shape>
            </v:group>
            <v:group style="position:absolute;left:2204;top:12733;width:1054;height:2" coordorigin="2204,12733" coordsize="1054,2">
              <v:shape style="position:absolute;left:2204;top:12733;width:1054;height:2" coordorigin="2204,12733" coordsize="1054,0" path="m2204,12733l3257,12733e" filled="false" stroked="true" strokeweight=".47998pt" strokecolor="#000000">
                <v:path arrowok="t"/>
              </v:shape>
            </v:group>
            <v:group style="position:absolute;left:3267;top:12733;width:1055;height:2" coordorigin="3267,12733" coordsize="1055,2">
              <v:shape style="position:absolute;left:3267;top:12733;width:1055;height:2" coordorigin="3267,12733" coordsize="1055,0" path="m3267,12733l4321,12733e" filled="false" stroked="true" strokeweight=".47998pt" strokecolor="#000000">
                <v:path arrowok="t"/>
              </v:shape>
            </v:group>
            <v:group style="position:absolute;left:4331;top:12733;width:1054;height:2" coordorigin="4331,12733" coordsize="1054,2">
              <v:shape style="position:absolute;left:4331;top:12733;width:1054;height:2" coordorigin="4331,12733" coordsize="1054,0" path="m4331,12733l5384,12733e" filled="false" stroked="true" strokeweight=".47998pt" strokecolor="#000000">
                <v:path arrowok="t"/>
              </v:shape>
            </v:group>
            <v:group style="position:absolute;left:5394;top:12733;width:1052;height:2" coordorigin="5394,12733" coordsize="1052,2">
              <v:shape style="position:absolute;left:5394;top:12733;width:1052;height:2" coordorigin="5394,12733" coordsize="1052,0" path="m5394,12733l6445,12733e" filled="false" stroked="true" strokeweight=".47998pt" strokecolor="#000000">
                <v:path arrowok="t"/>
              </v:shape>
            </v:group>
            <v:group style="position:absolute;left:6455;top:12733;width:1054;height:2" coordorigin="6455,12733" coordsize="1054,2">
              <v:shape style="position:absolute;left:6455;top:12733;width:1054;height:2" coordorigin="6455,12733" coordsize="1054,0" path="m6455,12733l7509,12733e" filled="false" stroked="true" strokeweight=".47998pt" strokecolor="#000000">
                <v:path arrowok="t"/>
              </v:shape>
            </v:group>
            <v:group style="position:absolute;left:7518;top:12733;width:1054;height:2" coordorigin="7518,12733" coordsize="1054,2">
              <v:shape style="position:absolute;left:7518;top:12733;width:1054;height:2" coordorigin="7518,12733" coordsize="1054,0" path="m7518,12733l8572,12733e" filled="false" stroked="true" strokeweight=".47998pt" strokecolor="#000000">
                <v:path arrowok="t"/>
              </v:shape>
            </v:group>
            <v:group style="position:absolute;left:8581;top:12733;width:1055;height:2" coordorigin="8581,12733" coordsize="1055,2">
              <v:shape style="position:absolute;left:8581;top:12733;width:1055;height:2" coordorigin="8581,12733" coordsize="1055,0" path="m8581,12733l9635,12733e" filled="false" stroked="true" strokeweight=".47998pt" strokecolor="#000000">
                <v:path arrowok="t"/>
              </v:shape>
            </v:group>
            <v:group style="position:absolute;left:9645;top:12733;width:1054;height:2" coordorigin="9645,12733" coordsize="1054,2">
              <v:shape style="position:absolute;left:9645;top:12733;width:1054;height:2" coordorigin="9645,12733" coordsize="1054,0" path="m9645,12733l10699,12733e" filled="false" stroked="true" strokeweight=".47998pt" strokecolor="#000000">
                <v:path arrowok="t"/>
              </v:shape>
            </v:group>
            <v:group style="position:absolute;left:1133;top:1440;width:2;height:13886" coordorigin="1133,1440" coordsize="2,13886">
              <v:shape style="position:absolute;left:1133;top:1440;width:2;height:13886" coordorigin="1133,1440" coordsize="0,13886" path="m1133,1440l1133,15326e" filled="false" stroked="true" strokeweight=".48pt" strokecolor="#000000">
                <v:path arrowok="t"/>
              </v:shape>
            </v:group>
            <v:group style="position:absolute;left:1138;top:15321;width:1057;height:2" coordorigin="1138,15321" coordsize="1057,2">
              <v:shape style="position:absolute;left:1138;top:15321;width:1057;height:2" coordorigin="1138,15321" coordsize="1057,0" path="m1138,15321l2194,15321e" filled="false" stroked="true" strokeweight=".48004pt" strokecolor="#000000">
                <v:path arrowok="t"/>
              </v:shape>
            </v:group>
            <v:group style="position:absolute;left:2199;top:1440;width:2;height:13886" coordorigin="2199,1440" coordsize="2,13886">
              <v:shape style="position:absolute;left:2199;top:1440;width:2;height:13886" coordorigin="2199,1440" coordsize="0,13886" path="m2199,1440l2199,15326e" filled="false" stroked="true" strokeweight=".48pt" strokecolor="#000000">
                <v:path arrowok="t"/>
              </v:shape>
            </v:group>
            <v:group style="position:absolute;left:2204;top:15321;width:1054;height:2" coordorigin="2204,15321" coordsize="1054,2">
              <v:shape style="position:absolute;left:2204;top:15321;width:1054;height:2" coordorigin="2204,15321" coordsize="1054,0" path="m2204,15321l3257,15321e" filled="false" stroked="true" strokeweight=".48004pt" strokecolor="#000000">
                <v:path arrowok="t"/>
              </v:shape>
            </v:group>
            <v:group style="position:absolute;left:3262;top:1440;width:2;height:13886" coordorigin="3262,1440" coordsize="2,13886">
              <v:shape style="position:absolute;left:3262;top:1440;width:2;height:13886" coordorigin="3262,1440" coordsize="0,13886" path="m3262,1440l3262,15326e" filled="false" stroked="true" strokeweight=".48pt" strokecolor="#000000">
                <v:path arrowok="t"/>
              </v:shape>
            </v:group>
            <v:group style="position:absolute;left:3267;top:15321;width:1055;height:2" coordorigin="3267,15321" coordsize="1055,2">
              <v:shape style="position:absolute;left:3267;top:15321;width:1055;height:2" coordorigin="3267,15321" coordsize="1055,0" path="m3267,15321l4321,15321e" filled="false" stroked="true" strokeweight=".48004pt" strokecolor="#000000">
                <v:path arrowok="t"/>
              </v:shape>
            </v:group>
            <v:group style="position:absolute;left:4326;top:1440;width:2;height:13886" coordorigin="4326,1440" coordsize="2,13886">
              <v:shape style="position:absolute;left:4326;top:1440;width:2;height:13886" coordorigin="4326,1440" coordsize="0,13886" path="m4326,1440l4326,15326e" filled="false" stroked="true" strokeweight=".48pt" strokecolor="#000000">
                <v:path arrowok="t"/>
              </v:shape>
            </v:group>
            <v:group style="position:absolute;left:4331;top:15321;width:1054;height:2" coordorigin="4331,15321" coordsize="1054,2">
              <v:shape style="position:absolute;left:4331;top:15321;width:1054;height:2" coordorigin="4331,15321" coordsize="1054,0" path="m4331,15321l5384,15321e" filled="false" stroked="true" strokeweight=".48004pt" strokecolor="#000000">
                <v:path arrowok="t"/>
              </v:shape>
            </v:group>
            <v:group style="position:absolute;left:5389;top:1440;width:2;height:13886" coordorigin="5389,1440" coordsize="2,13886">
              <v:shape style="position:absolute;left:5389;top:1440;width:2;height:13886" coordorigin="5389,1440" coordsize="0,13886" path="m5389,1440l5389,15326e" filled="false" stroked="true" strokeweight=".47998pt" strokecolor="#000000">
                <v:path arrowok="t"/>
              </v:shape>
            </v:group>
            <v:group style="position:absolute;left:5394;top:15321;width:1052;height:2" coordorigin="5394,15321" coordsize="1052,2">
              <v:shape style="position:absolute;left:5394;top:15321;width:1052;height:2" coordorigin="5394,15321" coordsize="1052,0" path="m5394,15321l6445,15321e" filled="false" stroked="true" strokeweight=".48004pt" strokecolor="#000000">
                <v:path arrowok="t"/>
              </v:shape>
            </v:group>
            <v:group style="position:absolute;left:6450;top:1440;width:2;height:13886" coordorigin="6450,1440" coordsize="2,13886">
              <v:shape style="position:absolute;left:6450;top:1440;width:2;height:13886" coordorigin="6450,1440" coordsize="0,13886" path="m6450,1440l6450,15326e" filled="false" stroked="true" strokeweight=".48001pt" strokecolor="#000000">
                <v:path arrowok="t"/>
              </v:shape>
            </v:group>
            <v:group style="position:absolute;left:6455;top:15321;width:1054;height:2" coordorigin="6455,15321" coordsize="1054,2">
              <v:shape style="position:absolute;left:6455;top:15321;width:1054;height:2" coordorigin="6455,15321" coordsize="1054,0" path="m6455,15321l7509,15321e" filled="false" stroked="true" strokeweight=".48004pt" strokecolor="#000000">
                <v:path arrowok="t"/>
              </v:shape>
            </v:group>
            <v:group style="position:absolute;left:7513;top:1440;width:2;height:13886" coordorigin="7513,1440" coordsize="2,13886">
              <v:shape style="position:absolute;left:7513;top:1440;width:2;height:13886" coordorigin="7513,1440" coordsize="0,13886" path="m7513,1440l7513,15326e" filled="false" stroked="true" strokeweight=".48001pt" strokecolor="#000000">
                <v:path arrowok="t"/>
              </v:shape>
            </v:group>
            <v:group style="position:absolute;left:7518;top:15321;width:1054;height:2" coordorigin="7518,15321" coordsize="1054,2">
              <v:shape style="position:absolute;left:7518;top:15321;width:1054;height:2" coordorigin="7518,15321" coordsize="1054,0" path="m7518,15321l8572,15321e" filled="false" stroked="true" strokeweight=".48004pt" strokecolor="#000000">
                <v:path arrowok="t"/>
              </v:shape>
            </v:group>
            <v:group style="position:absolute;left:8577;top:1440;width:2;height:13886" coordorigin="8577,1440" coordsize="2,13886">
              <v:shape style="position:absolute;left:8577;top:1440;width:2;height:13886" coordorigin="8577,1440" coordsize="0,13886" path="m8577,1440l8577,15326e" filled="false" stroked="true" strokeweight=".47998pt" strokecolor="#000000">
                <v:path arrowok="t"/>
              </v:shape>
            </v:group>
            <v:group style="position:absolute;left:8581;top:15321;width:1055;height:2" coordorigin="8581,15321" coordsize="1055,2">
              <v:shape style="position:absolute;left:8581;top:15321;width:1055;height:2" coordorigin="8581,15321" coordsize="1055,0" path="m8581,15321l9635,15321e" filled="false" stroked="true" strokeweight=".48004pt" strokecolor="#000000">
                <v:path arrowok="t"/>
              </v:shape>
            </v:group>
            <v:group style="position:absolute;left:9640;top:1440;width:2;height:13886" coordorigin="9640,1440" coordsize="2,13886">
              <v:shape style="position:absolute;left:9640;top:1440;width:2;height:13886" coordorigin="9640,1440" coordsize="0,13886" path="m9640,1440l9640,15326e" filled="false" stroked="true" strokeweight=".48001pt" strokecolor="#000000">
                <v:path arrowok="t"/>
              </v:shape>
            </v:group>
            <v:group style="position:absolute;left:9645;top:15321;width:1054;height:2" coordorigin="9645,15321" coordsize="1054,2">
              <v:shape style="position:absolute;left:9645;top:15321;width:1054;height:2" coordorigin="9645,15321" coordsize="1054,0" path="m9645,15321l10699,15321e" filled="false" stroked="true" strokeweight=".48004pt" strokecolor="#000000">
                <v:path arrowok="t"/>
              </v:shape>
            </v:group>
            <v:group style="position:absolute;left:10704;top:1440;width:2;height:13886" coordorigin="10704,1440" coordsize="2,13886">
              <v:shape style="position:absolute;left:10704;top:1440;width:2;height:13886" coordorigin="10704,1440" coordsize="0,13886" path="m10704,1440l10704,15326e" filled="false" stroked="true" strokeweight=".47998pt" strokecolor="#000000">
                <v:path arrowok="t"/>
              </v:shape>
            </v:group>
            <w10:wrap type="none"/>
          </v:group>
        </w:pict>
      </w:r>
      <w:r>
        <w:rPr/>
        <w:t>绿色建筑规 划设计关键 技术体系研 究与集成示 </w:t>
      </w:r>
      <w:r>
        <w:rPr>
          <w:spacing w:val="-12"/>
        </w:rPr>
        <w:t>范（绿色建筑</w:t>
      </w:r>
      <w:r>
        <w:rPr/>
        <w:t> 规划评估与 诊断技术研 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316" w:lineRule="auto"/>
        <w:ind w:left="17" w:right="-19"/>
        <w:jc w:val="left"/>
      </w:pPr>
      <w:r>
        <w:rPr/>
        <w:t>中华人民共 和国住房和</w:t>
      </w:r>
      <w:r>
        <w:rPr>
          <w:spacing w:val="73"/>
        </w:rPr>
        <w:t> </w:t>
      </w:r>
      <w:r>
        <w:rPr/>
        <w:t>补助</w:t>
      </w:r>
      <w:r>
        <w:rPr/>
        <w:t> 城乡建设部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800,000.00</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90" w:space="40"/>
            <w:col w:w="1442" w:space="522"/>
            <w:col w:w="6756"/>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深圳市中小 企业国内市 场开拓项目 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7"/>
              <w:jc w:val="left"/>
              <w:rPr>
                <w:rFonts w:ascii="宋体" w:hAnsi="宋体" w:cs="宋体" w:eastAsia="宋体" w:hint="default"/>
                <w:sz w:val="18"/>
                <w:szCs w:val="18"/>
              </w:rPr>
            </w:pPr>
            <w:r>
              <w:rPr>
                <w:rFonts w:ascii="宋体" w:hAnsi="宋体" w:cs="宋体" w:eastAsia="宋体" w:hint="default"/>
                <w:sz w:val="18"/>
                <w:szCs w:val="18"/>
              </w:rPr>
              <w:t>深圳市科技 创新局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4,750,471.98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9,379,816.61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group style="position:absolute;margin-left:269.690002pt;margin-top:-87.022263pt;width:52.75pt;height:66.4pt;mso-position-horizontal-relative:page;mso-position-vertical-relative:paragraph;z-index:-1293904" coordorigin="5394,-1740" coordsize="1055,1328">
            <v:group style="position:absolute;left:5394;top:-1740;width:1055;height:1328" coordorigin="5394,-1740" coordsize="1055,1328">
              <v:shape style="position:absolute;left:5394;top:-1740;width:1055;height:1328" coordorigin="5394,-1740" coordsize="1055,1328" path="m5394,-413l6448,-413,6448,-1740,5394,-1740,5394,-413xe" filled="true" fillcolor="#ffffff" stroked="false">
                <v:path arrowok="t"/>
                <v:fill type="solid"/>
              </v:shape>
            </v:group>
            <v:group style="position:absolute;left:5418;top:-1272;width:1007;height:392" coordorigin="5418,-1272" coordsize="1007,392">
              <v:shape style="position:absolute;left:5418;top:-1272;width:1007;height:392" coordorigin="5418,-1272" coordsize="1007,392" path="m5418,-881l6424,-881,6424,-1272,5418,-1272,5418,-881xe" filled="true" fillcolor="#ffffff" stroked="false">
                <v:path arrowok="t"/>
                <v:fill type="solid"/>
              </v:shape>
            </v:group>
            <w10:wrap type="none"/>
          </v:group>
        </w:pict>
      </w: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117,130.66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117,130.66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117,130.66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169,235.15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117,130.66</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8,395,849.22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5,403,226.91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-1,555,834.23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-1,653,688.40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3,749,538.51</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40,744,629.65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6,111,694.45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117,099.30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537,407.09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-1,125,725.02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2,058,613.14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199,024.81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-1,058,098.78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6,840,014.99</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36,355,962.26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25,382,614.47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635,762.44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265,260.59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3,255,416.33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3,319,849.88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40,247,141.03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28,967,724.94</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22,941,363.29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22,194,620.32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21,333,123.55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13,846,695.14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3,140,404.45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654,316.94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47,414,891.29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36,695,632.40</w:t>
            </w:r>
          </w:p>
        </w:tc>
      </w:tr>
    </w:tbl>
    <w:p>
      <w:pPr>
        <w:pStyle w:val="BodyText"/>
        <w:spacing w:line="240" w:lineRule="auto" w:before="49"/>
        <w:ind w:right="0"/>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收回保函及定期存款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4,885,498.70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4,885,498.70</w:t>
            </w:r>
          </w:p>
        </w:tc>
      </w:tr>
    </w:tbl>
    <w:p>
      <w:pPr>
        <w:pStyle w:val="BodyText"/>
        <w:spacing w:line="240" w:lineRule="auto" w:before="49"/>
        <w:ind w:right="0"/>
        <w:jc w:val="left"/>
      </w:pPr>
      <w:r>
        <w:rPr/>
        <w:t>收到的其他与投资活动有关的现金说明：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shape style="position:absolute;margin-left:208.130005pt;margin-top:688.179993pt;width:167.55pt;height:19.6pt;mso-position-horizontal-relative:page;mso-position-vertical-relative:page;z-index:-1293880" type="#_x0000_t202" filled="false" stroked="false">
            <v:textbox inset="0,0,0,0">
              <w:txbxContent>
                <w:p>
                  <w:pPr>
                    <w:pStyle w:val="BodyText"/>
                    <w:spacing w:line="240" w:lineRule="auto" w:before="49"/>
                    <w:ind w:left="0" w:right="0"/>
                    <w:jc w:val="left"/>
                  </w:pPr>
                  <w:r>
                    <w:rPr/>
                    <w:t>列）</w:t>
                  </w:r>
                </w:p>
              </w:txbxContent>
            </v:textbox>
            <w10:wrap type="none"/>
          </v:shape>
        </w:pict>
      </w: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支付的其他与筹资活动有关的现金说明：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33,904,614.66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31,655,362.36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15,562,794.63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10,823,724.47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9,837,828.66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9,398,942.64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3,381,119.96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1,608,383.65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7,739,329.19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4,014,246.13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1,866.15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6,131.17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3,972,018.21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5,603,953.12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406,456.95</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tc>
        <w:tc>
          <w:tcPr>
            <w:tcW w:w="3058" w:type="dxa"/>
            <w:tcBorders>
              <w:top w:val="single" w:sz="4" w:space="0" w:color="000000"/>
              <w:left w:val="single" w:sz="13" w:space="0" w:color="FFFFFF"/>
              <w:bottom w:val="single" w:sz="4" w:space="0" w:color="000000"/>
              <w:right w:val="single" w:sz="12" w:space="0" w:color="FFFFFF"/>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-1,555,834.23</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-1,653,688.39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55,233.10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714,351.93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-56,202,440.01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-37,075,539.73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80,598,824.99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61,387,501.84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97,410,702.88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86,889,826.14</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3"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220,466,732.62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97,750,579.88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97,750,579.88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49,838,702.70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122,716,152.74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47,911,877.18</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220,466,732.62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97,750,579.88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92,486.40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220,139,982.22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97,478,820.46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227,145.22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179,273.02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220,466,732.62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97,750,579.88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716"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1,041,646.87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1,129,646.87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spacing w:line="482" w:lineRule="auto" w:before="0"/>
        <w:ind w:left="152" w:right="43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1,041,646.87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53,092,724.38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13,247,106.03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10,055,409.22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用于抵押借款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77,436,886.50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3,920.52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608.89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2,188.41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8.7792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11,495.40</w:t>
            </w:r>
          </w:p>
        </w:tc>
      </w:tr>
    </w:tbl>
    <w:p>
      <w:pPr>
        <w:pStyle w:val="BodyText"/>
        <w:spacing w:line="240" w:lineRule="auto" w:before="49"/>
        <w:ind w:right="0"/>
        <w:jc w:val="left"/>
      </w:pPr>
      <w:r>
        <w:rPr/>
        <w:t>其他说明：</w:t>
      </w:r>
    </w:p>
    <w:p>
      <w:pPr>
        <w:spacing w:line="240" w:lineRule="auto" w:before="10"/>
        <w:rPr>
          <w:rFonts w:ascii="宋体" w:hAnsi="宋体" w:cs="宋体" w:eastAsia="宋体" w:hint="default"/>
          <w:sz w:val="26"/>
          <w:szCs w:val="26"/>
        </w:rPr>
      </w:pPr>
    </w:p>
    <w:p>
      <w:pPr>
        <w:pStyle w:val="Heading5"/>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按照套期类别披露套期项目及相关套期工具、被套期风险的定性和定量信息：</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81</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0"/>
        <w:jc w:val="left"/>
        <w:rPr>
          <w:b w:val="0"/>
          <w:bCs w:val="0"/>
        </w:rPr>
      </w:pPr>
      <w:r>
        <w:rPr/>
        <w:t>八、合并范围的变更</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5094"/>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15"/>
          <w:szCs w:val="15"/>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8"/>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7614"/>
        <w:jc w:val="left"/>
      </w:pPr>
      <w:r>
        <w:rPr/>
        <w:t>或有对价及其变动的说明： 其他说明：</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2" coordorigin="3169,14" coordsize="24,392">
              <v:shape style="position:absolute;left:3169;top:14;width:24;height:392" coordorigin="3169,14" coordsize="24,392" path="m3169,406l3193,406,3193,14,3169,14,316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03;top:14;width:22;height:392" coordorigin="3203,14" coordsize="22,392">
              <v:shape style="position:absolute;left:3203;top:14;width:22;height:392" coordorigin="3203,14" coordsize="22,392" path="m3203,406l3224,406,3224,14,3203,14,3203,406xe" filled="true" fillcolor="#e0ffff"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e0ffff" stroked="false">
                <v:path arrowok="t"/>
                <v:fill type="solid"/>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3169;top:415;width:24;height:394" coordorigin="3169,415" coordsize="24,394">
              <v:shape style="position:absolute;left:3169;top:415;width:24;height:394" coordorigin="3169,415" coordsize="24,394" path="m3169,809l3193,809,3193,415,3169,415,3169,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6359;top:415;width:24;height:394" coordorigin="6359,415" coordsize="24,394">
              <v:shape style="position:absolute;left:6359;top:415;width:24;height:394" coordorigin="6359,415" coordsize="24,394" path="m6359,809l6383,809,6383,415,6359,415,6359,809xe" filled="true" fillcolor="#d2d2d2" stroked="false">
                <v:path arrowok="t"/>
                <v:fill type="solid"/>
              </v:shape>
            </v:group>
            <v:group style="position:absolute;left:3203;top:415;width:22;height:394" coordorigin="3203,415" coordsize="22,394">
              <v:shape style="position:absolute;left:3203;top:415;width:22;height:394" coordorigin="3203,415" coordsize="22,394" path="m3203,809l3224,809,3224,415,3203,415,3203,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3;top:415;width:22;height:394" coordorigin="6393,415" coordsize="22,394">
              <v:shape style="position:absolute;left:6393;top:415;width:22;height:394" coordorigin="6393,415" coordsize="22,394" path="m6393,809l6414,809,6414,415,6393,415,6393,809xe" filled="true" fillcolor="#d2d2d2" stroked="false">
                <v:path arrowok="t"/>
                <v:fill type="solid"/>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4"/>
        <w:jc w:val="left"/>
      </w:pPr>
      <w:r>
        <w:rPr/>
        <w:t>企业合并中承担的被合并方的或有负债： 其他说明：</w:t>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7"/>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2934"/>
        <w:jc w:val="left"/>
      </w:pPr>
      <w:r>
        <w:rPr/>
        <w:t>说明其他原因导致的合并范围变动（如，新设子公司、清算子公司等）及其相关情况： 本年度较上年度相比新增合并单位</w:t>
      </w:r>
      <w:r>
        <w:rPr>
          <w:rFonts w:ascii="Times New Roman" w:hAnsi="Times New Roman" w:cs="Times New Roman" w:eastAsia="Times New Roman" w:hint="default"/>
        </w:rPr>
        <w:t>3</w:t>
      </w:r>
      <w:r>
        <w:rPr/>
        <w:t>家，具体为：</w:t>
      </w:r>
    </w:p>
    <w:p>
      <w:pPr>
        <w:pStyle w:val="BodyText"/>
        <w:spacing w:line="214" w:lineRule="exact"/>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日，本公司通过新设成立深圳九一；</w:t>
      </w:r>
    </w:p>
    <w:p>
      <w:pPr>
        <w:pStyle w:val="BodyText"/>
        <w:spacing w:line="240" w:lineRule="auto" w:before="63"/>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日，本公司通过新设成立雄安玖壹；</w:t>
      </w:r>
    </w:p>
    <w:p>
      <w:pPr>
        <w:pStyle w:val="BodyText"/>
        <w:spacing w:line="300" w:lineRule="auto" w:before="63"/>
        <w:ind w:right="520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日，本公司通过新设成立绿研检验。 新增子公司情况详见本附注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1</w:t>
      </w:r>
      <w:r>
        <w:rPr/>
        <w:t>、在子公司中的权益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376" w:lineRule="auto" w:before="0"/>
        <w:ind w:left="152" w:right="71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5"/>
        <w:spacing w:line="240" w:lineRule="auto" w:before="89"/>
        <w:ind w:right="0"/>
        <w:jc w:val="left"/>
        <w:rPr>
          <w:b w:val="0"/>
          <w:bCs w:val="0"/>
        </w:rPr>
      </w:pPr>
      <w:r>
        <w:rPr/>
        <w:pict>
          <v:shape style="position:absolute;margin-left:288.53299pt;margin-top:79.814445pt;width:109.95pt;height:50.8pt;mso-position-horizontal-relative:page;mso-position-vertical-relative:paragraph;z-index:-1293688" type="#_x0000_t202" filled="false" stroked="false">
            <v:textbox inset="0,0,0,0">
              <w:txbxContent>
                <w:p>
                  <w:pPr>
                    <w:spacing w:line="240" w:lineRule="auto" w:before="10"/>
                    <w:rPr>
                      <w:rFonts w:ascii="Microsoft JhengHei" w:hAnsi="Microsoft JhengHei" w:cs="Microsoft JhengHei" w:eastAsia="Microsoft JhengHei" w:hint="default"/>
                      <w:b/>
                      <w:bCs/>
                      <w:sz w:val="20"/>
                      <w:szCs w:val="20"/>
                    </w:rPr>
                  </w:pPr>
                </w:p>
                <w:p>
                  <w:pPr>
                    <w:pStyle w:val="BodyText"/>
                    <w:spacing w:line="240" w:lineRule="auto"/>
                    <w:ind w:left="0" w:right="0"/>
                    <w:jc w:val="left"/>
                  </w:pPr>
                  <w:r>
                    <w:rPr/>
                    <w:t>建筑工程、</w:t>
                  </w:r>
                </w:p>
              </w:txbxContent>
            </v:textbox>
            <w10:wrap type="none"/>
          </v:shape>
        </w:pict>
      </w:r>
      <w:r>
        <w:rPr/>
        <w:pict>
          <v:group style="position:absolute;margin-left:330.670013pt;margin-top:79.814445pt;width:67.8pt;height:50.8pt;mso-position-horizontal-relative:page;mso-position-vertical-relative:paragraph;z-index:-1293664" coordorigin="6613,1596" coordsize="1356,1016">
            <v:group style="position:absolute;left:6613;top:1596;width:1356;height:1016" coordorigin="6613,1596" coordsize="1356,1016">
              <v:shape style="position:absolute;left:6613;top:1596;width:1356;height:1016" coordorigin="6613,1596" coordsize="1356,1016" path="m6613,2611l7969,2611,7969,1596,6613,1596,6613,2611xe" filled="true" fillcolor="#ffffff" stroked="false">
                <v:path arrowok="t"/>
                <v:fill type="solid"/>
              </v:shape>
            </v:group>
            <v:group style="position:absolute;left:6635;top:1908;width:1311;height:392" coordorigin="6635,1908" coordsize="1311,392">
              <v:shape style="position:absolute;left:6635;top:1908;width:1311;height:392" coordorigin="6635,1908" coordsize="1311,392" path="m6635,2299l7945,2299,7945,1908,6635,1908,6635,2299xe" filled="true" fillcolor="#ffffff" stroked="false">
                <v:path arrowok="t"/>
                <v:fill type="solid"/>
              </v:shape>
            </v:group>
            <w10:wrap type="none"/>
          </v:group>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信息工程监理、 咨询； 环艺设计与咨询</w:t>
            </w:r>
          </w:p>
        </w:tc>
        <w:tc>
          <w:tcPr>
            <w:tcW w:w="425" w:type="dxa"/>
            <w:tcBorders>
              <w:top w:val="single" w:sz="4" w:space="0" w:color="000000"/>
              <w:left w:val="single" w:sz="4" w:space="0" w:color="000000"/>
              <w:bottom w:val="single" w:sz="4" w:space="0" w:color="000000"/>
              <w:right w:val="nil" w:sz="6" w:space="0" w:color="auto"/>
            </w:tcBorders>
          </w:tcPr>
          <w:p>
            <w:pP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住宅产业化和可 再生资源与建筑 一体化的研究</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市政建设及规划 咨询</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无偿划转</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建筑工程设计与 咨询</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建筑工程检测、 监测、测量，建 筑材料与部品检 测</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绿色城市与绿色 建筑研发服务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1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生态科技领域内 的技术开发、技 术咨询、技术服 务、技术转让； 房地产经纪，物</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业管理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深圳九一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绿色建筑与园区 运营管理；文化 艺术交流策划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生态环境技术开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绿研检验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工程检测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49"/>
        <w:ind w:right="191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6774"/>
        <w:jc w:val="left"/>
      </w:pPr>
      <w:r>
        <w:rPr/>
        <w:t>确定公司是代理人还是委托人的依据： 其他说明：</w:t>
      </w:r>
    </w:p>
    <w:p>
      <w:pPr>
        <w:pStyle w:val="Heading6"/>
        <w:spacing w:line="256" w:lineRule="auto" w:before="4"/>
        <w:ind w:right="0"/>
        <w:jc w:val="left"/>
      </w:pPr>
      <w:r>
        <w:rPr>
          <w:spacing w:val="-3"/>
        </w:rPr>
        <w:t>注释</w:t>
      </w:r>
      <w:r>
        <w:rPr>
          <w:rFonts w:ascii="Times New Roman" w:hAnsi="Times New Roman" w:cs="Times New Roman" w:eastAsia="Times New Roman" w:hint="default"/>
          <w:spacing w:val="-3"/>
        </w:rPr>
        <w:t>1</w:t>
      </w:r>
      <w:r>
        <w:rPr>
          <w:spacing w:val="-3"/>
        </w:rPr>
        <w:t>：迪赛恩由本公司及其他</w:t>
      </w:r>
      <w:r>
        <w:rPr>
          <w:rFonts w:ascii="Times New Roman" w:hAnsi="Times New Roman" w:cs="Times New Roman" w:eastAsia="Times New Roman" w:hint="default"/>
          <w:spacing w:val="-3"/>
        </w:rPr>
        <w:t>19</w:t>
      </w:r>
      <w:r>
        <w:rPr>
          <w:spacing w:val="-3"/>
        </w:rPr>
        <w:t>名自然人股东于</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4</w:t>
      </w:r>
      <w:r>
        <w:rPr>
          <w:spacing w:val="-3"/>
        </w:rPr>
        <w:t>日投资成立，注册资本为人民币</w:t>
      </w:r>
      <w:r>
        <w:rPr>
          <w:rFonts w:ascii="Times New Roman" w:hAnsi="Times New Roman" w:cs="Times New Roman" w:eastAsia="Times New Roman" w:hint="default"/>
          <w:spacing w:val="-3"/>
        </w:rPr>
        <w:t>100</w:t>
      </w:r>
      <w:r>
        <w:rPr>
          <w:spacing w:val="-3"/>
        </w:rPr>
        <w:t>万元</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日，经深圳市市场监督管理局</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2469857</w:t>
      </w:r>
      <w:r>
        <w:rPr/>
        <w:t>号《变更</w:t>
      </w:r>
      <w:r>
        <w:rPr>
          <w:rFonts w:ascii="Times New Roman" w:hAnsi="Times New Roman" w:cs="Times New Roman" w:eastAsia="Times New Roman" w:hint="default"/>
        </w:rPr>
        <w:t>(</w:t>
      </w:r>
      <w:r>
        <w:rPr/>
        <w:t>备案</w:t>
      </w:r>
      <w:r>
        <w:rPr>
          <w:rFonts w:ascii="Times New Roman" w:hAnsi="Times New Roman" w:cs="Times New Roman" w:eastAsia="Times New Roman" w:hint="default"/>
        </w:rPr>
        <w:t>)</w:t>
      </w:r>
      <w:r>
        <w:rPr/>
        <w:t>通知书》核准，以及迪赛恩股东会</w:t>
      </w:r>
      <w:r>
        <w:rPr>
          <w:w w:val="100"/>
        </w:rPr>
        <w:t> </w:t>
      </w:r>
      <w:r>
        <w:rPr/>
        <w:t>决议，迪赛恩自然人股东由</w:t>
      </w:r>
      <w:r>
        <w:rPr>
          <w:rFonts w:ascii="Times New Roman" w:hAnsi="Times New Roman" w:cs="Times New Roman" w:eastAsia="Times New Roman" w:hint="default"/>
        </w:rPr>
        <w:t>19</w:t>
      </w:r>
      <w:r>
        <w:rPr/>
        <w:t>人变更为刘明智、陈翀</w:t>
      </w:r>
      <w:r>
        <w:rPr>
          <w:rFonts w:ascii="Times New Roman" w:hAnsi="Times New Roman" w:cs="Times New Roman" w:eastAsia="Times New Roman" w:hint="default"/>
        </w:rPr>
        <w:t>2</w:t>
      </w:r>
      <w:r>
        <w:rPr/>
        <w:t>人，股权变更后，本公司出资</w:t>
      </w:r>
      <w:r>
        <w:rPr>
          <w:rFonts w:ascii="Times New Roman" w:hAnsi="Times New Roman" w:cs="Times New Roman" w:eastAsia="Times New Roman" w:hint="default"/>
        </w:rPr>
        <w:t>53.00</w:t>
      </w:r>
      <w:r>
        <w:rPr/>
        <w:t>万元，出资比例</w:t>
      </w:r>
      <w:r>
        <w:rPr>
          <w:w w:val="100"/>
        </w:rPr>
        <w:t> </w:t>
      </w:r>
      <w:r>
        <w:rPr/>
        <w:t>为</w:t>
      </w:r>
      <w:r>
        <w:rPr>
          <w:rFonts w:ascii="Times New Roman" w:hAnsi="Times New Roman" w:cs="Times New Roman" w:eastAsia="Times New Roman" w:hint="default"/>
        </w:rPr>
        <w:t>53%</w:t>
      </w:r>
      <w:r>
        <w:rPr/>
        <w:t>，刘明智出资</w:t>
      </w:r>
      <w:r>
        <w:rPr>
          <w:rFonts w:ascii="Times New Roman" w:hAnsi="Times New Roman" w:cs="Times New Roman" w:eastAsia="Times New Roman" w:hint="default"/>
        </w:rPr>
        <w:t>42.50</w:t>
      </w:r>
      <w:r>
        <w:rPr/>
        <w:t>万元，出资比例为</w:t>
      </w:r>
      <w:r>
        <w:rPr>
          <w:rFonts w:ascii="Times New Roman" w:hAnsi="Times New Roman" w:cs="Times New Roman" w:eastAsia="Times New Roman" w:hint="default"/>
        </w:rPr>
        <w:t>42.50%</w:t>
      </w:r>
      <w:r>
        <w:rPr/>
        <w:t>，陈翀出资</w:t>
      </w:r>
      <w:r>
        <w:rPr>
          <w:rFonts w:ascii="Times New Roman" w:hAnsi="Times New Roman" w:cs="Times New Roman" w:eastAsia="Times New Roman" w:hint="default"/>
        </w:rPr>
        <w:t>4.50</w:t>
      </w:r>
      <w:r>
        <w:rPr/>
        <w:t>万元，出资比例为</w:t>
      </w:r>
      <w:r>
        <w:rPr>
          <w:rFonts w:ascii="Times New Roman" w:hAnsi="Times New Roman" w:cs="Times New Roman" w:eastAsia="Times New Roman" w:hint="default"/>
        </w:rPr>
        <w:t>4.50%</w:t>
      </w:r>
      <w:r>
        <w:rPr/>
        <w:t>，股权变更登</w:t>
      </w:r>
      <w:r>
        <w:rPr>
          <w:w w:val="100"/>
        </w:rPr>
        <w:t> </w:t>
      </w:r>
      <w:r>
        <w:rPr>
          <w:spacing w:val="-4"/>
        </w:rPr>
        <w:t>记手续已办理完毕，并领取深圳市市场监督管理局颁发的</w:t>
      </w:r>
      <w:r>
        <w:rPr>
          <w:rFonts w:ascii="Times New Roman" w:hAnsi="Times New Roman" w:cs="Times New Roman" w:eastAsia="Times New Roman" w:hint="default"/>
          <w:spacing w:val="-4"/>
        </w:rPr>
        <w:t>440301102903153</w:t>
      </w:r>
      <w:r>
        <w:rPr>
          <w:spacing w:val="-4"/>
        </w:rPr>
        <w:t>号《企业法人营业执照》。</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w:t>
      </w:r>
      <w:r>
        <w:rPr/>
        <w:t>刘明智将部分股权转让给张哲，并办理工商变更备案。变更后，深圳市建筑科学研究院股份有</w:t>
      </w:r>
      <w:r>
        <w:rPr>
          <w:w w:val="100"/>
        </w:rPr>
        <w:t> </w:t>
      </w:r>
      <w:r>
        <w:rPr>
          <w:spacing w:val="-3"/>
        </w:rPr>
        <w:t>限公司出资</w:t>
      </w:r>
      <w:r>
        <w:rPr>
          <w:rFonts w:ascii="Times New Roman" w:hAnsi="Times New Roman" w:cs="Times New Roman" w:eastAsia="Times New Roman" w:hint="default"/>
          <w:spacing w:val="-3"/>
        </w:rPr>
        <w:t>53.00</w:t>
      </w:r>
      <w:r>
        <w:rPr>
          <w:spacing w:val="-3"/>
        </w:rPr>
        <w:t>万元，出资比例为</w:t>
      </w:r>
      <w:r>
        <w:rPr>
          <w:rFonts w:ascii="Times New Roman" w:hAnsi="Times New Roman" w:cs="Times New Roman" w:eastAsia="Times New Roman" w:hint="default"/>
          <w:spacing w:val="-3"/>
        </w:rPr>
        <w:t>53%</w:t>
      </w:r>
      <w:r>
        <w:rPr>
          <w:spacing w:val="-3"/>
        </w:rPr>
        <w:t>，刘明智出资</w:t>
      </w:r>
      <w:r>
        <w:rPr>
          <w:rFonts w:ascii="Times New Roman" w:hAnsi="Times New Roman" w:cs="Times New Roman" w:eastAsia="Times New Roman" w:hint="default"/>
          <w:spacing w:val="-3"/>
        </w:rPr>
        <w:t>24.50</w:t>
      </w:r>
      <w:r>
        <w:rPr>
          <w:spacing w:val="-3"/>
        </w:rPr>
        <w:t>万元，出资比例为</w:t>
      </w:r>
      <w:r>
        <w:rPr>
          <w:rFonts w:ascii="Times New Roman" w:hAnsi="Times New Roman" w:cs="Times New Roman" w:eastAsia="Times New Roman" w:hint="default"/>
          <w:spacing w:val="-3"/>
        </w:rPr>
        <w:t>24.50%</w:t>
      </w:r>
      <w:r>
        <w:rPr>
          <w:spacing w:val="-3"/>
        </w:rPr>
        <w:t>，张哲出资</w:t>
      </w:r>
      <w:r>
        <w:rPr>
          <w:rFonts w:ascii="Times New Roman" w:hAnsi="Times New Roman" w:cs="Times New Roman" w:eastAsia="Times New Roman" w:hint="default"/>
          <w:spacing w:val="-3"/>
        </w:rPr>
        <w:t>18.00</w:t>
      </w:r>
      <w:r>
        <w:rPr>
          <w:spacing w:val="-3"/>
        </w:rPr>
        <w:t>万元，</w:t>
      </w:r>
      <w:r>
        <w:rPr>
          <w:spacing w:val="2"/>
        </w:rPr>
        <w:t> </w:t>
      </w:r>
      <w:r>
        <w:rPr>
          <w:spacing w:val="2"/>
        </w:rPr>
      </w:r>
      <w:r>
        <w:rPr>
          <w:spacing w:val="-4"/>
        </w:rPr>
        <w:t>出资比例为</w:t>
      </w:r>
      <w:r>
        <w:rPr>
          <w:rFonts w:ascii="Times New Roman" w:hAnsi="Times New Roman" w:cs="Times New Roman" w:eastAsia="Times New Roman" w:hint="default"/>
          <w:spacing w:val="-4"/>
        </w:rPr>
        <w:t>18.00%</w:t>
      </w:r>
      <w:r>
        <w:rPr>
          <w:spacing w:val="-4"/>
        </w:rPr>
        <w:t>，陈翀出资</w:t>
      </w:r>
      <w:r>
        <w:rPr>
          <w:rFonts w:ascii="Times New Roman" w:hAnsi="Times New Roman" w:cs="Times New Roman" w:eastAsia="Times New Roman" w:hint="default"/>
          <w:spacing w:val="-4"/>
        </w:rPr>
        <w:t>4.50</w:t>
      </w:r>
      <w:r>
        <w:rPr>
          <w:spacing w:val="-4"/>
        </w:rPr>
        <w:t>万元，出资比例为</w:t>
      </w:r>
      <w:r>
        <w:rPr>
          <w:rFonts w:ascii="Times New Roman" w:hAnsi="Times New Roman" w:cs="Times New Roman" w:eastAsia="Times New Roman" w:hint="default"/>
          <w:spacing w:val="-4"/>
        </w:rPr>
        <w:t>4.50%</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12</w:t>
      </w:r>
      <w:r>
        <w:rPr>
          <w:spacing w:val="-4"/>
        </w:rPr>
        <w:t>日</w:t>
      </w:r>
      <w:r>
        <w:rPr>
          <w:rFonts w:ascii="Times New Roman" w:hAnsi="Times New Roman" w:cs="Times New Roman" w:eastAsia="Times New Roman" w:hint="default"/>
          <w:spacing w:val="-4"/>
        </w:rPr>
        <w:t>,</w:t>
      </w:r>
      <w:r>
        <w:rPr>
          <w:spacing w:val="-4"/>
        </w:rPr>
        <w:t>张哲将部分股权转让给刘明智，</w:t>
      </w:r>
      <w:r>
        <w:rPr>
          <w:spacing w:val="-44"/>
        </w:rPr>
        <w:t> </w:t>
      </w:r>
      <w:r>
        <w:rPr>
          <w:spacing w:val="-44"/>
        </w:rPr>
      </w:r>
      <w:r>
        <w:rPr>
          <w:spacing w:val="-3"/>
        </w:rPr>
        <w:t>并办理工商变更备案。变更后，深圳市建筑科学研究院股份有限公司出资</w:t>
      </w:r>
      <w:r>
        <w:rPr>
          <w:rFonts w:ascii="Times New Roman" w:hAnsi="Times New Roman" w:cs="Times New Roman" w:eastAsia="Times New Roman" w:hint="default"/>
          <w:spacing w:val="-3"/>
        </w:rPr>
        <w:t>53.00</w:t>
      </w:r>
      <w:r>
        <w:rPr>
          <w:spacing w:val="-3"/>
        </w:rPr>
        <w:t>万元，出资比例为</w:t>
      </w:r>
      <w:r>
        <w:rPr>
          <w:rFonts w:ascii="Times New Roman" w:hAnsi="Times New Roman" w:cs="Times New Roman" w:eastAsia="Times New Roman" w:hint="default"/>
          <w:spacing w:val="-3"/>
        </w:rPr>
        <w:t>53%</w:t>
      </w:r>
      <w:r>
        <w:rPr>
          <w:spacing w:val="-3"/>
        </w:rPr>
        <w:t>，刘</w:t>
      </w:r>
      <w:r>
        <w:rPr>
          <w:spacing w:val="-21"/>
        </w:rPr>
        <w:t> </w:t>
      </w:r>
      <w:r>
        <w:rPr/>
        <w:t>明智出资</w:t>
      </w:r>
      <w:r>
        <w:rPr>
          <w:rFonts w:ascii="Times New Roman" w:hAnsi="Times New Roman" w:cs="Times New Roman" w:eastAsia="Times New Roman" w:hint="default"/>
        </w:rPr>
        <w:t>42.50</w:t>
      </w:r>
      <w:r>
        <w:rPr/>
        <w:t>万元，出资比例为</w:t>
      </w:r>
      <w:r>
        <w:rPr>
          <w:rFonts w:ascii="Times New Roman" w:hAnsi="Times New Roman" w:cs="Times New Roman" w:eastAsia="Times New Roman" w:hint="default"/>
        </w:rPr>
        <w:t>42.50%</w:t>
      </w:r>
      <w:r>
        <w:rPr/>
        <w:t>，陈翀出资</w:t>
      </w:r>
      <w:r>
        <w:rPr>
          <w:rFonts w:ascii="Times New Roman" w:hAnsi="Times New Roman" w:cs="Times New Roman" w:eastAsia="Times New Roman" w:hint="default"/>
        </w:rPr>
        <w:t>4.50</w:t>
      </w:r>
      <w:r>
        <w:rPr/>
        <w:t>万元，出资比例为</w:t>
      </w:r>
      <w:r>
        <w:rPr>
          <w:rFonts w:ascii="Times New Roman" w:hAnsi="Times New Roman" w:cs="Times New Roman" w:eastAsia="Times New Roman" w:hint="default"/>
        </w:rPr>
        <w:t>4.50%</w:t>
      </w:r>
      <w:r>
        <w:rPr/>
        <w:t>。</w:t>
      </w:r>
    </w:p>
    <w:p>
      <w:pPr>
        <w:spacing w:line="240" w:lineRule="auto" w:before="3"/>
        <w:rPr>
          <w:rFonts w:ascii="宋体" w:hAnsi="宋体" w:cs="宋体" w:eastAsia="宋体" w:hint="default"/>
          <w:sz w:val="24"/>
          <w:szCs w:val="24"/>
        </w:rPr>
      </w:pPr>
    </w:p>
    <w:p>
      <w:pPr>
        <w:pStyle w:val="Heading6"/>
        <w:spacing w:line="259" w:lineRule="auto"/>
        <w:ind w:right="0"/>
        <w:jc w:val="left"/>
      </w:pPr>
      <w:r>
        <w:rPr>
          <w:spacing w:val="-2"/>
        </w:rPr>
        <w:t>注释</w:t>
      </w:r>
      <w:r>
        <w:rPr>
          <w:rFonts w:ascii="Times New Roman" w:hAnsi="Times New Roman" w:cs="Times New Roman" w:eastAsia="Times New Roman" w:hint="default"/>
          <w:spacing w:val="-2"/>
        </w:rPr>
        <w:t>2</w:t>
      </w:r>
      <w:r>
        <w:rPr>
          <w:spacing w:val="-2"/>
        </w:rPr>
        <w:t>：艾科筑业原名深圳市建科智能网络有限公司，成立于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日；注册资本为人民币</w:t>
      </w:r>
      <w:r>
        <w:rPr>
          <w:rFonts w:ascii="Times New Roman" w:hAnsi="Times New Roman" w:cs="Times New Roman" w:eastAsia="Times New Roman" w:hint="default"/>
          <w:spacing w:val="-2"/>
        </w:rPr>
        <w:t>50</w:t>
      </w:r>
      <w:r>
        <w:rPr>
          <w:spacing w:val="-2"/>
        </w:rPr>
        <w:t>万元，</w:t>
      </w:r>
      <w:r>
        <w:rPr>
          <w:spacing w:val="-15"/>
        </w:rPr>
        <w:t> </w:t>
      </w:r>
      <w:r>
        <w:rPr>
          <w:spacing w:val="-15"/>
        </w:rPr>
      </w:r>
      <w:r>
        <w:rPr>
          <w:spacing w:val="-3"/>
        </w:rPr>
        <w:t>其中本公司出资</w:t>
      </w:r>
      <w:r>
        <w:rPr>
          <w:rFonts w:ascii="Times New Roman" w:hAnsi="Times New Roman" w:cs="Times New Roman" w:eastAsia="Times New Roman" w:hint="default"/>
          <w:spacing w:val="-3"/>
        </w:rPr>
        <w:t>37.5</w:t>
      </w:r>
      <w:r>
        <w:rPr>
          <w:spacing w:val="-3"/>
        </w:rPr>
        <w:t>万元，出资比例为</w:t>
      </w:r>
      <w:r>
        <w:rPr>
          <w:rFonts w:ascii="Times New Roman" w:hAnsi="Times New Roman" w:cs="Times New Roman" w:eastAsia="Times New Roman" w:hint="default"/>
          <w:spacing w:val="-3"/>
        </w:rPr>
        <w:t>75%</w:t>
      </w:r>
      <w:r>
        <w:rPr>
          <w:spacing w:val="-3"/>
        </w:rPr>
        <w:t>，</w:t>
      </w:r>
      <w:r>
        <w:rPr>
          <w:rFonts w:ascii="Times New Roman" w:hAnsi="Times New Roman" w:cs="Times New Roman" w:eastAsia="Times New Roman" w:hint="default"/>
          <w:spacing w:val="-3"/>
        </w:rPr>
        <w:t>16</w:t>
      </w:r>
      <w:r>
        <w:rPr>
          <w:spacing w:val="-3"/>
        </w:rPr>
        <w:t>位自然人合计出资</w:t>
      </w:r>
      <w:r>
        <w:rPr>
          <w:rFonts w:ascii="Times New Roman" w:hAnsi="Times New Roman" w:cs="Times New Roman" w:eastAsia="Times New Roman" w:hint="default"/>
          <w:spacing w:val="-3"/>
        </w:rPr>
        <w:t>12.5</w:t>
      </w:r>
      <w:r>
        <w:rPr>
          <w:spacing w:val="-3"/>
        </w:rPr>
        <w:t>万元，出资比例为</w:t>
      </w:r>
      <w:r>
        <w:rPr>
          <w:rFonts w:ascii="Times New Roman" w:hAnsi="Times New Roman" w:cs="Times New Roman" w:eastAsia="Times New Roman" w:hint="default"/>
          <w:spacing w:val="-3"/>
        </w:rPr>
        <w:t>25%</w:t>
      </w:r>
      <w:r>
        <w:rPr>
          <w:spacing w:val="-3"/>
        </w:rPr>
        <w:t>，企业法定代</w:t>
      </w:r>
      <w:r>
        <w:rPr>
          <w:spacing w:val="-13"/>
        </w:rPr>
        <w:t> </w:t>
      </w:r>
      <w:r>
        <w:rPr>
          <w:spacing w:val="-13"/>
        </w:rPr>
      </w:r>
      <w:r>
        <w:rPr>
          <w:spacing w:val="-2"/>
        </w:rPr>
        <w:t>表人为叶青。</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日，经深建智字</w:t>
      </w:r>
      <w:r>
        <w:rPr>
          <w:rFonts w:ascii="Times New Roman" w:hAnsi="Times New Roman" w:cs="Times New Roman" w:eastAsia="Times New Roman" w:hint="default"/>
          <w:spacing w:val="-2"/>
        </w:rPr>
        <w:t>[2009]04</w:t>
      </w:r>
      <w:r>
        <w:rPr>
          <w:spacing w:val="-2"/>
        </w:rPr>
        <w:t>号文件及股东会决议，</w:t>
      </w:r>
      <w:r>
        <w:rPr>
          <w:rFonts w:ascii="Times New Roman" w:hAnsi="Times New Roman" w:cs="Times New Roman" w:eastAsia="Times New Roman" w:hint="default"/>
          <w:spacing w:val="-2"/>
        </w:rPr>
        <w:t>16</w:t>
      </w:r>
      <w:r>
        <w:rPr>
          <w:spacing w:val="-2"/>
        </w:rPr>
        <w:t>位自然人股东将其持有本公</w:t>
      </w:r>
      <w:r>
        <w:rPr>
          <w:spacing w:val="-7"/>
        </w:rPr>
        <w:t> </w:t>
      </w:r>
      <w:r>
        <w:rPr>
          <w:spacing w:val="-7"/>
        </w:rPr>
      </w:r>
      <w:r>
        <w:rPr/>
        <w:t>司</w:t>
      </w:r>
      <w:r>
        <w:rPr>
          <w:rFonts w:ascii="Times New Roman" w:hAnsi="Times New Roman" w:cs="Times New Roman" w:eastAsia="Times New Roman" w:hint="default"/>
        </w:rPr>
        <w:t>25%</w:t>
      </w:r>
      <w:r>
        <w:rPr/>
        <w:t>的股权转让给日本株式会社</w:t>
      </w:r>
      <w:r>
        <w:rPr>
          <w:rFonts w:ascii="Times New Roman" w:hAnsi="Times New Roman" w:cs="Times New Roman" w:eastAsia="Times New Roman" w:hint="default"/>
        </w:rPr>
        <w:t>EQUIPMENT PALN COMPANY</w:t>
      </w:r>
      <w:r>
        <w:rPr>
          <w:rFonts w:ascii="Times New Roman" w:hAnsi="Times New Roman" w:cs="Times New Roman" w:eastAsia="Times New Roman" w:hint="default"/>
          <w:spacing w:val="-14"/>
        </w:rPr>
        <w:t> </w:t>
      </w:r>
      <w:r>
        <w:rPr>
          <w:rFonts w:ascii="Times New Roman" w:hAnsi="Times New Roman" w:cs="Times New Roman" w:eastAsia="Times New Roman" w:hint="default"/>
        </w:rPr>
        <w:t>CO.Ltd.</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日，经深科工贸</w:t>
      </w:r>
      <w:r>
        <w:rPr>
          <w:w w:val="100"/>
        </w:rPr>
        <w:t> </w:t>
      </w:r>
      <w:r>
        <w:rPr>
          <w:spacing w:val="-2"/>
        </w:rPr>
        <w:t>信资字</w:t>
      </w:r>
      <w:r>
        <w:rPr>
          <w:rFonts w:ascii="Times New Roman" w:hAnsi="Times New Roman" w:cs="Times New Roman" w:eastAsia="Times New Roman" w:hint="default"/>
          <w:spacing w:val="-2"/>
        </w:rPr>
        <w:t>[2010]1591</w:t>
      </w:r>
      <w:r>
        <w:rPr>
          <w:spacing w:val="-2"/>
        </w:rPr>
        <w:t>号文件《关于深圳市建科智能网络有限公司股权并购变更设立为中外合资企业的批复》</w:t>
      </w:r>
      <w:r>
        <w:rPr>
          <w:spacing w:val="-10"/>
        </w:rPr>
        <w:t> </w:t>
      </w:r>
      <w:r>
        <w:rPr>
          <w:spacing w:val="-10"/>
        </w:rPr>
      </w:r>
      <w:r>
        <w:rPr>
          <w:spacing w:val="-2"/>
        </w:rPr>
        <w:t>批准，公司名称变更为深圳艾科筑业工程技术有限公司，企业类型变更为有限责任公司（中外合资），企</w:t>
      </w:r>
      <w:r>
        <w:rPr>
          <w:spacing w:val="-43"/>
        </w:rPr>
        <w:t> </w:t>
      </w:r>
      <w:r>
        <w:rPr>
          <w:spacing w:val="-43"/>
        </w:rPr>
      </w:r>
      <w:r>
        <w:rPr/>
        <w:t>业法定代表人变更为毛洪伟，领取了深圳市市场监督管理局颁发的</w:t>
      </w:r>
      <w:r>
        <w:rPr>
          <w:rFonts w:ascii="Times New Roman" w:hAnsi="Times New Roman" w:cs="Times New Roman" w:eastAsia="Times New Roman" w:hint="default"/>
        </w:rPr>
        <w:t>440301102903231</w:t>
      </w:r>
      <w:r>
        <w:rPr/>
        <w:t>号《企业法人营业执</w:t>
      </w:r>
      <w:r>
        <w:rPr>
          <w:w w:val="100"/>
        </w:rPr>
        <w:t> </w:t>
      </w:r>
      <w:r>
        <w:rPr/>
        <w:t>照》。</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日，株式会社</w:t>
      </w:r>
      <w:r>
        <w:rPr>
          <w:rFonts w:ascii="Times New Roman" w:hAnsi="Times New Roman" w:cs="Times New Roman" w:eastAsia="Times New Roman" w:hint="default"/>
        </w:rPr>
        <w:t>EPCO</w:t>
      </w:r>
      <w:r>
        <w:rPr/>
        <w:t>与艾博科（香港）有限公司签订《股权转让协议书》，约定株式</w:t>
      </w:r>
      <w:r>
        <w:rPr>
          <w:w w:val="100"/>
        </w:rPr>
        <w:t> </w:t>
      </w:r>
      <w:r>
        <w:rPr/>
        <w:t>会社</w:t>
      </w:r>
      <w:r>
        <w:rPr>
          <w:rFonts w:ascii="Times New Roman" w:hAnsi="Times New Roman" w:cs="Times New Roman" w:eastAsia="Times New Roman" w:hint="default"/>
        </w:rPr>
        <w:t>EPCO</w:t>
      </w:r>
      <w:r>
        <w:rPr/>
        <w:t>将其占艾科筑业</w:t>
      </w:r>
      <w:r>
        <w:rPr>
          <w:rFonts w:ascii="Times New Roman" w:hAnsi="Times New Roman" w:cs="Times New Roman" w:eastAsia="Times New Roman" w:hint="default"/>
        </w:rPr>
        <w:t>25%</w:t>
      </w:r>
      <w:r>
        <w:rPr/>
        <w:t>的股权以人民币</w:t>
      </w:r>
      <w:r>
        <w:rPr>
          <w:rFonts w:ascii="Times New Roman" w:hAnsi="Times New Roman" w:cs="Times New Roman" w:eastAsia="Times New Roman" w:hint="default"/>
        </w:rPr>
        <w:t>102125</w:t>
      </w:r>
      <w:r>
        <w:rPr/>
        <w:t>元转让给艾博科（香港）有限公司。</w:t>
      </w:r>
    </w:p>
    <w:p>
      <w:pPr>
        <w:spacing w:line="240" w:lineRule="auto" w:before="1"/>
        <w:rPr>
          <w:rFonts w:ascii="宋体" w:hAnsi="宋体" w:cs="宋体" w:eastAsia="宋体" w:hint="default"/>
          <w:sz w:val="24"/>
          <w:szCs w:val="24"/>
        </w:rPr>
      </w:pPr>
    </w:p>
    <w:p>
      <w:pPr>
        <w:pStyle w:val="Heading6"/>
        <w:spacing w:line="259" w:lineRule="auto"/>
        <w:ind w:right="0"/>
        <w:jc w:val="left"/>
      </w:pPr>
      <w:r>
        <w:rPr>
          <w:spacing w:val="-4"/>
        </w:rPr>
        <w:t>注释</w:t>
      </w:r>
      <w:r>
        <w:rPr>
          <w:rFonts w:ascii="Times New Roman" w:hAnsi="Times New Roman" w:cs="Times New Roman" w:eastAsia="Times New Roman" w:hint="default"/>
          <w:spacing w:val="-4"/>
        </w:rPr>
        <w:t>3</w:t>
      </w:r>
      <w:r>
        <w:rPr>
          <w:spacing w:val="-4"/>
        </w:rPr>
        <w:t>：市政中心于</w:t>
      </w:r>
      <w:r>
        <w:rPr>
          <w:rFonts w:ascii="Times New Roman" w:hAnsi="Times New Roman" w:cs="Times New Roman" w:eastAsia="Times New Roman" w:hint="default"/>
          <w:spacing w:val="-4"/>
        </w:rPr>
        <w:t>2002</w:t>
      </w:r>
      <w:r>
        <w:rPr>
          <w:spacing w:val="-4"/>
        </w:rPr>
        <w:t>年</w:t>
      </w:r>
      <w:r>
        <w:rPr>
          <w:rFonts w:ascii="Times New Roman" w:hAnsi="Times New Roman" w:cs="Times New Roman" w:eastAsia="Times New Roman" w:hint="default"/>
          <w:spacing w:val="-4"/>
        </w:rPr>
        <w:t>10</w:t>
      </w:r>
      <w:r>
        <w:rPr>
          <w:spacing w:val="-4"/>
        </w:rPr>
        <w:t>月经深圳市事业单位登记管理局批准成立，持有注册号为</w:t>
      </w:r>
      <w:r>
        <w:rPr>
          <w:rFonts w:ascii="Times New Roman" w:hAnsi="Times New Roman" w:cs="Times New Roman" w:eastAsia="Times New Roman" w:hint="default"/>
          <w:spacing w:val="-4"/>
        </w:rPr>
        <w:t>144030000516</w:t>
      </w:r>
      <w:r>
        <w:rPr>
          <w:spacing w:val="-4"/>
        </w:rPr>
        <w:t>号《事</w:t>
      </w:r>
      <w:r>
        <w:rPr>
          <w:spacing w:val="-17"/>
        </w:rPr>
        <w:t> </w:t>
      </w:r>
      <w:r>
        <w:rPr>
          <w:spacing w:val="-17"/>
        </w:rPr>
      </w:r>
      <w:r>
        <w:rPr/>
        <w:t>业单位法人证书》，企业名称深圳市市政工程咨询中心，开办资金人民币</w:t>
      </w:r>
      <w:r>
        <w:rPr>
          <w:rFonts w:ascii="Times New Roman" w:hAnsi="Times New Roman" w:cs="Times New Roman" w:eastAsia="Times New Roman" w:hint="default"/>
        </w:rPr>
        <w:t>200</w:t>
      </w:r>
      <w:r>
        <w:rPr/>
        <w:t>万，由深圳市规划与国土资</w:t>
      </w:r>
      <w:r>
        <w:rPr>
          <w:w w:val="100"/>
        </w:rPr>
        <w:t> </w:t>
      </w:r>
      <w:r>
        <w:rPr>
          <w:spacing w:val="-2"/>
        </w:rPr>
        <w:t>源局举办，实收资本为人民币</w:t>
      </w:r>
      <w:r>
        <w:rPr>
          <w:rFonts w:ascii="Times New Roman" w:hAnsi="Times New Roman" w:cs="Times New Roman" w:eastAsia="Times New Roman" w:hint="default"/>
          <w:spacing w:val="-2"/>
        </w:rPr>
        <w:t>385.24</w:t>
      </w:r>
      <w:r>
        <w:rPr>
          <w:spacing w:val="-2"/>
        </w:rPr>
        <w:t>万元。</w:t>
      </w:r>
      <w:r>
        <w:rPr>
          <w:rFonts w:ascii="Times New Roman" w:hAnsi="Times New Roman" w:cs="Times New Roman" w:eastAsia="Times New Roman" w:hint="default"/>
          <w:spacing w:val="-2"/>
        </w:rPr>
        <w:t>2007</w:t>
      </w:r>
      <w:r>
        <w:rPr>
          <w:spacing w:val="-2"/>
        </w:rPr>
        <w:t>年根据深圳市委、市政府《关于深圳市党政机关事业单位</w:t>
      </w:r>
      <w:r>
        <w:rPr>
          <w:spacing w:val="-10"/>
        </w:rPr>
        <w:t> </w:t>
      </w:r>
      <w:r>
        <w:rPr>
          <w:spacing w:val="-10"/>
        </w:rPr>
      </w:r>
      <w:r>
        <w:rPr>
          <w:spacing w:val="-2"/>
        </w:rPr>
        <w:t>所属企业纳入市属国有资产监管体系的通知》和《深圳市党政机关事业单位所属企业、转企事业单位划转</w:t>
      </w:r>
      <w:r>
        <w:rPr>
          <w:spacing w:val="-43"/>
        </w:rPr>
        <w:t> </w:t>
      </w:r>
      <w:r>
        <w:rPr>
          <w:spacing w:val="-43"/>
        </w:rPr>
      </w:r>
      <w:r>
        <w:rPr/>
        <w:t>工作实施方案》，将该公司整体移交深圳市投资控股有限公司管理。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月深圳市投资控股有限公司</w:t>
      </w:r>
      <w:r>
        <w:rPr>
          <w:w w:val="100"/>
        </w:rPr>
        <w:t> </w:t>
      </w:r>
      <w:r>
        <w:rPr/>
        <w:t>根据深圳市长盛会计师事务所出具的深长盛审字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057</w:t>
      </w:r>
      <w:r>
        <w:rPr/>
        <w:t>号清产核资报告以深圳市市政工程咨询中心</w:t>
      </w:r>
      <w:r>
        <w:rPr>
          <w:w w:val="100"/>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日的净资产投资成立深圳市市政工程咨询中心有限公司，法定代表人莫福光，注册号</w:t>
      </w:r>
    </w:p>
    <w:p>
      <w:pPr>
        <w:pStyle w:val="Heading6"/>
        <w:spacing w:line="256" w:lineRule="auto" w:before="2"/>
        <w:ind w:right="0"/>
        <w:jc w:val="left"/>
      </w:pPr>
      <w:r>
        <w:rPr>
          <w:rFonts w:ascii="Times New Roman" w:hAnsi="Times New Roman" w:cs="Times New Roman" w:eastAsia="Times New Roman" w:hint="default"/>
        </w:rPr>
        <w:t>440301104728722</w:t>
      </w:r>
      <w:r>
        <w:rPr/>
        <w:t>，注册资金</w:t>
      </w:r>
      <w:r>
        <w:rPr>
          <w:rFonts w:ascii="Times New Roman" w:hAnsi="Times New Roman" w:cs="Times New Roman" w:eastAsia="Times New Roman" w:hint="default"/>
        </w:rPr>
        <w:t>600</w:t>
      </w:r>
      <w:r>
        <w:rPr/>
        <w:t>万元，实收资本</w:t>
      </w:r>
      <w:r>
        <w:rPr>
          <w:rFonts w:ascii="Times New Roman" w:hAnsi="Times New Roman" w:cs="Times New Roman" w:eastAsia="Times New Roman" w:hint="default"/>
        </w:rPr>
        <w:t>600</w:t>
      </w:r>
      <w:r>
        <w:rPr/>
        <w:t>万元。经营范围：市政建设及规划咨询；与建筑工程</w:t>
      </w:r>
      <w:r>
        <w:rPr>
          <w:w w:val="100"/>
        </w:rPr>
        <w:t> </w:t>
      </w:r>
      <w:r>
        <w:rPr>
          <w:spacing w:val="-2"/>
        </w:rPr>
        <w:t>有关的工程筹建、计划、造价、资金、预算、场地、招标、咨询、监理等服务。注册地址：福田区振兴路</w:t>
      </w:r>
    </w:p>
    <w:p>
      <w:pPr>
        <w:spacing w:after="0" w:line="256"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6"/>
        <w:spacing w:line="256" w:lineRule="auto" w:before="36"/>
        <w:ind w:right="148"/>
        <w:jc w:val="both"/>
      </w:pPr>
      <w:r>
        <w:rPr>
          <w:spacing w:val="-2"/>
        </w:rPr>
        <w:t>建艺大厦十七楼。</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日根据深国资委</w:t>
      </w:r>
      <w:r>
        <w:rPr>
          <w:rFonts w:ascii="Times New Roman" w:hAnsi="Times New Roman" w:cs="Times New Roman" w:eastAsia="Times New Roman" w:hint="default"/>
          <w:spacing w:val="-2"/>
        </w:rPr>
        <w:t>[2011]93</w:t>
      </w:r>
      <w:r>
        <w:rPr>
          <w:spacing w:val="-2"/>
        </w:rPr>
        <w:t>号《关于深圳市市政工程咨询中心有限公司股权</w:t>
      </w:r>
      <w:r>
        <w:rPr>
          <w:spacing w:val="-10"/>
        </w:rPr>
        <w:t> </w:t>
      </w:r>
      <w:r>
        <w:rPr>
          <w:spacing w:val="-10"/>
        </w:rPr>
      </w:r>
      <w:r>
        <w:rPr>
          <w:spacing w:val="-4"/>
        </w:rPr>
        <w:t>无偿划转事宜的批复》，深圳市投资控股有限公司将深圳市市政工程咨询中心有限公司</w:t>
      </w:r>
      <w:r>
        <w:rPr>
          <w:rFonts w:ascii="Times New Roman" w:hAnsi="Times New Roman" w:cs="Times New Roman" w:eastAsia="Times New Roman" w:hint="default"/>
          <w:spacing w:val="-4"/>
        </w:rPr>
        <w:t>100%</w:t>
      </w:r>
      <w:r>
        <w:rPr>
          <w:spacing w:val="-4"/>
        </w:rPr>
        <w:t>股权无偿划转</w:t>
      </w:r>
      <w:r>
        <w:rPr>
          <w:spacing w:val="-15"/>
        </w:rPr>
        <w:t> </w:t>
      </w:r>
      <w:r>
        <w:rPr>
          <w:spacing w:val="-15"/>
        </w:rPr>
      </w:r>
      <w:r>
        <w:rPr/>
        <w:t>给本公司，已于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日办理工商登记变更，现法定代表人为熊咏梅。</w:t>
      </w:r>
    </w:p>
    <w:p>
      <w:pPr>
        <w:spacing w:line="240" w:lineRule="auto" w:before="3"/>
        <w:rPr>
          <w:rFonts w:ascii="宋体" w:hAnsi="宋体" w:cs="宋体" w:eastAsia="宋体" w:hint="default"/>
          <w:sz w:val="24"/>
          <w:szCs w:val="24"/>
        </w:rPr>
      </w:pPr>
    </w:p>
    <w:p>
      <w:pPr>
        <w:pStyle w:val="Heading6"/>
        <w:spacing w:line="256" w:lineRule="auto"/>
        <w:ind w:right="0"/>
        <w:jc w:val="left"/>
      </w:pPr>
      <w:r>
        <w:rPr>
          <w:spacing w:val="-2"/>
        </w:rPr>
        <w:t>注释</w:t>
      </w:r>
      <w:r>
        <w:rPr>
          <w:rFonts w:ascii="Times New Roman" w:hAnsi="Times New Roman" w:cs="Times New Roman" w:eastAsia="Times New Roman" w:hint="default"/>
          <w:spacing w:val="-2"/>
        </w:rPr>
        <w:t>4</w:t>
      </w:r>
      <w:r>
        <w:rPr>
          <w:spacing w:val="-2"/>
        </w:rPr>
        <w:t>：北京艾科城是由本公司出资组建的全资子公司，于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日取得北京市工商行政管理局海淀</w:t>
      </w:r>
      <w:r>
        <w:rPr>
          <w:spacing w:val="-37"/>
        </w:rPr>
        <w:t> </w:t>
      </w:r>
      <w:r>
        <w:rPr>
          <w:spacing w:val="-37"/>
        </w:rPr>
      </w:r>
      <w:r>
        <w:rPr/>
        <w:t>分局核发的注册号为</w:t>
      </w:r>
      <w:r>
        <w:rPr>
          <w:rFonts w:ascii="Times New Roman" w:hAnsi="Times New Roman" w:cs="Times New Roman" w:eastAsia="Times New Roman" w:hint="default"/>
        </w:rPr>
        <w:t>110108015571395</w:t>
      </w:r>
      <w:r>
        <w:rPr/>
        <w:t>号《企业法人营业执照》，经营期限至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w:t>
      </w:r>
    </w:p>
    <w:p>
      <w:pPr>
        <w:spacing w:line="240" w:lineRule="auto" w:before="3"/>
        <w:rPr>
          <w:rFonts w:ascii="宋体" w:hAnsi="宋体" w:cs="宋体" w:eastAsia="宋体" w:hint="default"/>
          <w:sz w:val="24"/>
          <w:szCs w:val="24"/>
        </w:rPr>
      </w:pPr>
    </w:p>
    <w:p>
      <w:pPr>
        <w:pStyle w:val="Heading6"/>
        <w:spacing w:line="256" w:lineRule="auto"/>
        <w:ind w:right="0"/>
        <w:jc w:val="left"/>
      </w:pPr>
      <w:r>
        <w:rPr>
          <w:spacing w:val="-2"/>
        </w:rPr>
        <w:t>注释</w:t>
      </w:r>
      <w:r>
        <w:rPr>
          <w:rFonts w:ascii="Times New Roman" w:hAnsi="Times New Roman" w:cs="Times New Roman" w:eastAsia="Times New Roman" w:hint="default"/>
          <w:spacing w:val="-2"/>
        </w:rPr>
        <w:t>5</w:t>
      </w:r>
      <w:r>
        <w:rPr>
          <w:spacing w:val="-2"/>
        </w:rPr>
        <w:t>：深圳艾科城是由本公司出资组建的全资子公司，于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日取得深圳市市场监督管理局核发</w:t>
      </w:r>
      <w:r>
        <w:rPr>
          <w:spacing w:val="-37"/>
        </w:rPr>
        <w:t> </w:t>
      </w:r>
      <w:r>
        <w:rPr>
          <w:spacing w:val="-37"/>
        </w:rPr>
      </w:r>
      <w:r>
        <w:rPr/>
        <w:t>的注册号为</w:t>
      </w:r>
      <w:r>
        <w:rPr>
          <w:rFonts w:ascii="Times New Roman" w:hAnsi="Times New Roman" w:cs="Times New Roman" w:eastAsia="Times New Roman" w:hint="default"/>
        </w:rPr>
        <w:t>440301106846579</w:t>
      </w:r>
      <w:r>
        <w:rPr/>
        <w:t>号《企业法人营业执照》，经营期限至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w:t>
      </w:r>
    </w:p>
    <w:p>
      <w:pPr>
        <w:spacing w:line="240" w:lineRule="auto" w:before="3"/>
        <w:rPr>
          <w:rFonts w:ascii="宋体" w:hAnsi="宋体" w:cs="宋体" w:eastAsia="宋体" w:hint="default"/>
          <w:sz w:val="24"/>
          <w:szCs w:val="24"/>
        </w:rPr>
      </w:pPr>
    </w:p>
    <w:p>
      <w:pPr>
        <w:pStyle w:val="Heading6"/>
        <w:spacing w:line="256" w:lineRule="auto"/>
        <w:ind w:right="0"/>
        <w:jc w:val="left"/>
      </w:pPr>
      <w:r>
        <w:rPr>
          <w:spacing w:val="-2"/>
        </w:rPr>
        <w:t>注释</w:t>
      </w:r>
      <w:r>
        <w:rPr>
          <w:rFonts w:ascii="Times New Roman" w:hAnsi="Times New Roman" w:cs="Times New Roman" w:eastAsia="Times New Roman" w:hint="default"/>
          <w:spacing w:val="-2"/>
        </w:rPr>
        <w:t>6</w:t>
      </w:r>
      <w:r>
        <w:rPr>
          <w:spacing w:val="-2"/>
        </w:rPr>
        <w:t>：建研检测是由本公司出资组建的全资子公司，注册资本</w:t>
      </w:r>
      <w:r>
        <w:rPr>
          <w:rFonts w:ascii="Times New Roman" w:hAnsi="Times New Roman" w:cs="Times New Roman" w:eastAsia="Times New Roman" w:hint="default"/>
          <w:spacing w:val="-2"/>
        </w:rPr>
        <w:t>500</w:t>
      </w:r>
      <w:r>
        <w:rPr>
          <w:spacing w:val="-2"/>
        </w:rPr>
        <w:t>万元，实收资本</w:t>
      </w:r>
      <w:r>
        <w:rPr>
          <w:rFonts w:ascii="Times New Roman" w:hAnsi="Times New Roman" w:cs="Times New Roman" w:eastAsia="Times New Roman" w:hint="default"/>
          <w:spacing w:val="-2"/>
        </w:rPr>
        <w:t>100</w:t>
      </w:r>
      <w:r>
        <w:rPr>
          <w:spacing w:val="-2"/>
        </w:rPr>
        <w:t>万元，于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spacing w:val="-39"/>
        </w:rPr>
        <w:t> </w:t>
      </w:r>
      <w:r>
        <w:rPr>
          <w:rFonts w:ascii="Times New Roman" w:hAnsi="Times New Roman" w:cs="Times New Roman" w:eastAsia="Times New Roman" w:hint="default"/>
        </w:rPr>
        <w:t>4</w:t>
      </w:r>
      <w:r>
        <w:rPr/>
        <w:t>日取得深圳市市场监督管理局核发的注册号为</w:t>
      </w:r>
      <w:r>
        <w:rPr>
          <w:rFonts w:ascii="Times New Roman" w:hAnsi="Times New Roman" w:cs="Times New Roman" w:eastAsia="Times New Roman" w:hint="default"/>
        </w:rPr>
        <w:t>440301109777935</w:t>
      </w:r>
      <w:r>
        <w:rPr/>
        <w:t>号《企业法人营业执照》。</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3"/>
          <w:w w:val="100"/>
        </w:rPr>
        <w:t> </w:t>
      </w:r>
      <w:r>
        <w:rPr/>
        <w:t>日，公司缴纳出资</w:t>
      </w:r>
      <w:r>
        <w:rPr>
          <w:rFonts w:ascii="Times New Roman" w:hAnsi="Times New Roman" w:cs="Times New Roman" w:eastAsia="Times New Roman" w:hint="default"/>
        </w:rPr>
        <w:t>100</w:t>
      </w:r>
      <w:r>
        <w:rPr/>
        <w:t>万，并办理工商变更登记。变更后，建研检测实收资本</w:t>
      </w:r>
      <w:r>
        <w:rPr>
          <w:rFonts w:ascii="Times New Roman" w:hAnsi="Times New Roman" w:cs="Times New Roman" w:eastAsia="Times New Roman" w:hint="default"/>
        </w:rPr>
        <w:t>200</w:t>
      </w:r>
      <w:r>
        <w:rPr/>
        <w:t>万。</w:t>
      </w:r>
    </w:p>
    <w:p>
      <w:pPr>
        <w:spacing w:line="240" w:lineRule="auto" w:before="4"/>
        <w:rPr>
          <w:rFonts w:ascii="宋体" w:hAnsi="宋体" w:cs="宋体" w:eastAsia="宋体" w:hint="default"/>
          <w:sz w:val="24"/>
          <w:szCs w:val="24"/>
        </w:rPr>
      </w:pPr>
    </w:p>
    <w:p>
      <w:pPr>
        <w:pStyle w:val="Heading6"/>
        <w:spacing w:line="256" w:lineRule="auto"/>
        <w:ind w:right="0"/>
        <w:jc w:val="left"/>
      </w:pPr>
      <w:r>
        <w:rPr/>
        <w:t>注释</w:t>
      </w:r>
      <w:r>
        <w:rPr>
          <w:rFonts w:ascii="Times New Roman" w:hAnsi="Times New Roman" w:cs="Times New Roman" w:eastAsia="Times New Roman" w:hint="default"/>
        </w:rPr>
        <w:t>7</w:t>
      </w:r>
      <w:r>
        <w:rPr/>
        <w:t>：常州城建艾科是由本公司出资组建的控股子公司，注册资本</w:t>
      </w:r>
      <w:r>
        <w:rPr>
          <w:rFonts w:ascii="Times New Roman" w:hAnsi="Times New Roman" w:cs="Times New Roman" w:eastAsia="Times New Roman" w:hint="default"/>
        </w:rPr>
        <w:t>100</w:t>
      </w:r>
      <w:r>
        <w:rPr/>
        <w:t>万元，实收资本</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日取得常州市工商行政管理局钟楼分居核发的注册号为</w:t>
      </w:r>
      <w:r>
        <w:rPr>
          <w:rFonts w:ascii="Times New Roman" w:hAnsi="Times New Roman" w:cs="Times New Roman" w:eastAsia="Times New Roman" w:hint="default"/>
        </w:rPr>
        <w:t>320404000162247</w:t>
      </w:r>
      <w:r>
        <w:rPr/>
        <w:t>号《企业法人营业执</w:t>
      </w:r>
      <w:r>
        <w:rPr>
          <w:w w:val="100"/>
        </w:rPr>
        <w:t> </w:t>
      </w:r>
      <w:r>
        <w:rPr/>
        <w:t>照》。</w:t>
      </w:r>
    </w:p>
    <w:p>
      <w:pPr>
        <w:spacing w:line="240" w:lineRule="auto" w:before="7"/>
        <w:rPr>
          <w:rFonts w:ascii="宋体" w:hAnsi="宋体" w:cs="宋体" w:eastAsia="宋体" w:hint="default"/>
          <w:sz w:val="25"/>
          <w:szCs w:val="25"/>
        </w:rPr>
      </w:pPr>
    </w:p>
    <w:p>
      <w:pPr>
        <w:pStyle w:val="Heading6"/>
        <w:spacing w:line="240" w:lineRule="auto"/>
        <w:ind w:right="0"/>
        <w:jc w:val="left"/>
      </w:pPr>
      <w:r>
        <w:rPr/>
        <w:t>注释</w:t>
      </w:r>
      <w:r>
        <w:rPr>
          <w:rFonts w:ascii="Times New Roman" w:hAnsi="Times New Roman" w:cs="Times New Roman" w:eastAsia="Times New Roman" w:hint="default"/>
        </w:rPr>
        <w:t>8</w:t>
      </w:r>
      <w:r>
        <w:rPr/>
        <w:t>：上海爱轲是由本公司出资组建的全资子公司，注册资本</w:t>
      </w:r>
      <w:r>
        <w:rPr>
          <w:rFonts w:ascii="Times New Roman" w:hAnsi="Times New Roman" w:cs="Times New Roman" w:eastAsia="Times New Roman" w:hint="default"/>
        </w:rPr>
        <w:t>300</w:t>
      </w:r>
      <w:r>
        <w:rPr/>
        <w:t>万元，实收资本</w:t>
      </w:r>
      <w:r>
        <w:rPr>
          <w:rFonts w:ascii="Times New Roman" w:hAnsi="Times New Roman" w:cs="Times New Roman" w:eastAsia="Times New Roman" w:hint="default"/>
        </w:rPr>
        <w:t>100</w:t>
      </w:r>
      <w:r>
        <w:rPr/>
        <w:t>万元，于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p>
    <w:p>
      <w:pPr>
        <w:pStyle w:val="Heading6"/>
        <w:spacing w:line="240" w:lineRule="auto" w:before="21"/>
        <w:ind w:right="0"/>
        <w:jc w:val="left"/>
      </w:pPr>
      <w:r>
        <w:rPr>
          <w:rFonts w:ascii="Times New Roman" w:hAnsi="Times New Roman" w:cs="Times New Roman" w:eastAsia="Times New Roman" w:hint="default"/>
        </w:rPr>
        <w:t>9</w:t>
      </w:r>
      <w:r>
        <w:rPr/>
        <w:t>日取得上海市杨浦区市场监督管理局核发的注册号为</w:t>
      </w:r>
      <w:r>
        <w:rPr>
          <w:rFonts w:ascii="Times New Roman" w:hAnsi="Times New Roman" w:cs="Times New Roman" w:eastAsia="Times New Roman" w:hint="default"/>
        </w:rPr>
        <w:t>310110000723241</w:t>
      </w:r>
      <w:r>
        <w:rPr/>
        <w:t>号《企业法人营业执照》。</w:t>
      </w:r>
      <w:r>
        <w:rPr>
          <w:rFonts w:ascii="Times New Roman" w:hAnsi="Times New Roman" w:cs="Times New Roman" w:eastAsia="Times New Roman" w:hint="default"/>
        </w:rPr>
        <w:t>2015</w:t>
      </w:r>
      <w:r>
        <w:rPr/>
        <w:t>年</w:t>
      </w:r>
    </w:p>
    <w:p>
      <w:pPr>
        <w:pStyle w:val="Heading6"/>
        <w:spacing w:line="256" w:lineRule="auto" w:before="21"/>
        <w:ind w:right="0"/>
        <w:jc w:val="left"/>
      </w:pPr>
      <w:r>
        <w:rPr>
          <w:rFonts w:ascii="Times New Roman" w:hAnsi="Times New Roman" w:cs="Times New Roman" w:eastAsia="Times New Roman" w:hint="default"/>
          <w:spacing w:val="-3"/>
        </w:rPr>
        <w:t>11</w:t>
      </w:r>
      <w:r>
        <w:rPr>
          <w:spacing w:val="-3"/>
        </w:rPr>
        <w:t>月，公司缴纳出资</w:t>
      </w:r>
      <w:r>
        <w:rPr>
          <w:rFonts w:ascii="Times New Roman" w:hAnsi="Times New Roman" w:cs="Times New Roman" w:eastAsia="Times New Roman" w:hint="default"/>
          <w:spacing w:val="-3"/>
        </w:rPr>
        <w:t>50</w:t>
      </w:r>
      <w:r>
        <w:rPr>
          <w:spacing w:val="-3"/>
        </w:rPr>
        <w:t>万元，并办理工商变更登记</w:t>
      </w:r>
      <w:r>
        <w:rPr>
          <w:rFonts w:ascii="Times New Roman" w:hAnsi="Times New Roman" w:cs="Times New Roman" w:eastAsia="Times New Roman" w:hint="default"/>
          <w:spacing w:val="-3"/>
        </w:rPr>
        <w:t>,</w:t>
      </w:r>
      <w:r>
        <w:rPr>
          <w:spacing w:val="-3"/>
        </w:rPr>
        <w:t>变更后，上海爱轲实收资本</w:t>
      </w:r>
      <w:r>
        <w:rPr>
          <w:rFonts w:ascii="Times New Roman" w:hAnsi="Times New Roman" w:cs="Times New Roman" w:eastAsia="Times New Roman" w:hint="default"/>
          <w:spacing w:val="-3"/>
        </w:rPr>
        <w:t>150</w:t>
      </w:r>
      <w:r>
        <w:rPr>
          <w:spacing w:val="-3"/>
        </w:rPr>
        <w:t>万元。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月，公司</w:t>
      </w:r>
      <w:r>
        <w:rPr>
          <w:spacing w:val="-36"/>
        </w:rPr>
        <w:t> </w:t>
      </w:r>
      <w:r>
        <w:rPr>
          <w:spacing w:val="-36"/>
        </w:rPr>
      </w:r>
      <w:r>
        <w:rPr/>
        <w:t>缴纳出资</w:t>
      </w:r>
      <w:r>
        <w:rPr>
          <w:rFonts w:ascii="Times New Roman" w:hAnsi="Times New Roman" w:cs="Times New Roman" w:eastAsia="Times New Roman" w:hint="default"/>
        </w:rPr>
        <w:t>150</w:t>
      </w:r>
      <w:r>
        <w:rPr/>
        <w:t>万元，并办理工商登记变更登记，变更后，上海爱轲实收资本</w:t>
      </w:r>
      <w:r>
        <w:rPr>
          <w:rFonts w:ascii="Times New Roman" w:hAnsi="Times New Roman" w:cs="Times New Roman" w:eastAsia="Times New Roman" w:hint="default"/>
        </w:rPr>
        <w:t>300</w:t>
      </w:r>
      <w:r>
        <w:rPr/>
        <w:t>万元。</w:t>
      </w:r>
    </w:p>
    <w:p>
      <w:pPr>
        <w:spacing w:line="240" w:lineRule="auto" w:before="3"/>
        <w:rPr>
          <w:rFonts w:ascii="宋体" w:hAnsi="宋体" w:cs="宋体" w:eastAsia="宋体" w:hint="default"/>
          <w:sz w:val="24"/>
          <w:szCs w:val="24"/>
        </w:rPr>
      </w:pPr>
    </w:p>
    <w:p>
      <w:pPr>
        <w:pStyle w:val="Heading6"/>
        <w:spacing w:line="256" w:lineRule="auto"/>
        <w:ind w:right="0"/>
        <w:jc w:val="left"/>
      </w:pPr>
      <w:r>
        <w:rPr>
          <w:spacing w:val="-2"/>
        </w:rPr>
        <w:t>注释</w:t>
      </w:r>
      <w:r>
        <w:rPr>
          <w:rFonts w:ascii="Times New Roman" w:hAnsi="Times New Roman" w:cs="Times New Roman" w:eastAsia="Times New Roman" w:hint="default"/>
          <w:spacing w:val="-2"/>
        </w:rPr>
        <w:t>9</w:t>
      </w:r>
      <w:r>
        <w:rPr>
          <w:spacing w:val="-2"/>
        </w:rPr>
        <w:t>：深圳九一是由本公司出资组建的控股子公司，注册资本</w:t>
      </w:r>
      <w:r>
        <w:rPr>
          <w:rFonts w:ascii="Times New Roman" w:hAnsi="Times New Roman" w:cs="Times New Roman" w:eastAsia="Times New Roman" w:hint="default"/>
          <w:spacing w:val="-2"/>
        </w:rPr>
        <w:t>600</w:t>
      </w:r>
      <w:r>
        <w:rPr>
          <w:spacing w:val="-2"/>
        </w:rPr>
        <w:t>万元，实收资本</w:t>
      </w:r>
      <w:r>
        <w:rPr>
          <w:rFonts w:ascii="Times New Roman" w:hAnsi="Times New Roman" w:cs="Times New Roman" w:eastAsia="Times New Roman" w:hint="default"/>
          <w:spacing w:val="-2"/>
        </w:rPr>
        <w:t>530</w:t>
      </w:r>
      <w:r>
        <w:rPr>
          <w:spacing w:val="-2"/>
        </w:rPr>
        <w:t>万元，于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09</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28</w:t>
      </w:r>
      <w:r>
        <w:rPr/>
        <w:t>日取得深圳市市场监督管理局核发的注册号为</w:t>
      </w:r>
      <w:r>
        <w:rPr>
          <w:rFonts w:ascii="Times New Roman" w:hAnsi="Times New Roman" w:cs="Times New Roman" w:eastAsia="Times New Roman" w:hint="default"/>
        </w:rPr>
        <w:t>440300202542294</w:t>
      </w:r>
      <w:r>
        <w:rPr/>
        <w:t>号《企业法人营业执照》。</w:t>
      </w:r>
    </w:p>
    <w:p>
      <w:pPr>
        <w:spacing w:line="240" w:lineRule="auto" w:before="3"/>
        <w:rPr>
          <w:rFonts w:ascii="宋体" w:hAnsi="宋体" w:cs="宋体" w:eastAsia="宋体" w:hint="default"/>
          <w:sz w:val="24"/>
          <w:szCs w:val="24"/>
        </w:rPr>
      </w:pPr>
    </w:p>
    <w:p>
      <w:pPr>
        <w:pStyle w:val="Heading6"/>
        <w:spacing w:line="240" w:lineRule="auto"/>
        <w:ind w:right="0"/>
        <w:jc w:val="left"/>
      </w:pPr>
      <w:r>
        <w:rPr/>
        <w:t>注释</w:t>
      </w:r>
      <w:r>
        <w:rPr>
          <w:rFonts w:ascii="Times New Roman" w:hAnsi="Times New Roman" w:cs="Times New Roman" w:eastAsia="Times New Roman" w:hint="default"/>
        </w:rPr>
        <w:t>10</w:t>
      </w:r>
      <w:r>
        <w:rPr/>
        <w:t>：雄安玖壹是由本公司出资组建的全资子公司，注册资本</w:t>
      </w:r>
      <w:r>
        <w:rPr>
          <w:rFonts w:ascii="Times New Roman" w:hAnsi="Times New Roman" w:cs="Times New Roman" w:eastAsia="Times New Roman" w:hint="default"/>
        </w:rPr>
        <w:t>1000</w:t>
      </w:r>
      <w:r>
        <w:rPr/>
        <w:t>万元，实收资本</w:t>
      </w:r>
      <w:r>
        <w:rPr>
          <w:rFonts w:ascii="Times New Roman" w:hAnsi="Times New Roman" w:cs="Times New Roman" w:eastAsia="Times New Roman" w:hint="default"/>
        </w:rPr>
        <w:t>500</w:t>
      </w:r>
      <w:r>
        <w:rPr/>
        <w:t>万元，于</w:t>
      </w:r>
      <w:r>
        <w:rPr>
          <w:rFonts w:ascii="Times New Roman" w:hAnsi="Times New Roman" w:cs="Times New Roman" w:eastAsia="Times New Roman" w:hint="default"/>
        </w:rPr>
        <w:t>2017</w:t>
      </w:r>
      <w:r>
        <w:rPr/>
        <w:t>年</w:t>
      </w:r>
    </w:p>
    <w:p>
      <w:pPr>
        <w:pStyle w:val="Heading6"/>
        <w:spacing w:line="240" w:lineRule="auto" w:before="21"/>
        <w:ind w:right="0"/>
        <w:jc w:val="left"/>
      </w:pPr>
      <w:r>
        <w:rPr>
          <w:rFonts w:ascii="Times New Roman" w:hAnsi="Times New Roman" w:cs="Times New Roman" w:eastAsia="Times New Roman" w:hint="default"/>
        </w:rPr>
        <w:t>09</w:t>
      </w:r>
      <w:r>
        <w:rPr/>
        <w:t>月</w:t>
      </w:r>
      <w:r>
        <w:rPr>
          <w:rFonts w:ascii="Times New Roman" w:hAnsi="Times New Roman" w:cs="Times New Roman" w:eastAsia="Times New Roman" w:hint="default"/>
        </w:rPr>
        <w:t>29</w:t>
      </w:r>
      <w:r>
        <w:rPr/>
        <w:t>日取得保定市工商行政管理局核发的注册号为</w:t>
      </w:r>
      <w:r>
        <w:rPr>
          <w:rFonts w:ascii="Times New Roman" w:hAnsi="Times New Roman" w:cs="Times New Roman" w:eastAsia="Times New Roman" w:hint="default"/>
        </w:rPr>
        <w:t>130600000110483</w:t>
      </w:r>
      <w:r>
        <w:rPr/>
        <w:t>号《企业法人营业执照》。</w:t>
      </w:r>
    </w:p>
    <w:p>
      <w:pPr>
        <w:spacing w:line="240" w:lineRule="auto" w:before="6"/>
        <w:rPr>
          <w:rFonts w:ascii="宋体" w:hAnsi="宋体" w:cs="宋体" w:eastAsia="宋体" w:hint="default"/>
          <w:sz w:val="25"/>
          <w:szCs w:val="25"/>
        </w:rPr>
      </w:pPr>
    </w:p>
    <w:p>
      <w:pPr>
        <w:pStyle w:val="Heading6"/>
        <w:spacing w:line="256" w:lineRule="auto"/>
        <w:ind w:right="0"/>
        <w:jc w:val="left"/>
      </w:pPr>
      <w:r>
        <w:rPr>
          <w:spacing w:val="-2"/>
        </w:rPr>
        <w:t>注释</w:t>
      </w:r>
      <w:r>
        <w:rPr>
          <w:rFonts w:ascii="Times New Roman" w:hAnsi="Times New Roman" w:cs="Times New Roman" w:eastAsia="Times New Roman" w:hint="default"/>
          <w:spacing w:val="-2"/>
        </w:rPr>
        <w:t>11</w:t>
      </w:r>
      <w:r>
        <w:rPr>
          <w:spacing w:val="-2"/>
        </w:rPr>
        <w:t>：绿研检验是由本公司出资组建的全资子公司，注册资本</w:t>
      </w:r>
      <w:r>
        <w:rPr>
          <w:rFonts w:ascii="Times New Roman" w:hAnsi="Times New Roman" w:cs="Times New Roman" w:eastAsia="Times New Roman" w:hint="default"/>
          <w:spacing w:val="-2"/>
        </w:rPr>
        <w:t>1000</w:t>
      </w:r>
      <w:r>
        <w:rPr>
          <w:spacing w:val="-2"/>
        </w:rPr>
        <w:t>万元，于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日取得保定市</w:t>
      </w:r>
      <w:r>
        <w:rPr>
          <w:spacing w:val="-29"/>
        </w:rPr>
        <w:t> </w:t>
      </w:r>
      <w:r>
        <w:rPr>
          <w:spacing w:val="-29"/>
        </w:rPr>
      </w:r>
      <w:r>
        <w:rPr/>
        <w:t>工商行政管理局核发的注册号为</w:t>
      </w:r>
      <w:r>
        <w:rPr>
          <w:rFonts w:ascii="Times New Roman" w:hAnsi="Times New Roman" w:cs="Times New Roman" w:eastAsia="Times New Roman" w:hint="default"/>
        </w:rPr>
        <w:t>130629000020984</w:t>
      </w:r>
      <w:r>
        <w:rPr/>
        <w:t>号《企业法人营业执照》。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6"/>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深圳市迪赛恩科技有限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32,684.46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807,983.69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深圳艾科筑业工程技术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-16,528.02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44,958.23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常州市城建艾科绿色技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56,702.39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460,818.00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5"/>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深圳市九一绿色运营管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-156,031.93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2" w:right="0"/>
              <w:jc w:val="left"/>
              <w:rPr>
                <w:rFonts w:ascii="Times New Roman" w:hAnsi="Times New Roman" w:cs="Times New Roman" w:eastAsia="Times New Roman" w:hint="default"/>
                <w:sz w:val="18"/>
                <w:szCs w:val="18"/>
              </w:rPr>
            </w:pPr>
            <w:r>
              <w:rPr>
                <w:rFonts w:ascii="Times New Roman"/>
                <w:sz w:val="18"/>
              </w:rPr>
              <w:t>943,968.07</w:t>
            </w:r>
          </w:p>
        </w:tc>
      </w:tr>
    </w:tbl>
    <w:p>
      <w:pPr>
        <w:pStyle w:val="BodyText"/>
        <w:spacing w:line="360" w:lineRule="auto" w:before="49"/>
        <w:ind w:right="5454"/>
        <w:jc w:val="left"/>
      </w:pPr>
      <w:r>
        <w:rPr/>
        <w:t>子公司少数股东的持股比例不同于表决权比例的说明： 其他说明：</w:t>
      </w:r>
    </w:p>
    <w:p>
      <w:pPr>
        <w:pStyle w:val="BodyText"/>
        <w:spacing w:line="240" w:lineRule="auto" w:before="25"/>
        <w:ind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日，深圳九一实收资本共</w:t>
      </w:r>
      <w:r>
        <w:rPr>
          <w:rFonts w:ascii="Times New Roman" w:hAnsi="Times New Roman" w:cs="Times New Roman" w:eastAsia="Times New Roman" w:hint="default"/>
        </w:rPr>
        <w:t>530</w:t>
      </w:r>
      <w:r>
        <w:rPr/>
        <w:t>万元，其中少数股东实缴出资额</w:t>
      </w:r>
      <w:r>
        <w:rPr>
          <w:rFonts w:ascii="Times New Roman" w:hAnsi="Times New Roman" w:cs="Times New Roman" w:eastAsia="Times New Roman" w:hint="default"/>
        </w:rPr>
        <w:t>110</w:t>
      </w:r>
      <w:r>
        <w:rPr/>
        <w:t>万元，占实收资本总额比例为</w:t>
      </w:r>
      <w:r>
        <w:rPr>
          <w:rFonts w:ascii="Times New Roman" w:hAnsi="Times New Roman" w:cs="Times New Roman" w:eastAsia="Times New Roman" w:hint="default"/>
        </w:rPr>
        <w:t>20.75%</w:t>
      </w:r>
      <w:r>
        <w:rPr/>
        <w:t>。</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92"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迪赛恩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3,758,09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3,793,99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2,074,88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2,074,88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2,161,81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2,200,25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550,681.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550,681.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深圳艾 科筑业 工程技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179,832.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179,832.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245,944.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常州市 城建艾 科绿色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2,319,42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232,828.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2,552,25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1,400,21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1,400,21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987,066.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282,469.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1,269,53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259,247.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259,247.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九一绿 色运营 管理有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4,919,06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2,452.65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4,921,51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373,305.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373,305.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4"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深圳市迪赛 恩科技有限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8,032,332.01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69,541.40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69,541.40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338,708.15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3,985,685.41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270,378.35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270,378.35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112,519.47</w:t>
            </w:r>
          </w:p>
        </w:tc>
      </w:tr>
      <w:tr>
        <w:trPr>
          <w:trHeight w:val="40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深圳艾科筑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-66,112.09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-66,112.09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-30,737.55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-53,489.92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-53,489.92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-428.11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67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5"/>
              <w:jc w:val="left"/>
              <w:rPr>
                <w:rFonts w:ascii="宋体" w:hAnsi="宋体" w:cs="宋体" w:eastAsia="宋体" w:hint="default"/>
                <w:sz w:val="18"/>
                <w:szCs w:val="18"/>
              </w:rPr>
            </w:pPr>
            <w:r>
              <w:rPr>
                <w:rFonts w:ascii="宋体" w:hAnsi="宋体" w:cs="宋体" w:eastAsia="宋体" w:hint="default"/>
                <w:sz w:val="18"/>
                <w:szCs w:val="18"/>
              </w:rPr>
              <w:t>业工程技术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常州市城建 艾科绿色技 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3,326,650.58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141,755.98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141,755.98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-20,479.85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958,917.62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5,046.42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5,046.42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-63,974.29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深圳市九一 绿色运营管 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141,160.45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-751,790.23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-751,790.23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-574,942.66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5" coordorigin="4763,14" coordsize="24,395">
              <v:shape style="position:absolute;left:4763;top:14;width:24;height:395" coordorigin="4763,14" coordsize="24,395" path="m4763,408l4787,408,4787,14,4763,14,4763,408xe" filled="true" fillcolor="#d2d2d2" stroked="false">
                <v:path arrowok="t"/>
                <v:fill type="solid"/>
              </v:shape>
            </v:group>
            <v:group style="position:absolute;left:12;top:14;width:22;height:395" coordorigin="12,14" coordsize="22,395">
              <v:shape style="position:absolute;left:12;top:14;width:22;height:395" coordorigin="12,14" coordsize="22,395" path="m12,408l34,408,34,14,12,14,12,408xe" filled="true" fillcolor="#d2d2d2" stroked="false">
                <v:path arrowok="t"/>
                <v:fill type="solid"/>
              </v:shape>
            </v:group>
            <v:group style="position:absolute;left:34;top:14;width:4729;height:395" coordorigin="34,14" coordsize="4729,395">
              <v:shape style="position:absolute;left:34;top:14;width:4729;height:395" coordorigin="34,14" coordsize="4729,395" path="m34,408l4763,408,4763,14,34,14,34,408xe" filled="true" fillcolor="#d2d2d2" stroked="false">
                <v:path arrowok="t"/>
                <v:fill type="solid"/>
              </v:shape>
            </v:group>
            <v:group style="position:absolute;left:4796;top:14;width:22;height:395" coordorigin="4796,14" coordsize="22,395">
              <v:shape style="position:absolute;left:4796;top:14;width:22;height:395" coordorigin="4796,14" coordsize="22,395" path="m4796,408l4818,408,4818,14,4796,14,4796,408xe" filled="true" fillcolor="#e0ffff" stroked="false">
                <v:path arrowok="t"/>
                <v:fill type="solid"/>
              </v:shape>
            </v:group>
            <v:group style="position:absolute;left:9547;top:14;width:24;height:395" coordorigin="9547,14" coordsize="24,395">
              <v:shape style="position:absolute;left:9547;top:14;width:24;height:395" coordorigin="9547,14" coordsize="24,395" path="m9547,408l9571,408,9571,14,9547,14,9547,408xe" filled="true" fillcolor="#e0ffff" stroked="false">
                <v:path arrowok="t"/>
                <v:fill type="solid"/>
              </v:shape>
            </v:group>
            <v:group style="position:absolute;left:4818;top:14;width:4729;height:395" coordorigin="4818,14" coordsize="4729,395">
              <v:shape style="position:absolute;left:4818;top:14;width:4729;height:395" coordorigin="4818,14" coordsize="4729,395"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4" coordorigin="4789,5" coordsize="2,414">
              <v:shape style="position:absolute;left:4789;top:5;width:2;height:414" coordorigin="4789,5" coordsize="0,414"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4" coordorigin="9576,5" coordsize="2,414">
              <v:shape style="position:absolute;left:9576;top:5;width:2;height:414" coordorigin="9576,5" coordsize="0,414"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5"/>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4"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5"/>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footerReference w:type="default" r:id="rId18"/>
          <w:pgSz w:w="11910" w:h="16840"/>
          <w:pgMar w:footer="1563" w:header="745" w:top="1060" w:bottom="1760" w:left="980" w:right="980"/>
          <w:pgNumType w:start="197"/>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4"/>
        <w:jc w:val="left"/>
      </w:pPr>
      <w:r>
        <w:rPr/>
        <w:t>在共同经营中的持股比例或享有的份额不同于表决权比例的说明： 共同经营为单独主体的，分类为共同经营的依据：</w:t>
      </w:r>
    </w:p>
    <w:p>
      <w:pPr>
        <w:spacing w:after="0" w:line="357" w:lineRule="auto"/>
        <w:jc w:val="left"/>
        <w:sectPr>
          <w:pgSz w:w="11910" w:h="16840"/>
          <w:pgMar w:header="745" w:footer="1563" w:top="1060" w:bottom="17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未纳入合并财务报表范围的结构化主体的相关说明：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4" w:lineRule="auto"/>
        <w:ind w:right="0"/>
        <w:jc w:val="left"/>
      </w:pPr>
      <w:r>
        <w:rPr>
          <w:spacing w:val="-2"/>
        </w:rPr>
        <w:t>本公司的主要金融工具包括应收账款、应付账款等，各项金融工具的详细情况说明见本附注五相关项目。与这些金融工具有</w:t>
      </w:r>
      <w:r>
        <w:rPr>
          <w:spacing w:val="-66"/>
        </w:rPr>
        <w:t> </w:t>
      </w:r>
      <w:r>
        <w:rPr>
          <w:spacing w:val="-66"/>
        </w:rPr>
      </w:r>
      <w:r>
        <w:rPr>
          <w:spacing w:val="-2"/>
        </w:rPr>
        <w:t>关的风险，以及本公司为降低这些风险所采取的风险管理政策如下所述。本公司管理层对这些风险敞口进行管理和监控以确</w:t>
      </w:r>
      <w:r>
        <w:rPr>
          <w:spacing w:val="-64"/>
        </w:rPr>
        <w:t> </w:t>
      </w:r>
      <w:r>
        <w:rPr>
          <w:spacing w:val="-64"/>
        </w:rPr>
      </w:r>
      <w:r>
        <w:rPr/>
        <w:t>保将上述风险控制在限定的范围之内。 本公司风险管理的总体目标是在不过度影响公司竞争力和应变力的情况下，制定尽可能降低风险的风险管理政策。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 </w:t>
      </w:r>
      <w:r>
        <w:rPr>
          <w:spacing w:val="-2"/>
        </w:rPr>
        <w:t>信用风险是指金融工具的一方不履行义务，造成另一方发生财务损失的风险。本公司主要面临赊销导致的客户信用风险。在</w:t>
      </w:r>
      <w:r>
        <w:rPr>
          <w:spacing w:val="-63"/>
        </w:rPr>
        <w:t> </w:t>
      </w:r>
      <w:r>
        <w:rPr>
          <w:spacing w:val="-63"/>
        </w:rPr>
      </w:r>
      <w:r>
        <w:rPr>
          <w:spacing w:val="-2"/>
        </w:rPr>
        <w:t>签订新合同之前，本公司会对新客户的信用风险进行评估，包括外部信用评级和在某些情况下的银行资信证明（当此信息可</w:t>
      </w:r>
      <w:r>
        <w:rPr>
          <w:spacing w:val="-62"/>
        </w:rPr>
        <w:t> </w:t>
      </w:r>
      <w:r>
        <w:rPr>
          <w:spacing w:val="-62"/>
        </w:rPr>
      </w:r>
      <w:r>
        <w:rPr/>
        <w:t>获取时）。公司对每一客户均设置了赊销限额，该限额为无需获得额外批准的最大额度。 </w:t>
      </w:r>
      <w:r>
        <w:rPr>
          <w:spacing w:val="-2"/>
        </w:rPr>
        <w:t>公司通过对已有客户信用评级的季度监控以及应收账款账龄分析的月度审核来确保公司的整体信用风险在可控的范围内。在</w:t>
      </w:r>
      <w:r>
        <w:rPr>
          <w:spacing w:val="-64"/>
        </w:rPr>
        <w:t> </w:t>
      </w:r>
      <w:r>
        <w:rPr>
          <w:spacing w:val="-64"/>
        </w:rPr>
      </w:r>
      <w:r>
        <w:rPr>
          <w:spacing w:val="-2"/>
        </w:rPr>
        <w:t>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级别的客户会放在受限制客户名单里，并且只有在</w:t>
      </w:r>
      <w:r>
        <w:rPr>
          <w:spacing w:val="-45"/>
        </w:rPr>
        <w:t> </w:t>
      </w:r>
      <w:r>
        <w:rPr>
          <w:spacing w:val="-45"/>
        </w:rPr>
      </w:r>
      <w:r>
        <w:rPr/>
        <w:t>额外批准的前提下，公司才可在未来期间内对其赊销，否则必须要求其提前支付相应款项。</w:t>
      </w:r>
    </w:p>
    <w:p>
      <w:pPr>
        <w:pStyle w:val="BodyText"/>
        <w:spacing w:line="309" w:lineRule="auto" w:before="20"/>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99"/>
        </w:rPr>
        <w:t> </w:t>
      </w: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w:t>
      </w:r>
    </w:p>
    <w:p>
      <w:pPr>
        <w:pStyle w:val="BodyText"/>
        <w:spacing w:line="304" w:lineRule="auto" w:before="24"/>
        <w:ind w:right="0"/>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日止，本公司以同期同档次国家基准利率上浮一定百分比的利率计息的银行借款人民币 </w:t>
      </w:r>
      <w:r>
        <w:rPr>
          <w:rFonts w:ascii="Times New Roman" w:hAnsi="Times New Roman" w:cs="Times New Roman" w:eastAsia="Times New Roman" w:hint="default"/>
          <w:spacing w:val="-1"/>
        </w:rPr>
        <w:t>70,000,000.00</w:t>
      </w:r>
      <w:r>
        <w:rPr>
          <w:spacing w:val="-1"/>
        </w:rPr>
        <w:t>元。在其他变量不变的假设下，利率发生合理、可能的</w:t>
      </w:r>
      <w:r>
        <w:rPr>
          <w:rFonts w:ascii="Times New Roman" w:hAnsi="Times New Roman" w:cs="Times New Roman" w:eastAsia="Times New Roman" w:hint="default"/>
          <w:spacing w:val="-1"/>
        </w:rPr>
        <w:t>50%</w:t>
      </w:r>
      <w:r>
        <w:rPr>
          <w:spacing w:val="-1"/>
        </w:rPr>
        <w:t>基准点的变动时，将不会对本公司的利润总额和股</w:t>
      </w:r>
      <w:r>
        <w:rPr>
          <w:spacing w:val="-43"/>
        </w:rPr>
        <w:t> </w:t>
      </w:r>
      <w:r>
        <w:rPr>
          <w:spacing w:val="-43"/>
        </w:rPr>
      </w:r>
      <w:r>
        <w:rPr/>
        <w:t>东权益产生重大的影响。</w:t>
      </w:r>
    </w:p>
    <w:p>
      <w:pPr>
        <w:pStyle w:val="BodyText"/>
        <w:spacing w:line="312" w:lineRule="auto" w:before="28"/>
        <w:ind w:right="0"/>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t>出相匹配以降低外汇风险。公司的主要经营位于中国境内，主要业务以人民币结算，本公司存在的汇率风险较小。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3"/>
        </w:rPr>
        <w:t> </w:t>
      </w:r>
      <w:r>
        <w:rPr>
          <w:spacing w:val="-63"/>
        </w:rPr>
      </w:r>
      <w:r>
        <w:rPr/>
        <w:t>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t>十一、公允价值的披露</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8"/>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19"/>
          <w:pgSz w:w="11910" w:h="16840"/>
          <w:pgMar w:footer="980" w:header="745"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5"/>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335" w:lineRule="exact"/>
        <w:ind w:right="10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10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1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深圳市远致投资有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852,000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42.86%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42.86%</w:t>
            </w:r>
          </w:p>
        </w:tc>
      </w:tr>
    </w:tbl>
    <w:p>
      <w:pPr>
        <w:pStyle w:val="BodyText"/>
        <w:spacing w:line="357" w:lineRule="auto" w:before="49"/>
        <w:ind w:right="184"/>
        <w:jc w:val="left"/>
      </w:pPr>
      <w:r>
        <w:rPr/>
        <w:t>本企业的母公司情况的说明 深圳市远致投资有限公司是深圳市人民政府国有资产监督管理委员会直属的投控股公司，成立于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22 </w:t>
      </w:r>
      <w:r>
        <w:rPr/>
        <w:t>日，注册</w:t>
      </w:r>
    </w:p>
    <w:p>
      <w:pPr>
        <w:pStyle w:val="BodyText"/>
        <w:spacing w:line="214" w:lineRule="exact"/>
        <w:ind w:right="0"/>
        <w:jc w:val="left"/>
      </w:pPr>
      <w:r>
        <w:rPr/>
        <w:t>资本</w:t>
      </w:r>
      <w:r>
        <w:rPr>
          <w:spacing w:val="-23"/>
        </w:rPr>
        <w:t> </w:t>
      </w:r>
      <w:r>
        <w:rPr>
          <w:rFonts w:ascii="Times New Roman" w:hAnsi="Times New Roman" w:cs="Times New Roman" w:eastAsia="Times New Roman" w:hint="default"/>
        </w:rPr>
        <w:t>852,000</w:t>
      </w:r>
      <w:r>
        <w:rPr>
          <w:rFonts w:ascii="Times New Roman" w:hAnsi="Times New Roman" w:cs="Times New Roman" w:eastAsia="Times New Roman" w:hint="default"/>
          <w:spacing w:val="23"/>
        </w:rPr>
        <w:t> </w:t>
      </w:r>
      <w:r>
        <w:rPr/>
        <w:t>万元，</w:t>
      </w:r>
      <w:r>
        <w:rPr>
          <w:spacing w:val="-32"/>
        </w:rPr>
        <w:t> </w:t>
      </w:r>
      <w:r>
        <w:rPr/>
        <w:t>实收资本</w:t>
      </w:r>
      <w:r>
        <w:rPr>
          <w:spacing w:val="-25"/>
        </w:rPr>
        <w:t> </w:t>
      </w:r>
      <w:r>
        <w:rPr>
          <w:rFonts w:ascii="Times New Roman" w:hAnsi="Times New Roman" w:cs="Times New Roman" w:eastAsia="Times New Roman" w:hint="default"/>
        </w:rPr>
        <w:t>852,000</w:t>
      </w:r>
      <w:r>
        <w:rPr>
          <w:rFonts w:ascii="Times New Roman" w:hAnsi="Times New Roman" w:cs="Times New Roman" w:eastAsia="Times New Roman" w:hint="default"/>
          <w:spacing w:val="24"/>
        </w:rPr>
        <w:t> </w:t>
      </w:r>
      <w:r>
        <w:rPr/>
        <w:t>万元，法定代表人为陈志升，公司住所：深圳市福田区深南路投资大厦</w:t>
      </w:r>
      <w:r>
        <w:rPr>
          <w:spacing w:val="-23"/>
        </w:rPr>
        <w:t> </w:t>
      </w:r>
      <w:r>
        <w:rPr>
          <w:rFonts w:ascii="Times New Roman" w:hAnsi="Times New Roman" w:cs="Times New Roman" w:eastAsia="Times New Roman" w:hint="default"/>
        </w:rPr>
        <w:t>16</w:t>
      </w:r>
      <w:r>
        <w:rPr>
          <w:rFonts w:ascii="Times New Roman" w:hAnsi="Times New Roman" w:cs="Times New Roman" w:eastAsia="Times New Roman" w:hint="default"/>
          <w:spacing w:val="23"/>
        </w:rPr>
        <w:t> </w:t>
      </w:r>
      <w:r>
        <w:rPr/>
        <w:t>楼</w:t>
      </w:r>
      <w:r>
        <w:rPr>
          <w:spacing w:val="-23"/>
        </w:rPr>
        <w:t> </w:t>
      </w:r>
      <w:r>
        <w:rPr>
          <w:rFonts w:ascii="Times New Roman" w:hAnsi="Times New Roman" w:cs="Times New Roman" w:eastAsia="Times New Roman" w:hint="default"/>
        </w:rPr>
        <w:t>C1</w:t>
      </w:r>
      <w:r>
        <w:rPr>
          <w:rFonts w:ascii="Times New Roman" w:hAnsi="Times New Roman" w:cs="Times New Roman" w:eastAsia="Times New Roman" w:hint="default"/>
          <w:spacing w:val="20"/>
        </w:rPr>
        <w:t> </w:t>
      </w:r>
      <w:r>
        <w:rPr/>
        <w:t>，</w:t>
      </w:r>
    </w:p>
    <w:p>
      <w:pPr>
        <w:pStyle w:val="BodyText"/>
        <w:spacing w:line="316" w:lineRule="auto" w:before="63"/>
        <w:ind w:right="103"/>
        <w:jc w:val="left"/>
      </w:pPr>
      <w:r>
        <w:rPr>
          <w:spacing w:val="-4"/>
        </w:rPr>
        <w:t>经营范围：投资兴办实业（具体项目另行申报）；对投资及其相关的资产提供管理（法律、行政规国务院决定禁止项目除外，</w:t>
      </w:r>
      <w:r>
        <w:rPr>
          <w:spacing w:val="-44"/>
        </w:rPr>
        <w:t> </w:t>
      </w:r>
      <w:r>
        <w:rPr>
          <w:spacing w:val="-44"/>
        </w:rPr>
      </w:r>
      <w:r>
        <w:rPr/>
        <w:t>限制项目须取得许可后方经营）。</w:t>
      </w:r>
    </w:p>
    <w:p>
      <w:pPr>
        <w:pStyle w:val="BodyText"/>
        <w:spacing w:line="357" w:lineRule="auto" w:before="59"/>
        <w:ind w:right="4774"/>
        <w:jc w:val="left"/>
      </w:pPr>
      <w:r>
        <w:rPr/>
        <w:t>本企业最终控制方是深圳市人民政府国有资产监督管理委员会。 其他说明：</w:t>
      </w:r>
    </w:p>
    <w:p>
      <w:pPr>
        <w:spacing w:line="240" w:lineRule="auto" w:before="5"/>
        <w:rPr>
          <w:rFonts w:ascii="宋体" w:hAnsi="宋体" w:cs="宋体" w:eastAsia="宋体" w:hint="default"/>
          <w:sz w:val="15"/>
          <w:szCs w:val="15"/>
        </w:rPr>
      </w:pPr>
    </w:p>
    <w:p>
      <w:pPr>
        <w:pStyle w:val="Heading5"/>
        <w:spacing w:line="240" w:lineRule="auto"/>
        <w:ind w:right="10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03"/>
        <w:jc w:val="left"/>
      </w:pPr>
      <w:r>
        <w:rPr/>
        <w:t>本企业子公司的情况详见附注七、在其他主体中的权益。</w:t>
      </w:r>
    </w:p>
    <w:p>
      <w:pPr>
        <w:spacing w:line="240" w:lineRule="auto" w:before="1"/>
        <w:rPr>
          <w:rFonts w:ascii="宋体" w:hAnsi="宋体" w:cs="宋体" w:eastAsia="宋体" w:hint="default"/>
          <w:sz w:val="22"/>
          <w:szCs w:val="22"/>
        </w:rPr>
      </w:pPr>
    </w:p>
    <w:p>
      <w:pPr>
        <w:pStyle w:val="Heading5"/>
        <w:spacing w:line="240" w:lineRule="auto"/>
        <w:ind w:right="10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03"/>
        <w:jc w:val="left"/>
      </w:pPr>
      <w:r>
        <w:rPr/>
        <w:t>本企业重要的合营或联营企业详见附注七、在其他主体中的权益。</w:t>
      </w:r>
    </w:p>
    <w:p>
      <w:pPr>
        <w:spacing w:after="0" w:line="240" w:lineRule="auto"/>
        <w:jc w:val="left"/>
        <w:sectPr>
          <w:footerReference w:type="default" r:id="rId20"/>
          <w:pgSz w:w="11910" w:h="16840"/>
          <w:pgMar w:footer="980" w:header="745"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本期与本公司发生关联方交易，或前期与本公司发生关联方交易形成余额的其他合营或联营企业情况如下：</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深圳市英龙建安（集团）有限公司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深圳市建科投资股份有限公司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北京兴昌高科技发展有限公司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北京中关村电子城建设有限公司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北京金桥科技产业基地开发有限公司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北京光谷科技园开发建设有限公司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北京京石科园置业发展有限公司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北京东方雍和文化创意投资有限公司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北京实创高科技发展有限责任公司（合并）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北京海开房地产集团有限责任公司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北京丰台科技园建设发展有限公司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北京中关村科技创业金融服务集团有限公司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中关村科技租赁有限公司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北京中关村生物医药产业投资发展有限公司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北京中关村延庆园建设发展有限公司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北京知识产权运营管理有限公司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北京中关村微纳能源投资有限公司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北京中关村集成电路设计园发展有限责任公司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中关村（国际）控股公司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北京中关村前沿技术产业发展有限公司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中关村芯园（北京）有限公司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北京中关村协同创新投资基金管理有限公司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北京集成电路产业发展股权投资基金有限公司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bl>
    <w:p>
      <w:pPr>
        <w:spacing w:after="0" w:line="240" w:lineRule="auto"/>
        <w:jc w:val="left"/>
        <w:rPr>
          <w:rFonts w:ascii="宋体" w:hAnsi="宋体" w:cs="宋体" w:eastAsia="宋体" w:hint="default"/>
          <w:sz w:val="18"/>
          <w:szCs w:val="18"/>
        </w:rPr>
        <w:sectPr>
          <w:footerReference w:type="default" r:id="rId21"/>
          <w:pgSz w:w="11910" w:h="16840"/>
          <w:pgMar w:footer="980" w:header="745" w:top="1060" w:bottom="1160" w:left="980" w:right="980"/>
          <w:pgNumType w:start="201"/>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北京中关村发展创业投资基金管理有限公司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北京怀柔科学城建设发展有限公司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北京中关村国际孵化器有限公司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北京中关村国际环保产业促进中心有限公司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北京中关村京西建设发展有限公司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深圳市英龙建筑工程劳务有限公司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珠海市英龙建设工程有限公司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参股股东的全资子公司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深圳市融域投资有限公司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参股股东的全资子公司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深圳市曦龙机械设备技术有限公司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深圳市英龙生态园林有限公司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深圳市英龙皇御公馆餐饮有限公司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深圳市亿鑫投资有限公司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深业投资发展有限公司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万和证券股份有限公司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深圳市远致创业投资有限公司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雄安绿研智库有限公司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广东红土创业投资管理有限公司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东莞红土创业投资管理有限公司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惠州红土投资管理有限公司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吉林省红土创新资本创业投资管理有限公司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青岛红土资本管理有限公司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西安创新投资管理有限公司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北京中关村生命科学园生物医药科技孵化有限公司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北京丰科世纪科技孵化器有限公司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参股股东的控股企业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叶青出任独立董事的企业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前海科创投控股有限公司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叶青出任董事的企业</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北京中关村国际环 保产业促进中心有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采购服务等</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67,924.53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北京丰台科技园建设发展有限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226,415.09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北京怀柔科学城建设发展有限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2,812,264.15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北京中关村京西建设发展有限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1,581,132.07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北京中关村前沿技术产业发展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2,762,384.91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北京中关村软件园发展有限责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1,373,764.16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623,124.53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北京中关村生命科学园发展有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428,015.80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890,330.19</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北京中关村生命科学园生物医 药科技孵化有限公司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39,150.95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北京中关村生物医药产业投资 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1,126,792.45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北京中关村微纳能源投资有限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107,547.17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8,286,792.45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北京中关村延庆园建设发展有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132,075.47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荆门玖伊园科技有限公司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1,850,391.21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414,622.64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452,830.19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中关村发展集团股份有限公司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提供服务等</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160,377.36</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footerReference w:type="default" r:id="rId22"/>
          <w:pgSz w:w="11910" w:h="16840"/>
          <w:pgMar w:footer="980" w:header="745" w:top="1060" w:bottom="1160" w:left="980" w:right="980"/>
          <w:pgNumType w:start="203"/>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0"/>
        <w:jc w:val="left"/>
      </w:pPr>
      <w:r>
        <w:rPr/>
        <w:t>关联租赁情况说明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6,055,100.00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北京中关村国际环 保产业促进中心有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北京丰台科技园建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北京怀柔科学城建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北京中关村京西建 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北京中关村软件园 发展有限责任公司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297,800.00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19,180.00</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北京中关村生命科 学园发展有限责任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104,972.50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5,248.63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北京中关村生命科 学园生物医药科技 孵化有限公司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北京中关村延庆园 建设发展有限公司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中关村医疗器械园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北京中关村微纳能 源投资有限公司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6,832,000.00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341,600.00</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深圳市英龙建安（集团）有限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2" w:right="77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pStyle w:val="BodyText"/>
        <w:spacing w:line="240" w:lineRule="auto" w:before="17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2" w:right="737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240" w:lineRule="auto" w:before="175"/>
        <w:ind w:right="0"/>
        <w:jc w:val="left"/>
      </w:pPr>
      <w:r>
        <w:rPr/>
        <w:t>资产负债表日存在的重要承诺</w:t>
      </w:r>
    </w:p>
    <w:p>
      <w:pPr>
        <w:pStyle w:val="Heading6"/>
        <w:spacing w:line="256" w:lineRule="auto" w:before="96"/>
        <w:ind w:right="0"/>
        <w:jc w:val="left"/>
      </w:pPr>
      <w:r>
        <w:rPr>
          <w:spacing w:val="-4"/>
        </w:rPr>
        <w:t>截止</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日，本公司与上海杨浦知识创新区投资发展有限公司签订房屋租赁合同，租赁期限自</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日起至</w:t>
      </w:r>
      <w:r>
        <w:rPr>
          <w:rFonts w:ascii="Times New Roman" w:hAnsi="Times New Roman" w:cs="Times New Roman" w:eastAsia="Times New Roman" w:hint="default"/>
          <w:spacing w:val="-3"/>
        </w:rPr>
        <w:t>2023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13</w:t>
      </w:r>
      <w:r>
        <w:rPr>
          <w:spacing w:val="-3"/>
        </w:rPr>
        <w:t>日止，其中，</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日期间租金按</w:t>
      </w:r>
      <w:r>
        <w:rPr>
          <w:rFonts w:ascii="Times New Roman" w:hAnsi="Times New Roman" w:cs="Times New Roman" w:eastAsia="Times New Roman" w:hint="default"/>
          <w:spacing w:val="-3"/>
        </w:rPr>
        <w:t>2.50</w:t>
      </w:r>
      <w:r>
        <w:rPr>
          <w:spacing w:val="-3"/>
        </w:rPr>
        <w:t>元</w:t>
      </w:r>
      <w:r>
        <w:rPr>
          <w:rFonts w:ascii="Times New Roman" w:hAnsi="Times New Roman" w:cs="Times New Roman" w:eastAsia="Times New Roman" w:hint="default"/>
          <w:spacing w:val="-3"/>
        </w:rPr>
        <w:t>/</w:t>
      </w:r>
      <w:r>
        <w:rPr>
          <w:spacing w:val="-3"/>
        </w:rPr>
        <w:t>平方米</w:t>
      </w:r>
      <w:r>
        <w:rPr>
          <w:rFonts w:ascii="Times New Roman" w:hAnsi="Times New Roman" w:cs="Times New Roman" w:eastAsia="Times New Roman" w:hint="default"/>
          <w:spacing w:val="-3"/>
        </w:rPr>
        <w:t>/</w:t>
      </w:r>
      <w:r>
        <w:rPr>
          <w:spacing w:val="-3"/>
        </w:rPr>
        <w:t>天执</w:t>
      </w:r>
      <w:r>
        <w:rPr>
          <w:spacing w:val="-21"/>
        </w:rPr>
        <w:t> </w:t>
      </w:r>
      <w:r>
        <w:rPr>
          <w:spacing w:val="-2"/>
        </w:rPr>
        <w:t>行，年租金为</w:t>
      </w:r>
      <w:r>
        <w:rPr>
          <w:rFonts w:ascii="Times New Roman" w:hAnsi="Times New Roman" w:cs="Times New Roman" w:eastAsia="Times New Roman" w:hint="default"/>
          <w:spacing w:val="-2"/>
        </w:rPr>
        <w:t>11,966,369.88</w:t>
      </w:r>
      <w:r>
        <w:rPr>
          <w:spacing w:val="-2"/>
        </w:rPr>
        <w:t>元（但根据补充协议，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日期间租金按</w:t>
      </w:r>
      <w:r>
        <w:rPr>
          <w:rFonts w:ascii="Times New Roman" w:hAnsi="Times New Roman" w:cs="Times New Roman" w:eastAsia="Times New Roman" w:hint="default"/>
          <w:spacing w:val="-2"/>
        </w:rPr>
        <w:t>1.30</w:t>
      </w:r>
      <w:r>
        <w:rPr>
          <w:spacing w:val="-2"/>
        </w:rPr>
        <w:t>元</w:t>
      </w:r>
      <w:r>
        <w:rPr>
          <w:rFonts w:ascii="Times New Roman" w:hAnsi="Times New Roman" w:cs="Times New Roman" w:eastAsia="Times New Roman" w:hint="default"/>
          <w:spacing w:val="-2"/>
        </w:rPr>
        <w:t>/</w:t>
      </w:r>
      <w:r>
        <w:rPr>
          <w:spacing w:val="-2"/>
        </w:rPr>
        <w:t>平方</w:t>
      </w:r>
      <w:r>
        <w:rPr>
          <w:spacing w:val="6"/>
        </w:rPr>
        <w:t> </w:t>
      </w:r>
      <w:r>
        <w:rPr>
          <w:spacing w:val="-2"/>
        </w:rPr>
        <w:t>米</w:t>
      </w:r>
      <w:r>
        <w:rPr>
          <w:rFonts w:ascii="Times New Roman" w:hAnsi="Times New Roman" w:cs="Times New Roman" w:eastAsia="Times New Roman" w:hint="default"/>
          <w:spacing w:val="-2"/>
        </w:rPr>
        <w:t>/</w:t>
      </w:r>
      <w:r>
        <w:rPr>
          <w:spacing w:val="-2"/>
        </w:rPr>
        <w:t>天执行，该期间租金为</w:t>
      </w:r>
      <w:r>
        <w:rPr>
          <w:rFonts w:ascii="Times New Roman" w:hAnsi="Times New Roman" w:cs="Times New Roman" w:eastAsia="Times New Roman" w:hint="default"/>
          <w:spacing w:val="-2"/>
        </w:rPr>
        <w:t>3,111,256.16</w:t>
      </w:r>
      <w:r>
        <w:rPr>
          <w:spacing w:val="-2"/>
        </w:rPr>
        <w:t>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日期间租金按</w:t>
      </w:r>
      <w:r>
        <w:rPr>
          <w:rFonts w:ascii="Times New Roman" w:hAnsi="Times New Roman" w:cs="Times New Roman" w:eastAsia="Times New Roman" w:hint="default"/>
          <w:spacing w:val="-2"/>
        </w:rPr>
        <w:t>2.75</w:t>
      </w:r>
      <w:r>
        <w:rPr>
          <w:spacing w:val="-2"/>
        </w:rPr>
        <w:t>元</w:t>
      </w:r>
      <w:r>
        <w:rPr>
          <w:rFonts w:ascii="Times New Roman" w:hAnsi="Times New Roman" w:cs="Times New Roman" w:eastAsia="Times New Roman" w:hint="default"/>
          <w:spacing w:val="-2"/>
        </w:rPr>
        <w:t>/</w:t>
      </w:r>
      <w:r>
        <w:rPr>
          <w:spacing w:val="-2"/>
        </w:rPr>
        <w:t>平方米</w:t>
      </w:r>
      <w:r>
        <w:rPr>
          <w:rFonts w:ascii="Times New Roman" w:hAnsi="Times New Roman" w:cs="Times New Roman" w:eastAsia="Times New Roman" w:hint="default"/>
          <w:spacing w:val="-2"/>
        </w:rPr>
        <w:t>/</w:t>
      </w:r>
      <w:r>
        <w:rPr>
          <w:spacing w:val="-2"/>
        </w:rPr>
        <w:t>天</w:t>
      </w:r>
      <w:r>
        <w:rPr>
          <w:spacing w:val="9"/>
        </w:rPr>
        <w:t> </w:t>
      </w:r>
      <w:r>
        <w:rPr>
          <w:spacing w:val="-2"/>
        </w:rPr>
        <w:t>执行，年租金为</w:t>
      </w:r>
      <w:r>
        <w:rPr>
          <w:rFonts w:ascii="Times New Roman" w:hAnsi="Times New Roman" w:cs="Times New Roman" w:eastAsia="Times New Roman" w:hint="default"/>
          <w:spacing w:val="-2"/>
        </w:rPr>
        <w:t>13,163,006.86</w:t>
      </w:r>
      <w:r>
        <w:rPr>
          <w:spacing w:val="-2"/>
        </w:rPr>
        <w:t>元；</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14</w:t>
      </w:r>
      <w:r>
        <w:rPr>
          <w:spacing w:val="-2"/>
        </w:rPr>
        <w:t>日至</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日期间租金按</w:t>
      </w:r>
      <w:r>
        <w:rPr>
          <w:rFonts w:ascii="Times New Roman" w:hAnsi="Times New Roman" w:cs="Times New Roman" w:eastAsia="Times New Roman" w:hint="default"/>
          <w:spacing w:val="-2"/>
        </w:rPr>
        <w:t>3.025</w:t>
      </w:r>
      <w:r>
        <w:rPr>
          <w:spacing w:val="-2"/>
        </w:rPr>
        <w:t>元</w:t>
      </w:r>
      <w:r>
        <w:rPr>
          <w:rFonts w:ascii="Times New Roman" w:hAnsi="Times New Roman" w:cs="Times New Roman" w:eastAsia="Times New Roman" w:hint="default"/>
          <w:spacing w:val="-2"/>
        </w:rPr>
        <w:t>/</w:t>
      </w:r>
      <w:r>
        <w:rPr>
          <w:spacing w:val="-2"/>
        </w:rPr>
        <w:t>平方米</w:t>
      </w:r>
      <w:r>
        <w:rPr>
          <w:rFonts w:ascii="Times New Roman" w:hAnsi="Times New Roman" w:cs="Times New Roman" w:eastAsia="Times New Roman" w:hint="default"/>
          <w:spacing w:val="-2"/>
        </w:rPr>
        <w:t>/</w:t>
      </w:r>
      <w:r>
        <w:rPr>
          <w:spacing w:val="-2"/>
        </w:rPr>
        <w:t>天执行，年</w:t>
      </w:r>
      <w:r>
        <w:rPr>
          <w:spacing w:val="6"/>
        </w:rPr>
        <w:t> </w:t>
      </w:r>
      <w:r>
        <w:rPr>
          <w:spacing w:val="6"/>
        </w:rPr>
      </w:r>
      <w:r>
        <w:rPr/>
        <w:t>租金为</w:t>
      </w:r>
      <w:r>
        <w:rPr>
          <w:rFonts w:ascii="Times New Roman" w:hAnsi="Times New Roman" w:cs="Times New Roman" w:eastAsia="Times New Roman" w:hint="default"/>
        </w:rPr>
        <w:t>14,479,307.55</w:t>
      </w:r>
      <w:r>
        <w:rPr/>
        <w:t>元。</w:t>
      </w:r>
    </w:p>
    <w:p>
      <w:pPr>
        <w:spacing w:after="0" w:line="256"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56" w:lineRule="auto" w:before="36"/>
        <w:ind w:right="211"/>
        <w:jc w:val="both"/>
      </w:pPr>
      <w:r>
        <w:rPr/>
        <w:t>因地铁</w:t>
      </w:r>
      <w:r>
        <w:rPr>
          <w:rFonts w:ascii="Times New Roman" w:hAnsi="Times New Roman" w:cs="Times New Roman" w:eastAsia="Times New Roman" w:hint="default"/>
        </w:rPr>
        <w:t>18</w:t>
      </w:r>
      <w:r>
        <w:rPr/>
        <w:t>号线施工需要征借甲方出租范围内的部分土地，双方于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日签订补充协议，租赁期限</w:t>
      </w:r>
      <w:r>
        <w:rPr>
          <w:w w:val="100"/>
        </w:rPr>
        <w:t> </w:t>
      </w:r>
      <w:r>
        <w:rPr/>
        <w:t>延长为</w:t>
      </w:r>
      <w:r>
        <w:rPr>
          <w:rFonts w:ascii="Times New Roman" w:hAnsi="Times New Roman" w:cs="Times New Roman" w:eastAsia="Times New Roman" w:hint="default"/>
        </w:rPr>
        <w:t>15</w:t>
      </w:r>
      <w:r>
        <w:rPr/>
        <w:t>年，租赁期限自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日起至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日止，十五年租赁期内，租金递增条款按原合</w:t>
      </w:r>
      <w:r>
        <w:rPr>
          <w:w w:val="100"/>
        </w:rPr>
        <w:t> </w:t>
      </w:r>
      <w:r>
        <w:rPr/>
        <w:t>同执行，即每</w:t>
      </w:r>
      <w:r>
        <w:rPr>
          <w:rFonts w:ascii="Times New Roman" w:hAnsi="Times New Roman" w:cs="Times New Roman" w:eastAsia="Times New Roman" w:hint="default"/>
        </w:rPr>
        <w:t>3</w:t>
      </w:r>
      <w:r>
        <w:rPr/>
        <w:t>年环比递增</w:t>
      </w:r>
      <w:r>
        <w:rPr>
          <w:rFonts w:ascii="Times New Roman" w:hAnsi="Times New Roman" w:cs="Times New Roman" w:eastAsia="Times New Roman" w:hint="default"/>
        </w:rPr>
        <w:t>10%</w:t>
      </w:r>
      <w:r>
        <w:rPr/>
        <w:t>。</w:t>
      </w:r>
    </w:p>
    <w:p>
      <w:pPr>
        <w:spacing w:line="240" w:lineRule="auto" w:before="3"/>
        <w:rPr>
          <w:rFonts w:ascii="宋体" w:hAnsi="宋体" w:cs="宋体" w:eastAsia="宋体" w:hint="default"/>
          <w:sz w:val="24"/>
          <w:szCs w:val="24"/>
        </w:rPr>
      </w:pPr>
    </w:p>
    <w:p>
      <w:pPr>
        <w:pStyle w:val="Heading6"/>
        <w:spacing w:line="256" w:lineRule="auto"/>
        <w:ind w:right="0"/>
        <w:jc w:val="left"/>
      </w:pPr>
      <w:r>
        <w:rPr>
          <w:spacing w:val="-2"/>
        </w:rPr>
        <w:t>双方于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月，针对地铁施工，明确轨道建设期间双方的义务和权利，重新签订了补充协议，协议约</w:t>
      </w:r>
      <w:r>
        <w:rPr>
          <w:spacing w:val="-43"/>
        </w:rPr>
        <w:t> </w:t>
      </w:r>
      <w:r>
        <w:rPr>
          <w:spacing w:val="-43"/>
        </w:rPr>
      </w:r>
      <w:r>
        <w:rPr>
          <w:spacing w:val="-2"/>
        </w:rPr>
        <w:t>定在地铁施工影响期内，上海杨浦知识创新区投资发展有限公司对公司进行租金减免，减免总额为</w:t>
      </w:r>
      <w:r>
        <w:rPr>
          <w:rFonts w:ascii="Times New Roman" w:hAnsi="Times New Roman" w:cs="Times New Roman" w:eastAsia="Times New Roman" w:hint="default"/>
          <w:spacing w:val="-2"/>
        </w:rPr>
        <w:t>520</w:t>
      </w:r>
      <w:r>
        <w:rPr>
          <w:spacing w:val="-2"/>
        </w:rPr>
        <w:t>万，</w:t>
      </w:r>
      <w:r>
        <w:rPr>
          <w:spacing w:val="-37"/>
        </w:rPr>
        <w:t> </w:t>
      </w:r>
      <w:r>
        <w:rPr>
          <w:spacing w:val="-2"/>
        </w:rPr>
        <w:t>影响期从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月开始，共</w:t>
      </w:r>
      <w:r>
        <w:rPr>
          <w:rFonts w:ascii="Times New Roman" w:hAnsi="Times New Roman" w:cs="Times New Roman" w:eastAsia="Times New Roman" w:hint="default"/>
          <w:spacing w:val="-2"/>
        </w:rPr>
        <w:t>40</w:t>
      </w:r>
      <w:r>
        <w:rPr>
          <w:spacing w:val="-2"/>
        </w:rPr>
        <w:t>期。</w:t>
      </w:r>
      <w:r>
        <w:rPr>
          <w:rFonts w:ascii="Times New Roman" w:hAnsi="Times New Roman" w:cs="Times New Roman" w:eastAsia="Times New Roman" w:hint="default"/>
          <w:spacing w:val="-2"/>
        </w:rPr>
        <w:t>2023</w:t>
      </w:r>
      <w:r>
        <w:rPr>
          <w:spacing w:val="-2"/>
        </w:rPr>
        <w:t>年</w:t>
      </w:r>
      <w:r>
        <w:rPr>
          <w:rFonts w:ascii="Times New Roman" w:hAnsi="Times New Roman" w:cs="Times New Roman" w:eastAsia="Times New Roman" w:hint="default"/>
          <w:spacing w:val="-2"/>
        </w:rPr>
        <w:t>2</w:t>
      </w:r>
      <w:r>
        <w:rPr>
          <w:spacing w:val="-2"/>
        </w:rPr>
        <w:t>月到期后，公司有权选择是否继续承租至</w:t>
      </w:r>
      <w:r>
        <w:rPr>
          <w:rFonts w:ascii="Times New Roman" w:hAnsi="Times New Roman" w:cs="Times New Roman" w:eastAsia="Times New Roman" w:hint="default"/>
          <w:spacing w:val="-2"/>
        </w:rPr>
        <w:t>2029</w:t>
      </w:r>
      <w:r>
        <w:rPr>
          <w:spacing w:val="-2"/>
        </w:rPr>
        <w:t>年。本协议生效</w:t>
      </w:r>
      <w:r>
        <w:rPr>
          <w:spacing w:val="-35"/>
        </w:rPr>
        <w:t> </w:t>
      </w:r>
      <w:r>
        <w:rPr>
          <w:spacing w:val="-35"/>
        </w:rPr>
      </w:r>
      <w:r>
        <w:rPr/>
        <w:t>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日签订的补充协议自行终止。</w:t>
      </w:r>
    </w:p>
    <w:p>
      <w:pPr>
        <w:spacing w:line="240" w:lineRule="auto" w:before="3"/>
        <w:rPr>
          <w:rFonts w:ascii="宋体" w:hAnsi="宋体" w:cs="宋体" w:eastAsia="宋体" w:hint="default"/>
          <w:sz w:val="24"/>
          <w:szCs w:val="24"/>
        </w:rPr>
      </w:pPr>
    </w:p>
    <w:p>
      <w:pPr>
        <w:pStyle w:val="Heading6"/>
        <w:spacing w:line="240" w:lineRule="auto"/>
        <w:ind w:right="0"/>
        <w:jc w:val="left"/>
      </w:pPr>
      <w:r>
        <w:rPr/>
        <w:t>除上述事项，本公司无需要披露的承诺事项。</w:t>
      </w:r>
    </w:p>
    <w:p>
      <w:pPr>
        <w:spacing w:line="240" w:lineRule="auto" w:before="9"/>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47"/>
        <w:ind w:left="152" w:right="6774" w:firstLine="0"/>
        <w:jc w:val="left"/>
        <w:rPr>
          <w:rFonts w:ascii="Microsoft JhengHei" w:hAnsi="Microsoft JhengHei" w:cs="Microsoft JhengHei" w:eastAsia="Microsoft JhengHei"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sz w:val="24"/>
          <w:szCs w:val="24"/>
        </w:rPr>
      </w:r>
    </w:p>
    <w:p>
      <w:pPr>
        <w:pStyle w:val="Heading5"/>
        <w:spacing w:line="240" w:lineRule="auto" w:before="168"/>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5"/>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9,533,335.50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4"/>
          <w:szCs w:val="14"/>
        </w:rPr>
      </w:pPr>
    </w:p>
    <w:p>
      <w:pPr>
        <w:spacing w:line="376" w:lineRule="auto" w:before="0"/>
        <w:ind w:left="152" w:right="59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5"/>
        <w:spacing w:line="240" w:lineRule="auto" w:before="87"/>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2" w:right="59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5"/>
        <w:spacing w:line="240" w:lineRule="auto" w:before="90"/>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2,273,62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2,273,6</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25.00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568,406.2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1,705,218.7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209,472,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378.50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35,513,2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16.95%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173,959,1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191,578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,269.07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22,910,28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168,667,98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5.41</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1,504,45</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1,504,45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1,504,450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213,250,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453.50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39,291,2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97.60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18.42%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173,959,1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195,356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,344.07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24,983,13</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170,373,20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广东创盈房地产开发有 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5"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预计款项无法收回</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2,273,625.00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103,136,589.80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5,156,829.49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30,889,744.08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3,088,974.41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26,466,117.20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7,939,835.16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20,708,037.79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10,354,018.90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10,305,570.67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8,244,456.54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729,108.10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729,108.10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192,235,167.64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35,513,222.60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18.47%</w:t>
            </w:r>
          </w:p>
        </w:tc>
      </w:tr>
    </w:tbl>
    <w:p>
      <w:pPr>
        <w:pStyle w:val="BodyText"/>
        <w:spacing w:line="357" w:lineRule="auto" w:before="49"/>
        <w:ind w:right="5454"/>
        <w:jc w:val="left"/>
      </w:pPr>
      <w:r>
        <w:rPr/>
        <w:t>确定该组合依据的说明： 组合中，采用余额百分比法计提坏账准备的应收账款：</w:t>
      </w:r>
    </w:p>
    <w:p>
      <w:pPr>
        <w:pStyle w:val="BodyText"/>
        <w:spacing w:line="340" w:lineRule="auto" w:before="29"/>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Heading6"/>
        <w:spacing w:line="240" w:lineRule="auto" w:before="18"/>
        <w:ind w:right="0"/>
        <w:jc w:val="left"/>
      </w:pPr>
      <w:r>
        <w:rPr/>
        <w:t>受本公司控制的子公司及本公司控股股东的不计提坏账准备：该类型的应收账款期末账面余额</w:t>
      </w:r>
    </w:p>
    <w:p>
      <w:pPr>
        <w:pStyle w:val="Heading6"/>
        <w:spacing w:line="240" w:lineRule="auto" w:before="37"/>
        <w:ind w:right="0"/>
        <w:jc w:val="left"/>
      </w:pPr>
      <w:r>
        <w:rPr>
          <w:rFonts w:ascii="Times New Roman" w:hAnsi="Times New Roman" w:cs="Times New Roman" w:eastAsia="Times New Roman" w:hint="default"/>
        </w:rPr>
        <w:t>17,237,210.86</w:t>
      </w:r>
      <w:r>
        <w:rPr>
          <w:rFonts w:ascii="Times New Roman" w:hAnsi="Times New Roman" w:cs="Times New Roman" w:eastAsia="Times New Roman" w:hint="default"/>
          <w:spacing w:val="30"/>
        </w:rPr>
        <w:t> </w:t>
      </w:r>
      <w:r>
        <w:rPr/>
        <w:t>元，期初账面余额</w:t>
      </w:r>
      <w:r>
        <w:rPr>
          <w:rFonts w:ascii="Times New Roman" w:hAnsi="Times New Roman" w:cs="Times New Roman" w:eastAsia="Times New Roman" w:hint="default"/>
        </w:rPr>
        <w:t>19,926,421.35</w:t>
      </w:r>
      <w:r>
        <w:rPr/>
        <w:t>元。</w:t>
      </w:r>
    </w:p>
    <w:p>
      <w:pPr>
        <w:spacing w:line="240" w:lineRule="auto" w:before="6"/>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14,308,157.69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48" w:space="2281"/>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6"/>
          <w:szCs w:val="16"/>
        </w:rPr>
      </w:pPr>
    </w:p>
    <w:p>
      <w:pPr>
        <w:spacing w:before="80"/>
        <w:ind w:left="0" w:right="112" w:firstLine="0"/>
        <w:jc w:val="right"/>
        <w:rPr>
          <w:rFonts w:ascii="Times New Roman" w:hAnsi="Times New Roman" w:cs="Times New Roman" w:eastAsia="Times New Roman" w:hint="default"/>
          <w:sz w:val="16"/>
          <w:szCs w:val="16"/>
        </w:rPr>
      </w:pPr>
      <w:r>
        <w:rPr/>
        <w:pict>
          <v:shape style="position:absolute;margin-left:56.639999pt;margin-top:-46.08062pt;width:487.45pt;height:230.6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7"/>
                    <w:gridCol w:w="1983"/>
                    <w:gridCol w:w="1167"/>
                    <w:gridCol w:w="2639"/>
                    <w:gridCol w:w="62"/>
                  </w:tblGrid>
                  <w:tr>
                    <w:trPr>
                      <w:trHeight w:val="261" w:hRule="exact"/>
                    </w:trPr>
                    <w:tc>
                      <w:tcPr>
                        <w:tcW w:w="3897" w:type="dxa"/>
                        <w:tcBorders>
                          <w:top w:val="nil" w:sz="6" w:space="0" w:color="auto"/>
                          <w:left w:val="nil" w:sz="6" w:space="0" w:color="auto"/>
                          <w:bottom w:val="single" w:sz="12" w:space="0" w:color="000000"/>
                          <w:right w:val="nil" w:sz="6" w:space="0" w:color="auto"/>
                        </w:tcBorders>
                      </w:tcPr>
                      <w:p>
                        <w:pPr>
                          <w:pStyle w:val="TableParagraph"/>
                          <w:spacing w:line="161" w:lineRule="exact"/>
                          <w:ind w:left="869" w:right="0"/>
                          <w:jc w:val="left"/>
                          <w:rPr>
                            <w:rFonts w:ascii="宋体" w:hAnsi="宋体" w:cs="宋体" w:eastAsia="宋体" w:hint="default"/>
                            <w:sz w:val="16"/>
                            <w:szCs w:val="16"/>
                          </w:rPr>
                        </w:pPr>
                        <w:r>
                          <w:rPr>
                            <w:rFonts w:ascii="宋体" w:hAnsi="宋体" w:cs="宋体" w:eastAsia="宋体" w:hint="default"/>
                            <w:sz w:val="16"/>
                            <w:szCs w:val="16"/>
                          </w:rPr>
                          <w:t>单位名称</w:t>
                        </w:r>
                      </w:p>
                    </w:tc>
                    <w:tc>
                      <w:tcPr>
                        <w:tcW w:w="3150" w:type="dxa"/>
                        <w:gridSpan w:val="2"/>
                        <w:tcBorders>
                          <w:top w:val="nil" w:sz="6" w:space="0" w:color="auto"/>
                          <w:left w:val="nil" w:sz="6" w:space="0" w:color="auto"/>
                          <w:bottom w:val="single" w:sz="12" w:space="0" w:color="000000"/>
                          <w:right w:val="nil" w:sz="6" w:space="0" w:color="auto"/>
                        </w:tcBorders>
                      </w:tcPr>
                      <w:p>
                        <w:pPr>
                          <w:pStyle w:val="TableParagraph"/>
                          <w:spacing w:line="161" w:lineRule="exact"/>
                          <w:ind w:left="1844"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2639" w:type="dxa"/>
                        <w:tcBorders>
                          <w:top w:val="nil" w:sz="6" w:space="0" w:color="auto"/>
                          <w:left w:val="nil" w:sz="6" w:space="0" w:color="auto"/>
                          <w:bottom w:val="single" w:sz="12" w:space="0" w:color="000000"/>
                          <w:right w:val="nil" w:sz="6" w:space="0" w:color="auto"/>
                        </w:tcBorders>
                      </w:tcPr>
                      <w:p>
                        <w:pPr/>
                      </w:p>
                    </w:tc>
                    <w:tc>
                      <w:tcPr>
                        <w:tcW w:w="62" w:type="dxa"/>
                        <w:tcBorders>
                          <w:top w:val="nil" w:sz="6" w:space="0" w:color="auto"/>
                          <w:left w:val="nil" w:sz="6" w:space="0" w:color="auto"/>
                          <w:bottom w:val="single" w:sz="12" w:space="0" w:color="000000"/>
                          <w:right w:val="nil" w:sz="6" w:space="0" w:color="auto"/>
                        </w:tcBorders>
                      </w:tcPr>
                      <w:p>
                        <w:pPr/>
                      </w:p>
                    </w:tc>
                  </w:tr>
                  <w:tr>
                    <w:trPr>
                      <w:trHeight w:val="353" w:hRule="exact"/>
                    </w:trPr>
                    <w:tc>
                      <w:tcPr>
                        <w:tcW w:w="38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26"/>
                          <w:ind w:right="-19"/>
                          <w:jc w:val="right"/>
                          <w:rPr>
                            <w:rFonts w:ascii="宋体" w:hAnsi="宋体" w:cs="宋体" w:eastAsia="宋体" w:hint="default"/>
                            <w:sz w:val="16"/>
                            <w:szCs w:val="16"/>
                          </w:rPr>
                        </w:pPr>
                        <w:r>
                          <w:rPr>
                            <w:rFonts w:ascii="宋体" w:hAnsi="宋体" w:cs="宋体" w:eastAsia="宋体" w:hint="default"/>
                            <w:sz w:val="16"/>
                            <w:szCs w:val="16"/>
                          </w:rPr>
                          <w:t>应收账款</w:t>
                        </w:r>
                      </w:p>
                    </w:tc>
                    <w:tc>
                      <w:tcPr>
                        <w:tcW w:w="3150"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26"/>
                          <w:ind w:left="1175" w:right="-28"/>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占应收账款合计数的比例</w:t>
                        </w:r>
                        <w:r>
                          <w:rPr>
                            <w:rFonts w:ascii="Times New Roman" w:hAnsi="Times New Roman" w:cs="Times New Roman" w:eastAsia="Times New Roman" w:hint="default"/>
                            <w:spacing w:val="-1"/>
                            <w:sz w:val="16"/>
                            <w:szCs w:val="16"/>
                          </w:rPr>
                          <w:t>(%)</w:t>
                        </w:r>
                      </w:p>
                    </w:tc>
                    <w:tc>
                      <w:tcPr>
                        <w:tcW w:w="2701"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26"/>
                          <w:ind w:left="1175"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329" w:hRule="exact"/>
                    </w:trPr>
                    <w:tc>
                      <w:tcPr>
                        <w:tcW w:w="3897" w:type="dxa"/>
                        <w:tcBorders>
                          <w:top w:val="single" w:sz="12" w:space="0" w:color="000000"/>
                          <w:left w:val="nil" w:sz="6" w:space="0" w:color="auto"/>
                          <w:bottom w:val="nil" w:sz="6" w:space="0" w:color="auto"/>
                          <w:right w:val="nil" w:sz="6" w:space="0" w:color="auto"/>
                        </w:tcBorders>
                      </w:tcPr>
                      <w:p>
                        <w:pPr>
                          <w:pStyle w:val="TableParagraph"/>
                          <w:spacing w:line="240" w:lineRule="auto" w:before="26"/>
                          <w:ind w:left="12" w:right="0"/>
                          <w:jc w:val="left"/>
                          <w:rPr>
                            <w:rFonts w:ascii="宋体" w:hAnsi="宋体" w:cs="宋体" w:eastAsia="宋体" w:hint="default"/>
                            <w:sz w:val="16"/>
                            <w:szCs w:val="16"/>
                          </w:rPr>
                        </w:pPr>
                        <w:r>
                          <w:rPr>
                            <w:rFonts w:ascii="宋体" w:hAnsi="宋体" w:cs="宋体" w:eastAsia="宋体" w:hint="default"/>
                            <w:sz w:val="16"/>
                            <w:szCs w:val="16"/>
                          </w:rPr>
                          <w:t>深圳市建研检测有限公司</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
                    </w:tc>
                    <w:tc>
                      <w:tcPr>
                        <w:tcW w:w="62" w:type="dxa"/>
                        <w:tcBorders>
                          <w:top w:val="single" w:sz="12" w:space="0" w:color="000000"/>
                          <w:left w:val="nil" w:sz="6" w:space="0" w:color="auto"/>
                          <w:bottom w:val="nil" w:sz="6" w:space="0" w:color="auto"/>
                          <w:right w:val="nil" w:sz="6" w:space="0" w:color="auto"/>
                        </w:tcBorders>
                      </w:tcPr>
                      <w:p>
                        <w:pPr/>
                      </w:p>
                    </w:tc>
                  </w:tr>
                  <w:tr>
                    <w:trPr>
                      <w:trHeight w:val="333" w:hRule="exact"/>
                    </w:trPr>
                    <w:tc>
                      <w:tcPr>
                        <w:tcW w:w="3897" w:type="dxa"/>
                        <w:tcBorders>
                          <w:top w:val="nil" w:sz="6" w:space="0" w:color="auto"/>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9" w:right="0"/>
                          <w:jc w:val="left"/>
                          <w:rPr>
                            <w:rFonts w:ascii="Times New Roman" w:hAnsi="Times New Roman" w:cs="Times New Roman" w:eastAsia="Times New Roman" w:hint="default"/>
                            <w:sz w:val="16"/>
                            <w:szCs w:val="16"/>
                          </w:rPr>
                        </w:pPr>
                        <w:r>
                          <w:rPr>
                            <w:rFonts w:ascii="Times New Roman"/>
                            <w:sz w:val="16"/>
                          </w:rPr>
                          <w:t>13,823,103.30</w:t>
                        </w:r>
                      </w:p>
                    </w:tc>
                    <w:tc>
                      <w:tcPr>
                        <w:tcW w:w="1167" w:type="dxa"/>
                        <w:tcBorders>
                          <w:top w:val="nil" w:sz="6" w:space="0" w:color="auto"/>
                          <w:left w:val="nil" w:sz="6" w:space="0" w:color="auto"/>
                          <w:bottom w:val="single" w:sz="12" w:space="0" w:color="000000"/>
                          <w:right w:val="nil" w:sz="6" w:space="0" w:color="auto"/>
                        </w:tcBorders>
                      </w:tcPr>
                      <w:p>
                        <w:pPr/>
                      </w:p>
                    </w:tc>
                    <w:tc>
                      <w:tcPr>
                        <w:tcW w:w="2639"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4" w:right="0"/>
                          <w:jc w:val="left"/>
                          <w:rPr>
                            <w:rFonts w:ascii="Times New Roman" w:hAnsi="Times New Roman" w:cs="Times New Roman" w:eastAsia="Times New Roman" w:hint="default"/>
                            <w:sz w:val="16"/>
                            <w:szCs w:val="16"/>
                          </w:rPr>
                        </w:pPr>
                        <w:r>
                          <w:rPr>
                            <w:rFonts w:ascii="Times New Roman"/>
                            <w:sz w:val="16"/>
                          </w:rPr>
                          <w:t>6.48</w:t>
                        </w:r>
                      </w:p>
                    </w:tc>
                    <w:tc>
                      <w:tcPr>
                        <w:tcW w:w="62" w:type="dxa"/>
                        <w:tcBorders>
                          <w:top w:val="nil" w:sz="6" w:space="0" w:color="auto"/>
                          <w:left w:val="nil" w:sz="6" w:space="0" w:color="auto"/>
                          <w:bottom w:val="single" w:sz="12" w:space="0" w:color="000000"/>
                          <w:right w:val="nil" w:sz="6" w:space="0" w:color="auto"/>
                        </w:tcBorders>
                      </w:tcPr>
                      <w:p>
                        <w:pPr/>
                      </w:p>
                    </w:tc>
                  </w:tr>
                  <w:tr>
                    <w:trPr>
                      <w:trHeight w:val="335" w:hRule="exact"/>
                    </w:trPr>
                    <w:tc>
                      <w:tcPr>
                        <w:tcW w:w="3897" w:type="dxa"/>
                        <w:vMerge w:val="restart"/>
                        <w:tcBorders>
                          <w:top w:val="single" w:sz="12" w:space="0" w:color="000000"/>
                          <w:left w:val="nil" w:sz="6" w:space="0" w:color="auto"/>
                          <w:right w:val="nil" w:sz="6" w:space="0" w:color="auto"/>
                        </w:tcBorders>
                      </w:tcPr>
                      <w:p>
                        <w:pPr>
                          <w:pStyle w:val="TableParagraph"/>
                          <w:spacing w:line="357" w:lineRule="auto" w:before="29"/>
                          <w:ind w:left="12" w:right="1641"/>
                          <w:jc w:val="left"/>
                          <w:rPr>
                            <w:rFonts w:ascii="宋体" w:hAnsi="宋体" w:cs="宋体" w:eastAsia="宋体" w:hint="default"/>
                            <w:sz w:val="16"/>
                            <w:szCs w:val="16"/>
                          </w:rPr>
                        </w:pPr>
                        <w:r>
                          <w:rPr>
                            <w:rFonts w:ascii="宋体" w:hAnsi="宋体" w:cs="宋体" w:eastAsia="宋体" w:hint="default"/>
                            <w:spacing w:val="-1"/>
                            <w:sz w:val="16"/>
                            <w:szCs w:val="16"/>
                          </w:rPr>
                          <w:t>深圳市建筑设计研究总院有限公</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司</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Times New Roman" w:hAnsi="Times New Roman" w:cs="Times New Roman" w:eastAsia="Times New Roman" w:hint="default"/>
                            <w:sz w:val="16"/>
                            <w:szCs w:val="16"/>
                          </w:rPr>
                        </w:pPr>
                        <w:r>
                          <w:rPr>
                            <w:rFonts w:ascii="Times New Roman"/>
                            <w:spacing w:val="-1"/>
                            <w:sz w:val="16"/>
                          </w:rPr>
                          <w:t>2,852,868.1</w:t>
                        </w:r>
                      </w:p>
                    </w:tc>
                    <w:tc>
                      <w:tcPr>
                        <w:tcW w:w="62" w:type="dxa"/>
                        <w:tcBorders>
                          <w:top w:val="single" w:sz="12" w:space="0" w:color="000000"/>
                          <w:left w:val="nil" w:sz="6" w:space="0" w:color="auto"/>
                          <w:bottom w:val="nil" w:sz="6" w:space="0" w:color="auto"/>
                          <w:right w:val="nil" w:sz="6" w:space="0" w:color="auto"/>
                        </w:tcBorders>
                      </w:tcPr>
                      <w:p>
                        <w:pPr/>
                      </w:p>
                    </w:tc>
                  </w:tr>
                  <w:tr>
                    <w:trPr>
                      <w:trHeight w:val="330" w:hRule="exact"/>
                    </w:trPr>
                    <w:tc>
                      <w:tcPr>
                        <w:tcW w:w="3897" w:type="dxa"/>
                        <w:vMerge/>
                        <w:tcBorders>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19" w:right="0"/>
                          <w:jc w:val="left"/>
                          <w:rPr>
                            <w:rFonts w:ascii="Times New Roman" w:hAnsi="Times New Roman" w:cs="Times New Roman" w:eastAsia="Times New Roman" w:hint="default"/>
                            <w:sz w:val="16"/>
                            <w:szCs w:val="16"/>
                          </w:rPr>
                        </w:pPr>
                        <w:r>
                          <w:rPr>
                            <w:rFonts w:ascii="Times New Roman"/>
                            <w:sz w:val="16"/>
                          </w:rPr>
                          <w:t>13,355,449.13</w:t>
                        </w:r>
                      </w:p>
                    </w:tc>
                    <w:tc>
                      <w:tcPr>
                        <w:tcW w:w="1167" w:type="dxa"/>
                        <w:tcBorders>
                          <w:top w:val="nil" w:sz="6" w:space="0" w:color="auto"/>
                          <w:left w:val="nil" w:sz="6" w:space="0" w:color="auto"/>
                          <w:bottom w:val="single" w:sz="12" w:space="0" w:color="000000"/>
                          <w:right w:val="nil" w:sz="6" w:space="0" w:color="auto"/>
                        </w:tcBorders>
                      </w:tcPr>
                      <w:p>
                        <w:pPr/>
                      </w:p>
                    </w:tc>
                    <w:tc>
                      <w:tcPr>
                        <w:tcW w:w="2639"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6"/>
                            <w:szCs w:val="16"/>
                          </w:rPr>
                        </w:pPr>
                        <w:r>
                          <w:rPr>
                            <w:rFonts w:ascii="Times New Roman"/>
                            <w:sz w:val="16"/>
                          </w:rPr>
                          <w:t>6.26</w:t>
                        </w:r>
                      </w:p>
                    </w:tc>
                    <w:tc>
                      <w:tcPr>
                        <w:tcW w:w="62" w:type="dxa"/>
                        <w:tcBorders>
                          <w:top w:val="nil" w:sz="6" w:space="0" w:color="auto"/>
                          <w:left w:val="nil" w:sz="6" w:space="0" w:color="auto"/>
                          <w:bottom w:val="single" w:sz="12" w:space="0" w:color="000000"/>
                          <w:right w:val="nil" w:sz="6" w:space="0" w:color="auto"/>
                        </w:tcBorders>
                      </w:tcPr>
                      <w:p>
                        <w:pPr/>
                      </w:p>
                    </w:tc>
                  </w:tr>
                  <w:tr>
                    <w:trPr>
                      <w:trHeight w:val="333" w:hRule="exact"/>
                    </w:trPr>
                    <w:tc>
                      <w:tcPr>
                        <w:tcW w:w="3897" w:type="dxa"/>
                        <w:tcBorders>
                          <w:top w:val="single" w:sz="12" w:space="0" w:color="000000"/>
                          <w:left w:val="nil" w:sz="6" w:space="0" w:color="auto"/>
                          <w:bottom w:val="nil" w:sz="6" w:space="0" w:color="auto"/>
                          <w:right w:val="nil" w:sz="6" w:space="0" w:color="auto"/>
                        </w:tcBorders>
                      </w:tcPr>
                      <w:p>
                        <w:pPr>
                          <w:pStyle w:val="TableParagraph"/>
                          <w:spacing w:line="240" w:lineRule="auto" w:before="26"/>
                          <w:ind w:left="12" w:right="0"/>
                          <w:jc w:val="left"/>
                          <w:rPr>
                            <w:rFonts w:ascii="宋体" w:hAnsi="宋体" w:cs="宋体" w:eastAsia="宋体" w:hint="default"/>
                            <w:sz w:val="16"/>
                            <w:szCs w:val="16"/>
                          </w:rPr>
                        </w:pPr>
                        <w:r>
                          <w:rPr>
                            <w:rFonts w:ascii="宋体" w:hAnsi="宋体" w:cs="宋体" w:eastAsia="宋体" w:hint="default"/>
                            <w:sz w:val="16"/>
                            <w:szCs w:val="16"/>
                          </w:rPr>
                          <w:t>深圳市建筑工务署工程管理中心</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6"/>
                            <w:szCs w:val="16"/>
                          </w:rPr>
                        </w:pPr>
                        <w:r>
                          <w:rPr>
                            <w:rFonts w:ascii="Times New Roman"/>
                            <w:spacing w:val="-1"/>
                            <w:sz w:val="16"/>
                          </w:rPr>
                          <w:t>1,169,061.6</w:t>
                        </w:r>
                      </w:p>
                    </w:tc>
                    <w:tc>
                      <w:tcPr>
                        <w:tcW w:w="62" w:type="dxa"/>
                        <w:tcBorders>
                          <w:top w:val="single" w:sz="12" w:space="0" w:color="000000"/>
                          <w:left w:val="nil" w:sz="6" w:space="0" w:color="auto"/>
                          <w:bottom w:val="nil" w:sz="6" w:space="0" w:color="auto"/>
                          <w:right w:val="nil" w:sz="6" w:space="0" w:color="auto"/>
                        </w:tcBorders>
                      </w:tcPr>
                      <w:p>
                        <w:pPr/>
                      </w:p>
                    </w:tc>
                  </w:tr>
                  <w:tr>
                    <w:trPr>
                      <w:trHeight w:val="332" w:hRule="exact"/>
                    </w:trPr>
                    <w:tc>
                      <w:tcPr>
                        <w:tcW w:w="3897" w:type="dxa"/>
                        <w:tcBorders>
                          <w:top w:val="nil" w:sz="6" w:space="0" w:color="auto"/>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61" w:right="0"/>
                          <w:jc w:val="left"/>
                          <w:rPr>
                            <w:rFonts w:ascii="Times New Roman" w:hAnsi="Times New Roman" w:cs="Times New Roman" w:eastAsia="Times New Roman" w:hint="default"/>
                            <w:sz w:val="16"/>
                            <w:szCs w:val="16"/>
                          </w:rPr>
                        </w:pPr>
                        <w:r>
                          <w:rPr>
                            <w:rFonts w:ascii="Times New Roman"/>
                            <w:sz w:val="16"/>
                          </w:rPr>
                          <w:t>9,563,694.06</w:t>
                        </w:r>
                      </w:p>
                    </w:tc>
                    <w:tc>
                      <w:tcPr>
                        <w:tcW w:w="1167" w:type="dxa"/>
                        <w:tcBorders>
                          <w:top w:val="nil" w:sz="6" w:space="0" w:color="auto"/>
                          <w:left w:val="nil" w:sz="6" w:space="0" w:color="auto"/>
                          <w:bottom w:val="single" w:sz="12" w:space="0" w:color="000000"/>
                          <w:right w:val="nil" w:sz="6" w:space="0" w:color="auto"/>
                        </w:tcBorders>
                      </w:tcPr>
                      <w:p>
                        <w:pPr/>
                      </w:p>
                    </w:tc>
                    <w:tc>
                      <w:tcPr>
                        <w:tcW w:w="2639"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6"/>
                            <w:szCs w:val="16"/>
                          </w:rPr>
                        </w:pPr>
                        <w:r>
                          <w:rPr>
                            <w:rFonts w:ascii="Times New Roman"/>
                            <w:sz w:val="16"/>
                          </w:rPr>
                          <w:t>4.48</w:t>
                        </w:r>
                      </w:p>
                    </w:tc>
                    <w:tc>
                      <w:tcPr>
                        <w:tcW w:w="62" w:type="dxa"/>
                        <w:tcBorders>
                          <w:top w:val="nil" w:sz="6" w:space="0" w:color="auto"/>
                          <w:left w:val="nil" w:sz="6" w:space="0" w:color="auto"/>
                          <w:bottom w:val="single" w:sz="12" w:space="0" w:color="000000"/>
                          <w:right w:val="nil" w:sz="6" w:space="0" w:color="auto"/>
                        </w:tcBorders>
                      </w:tcPr>
                      <w:p>
                        <w:pPr/>
                      </w:p>
                    </w:tc>
                  </w:tr>
                  <w:tr>
                    <w:trPr>
                      <w:trHeight w:val="333" w:hRule="exact"/>
                    </w:trPr>
                    <w:tc>
                      <w:tcPr>
                        <w:tcW w:w="3897" w:type="dxa"/>
                        <w:vMerge w:val="restart"/>
                        <w:tcBorders>
                          <w:top w:val="single" w:sz="12" w:space="0" w:color="000000"/>
                          <w:left w:val="nil" w:sz="6" w:space="0" w:color="auto"/>
                          <w:right w:val="nil" w:sz="6" w:space="0" w:color="auto"/>
                        </w:tcBorders>
                      </w:tcPr>
                      <w:p>
                        <w:pPr>
                          <w:pStyle w:val="TableParagraph"/>
                          <w:spacing w:line="357" w:lineRule="auto" w:before="26"/>
                          <w:ind w:left="12" w:right="1641"/>
                          <w:jc w:val="left"/>
                          <w:rPr>
                            <w:rFonts w:ascii="宋体" w:hAnsi="宋体" w:cs="宋体" w:eastAsia="宋体" w:hint="default"/>
                            <w:sz w:val="16"/>
                            <w:szCs w:val="16"/>
                          </w:rPr>
                        </w:pPr>
                        <w:r>
                          <w:rPr>
                            <w:rFonts w:ascii="宋体" w:hAnsi="宋体" w:cs="宋体" w:eastAsia="宋体" w:hint="default"/>
                            <w:spacing w:val="-1"/>
                            <w:sz w:val="16"/>
                            <w:szCs w:val="16"/>
                          </w:rPr>
                          <w:t>深圳市龙华区政府投资工程项目</w:t>
                        </w:r>
                        <w:r>
                          <w:rPr>
                            <w:rFonts w:ascii="宋体" w:hAnsi="宋体" w:cs="宋体" w:eastAsia="宋体" w:hint="default"/>
                            <w:spacing w:val="-67"/>
                            <w:sz w:val="16"/>
                            <w:szCs w:val="16"/>
                          </w:rPr>
                          <w:t> </w:t>
                        </w:r>
                        <w:r>
                          <w:rPr>
                            <w:rFonts w:ascii="宋体" w:hAnsi="宋体" w:cs="宋体" w:eastAsia="宋体" w:hint="default"/>
                            <w:spacing w:val="-67"/>
                            <w:sz w:val="16"/>
                            <w:szCs w:val="16"/>
                          </w:rPr>
                        </w:r>
                        <w:r>
                          <w:rPr>
                            <w:rFonts w:ascii="宋体" w:hAnsi="宋体" w:cs="宋体" w:eastAsia="宋体" w:hint="default"/>
                            <w:sz w:val="16"/>
                            <w:szCs w:val="16"/>
                          </w:rPr>
                          <w:t>前期工作办公室</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6"/>
                            <w:szCs w:val="16"/>
                          </w:rPr>
                        </w:pPr>
                        <w:r>
                          <w:rPr>
                            <w:rFonts w:ascii="Times New Roman"/>
                            <w:spacing w:val="-1"/>
                            <w:sz w:val="16"/>
                          </w:rPr>
                          <w:t>408,883.2</w:t>
                        </w:r>
                      </w:p>
                    </w:tc>
                    <w:tc>
                      <w:tcPr>
                        <w:tcW w:w="62" w:type="dxa"/>
                        <w:tcBorders>
                          <w:top w:val="single" w:sz="12" w:space="0" w:color="000000"/>
                          <w:left w:val="nil" w:sz="6" w:space="0" w:color="auto"/>
                          <w:bottom w:val="nil" w:sz="6" w:space="0" w:color="auto"/>
                          <w:right w:val="nil" w:sz="6" w:space="0" w:color="auto"/>
                        </w:tcBorders>
                      </w:tcPr>
                      <w:p>
                        <w:pPr/>
                      </w:p>
                    </w:tc>
                  </w:tr>
                  <w:tr>
                    <w:trPr>
                      <w:trHeight w:val="330" w:hRule="exact"/>
                    </w:trPr>
                    <w:tc>
                      <w:tcPr>
                        <w:tcW w:w="3897" w:type="dxa"/>
                        <w:vMerge/>
                        <w:tcBorders>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61" w:right="0"/>
                          <w:jc w:val="left"/>
                          <w:rPr>
                            <w:rFonts w:ascii="Times New Roman" w:hAnsi="Times New Roman" w:cs="Times New Roman" w:eastAsia="Times New Roman" w:hint="default"/>
                            <w:sz w:val="16"/>
                            <w:szCs w:val="16"/>
                          </w:rPr>
                        </w:pPr>
                        <w:r>
                          <w:rPr>
                            <w:rFonts w:ascii="Times New Roman"/>
                            <w:sz w:val="16"/>
                          </w:rPr>
                          <w:t>8,177,664.00</w:t>
                        </w:r>
                      </w:p>
                    </w:tc>
                    <w:tc>
                      <w:tcPr>
                        <w:tcW w:w="1167" w:type="dxa"/>
                        <w:tcBorders>
                          <w:top w:val="nil" w:sz="6" w:space="0" w:color="auto"/>
                          <w:left w:val="nil" w:sz="6" w:space="0" w:color="auto"/>
                          <w:bottom w:val="single" w:sz="12" w:space="0" w:color="000000"/>
                          <w:right w:val="nil" w:sz="6" w:space="0" w:color="auto"/>
                        </w:tcBorders>
                      </w:tcPr>
                      <w:p>
                        <w:pPr/>
                      </w:p>
                    </w:tc>
                    <w:tc>
                      <w:tcPr>
                        <w:tcW w:w="2639"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6"/>
                            <w:szCs w:val="16"/>
                          </w:rPr>
                        </w:pPr>
                        <w:r>
                          <w:rPr>
                            <w:rFonts w:ascii="Times New Roman"/>
                            <w:sz w:val="16"/>
                          </w:rPr>
                          <w:t>3.83</w:t>
                        </w:r>
                      </w:p>
                    </w:tc>
                    <w:tc>
                      <w:tcPr>
                        <w:tcW w:w="62" w:type="dxa"/>
                        <w:tcBorders>
                          <w:top w:val="nil" w:sz="6" w:space="0" w:color="auto"/>
                          <w:left w:val="nil" w:sz="6" w:space="0" w:color="auto"/>
                          <w:bottom w:val="single" w:sz="12" w:space="0" w:color="000000"/>
                          <w:right w:val="nil" w:sz="6" w:space="0" w:color="auto"/>
                        </w:tcBorders>
                      </w:tcPr>
                      <w:p>
                        <w:pPr/>
                      </w:p>
                    </w:tc>
                  </w:tr>
                  <w:tr>
                    <w:trPr>
                      <w:trHeight w:val="336" w:hRule="exact"/>
                    </w:trPr>
                    <w:tc>
                      <w:tcPr>
                        <w:tcW w:w="3897" w:type="dxa"/>
                        <w:tcBorders>
                          <w:top w:val="single" w:sz="12" w:space="0" w:color="000000"/>
                          <w:left w:val="nil" w:sz="6" w:space="0" w:color="auto"/>
                          <w:bottom w:val="nil" w:sz="6" w:space="0" w:color="auto"/>
                          <w:right w:val="nil" w:sz="6" w:space="0" w:color="auto"/>
                        </w:tcBorders>
                      </w:tcPr>
                      <w:p>
                        <w:pPr>
                          <w:pStyle w:val="TableParagraph"/>
                          <w:spacing w:line="240" w:lineRule="auto" w:before="29"/>
                          <w:ind w:left="12" w:right="0"/>
                          <w:jc w:val="left"/>
                          <w:rPr>
                            <w:rFonts w:ascii="宋体" w:hAnsi="宋体" w:cs="宋体" w:eastAsia="宋体" w:hint="default"/>
                            <w:sz w:val="16"/>
                            <w:szCs w:val="16"/>
                          </w:rPr>
                        </w:pPr>
                        <w:r>
                          <w:rPr>
                            <w:rFonts w:ascii="宋体" w:hAnsi="宋体" w:cs="宋体" w:eastAsia="宋体" w:hint="default"/>
                            <w:sz w:val="16"/>
                            <w:szCs w:val="16"/>
                          </w:rPr>
                          <w:t>深圳市龙岗区建筑工务局</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Style w:val="TableParagraph"/>
                          <w:spacing w:line="240" w:lineRule="auto" w:before="65"/>
                          <w:ind w:right="26"/>
                          <w:jc w:val="right"/>
                          <w:rPr>
                            <w:rFonts w:ascii="Times New Roman" w:hAnsi="Times New Roman" w:cs="Times New Roman" w:eastAsia="Times New Roman" w:hint="default"/>
                            <w:sz w:val="16"/>
                            <w:szCs w:val="16"/>
                          </w:rPr>
                        </w:pPr>
                        <w:r>
                          <w:rPr>
                            <w:rFonts w:ascii="Times New Roman"/>
                            <w:spacing w:val="-1"/>
                            <w:sz w:val="16"/>
                          </w:rPr>
                          <w:t>1,790,637.4</w:t>
                        </w:r>
                      </w:p>
                    </w:tc>
                    <w:tc>
                      <w:tcPr>
                        <w:tcW w:w="62" w:type="dxa"/>
                        <w:tcBorders>
                          <w:top w:val="single" w:sz="12" w:space="0" w:color="000000"/>
                          <w:left w:val="nil" w:sz="6" w:space="0" w:color="auto"/>
                          <w:bottom w:val="nil" w:sz="6" w:space="0" w:color="auto"/>
                          <w:right w:val="nil" w:sz="6" w:space="0" w:color="auto"/>
                        </w:tcBorders>
                      </w:tcPr>
                      <w:p>
                        <w:pPr/>
                      </w:p>
                    </w:tc>
                  </w:tr>
                  <w:tr>
                    <w:trPr>
                      <w:trHeight w:val="330" w:hRule="exact"/>
                    </w:trPr>
                    <w:tc>
                      <w:tcPr>
                        <w:tcW w:w="3897" w:type="dxa"/>
                        <w:tcBorders>
                          <w:top w:val="nil" w:sz="6" w:space="0" w:color="auto"/>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61" w:right="0"/>
                          <w:jc w:val="left"/>
                          <w:rPr>
                            <w:rFonts w:ascii="Times New Roman" w:hAnsi="Times New Roman" w:cs="Times New Roman" w:eastAsia="Times New Roman" w:hint="default"/>
                            <w:sz w:val="16"/>
                            <w:szCs w:val="16"/>
                          </w:rPr>
                        </w:pPr>
                        <w:r>
                          <w:rPr>
                            <w:rFonts w:ascii="Times New Roman"/>
                            <w:sz w:val="16"/>
                          </w:rPr>
                          <w:t>7,289,419.40</w:t>
                        </w:r>
                      </w:p>
                    </w:tc>
                    <w:tc>
                      <w:tcPr>
                        <w:tcW w:w="1167" w:type="dxa"/>
                        <w:tcBorders>
                          <w:top w:val="nil" w:sz="6" w:space="0" w:color="auto"/>
                          <w:left w:val="nil" w:sz="6" w:space="0" w:color="auto"/>
                          <w:bottom w:val="single" w:sz="12" w:space="0" w:color="000000"/>
                          <w:right w:val="nil" w:sz="6" w:space="0" w:color="auto"/>
                        </w:tcBorders>
                      </w:tcPr>
                      <w:p>
                        <w:pPr/>
                      </w:p>
                    </w:tc>
                    <w:tc>
                      <w:tcPr>
                        <w:tcW w:w="2639"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4" w:right="0"/>
                          <w:jc w:val="left"/>
                          <w:rPr>
                            <w:rFonts w:ascii="Times New Roman" w:hAnsi="Times New Roman" w:cs="Times New Roman" w:eastAsia="Times New Roman" w:hint="default"/>
                            <w:sz w:val="16"/>
                            <w:szCs w:val="16"/>
                          </w:rPr>
                        </w:pPr>
                        <w:r>
                          <w:rPr>
                            <w:rFonts w:ascii="Times New Roman"/>
                            <w:sz w:val="16"/>
                          </w:rPr>
                          <w:t>3.42</w:t>
                        </w:r>
                      </w:p>
                    </w:tc>
                    <w:tc>
                      <w:tcPr>
                        <w:tcW w:w="62" w:type="dxa"/>
                        <w:tcBorders>
                          <w:top w:val="nil" w:sz="6" w:space="0" w:color="auto"/>
                          <w:left w:val="nil" w:sz="6" w:space="0" w:color="auto"/>
                          <w:bottom w:val="single" w:sz="12" w:space="0" w:color="000000"/>
                          <w:right w:val="nil" w:sz="6" w:space="0" w:color="auto"/>
                        </w:tcBorders>
                      </w:tcPr>
                      <w:p>
                        <w:pPr/>
                      </w:p>
                    </w:tc>
                  </w:tr>
                  <w:tr>
                    <w:trPr>
                      <w:trHeight w:val="333" w:hRule="exact"/>
                    </w:trPr>
                    <w:tc>
                      <w:tcPr>
                        <w:tcW w:w="3897" w:type="dxa"/>
                        <w:tcBorders>
                          <w:top w:val="single" w:sz="12" w:space="0" w:color="000000"/>
                          <w:left w:val="nil" w:sz="6" w:space="0" w:color="auto"/>
                          <w:bottom w:val="nil" w:sz="6" w:space="0" w:color="auto"/>
                          <w:right w:val="nil" w:sz="6" w:space="0" w:color="auto"/>
                        </w:tcBorders>
                      </w:tcPr>
                      <w:p>
                        <w:pPr>
                          <w:pStyle w:val="TableParagraph"/>
                          <w:spacing w:line="240" w:lineRule="auto" w:before="26"/>
                          <w:ind w:left="1030"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983" w:type="dxa"/>
                        <w:tcBorders>
                          <w:top w:val="single" w:sz="12" w:space="0" w:color="000000"/>
                          <w:left w:val="nil" w:sz="6" w:space="0" w:color="auto"/>
                          <w:bottom w:val="nil" w:sz="6" w:space="0" w:color="auto"/>
                          <w:right w:val="nil" w:sz="6" w:space="0" w:color="auto"/>
                        </w:tcBorders>
                      </w:tcPr>
                      <w:p>
                        <w:pPr/>
                      </w:p>
                    </w:tc>
                    <w:tc>
                      <w:tcPr>
                        <w:tcW w:w="1167" w:type="dxa"/>
                        <w:tcBorders>
                          <w:top w:val="single" w:sz="12" w:space="0" w:color="000000"/>
                          <w:left w:val="nil" w:sz="6" w:space="0" w:color="auto"/>
                          <w:bottom w:val="nil" w:sz="6" w:space="0" w:color="auto"/>
                          <w:right w:val="nil" w:sz="6" w:space="0" w:color="auto"/>
                        </w:tcBorders>
                      </w:tcPr>
                      <w:p>
                        <w:pPr/>
                      </w:p>
                    </w:tc>
                    <w:tc>
                      <w:tcPr>
                        <w:tcW w:w="2639"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6"/>
                            <w:szCs w:val="16"/>
                          </w:rPr>
                        </w:pPr>
                        <w:r>
                          <w:rPr>
                            <w:rFonts w:ascii="Times New Roman"/>
                            <w:spacing w:val="-1"/>
                            <w:sz w:val="16"/>
                          </w:rPr>
                          <w:t>6,221,450.4</w:t>
                        </w:r>
                      </w:p>
                    </w:tc>
                    <w:tc>
                      <w:tcPr>
                        <w:tcW w:w="62" w:type="dxa"/>
                        <w:tcBorders>
                          <w:top w:val="single" w:sz="12" w:space="0" w:color="000000"/>
                          <w:left w:val="nil" w:sz="6" w:space="0" w:color="auto"/>
                          <w:bottom w:val="nil" w:sz="6" w:space="0" w:color="auto"/>
                          <w:right w:val="nil" w:sz="6" w:space="0" w:color="auto"/>
                        </w:tcBorders>
                      </w:tcPr>
                      <w:p>
                        <w:pPr/>
                      </w:p>
                    </w:tc>
                  </w:tr>
                  <w:tr>
                    <w:trPr>
                      <w:trHeight w:val="332" w:hRule="exact"/>
                    </w:trPr>
                    <w:tc>
                      <w:tcPr>
                        <w:tcW w:w="3897" w:type="dxa"/>
                        <w:tcBorders>
                          <w:top w:val="nil" w:sz="6" w:space="0" w:color="auto"/>
                          <w:left w:val="nil" w:sz="6" w:space="0" w:color="auto"/>
                          <w:bottom w:val="single" w:sz="12" w:space="0" w:color="000000"/>
                          <w:right w:val="nil" w:sz="6" w:space="0" w:color="auto"/>
                        </w:tcBorders>
                      </w:tcPr>
                      <w:p>
                        <w:pPr/>
                      </w:p>
                    </w:tc>
                    <w:tc>
                      <w:tcPr>
                        <w:tcW w:w="1983"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left="-19" w:right="0"/>
                          <w:jc w:val="left"/>
                          <w:rPr>
                            <w:rFonts w:ascii="Times New Roman" w:hAnsi="Times New Roman" w:cs="Times New Roman" w:eastAsia="Times New Roman" w:hint="default"/>
                            <w:sz w:val="16"/>
                            <w:szCs w:val="16"/>
                          </w:rPr>
                        </w:pPr>
                        <w:r>
                          <w:rPr>
                            <w:rFonts w:ascii="Times New Roman"/>
                            <w:sz w:val="16"/>
                          </w:rPr>
                          <w:t>52,209,329.89</w:t>
                        </w:r>
                      </w:p>
                    </w:tc>
                    <w:tc>
                      <w:tcPr>
                        <w:tcW w:w="380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5"/>
                          <w:ind w:left="1081" w:right="0"/>
                          <w:jc w:val="left"/>
                          <w:rPr>
                            <w:rFonts w:ascii="Times New Roman" w:hAnsi="Times New Roman" w:cs="Times New Roman" w:eastAsia="Times New Roman" w:hint="default"/>
                            <w:sz w:val="16"/>
                            <w:szCs w:val="16"/>
                          </w:rPr>
                        </w:pPr>
                        <w:r>
                          <w:rPr>
                            <w:rFonts w:ascii="Times New Roman"/>
                            <w:sz w:val="16"/>
                          </w:rPr>
                          <w:t>24.48</w:t>
                        </w:r>
                      </w:p>
                    </w:tc>
                    <w:tc>
                      <w:tcPr>
                        <w:tcW w:w="62" w:type="dxa"/>
                        <w:tcBorders>
                          <w:top w:val="nil" w:sz="6" w:space="0" w:color="auto"/>
                          <w:left w:val="nil" w:sz="6" w:space="0" w:color="auto"/>
                          <w:bottom w:val="single" w:sz="12" w:space="0" w:color="000000"/>
                          <w:right w:val="nil" w:sz="6" w:space="0" w:color="auto"/>
                        </w:tcBorders>
                      </w:tcPr>
                      <w:p>
                        <w:pPr/>
                      </w:p>
                    </w:tc>
                  </w:tr>
                </w:tbl>
                <w:p>
                  <w:pPr/>
                </w:p>
              </w:txbxContent>
            </v:textbox>
            <w10:wrap type="none"/>
          </v:shape>
        </w:pict>
      </w:r>
      <w:r>
        <w:rPr>
          <w:rFonts w:ascii="Times New Roman"/>
          <w:w w:val="100"/>
          <w:sz w:val="16"/>
        </w:rPr>
        <w:t>-</w:t>
      </w:r>
    </w:p>
    <w:p>
      <w:pPr>
        <w:spacing w:line="240" w:lineRule="auto" w:before="8"/>
        <w:rPr>
          <w:rFonts w:ascii="Times New Roman" w:hAnsi="Times New Roman" w:cs="Times New Roman" w:eastAsia="Times New Roman" w:hint="default"/>
          <w:sz w:val="14"/>
          <w:szCs w:val="14"/>
        </w:rPr>
      </w:pPr>
    </w:p>
    <w:p>
      <w:pPr>
        <w:spacing w:before="0"/>
        <w:ind w:left="0" w:right="114" w:firstLine="0"/>
        <w:jc w:val="right"/>
        <w:rPr>
          <w:rFonts w:ascii="Times New Roman" w:hAnsi="Times New Roman" w:cs="Times New Roman" w:eastAsia="Times New Roman" w:hint="default"/>
          <w:sz w:val="16"/>
          <w:szCs w:val="16"/>
        </w:rPr>
      </w:pPr>
      <w:r>
        <w:rPr>
          <w:rFonts w:ascii="Times New Roman"/>
          <w:w w:val="100"/>
          <w:sz w:val="16"/>
        </w:rPr>
        <w:t>4</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before="0"/>
        <w:ind w:left="0" w:right="114" w:firstLine="0"/>
        <w:jc w:val="right"/>
        <w:rPr>
          <w:rFonts w:ascii="Times New Roman" w:hAnsi="Times New Roman" w:cs="Times New Roman" w:eastAsia="Times New Roman" w:hint="default"/>
          <w:sz w:val="16"/>
          <w:szCs w:val="16"/>
        </w:rPr>
      </w:pPr>
      <w:r>
        <w:rPr>
          <w:rFonts w:ascii="Times New Roman"/>
          <w:w w:val="100"/>
          <w:sz w:val="16"/>
        </w:rPr>
        <w:t>3</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before="0"/>
        <w:ind w:left="0" w:right="114" w:firstLine="0"/>
        <w:jc w:val="right"/>
        <w:rPr>
          <w:rFonts w:ascii="Times New Roman" w:hAnsi="Times New Roman" w:cs="Times New Roman" w:eastAsia="Times New Roman" w:hint="default"/>
          <w:sz w:val="16"/>
          <w:szCs w:val="16"/>
        </w:rPr>
      </w:pPr>
      <w:r>
        <w:rPr>
          <w:rFonts w:ascii="Times New Roman"/>
          <w:w w:val="100"/>
          <w:sz w:val="16"/>
        </w:rPr>
        <w:t>0</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before="0"/>
        <w:ind w:left="0" w:right="114" w:firstLine="0"/>
        <w:jc w:val="right"/>
        <w:rPr>
          <w:rFonts w:ascii="Times New Roman" w:hAnsi="Times New Roman" w:cs="Times New Roman" w:eastAsia="Times New Roman" w:hint="default"/>
          <w:sz w:val="16"/>
          <w:szCs w:val="16"/>
        </w:rPr>
      </w:pPr>
      <w:r>
        <w:rPr>
          <w:rFonts w:ascii="Times New Roman"/>
          <w:w w:val="100"/>
          <w:sz w:val="16"/>
        </w:rPr>
        <w:t>7</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before="0"/>
        <w:ind w:left="0" w:right="114" w:firstLine="0"/>
        <w:jc w:val="right"/>
        <w:rPr>
          <w:rFonts w:ascii="Times New Roman" w:hAnsi="Times New Roman" w:cs="Times New Roman" w:eastAsia="Times New Roman" w:hint="default"/>
          <w:sz w:val="16"/>
          <w:szCs w:val="16"/>
        </w:rPr>
      </w:pPr>
      <w:r>
        <w:rPr>
          <w:rFonts w:ascii="Times New Roman"/>
          <w:w w:val="100"/>
          <w:sz w:val="16"/>
        </w:rPr>
        <w:t>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19,527,2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1,001,74</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18,525,53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13,240,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773.19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796,227.8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12,444,545.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19,527,2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1,001,74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18,525,53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13,240,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773.19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796,227.8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12,444,545.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r>
    </w:tbl>
    <w:p>
      <w:pPr>
        <w:pStyle w:val="BodyText"/>
        <w:spacing w:line="240" w:lineRule="auto" w:before="49"/>
        <w:ind w:right="0"/>
        <w:jc w:val="left"/>
      </w:pPr>
      <w:r>
        <w:rPr/>
        <w:t>期末单项金额重大并单项计提坏账准备的其他应收款：</w:t>
      </w:r>
    </w:p>
    <w:p>
      <w:pPr>
        <w:pStyle w:val="BodyText"/>
        <w:spacing w:line="340" w:lineRule="auto" w:before="115"/>
        <w:ind w:right="5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2,032,859.64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101,642.98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1,691,735.22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169,173.52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33,214.92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118,557.77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59,278.89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368,768.00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4,684,498.89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1,001,748.17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21.38%</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38"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Heading6"/>
        <w:spacing w:line="295" w:lineRule="auto" w:before="43"/>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2"/>
        </w:rPr>
        <w:t>受本公司控制的子公司及本公司控股股东的不计提坏账准备：该类型的其他应收款期末账面余额</w:t>
      </w:r>
      <w:r>
        <w:rPr>
          <w:spacing w:val="-25"/>
        </w:rPr>
        <w:t> </w:t>
      </w:r>
      <w:r>
        <w:rPr>
          <w:spacing w:val="-25"/>
        </w:rPr>
      </w:r>
      <w:r>
        <w:rPr>
          <w:rFonts w:ascii="Times New Roman" w:hAnsi="Times New Roman" w:cs="Times New Roman" w:eastAsia="Times New Roman" w:hint="default"/>
        </w:rPr>
        <w:t>14,842,785.61</w:t>
      </w:r>
      <w:r>
        <w:rPr/>
        <w:t>元，期初账面余额</w:t>
      </w:r>
      <w:r>
        <w:rPr>
          <w:rFonts w:ascii="Times New Roman" w:hAnsi="Times New Roman" w:cs="Times New Roman" w:eastAsia="Times New Roman" w:hint="default"/>
        </w:rPr>
        <w:t>9,089,797.27</w:t>
      </w:r>
      <w:r>
        <w:rPr>
          <w:rFonts w:ascii="Times New Roman" w:hAnsi="Times New Roman" w:cs="Times New Roman" w:eastAsia="Times New Roman" w:hint="default"/>
          <w:spacing w:val="31"/>
        </w:rPr>
        <w:t> </w:t>
      </w:r>
      <w:r>
        <w:rPr>
          <w:spacing w:val="-3"/>
        </w:rPr>
        <w:t>元。</w:t>
      </w:r>
      <w:r>
        <w:rPr/>
      </w:r>
    </w:p>
    <w:p>
      <w:pPr>
        <w:spacing w:line="240" w:lineRule="auto" w:before="5"/>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80" w:top="1060" w:bottom="1160" w:left="980" w:right="980"/>
        </w:sectPr>
      </w:pPr>
    </w:p>
    <w:p>
      <w:pPr>
        <w:pStyle w:val="BodyText"/>
        <w:spacing w:line="340" w:lineRule="auto" w:before="44"/>
        <w:ind w:right="-14"/>
        <w:jc w:val="left"/>
      </w:pPr>
      <w:r>
        <w:rPr/>
        <w:t>本期计提坏账准备金额</w:t>
      </w:r>
      <w:r>
        <w:rPr>
          <w:spacing w:val="-47"/>
        </w:rPr>
        <w:t> </w:t>
      </w:r>
      <w:r>
        <w:rPr>
          <w:rFonts w:ascii="Times New Roman" w:hAnsi="Times New Roman" w:cs="Times New Roman" w:eastAsia="Times New Roman" w:hint="default"/>
        </w:rPr>
        <w:t>205,520.36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917" w:space="2912"/>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0"/>
        <w:ind w:right="0"/>
        <w:jc w:val="left"/>
      </w:pPr>
      <w:r>
        <w:rPr/>
        <w:t>其他应收款核销说明：</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1,180,449.00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9,089,797.27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389,306.02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1,615,657.77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2,492,579.10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1,945,364.64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14,842,785.61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260,950.50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622,164.77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329,003.01</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19,527,284.50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13,240,773.19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深圳市建研检测有限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11,860,519.71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北京艾科城工程技术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2,982,265.90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朔黄铁路发展有限责 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1,744,608.75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157,014.79</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深圳市联泰房地产开 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291,608.00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14,580.40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柳州市公共资源交易 服务中心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16,989,002.36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177,095.19</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8"/>
        <w:gridCol w:w="1944"/>
      </w:tblGrid>
      <w:tr>
        <w:trPr>
          <w:trHeight w:val="713"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31,132,838.03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31,132,838.03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21,932,838.03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21,932,838.03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3,884,652.43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3,884,652.43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35,017,490.46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35,017,490.46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21,932,838.03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21,932,838.03</w:t>
            </w: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市政中心</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9,427,838.03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9,427,838.03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迪赛恩</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艾科筑业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深圳艾科城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北京艾科城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建研检测</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常州城建艾科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上海爱轲</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深圳九一</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雄安玖壹</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21,932,838.03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31,132,838.03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left"/>
              <w:rPr>
                <w:rFonts w:ascii="宋体" w:hAnsi="宋体" w:cs="宋体" w:eastAsia="宋体" w:hint="default"/>
                <w:sz w:val="18"/>
                <w:szCs w:val="18"/>
              </w:rPr>
            </w:pPr>
            <w:r>
              <w:rPr>
                <w:rFonts w:ascii="宋体" w:hAnsi="宋体" w:cs="宋体" w:eastAsia="宋体" w:hint="default"/>
                <w:sz w:val="18"/>
                <w:szCs w:val="18"/>
              </w:rPr>
              <w:t>荆门玖伊 园</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1,484,066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绿研智库</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585.44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2,400,585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-115,347.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3,884,652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304,538,140.64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179,380,994.88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282,938,420.19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164,437,572.70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304,538,140.64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179,380,994.88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5" w:right="0"/>
              <w:jc w:val="left"/>
              <w:rPr>
                <w:rFonts w:ascii="Times New Roman" w:hAnsi="Times New Roman" w:cs="Times New Roman" w:eastAsia="Times New Roman" w:hint="default"/>
                <w:sz w:val="18"/>
                <w:szCs w:val="18"/>
              </w:rPr>
            </w:pPr>
            <w:r>
              <w:rPr>
                <w:rFonts w:ascii="Times New Roman"/>
                <w:sz w:val="18"/>
              </w:rPr>
              <w:t>282,938,420.19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164,437,572.70</w:t>
            </w:r>
          </w:p>
        </w:tc>
      </w:tr>
    </w:tbl>
    <w:p>
      <w:pPr>
        <w:pStyle w:val="BodyText"/>
        <w:spacing w:line="357" w:lineRule="auto" w:before="49"/>
        <w:ind w:right="7304"/>
        <w:jc w:val="left"/>
        <w:rPr>
          <w:rFonts w:ascii="Times New Roman" w:hAnsi="Times New Roman" w:cs="Times New Roman" w:eastAsia="Times New Roman" w:hint="default"/>
        </w:rPr>
      </w:pPr>
      <w:r>
        <w:rPr/>
        <w:pict>
          <v:shape style="position:absolute;margin-left:56.279999pt;margin-top:35.161720pt;width:489.1pt;height:124.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1"/>
                    <w:gridCol w:w="2580"/>
                    <w:gridCol w:w="3024"/>
                  </w:tblGrid>
                  <w:tr>
                    <w:trPr>
                      <w:trHeight w:val="355" w:hRule="exact"/>
                    </w:trPr>
                    <w:tc>
                      <w:tcPr>
                        <w:tcW w:w="4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43"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53"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深圳市建研检测有限公司</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40,673,261.72</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13.36</w:t>
                        </w:r>
                      </w:p>
                    </w:tc>
                  </w:tr>
                  <w:tr>
                    <w:trPr>
                      <w:trHeight w:val="350"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深圳市住宅工程管理站</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16,557,241.78</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5.44</w:t>
                        </w:r>
                      </w:p>
                    </w:tc>
                  </w:tr>
                  <w:tr>
                    <w:trPr>
                      <w:trHeight w:val="353"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深圳市建筑设计研究总院有限公司</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9,144,896.12</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3.00</w:t>
                        </w:r>
                      </w:p>
                    </w:tc>
                  </w:tr>
                  <w:tr>
                    <w:trPr>
                      <w:trHeight w:val="353"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深圳市龙华区政府投资工程项目前期工作办公室</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9,084,982.31</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2.98</w:t>
                        </w:r>
                      </w:p>
                    </w:tc>
                  </w:tr>
                  <w:tr>
                    <w:trPr>
                      <w:trHeight w:val="351"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深圳市龙岗区环境保护和水务局</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8,461,915.09</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2.78</w:t>
                        </w:r>
                      </w:p>
                    </w:tc>
                  </w:tr>
                  <w:tr>
                    <w:trPr>
                      <w:trHeight w:val="353" w:hRule="exact"/>
                    </w:trPr>
                    <w:tc>
                      <w:tcPr>
                        <w:tcW w:w="41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83,922,297.02</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8"/>
                          <w:jc w:val="right"/>
                          <w:rPr>
                            <w:rFonts w:ascii="Times New Roman" w:hAnsi="Times New Roman" w:cs="Times New Roman" w:eastAsia="Times New Roman" w:hint="default"/>
                            <w:sz w:val="18"/>
                            <w:szCs w:val="18"/>
                          </w:rPr>
                        </w:pPr>
                        <w:r>
                          <w:rPr>
                            <w:rFonts w:ascii="Times New Roman"/>
                            <w:sz w:val="18"/>
                          </w:rPr>
                          <w:t>27.56</w:t>
                        </w:r>
                      </w:p>
                    </w:tc>
                  </w:tr>
                </w:tbl>
                <w:p>
                  <w:pPr/>
                </w:p>
              </w:txbxContent>
            </v:textbox>
            <w10:wrap type="none"/>
          </v:shape>
        </w:pict>
      </w:r>
      <w:r>
        <w:rPr/>
        <w:t>其他说明： 公司前五名客户的营业收入情况</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pStyle w:val="Heading5"/>
        <w:spacing w:line="335"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2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-488,363.30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81,906.35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-115,347.57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-406,456.95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880"/>
        </w:sectPr>
      </w:pPr>
    </w:p>
    <w:p>
      <w:pPr>
        <w:spacing w:line="240" w:lineRule="auto" w:before="10"/>
        <w:rPr>
          <w:rFonts w:ascii="宋体" w:hAnsi="宋体" w:cs="宋体" w:eastAsia="宋体" w:hint="default"/>
          <w:sz w:val="24"/>
          <w:szCs w:val="24"/>
        </w:rPr>
      </w:pPr>
    </w:p>
    <w:p>
      <w:pPr>
        <w:pStyle w:val="Heading5"/>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4"/>
        <w:spacing w:line="240" w:lineRule="auto"/>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-1,866.15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11,626,595.75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49,013.91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1,862,109.08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-5,599.15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9,817,233.58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0.2713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0.2713</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0.1929</w:t>
            </w:r>
          </w:p>
        </w:tc>
      </w:tr>
    </w:tbl>
    <w:p>
      <w:pPr>
        <w:spacing w:line="240" w:lineRule="auto" w:before="8"/>
        <w:rPr>
          <w:rFonts w:ascii="Microsoft JhengHei" w:hAnsi="Microsoft JhengHei" w:cs="Microsoft JhengHei" w:eastAsia="Microsoft JhengHei" w:hint="default"/>
          <w:b/>
          <w:bCs/>
          <w:sz w:val="14"/>
          <w:szCs w:val="14"/>
        </w:rPr>
      </w:pPr>
    </w:p>
    <w:p>
      <w:pPr>
        <w:pStyle w:val="Heading5"/>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314" w:lineRule="exact" w:before="30"/>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5"/>
        </w:rPr>
        <w:t> </w:t>
      </w:r>
      <w:r>
        <w:rPr>
          <w:spacing w:val="25"/>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316" w:lineRule="auto"/>
        <w:ind w:right="1494"/>
        <w:jc w:val="left"/>
      </w:pPr>
      <w:r>
        <w:rPr/>
        <w:t>一、载有公司负责人、主管会计工作负责人、会计机构负责人（会计主管人员）签名并盖章的财务报表。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四、载有法定代表人签名的公司</w:t>
      </w:r>
      <w:r>
        <w:rPr>
          <w:rFonts w:ascii="Times New Roman" w:hAnsi="Times New Roman" w:cs="Times New Roman" w:eastAsia="Times New Roman" w:hint="default"/>
        </w:rPr>
        <w:t>2017</w:t>
      </w:r>
      <w:r>
        <w:rPr/>
        <w:t>年年度报告文本。</w:t>
      </w:r>
    </w:p>
    <w:p>
      <w:pPr>
        <w:pStyle w:val="BodyText"/>
        <w:spacing w:line="316" w:lineRule="auto"/>
        <w:ind w:right="5994"/>
        <w:jc w:val="left"/>
      </w:pPr>
      <w:r>
        <w:rPr/>
        <w:t>五、其他备查文件。 六、以上文件的备置地点：公司董事会办公室。</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等线">
    <w:altName w:val="等线"/>
    <w:charset w:val="86"/>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294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94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94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203</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294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294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94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294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294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2.761597pt;width:38pt;height:11pt;mso-position-horizontal-relative:page;mso-position-vertical-relative:page;z-index:-1294792" type="#_x0000_t202" filled="false" stroked="false">
          <v:textbox inset="0,0,0,0">
            <w:txbxContent>
              <w:p>
                <w:pPr>
                  <w:pStyle w:val="BodyText"/>
                  <w:spacing w:line="200" w:lineRule="exact"/>
                  <w:ind w:left="20" w:right="0"/>
                  <w:jc w:val="left"/>
                </w:pPr>
                <w:r>
                  <w:rPr/>
                  <w:t>其他说明</w:t>
                </w:r>
              </w:p>
            </w:txbxContent>
          </v:textbox>
          <w10:wrap type="none"/>
        </v:shape>
      </w:pict>
    </w:r>
    <w:r>
      <w:rPr/>
      <w:pict>
        <v:shape style="position:absolute;margin-left:523.099976pt;margin-top:781.933899pt;width:17.7pt;height:11pt;mso-position-horizontal-relative:page;mso-position-vertical-relative:page;z-index:-1294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197</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294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199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294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7.829987pt;margin-top:36.265610pt;width:231.85pt;height:11.5pt;mso-position-horizontal-relative:page;mso-position-vertical-relative:page;z-index:-1294960" type="#_x0000_t202" filled="false" stroked="false">
          <v:textbox inset="0,0,0,0">
            <w:txbxContent>
              <w:p>
                <w:pPr>
                  <w:pStyle w:val="BodyText"/>
                  <w:spacing w:line="214" w:lineRule="exact"/>
                  <w:ind w:left="20" w:right="0"/>
                  <w:jc w:val="left"/>
                </w:pPr>
                <w:r>
                  <w:rPr/>
                  <w:t>深圳市建筑科学研究院股份有限公司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07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52"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Microsoft JhengHei" w:hAnsi="Microsoft JhengHei" w:eastAsia="Microsoft JhengHei"/>
      <w:b/>
      <w:bCs/>
      <w:sz w:val="24"/>
      <w:szCs w:val="24"/>
    </w:rPr>
  </w:style>
  <w:style w:styleId="Heading5" w:type="paragraph">
    <w:name w:val="Heading 5"/>
    <w:basedOn w:val="Normal"/>
    <w:uiPriority w:val="1"/>
    <w:qFormat/>
    <w:pPr>
      <w:ind w:left="152"/>
      <w:outlineLvl w:val="5"/>
    </w:pPr>
    <w:rPr>
      <w:rFonts w:ascii="Microsoft JhengHei" w:hAnsi="Microsoft JhengHei" w:eastAsia="Microsoft JhengHei"/>
      <w:b/>
      <w:bCs/>
      <w:sz w:val="21"/>
      <w:szCs w:val="21"/>
    </w:rPr>
  </w:style>
  <w:style w:styleId="Heading6" w:type="paragraph">
    <w:name w:val="Heading 6"/>
    <w:basedOn w:val="Normal"/>
    <w:uiPriority w:val="1"/>
    <w:qFormat/>
    <w:pPr>
      <w:ind w:left="152"/>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ibr.com/" TargetMode="External"/><Relationship Id="rId10" Type="http://schemas.openxmlformats.org/officeDocument/2006/relationships/hyperlink" Target="mailto:ibrir@ibrcn.com" TargetMode="External"/><Relationship Id="rId11" Type="http://schemas.openxmlformats.org/officeDocument/2006/relationships/hyperlink" Target="mailto:Maohw@ibrcn.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深圳市建筑科学研究院股份有限公司</dc:creator>
  <dc:title>深圳市建筑科学研究院股份有限公司2017年年度报告全文</dc:title>
  <dcterms:created xsi:type="dcterms:W3CDTF">2020-05-03T01:18:41Z</dcterms:created>
  <dcterms:modified xsi:type="dcterms:W3CDTF">2020-05-03T01:18:41Z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2016</vt:lpwstr>
  </property>
  <property fmtid="{D5CDD505-2E9C-101B-9397-08002B2CF9AE}" pid="4" name="LastSaved">
    <vt:filetime>2020-05-02T00:00:00Z</vt:filetime>
  </property>
</Properties>
</file>