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56.650002pt;margin-top:35.999985pt;width:36.6pt;height:20.05pt;mso-position-horizontal-relative:page;mso-position-vertical-relative:page;z-index:0" type="#_x0000_t75" stroked="false">
            <v:imagedata r:id="rId7" o:title=""/>
          </v:shape>
        </w:pict>
      </w:r>
      <w:r>
        <w:rPr/>
        <w:pict>
          <v:group style="position:absolute;margin-left:55.200001pt;margin-top:59.999985pt;width:484.9pt;height:.1pt;mso-position-horizontal-relative:page;mso-position-vertical-relative:page;z-index:1048" coordorigin="1104,1200" coordsize="9698,2">
            <v:shape style="position:absolute;left:1104;top:1200;width:9698;height:2" coordorigin="1104,1200" coordsize="9698,0" path="m1104,1200l10802,120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121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1410861" cy="7715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861" cy="771525"/>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3"/>
        <w:rPr>
          <w:rFonts w:ascii="Times New Roman" w:hAnsi="Times New Roman" w:cs="Times New Roman" w:eastAsia="Times New Roman" w:hint="default"/>
          <w:sz w:val="13"/>
          <w:szCs w:val="13"/>
        </w:rPr>
      </w:pPr>
    </w:p>
    <w:p>
      <w:pPr>
        <w:spacing w:line="501" w:lineRule="exact" w:before="0"/>
        <w:ind w:left="2071" w:right="3054"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深圳市建筑科学研究院股份有限公司</w:t>
      </w:r>
      <w:r>
        <w:rPr>
          <w:rFonts w:ascii="Microsoft JhengHei" w:hAnsi="Microsoft JhengHei" w:cs="Microsoft JhengHei" w:eastAsia="Microsoft JhengHei" w:hint="default"/>
          <w:sz w:val="36"/>
          <w:szCs w:val="36"/>
        </w:rPr>
      </w:r>
    </w:p>
    <w:p>
      <w:pPr>
        <w:spacing w:before="258"/>
        <w:ind w:left="2071" w:right="3052"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4"/>
        <w:rPr>
          <w:rFonts w:ascii="Microsoft JhengHei" w:hAnsi="Microsoft JhengHei" w:cs="Microsoft JhengHei" w:eastAsia="Microsoft JhengHei" w:hint="default"/>
          <w:b/>
          <w:bCs/>
          <w:sz w:val="23"/>
          <w:szCs w:val="23"/>
        </w:rPr>
      </w:pPr>
    </w:p>
    <w:p>
      <w:pPr>
        <w:spacing w:before="0"/>
        <w:ind w:left="2071" w:right="3049" w:firstLine="0"/>
        <w:jc w:val="center"/>
        <w:rPr>
          <w:rFonts w:ascii="Times New Roman" w:hAnsi="Times New Roman" w:cs="Times New Roman" w:eastAsia="Times New Roman" w:hint="default"/>
          <w:sz w:val="22"/>
          <w:szCs w:val="22"/>
        </w:rPr>
      </w:pPr>
      <w:r>
        <w:rPr>
          <w:rFonts w:ascii="Times New Roman"/>
          <w:b/>
          <w:sz w:val="22"/>
        </w:rPr>
        <w:t>2019-010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5"/>
        <w:rPr>
          <w:rFonts w:ascii="Times New Roman" w:hAnsi="Times New Roman" w:cs="Times New Roman" w:eastAsia="Times New Roman" w:hint="default"/>
          <w:b/>
          <w:bCs/>
          <w:sz w:val="24"/>
          <w:szCs w:val="24"/>
        </w:rPr>
      </w:pPr>
    </w:p>
    <w:p>
      <w:pPr>
        <w:spacing w:before="0"/>
        <w:ind w:left="2071" w:right="3049"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2019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966" w:footer="980" w:top="1280" w:bottom="1160" w:left="980" w:right="0"/>
        </w:sectPr>
      </w:pPr>
    </w:p>
    <w:p>
      <w:pPr>
        <w:spacing w:line="240" w:lineRule="auto" w:before="2"/>
        <w:rPr>
          <w:rFonts w:ascii="Microsoft JhengHei" w:hAnsi="Microsoft JhengHei" w:cs="Microsoft JhengHei" w:eastAsia="Microsoft JhengHei" w:hint="default"/>
          <w:b/>
          <w:bCs/>
          <w:sz w:val="2"/>
          <w:szCs w:val="2"/>
        </w:rPr>
      </w:pPr>
      <w:r>
        <w:rPr/>
        <w:pict>
          <v:shape style="position:absolute;margin-left:56.650002pt;margin-top:42.599983pt;width:36.6pt;height:20.05pt;mso-position-horizontal-relative:page;mso-position-vertical-relative:page;z-index:1096" type="#_x0000_t75" stroked="false">
            <v:imagedata r:id="rId7" o:title=""/>
          </v:shape>
        </w:pict>
      </w: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1"/>
          <w:szCs w:val="11"/>
        </w:rPr>
      </w:pPr>
    </w:p>
    <w:p>
      <w:pPr>
        <w:pStyle w:val="Heading1"/>
        <w:spacing w:line="456" w:lineRule="exact"/>
        <w:ind w:left="2803" w:right="0"/>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6"/>
        <w:rPr>
          <w:rFonts w:ascii="Microsoft JhengHei" w:hAnsi="Microsoft JhengHei" w:cs="Microsoft JhengHei" w:eastAsia="Microsoft JhengHei" w:hint="default"/>
          <w:b/>
          <w:bCs/>
          <w:sz w:val="29"/>
          <w:szCs w:val="29"/>
        </w:rPr>
      </w:pPr>
    </w:p>
    <w:p>
      <w:pPr>
        <w:spacing w:line="307" w:lineRule="auto" w:before="0"/>
        <w:ind w:left="152" w:right="113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实、准确、完整，不存在虚假记载、误导性陈述或重大遗漏，并承担个别和连</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带的法律责任。</w:t>
      </w:r>
      <w:r>
        <w:rPr>
          <w:rFonts w:ascii="Microsoft JhengHei" w:hAnsi="Microsoft JhengHei" w:cs="Microsoft JhengHei" w:eastAsia="Microsoft JhengHei" w:hint="default"/>
          <w:sz w:val="28"/>
          <w:szCs w:val="28"/>
        </w:rPr>
      </w:r>
    </w:p>
    <w:p>
      <w:pPr>
        <w:spacing w:line="307" w:lineRule="auto" w:before="133"/>
        <w:ind w:left="152" w:right="113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公司负责人叶青、主管会计工作负责人刘丽及会计机构负责人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会计主管人</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陈友莲声明：保证年度报告中财务报告的真实、准确、完整。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2"/>
          <w:sz w:val="28"/>
          <w:szCs w:val="28"/>
        </w:rPr>
        <w:t>本年度报告中涉及未来计划或规划等前瞻性陈述的，均不构成公司对投资</w:t>
      </w:r>
      <w:r>
        <w:rPr>
          <w:rFonts w:ascii="Microsoft JhengHei" w:hAnsi="Microsoft JhengHei" w:cs="Microsoft JhengHei" w:eastAsia="Microsoft JhengHei" w:hint="default"/>
          <w:spacing w:val="2"/>
          <w:sz w:val="28"/>
          <w:szCs w:val="28"/>
        </w:rPr>
      </w:r>
    </w:p>
    <w:p>
      <w:pPr>
        <w:spacing w:line="445" w:lineRule="exact" w:before="0"/>
        <w:ind w:left="152"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者的实质承诺，投资者及相关人士均应对此保持足够的风险认识，并且应当理</w:t>
      </w:r>
      <w:r>
        <w:rPr>
          <w:rFonts w:ascii="Microsoft JhengHei" w:hAnsi="Microsoft JhengHei" w:cs="Microsoft JhengHei" w:eastAsia="Microsoft JhengHei" w:hint="default"/>
          <w:spacing w:val="2"/>
          <w:sz w:val="28"/>
          <w:szCs w:val="28"/>
        </w:rPr>
      </w:r>
    </w:p>
    <w:p>
      <w:pPr>
        <w:spacing w:line="307" w:lineRule="auto" w:before="136"/>
        <w:ind w:left="152" w:right="1133"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解计划、预测与承诺之间的差异。敬请投资者注意投资风险。公司不存在因经</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营状况、财务状况和持续盈利能力方面有严重不利影响的风险因素。有关公司</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可能面对的风险及公司应对措施等详见本报告第四节</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中</w:t>
      </w:r>
      <w:r>
        <w:rPr>
          <w:rFonts w:ascii="Microsoft JhengHei" w:hAnsi="Microsoft JhengHei" w:cs="Microsoft JhengHei" w:eastAsia="Microsoft JhengHei" w:hint="default"/>
          <w:b/>
          <w:bCs/>
          <w:spacing w:val="-33"/>
          <w:sz w:val="28"/>
          <w:szCs w:val="28"/>
        </w:rPr>
        <w:t> </w:t>
      </w:r>
      <w:r>
        <w:rPr>
          <w:rFonts w:ascii="Microsoft JhengHei" w:hAnsi="Microsoft JhengHei" w:cs="Microsoft JhengHei" w:eastAsia="Microsoft JhengHei" w:hint="default"/>
          <w:b/>
          <w:bCs/>
          <w:sz w:val="28"/>
          <w:szCs w:val="28"/>
        </w:rPr>
        <w:t>相关内容。</w:t>
      </w:r>
      <w:r>
        <w:rPr>
          <w:rFonts w:ascii="Microsoft JhengHei" w:hAnsi="Microsoft JhengHei" w:cs="Microsoft JhengHei" w:eastAsia="Microsoft JhengHei" w:hint="default"/>
          <w:sz w:val="28"/>
          <w:szCs w:val="28"/>
        </w:rPr>
      </w:r>
    </w:p>
    <w:p>
      <w:pPr>
        <w:spacing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公司经本次董事会审议通过的利润分配预案为：以 </w:t>
      </w:r>
      <w:r>
        <w:rPr>
          <w:rFonts w:ascii="Times New Roman" w:hAnsi="Times New Roman" w:cs="Times New Roman" w:eastAsia="Times New Roman" w:hint="default"/>
          <w:b/>
          <w:bCs/>
          <w:sz w:val="28"/>
          <w:szCs w:val="28"/>
        </w:rPr>
        <w:t>146,666,700</w:t>
      </w:r>
      <w:r>
        <w:rPr>
          <w:rFonts w:ascii="Times New Roman" w:hAnsi="Times New Roman" w:cs="Times New Roman" w:eastAsia="Times New Roman" w:hint="default"/>
          <w:b/>
          <w:bCs/>
          <w:spacing w:val="-10"/>
          <w:sz w:val="28"/>
          <w:szCs w:val="28"/>
        </w:rPr>
        <w:t> </w:t>
      </w:r>
      <w:r>
        <w:rPr>
          <w:rFonts w:ascii="Microsoft JhengHei" w:hAnsi="Microsoft JhengHei" w:cs="Microsoft JhengHei" w:eastAsia="Microsoft JhengHei" w:hint="default"/>
          <w:b/>
          <w:bCs/>
          <w:spacing w:val="-5"/>
          <w:sz w:val="28"/>
          <w:szCs w:val="28"/>
        </w:rPr>
        <w:t>为基数，向</w:t>
      </w:r>
      <w:r>
        <w:rPr>
          <w:rFonts w:ascii="Microsoft JhengHei" w:hAnsi="Microsoft JhengHei" w:cs="Microsoft JhengHei" w:eastAsia="Microsoft JhengHei" w:hint="default"/>
          <w:spacing w:val="-5"/>
          <w:sz w:val="28"/>
          <w:szCs w:val="28"/>
        </w:rPr>
      </w:r>
    </w:p>
    <w:p>
      <w:pPr>
        <w:spacing w:before="136"/>
        <w:ind w:left="152"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t>全体</w:t>
      </w:r>
      <w:r>
        <w:rPr>
          <w:rFonts w:ascii="Microsoft JhengHei" w:hAnsi="Microsoft JhengHei" w:cs="Microsoft JhengHei" w:eastAsia="Microsoft JhengHei" w:hint="default"/>
          <w:b/>
          <w:bCs/>
          <w:spacing w:val="2"/>
          <w:w w:val="100"/>
          <w:sz w:val="28"/>
          <w:szCs w:val="28"/>
        </w:rPr>
        <w:t>股</w:t>
      </w:r>
      <w:r>
        <w:rPr>
          <w:rFonts w:ascii="Microsoft JhengHei" w:hAnsi="Microsoft JhengHei" w:cs="Microsoft JhengHei" w:eastAsia="Microsoft JhengHei" w:hint="default"/>
          <w:b/>
          <w:bCs/>
          <w:w w:val="100"/>
          <w:sz w:val="28"/>
          <w:szCs w:val="28"/>
        </w:rPr>
        <w:t>东每</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w w:val="100"/>
          <w:sz w:val="28"/>
          <w:szCs w:val="28"/>
        </w:rPr>
        <w:t>股派发现</w:t>
      </w:r>
      <w:r>
        <w:rPr>
          <w:rFonts w:ascii="Microsoft JhengHei" w:hAnsi="Microsoft JhengHei" w:cs="Microsoft JhengHei" w:eastAsia="Microsoft JhengHei" w:hint="default"/>
          <w:b/>
          <w:bCs/>
          <w:spacing w:val="2"/>
          <w:w w:val="100"/>
          <w:sz w:val="28"/>
          <w:szCs w:val="28"/>
        </w:rPr>
        <w:t>金</w:t>
      </w:r>
      <w:r>
        <w:rPr>
          <w:rFonts w:ascii="Microsoft JhengHei" w:hAnsi="Microsoft JhengHei" w:cs="Microsoft JhengHei" w:eastAsia="Microsoft JhengHei" w:hint="default"/>
          <w:b/>
          <w:bCs/>
          <w:w w:val="100"/>
          <w:sz w:val="28"/>
          <w:szCs w:val="28"/>
        </w:rPr>
        <w:t>红利</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7</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Microsoft JhengHei" w:hAnsi="Microsoft JhengHei" w:cs="Microsoft JhengHei" w:eastAsia="Microsoft JhengHei" w:hint="default"/>
          <w:b/>
          <w:bCs/>
          <w:spacing w:val="-32"/>
          <w:w w:val="100"/>
          <w:sz w:val="28"/>
          <w:szCs w:val="28"/>
        </w:rPr>
        <w:t>元</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送红股</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spacing w:val="-32"/>
          <w:w w:val="100"/>
          <w:sz w:val="28"/>
          <w:szCs w:val="28"/>
        </w:rPr>
        <w:t>股</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以资本公</w:t>
      </w:r>
      <w:r>
        <w:rPr>
          <w:rFonts w:ascii="Microsoft JhengHei" w:hAnsi="Microsoft JhengHei" w:cs="Microsoft JhengHei" w:eastAsia="Microsoft JhengHei" w:hint="default"/>
          <w:w w:val="100"/>
          <w:sz w:val="28"/>
          <w:szCs w:val="28"/>
        </w:rPr>
      </w:r>
    </w:p>
    <w:p>
      <w:pPr>
        <w:spacing w:before="136"/>
        <w:ind w:left="152"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积金向全体股东每 </w:t>
      </w:r>
      <w:r>
        <w:rPr>
          <w:rFonts w:ascii="Times New Roman" w:hAnsi="Times New Roman" w:cs="Times New Roman" w:eastAsia="Times New Roman" w:hint="default"/>
          <w:b/>
          <w:bCs/>
          <w:sz w:val="28"/>
          <w:szCs w:val="28"/>
        </w:rPr>
        <w:t>10 </w:t>
      </w:r>
      <w:r>
        <w:rPr>
          <w:rFonts w:ascii="Microsoft JhengHei" w:hAnsi="Microsoft JhengHei" w:cs="Microsoft JhengHei" w:eastAsia="Microsoft JhengHei" w:hint="default"/>
          <w:b/>
          <w:bCs/>
          <w:sz w:val="28"/>
          <w:szCs w:val="28"/>
        </w:rPr>
        <w:t>股转增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6"/>
          <w:sz w:val="28"/>
          <w:szCs w:val="28"/>
        </w:rPr>
        <w:t> </w:t>
      </w:r>
      <w:r>
        <w:rPr>
          <w:rFonts w:ascii="Microsoft JhengHei" w:hAnsi="Microsoft JhengHei" w:cs="Microsoft JhengHei" w:eastAsia="Microsoft JhengHei" w:hint="default"/>
          <w:b/>
          <w:bCs/>
          <w:sz w:val="28"/>
          <w:szCs w:val="28"/>
        </w:rPr>
        <w:t>股。</w:t>
      </w:r>
      <w:r>
        <w:rPr>
          <w:rFonts w:ascii="Microsoft JhengHei" w:hAnsi="Microsoft JhengHei" w:cs="Microsoft JhengHei" w:eastAsia="Microsoft JhengHei" w:hint="default"/>
          <w:sz w:val="28"/>
          <w:szCs w:val="28"/>
        </w:rPr>
      </w:r>
    </w:p>
    <w:p>
      <w:pPr>
        <w:spacing w:after="0"/>
        <w:jc w:val="both"/>
        <w:rPr>
          <w:rFonts w:ascii="Microsoft JhengHei" w:hAnsi="Microsoft JhengHei" w:cs="Microsoft JhengHei" w:eastAsia="Microsoft JhengHei" w:hint="default"/>
          <w:sz w:val="28"/>
          <w:szCs w:val="28"/>
        </w:rPr>
        <w:sectPr>
          <w:footerReference w:type="default" r:id="rId8"/>
          <w:pgSz w:w="11910" w:h="16840"/>
          <w:pgMar w:footer="980" w:header="966" w:top="1280" w:bottom="1160" w:left="980" w:right="0"/>
          <w:pgNumType w:start="2"/>
        </w:sectPr>
      </w:pPr>
    </w:p>
    <w:p>
      <w:pPr>
        <w:spacing w:line="240" w:lineRule="auto" w:before="2"/>
        <w:rPr>
          <w:rFonts w:ascii="Microsoft JhengHei" w:hAnsi="Microsoft JhengHei" w:cs="Microsoft JhengHei" w:eastAsia="Microsoft JhengHei" w:hint="default"/>
          <w:b/>
          <w:bCs/>
          <w:sz w:val="2"/>
          <w:szCs w:val="2"/>
        </w:rPr>
      </w:pPr>
      <w:r>
        <w:rPr/>
        <w:pict>
          <v:shape style="position:absolute;margin-left:56.650002pt;margin-top:42.599983pt;width:36.6pt;height:20.05pt;mso-position-horizontal-relative:page;mso-position-vertical-relative:page;z-index:1144" type="#_x0000_t75" stroked="false">
            <v:imagedata r:id="rId7" o:title=""/>
          </v:shape>
        </w:pict>
      </w: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2"/>
          <w:szCs w:val="22"/>
        </w:rPr>
      </w:pPr>
    </w:p>
    <w:p>
      <w:pPr>
        <w:spacing w:line="501" w:lineRule="exact" w:before="0"/>
        <w:ind w:left="2071" w:right="304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
        <w:rPr>
          <w:rFonts w:ascii="Microsoft JhengHei" w:hAnsi="Microsoft JhengHei" w:cs="Microsoft JhengHei" w:eastAsia="Microsoft JhengHei" w:hint="default"/>
          <w:b/>
          <w:bCs/>
          <w:sz w:val="50"/>
          <w:szCs w:val="50"/>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hyperlink>
        </w:p>
        <w:p>
          <w:pPr>
            <w:pStyle w:val="TOC1"/>
            <w:tabs>
              <w:tab w:pos="9785" w:val="right" w:leader="dot"/>
            </w:tabs>
            <w:spacing w:line="240" w:lineRule="auto" w:before="102"/>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29</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59</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t>65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70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t>71</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189</w:t>
            </w:r>
          </w:hyperlink>
        </w:p>
        <w:p>
          <w:pPr/>
          <w:r>
            <w:fldChar w:fldCharType="end"/>
          </w:r>
        </w:p>
      </w:sdtContent>
    </w:sdt>
    <w:p>
      <w:pPr>
        <w:spacing w:after="0"/>
        <w:sectPr>
          <w:pgSz w:w="11910" w:h="16840"/>
          <w:pgMar w:header="966" w:footer="980" w:top="1280" w:bottom="1160" w:left="980" w:right="0"/>
        </w:sectPr>
      </w:pPr>
    </w:p>
    <w:p>
      <w:pPr>
        <w:spacing w:before="571"/>
        <w:ind w:left="2071" w:right="3049"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公司、本公司、建科院、</w:t>
            </w:r>
            <w:r>
              <w:rPr>
                <w:rFonts w:ascii="Times New Roman" w:hAnsi="Times New Roman" w:cs="Times New Roman" w:eastAsia="Times New Roman" w:hint="default"/>
                <w:sz w:val="18"/>
                <w:szCs w:val="18"/>
              </w:rPr>
              <w:t>IBR</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深圳市建筑科学研究院股份有限公司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控股股东、公司控股股东、远致投资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深圳市远致投资有限公司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深圳市国资委、市国资委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深圳市人民政府国有资产监督管理委员会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市政中心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深圳市市政工程咨询中心有限公司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北京艾科城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北京艾科城工程技术有限公司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深圳艾科城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深圳艾科城工程技术有限公司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艾科筑业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深圳艾科筑业工程技术有限公司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建研检测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深圳市建研检测有限公司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常州城建艾科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常州市城建艾科绿色技术有限公司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上海爱轲</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上海市爱轲城生态科技有限公司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深圳玖伊</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深圳玖伊绿色运营管理有限公司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雄安玖壹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河北雄安玖壹生态科技有限公司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绿研检验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河北雄安绿研检验认证有限公司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深圳市迪赛恩科技有限公司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建信筑和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深圳市建信筑和科技有限公司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绿研智库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荆门玖伊园</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荆门玖伊园科技有限公司</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IBR-LBNL</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联合研究中心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LBNL</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美国劳伦斯－伯克利国家实验室，美国能源部下属，全球知名 </w:t>
            </w:r>
            <w:r>
              <w:rPr>
                <w:rFonts w:ascii="宋体" w:hAnsi="宋体" w:cs="宋体" w:eastAsia="宋体" w:hint="default"/>
                <w:spacing w:val="-2"/>
                <w:sz w:val="18"/>
                <w:szCs w:val="18"/>
              </w:rPr>
              <w:t>研究机构，承担中美清洁能源政府间合作，美方技术负责，和建科院</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有长期战略合作。</w:t>
            </w:r>
          </w:p>
        </w:tc>
      </w:tr>
      <w:tr>
        <w:trPr>
          <w:trHeight w:val="13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绿色建筑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在建筑的全寿命周期内，最大限度节约资源，节能、节地、节水、节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材、保护环境和减少污染，提供健康适用、高效的使用空间，与自然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和谐共生的建筑，包括设计、建造、运营、维修、更新、拆除等全过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程。</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生态诊断</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2"/>
                <w:sz w:val="18"/>
                <w:szCs w:val="18"/>
              </w:rPr>
              <w:t>通过对城市或城区地质安全、生态安全、环境安全、资源条件等方面</w:t>
            </w:r>
          </w:p>
        </w:tc>
      </w:tr>
    </w:tbl>
    <w:p>
      <w:pPr>
        <w:spacing w:after="0" w:line="240" w:lineRule="auto"/>
        <w:jc w:val="left"/>
        <w:rPr>
          <w:rFonts w:ascii="宋体" w:hAnsi="宋体" w:cs="宋体" w:eastAsia="宋体" w:hint="default"/>
          <w:sz w:val="18"/>
          <w:szCs w:val="18"/>
        </w:rPr>
        <w:sectPr>
          <w:headerReference w:type="default" r:id="rId9"/>
          <w:pgSz w:w="11910" w:h="16840"/>
          <w:pgMar w:header="852" w:footer="980" w:top="1320" w:bottom="1160" w:left="980" w:right="0"/>
        </w:sectPr>
      </w:pPr>
    </w:p>
    <w:p>
      <w:pPr>
        <w:pStyle w:val="BodyText"/>
        <w:spacing w:line="240" w:lineRule="auto" w:before="121"/>
        <w:ind w:left="0" w:right="1139"/>
        <w:jc w:val="right"/>
      </w:pPr>
      <w:r>
        <w:rPr/>
        <w:pict>
          <v:shape style="position:absolute;margin-left:56.400002pt;margin-top:5.041743pt;width:479.3pt;height:533.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1611"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9"/>
                          <w:jc w:val="left"/>
                          <w:rPr>
                            <w:rFonts w:ascii="宋体" w:hAnsi="宋体" w:cs="宋体" w:eastAsia="宋体" w:hint="default"/>
                            <w:sz w:val="18"/>
                            <w:szCs w:val="18"/>
                          </w:rPr>
                        </w:pPr>
                        <w:r>
                          <w:rPr>
                            <w:rFonts w:ascii="宋体" w:hAnsi="宋体" w:cs="宋体" w:eastAsia="宋体" w:hint="default"/>
                            <w:spacing w:val="-5"/>
                            <w:sz w:val="18"/>
                            <w:szCs w:val="18"/>
                          </w:rPr>
                          <w:t>的诊断分析，综合评估其生态敏感性、环境资源承载力、开发适宜性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低影响开发模式、人居健康安全等，判定生态控制基线和环境承载底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线，划定城镇建设生态控制线，建立城市发展与自然生态的平衡点， </w:t>
                        </w:r>
                        <w:r>
                          <w:rPr>
                            <w:rFonts w:ascii="宋体" w:hAnsi="宋体" w:cs="宋体" w:eastAsia="宋体" w:hint="default"/>
                            <w:spacing w:val="-4"/>
                            <w:sz w:val="18"/>
                            <w:szCs w:val="18"/>
                          </w:rPr>
                          <w:t>是生态规划的基础，建科院创造性地把生态诊断技术系统化、模板化</w:t>
                        </w:r>
                        <w:r>
                          <w:rPr>
                            <w:rFonts w:ascii="宋体" w:hAnsi="宋体" w:cs="宋体" w:eastAsia="宋体" w:hint="default"/>
                            <w:sz w:val="18"/>
                            <w:szCs w:val="18"/>
                          </w:rPr>
                          <w:t> 数据化、三维显性化，纳入到生态城市整体建设体系中。</w:t>
                        </w:r>
                      </w:p>
                    </w:tc>
                  </w:tr>
                  <w:tr>
                    <w:trPr>
                      <w:trHeight w:val="258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生态城市规划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利用生态学和现代城市规划理论及方法，重点针对城市生态系统及其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与产业、社会之间的系统关系进行评估，着眼于</w:t>
                        </w:r>
                        <w:r>
                          <w:rPr>
                            <w:rFonts w:ascii="Times New Roman" w:hAnsi="Times New Roman" w:cs="Times New Roman" w:eastAsia="Times New Roman" w:hint="default"/>
                            <w:sz w:val="18"/>
                            <w:szCs w:val="18"/>
                          </w:rPr>
                          <w:t>"</w:t>
                        </w:r>
                        <w:r>
                          <w:rPr>
                            <w:rFonts w:ascii="宋体" w:hAnsi="宋体" w:cs="宋体" w:eastAsia="宋体" w:hint="default"/>
                            <w:sz w:val="18"/>
                            <w:szCs w:val="18"/>
                          </w:rPr>
                          <w:t>生态导向</w:t>
                        </w:r>
                        <w:r>
                          <w:rPr>
                            <w:rFonts w:ascii="Times New Roman" w:hAnsi="Times New Roman" w:cs="Times New Roman" w:eastAsia="Times New Roman" w:hint="default"/>
                            <w:sz w:val="18"/>
                            <w:szCs w:val="18"/>
                          </w:rPr>
                          <w:t>"</w:t>
                        </w:r>
                        <w:r>
                          <w:rPr>
                            <w:rFonts w:ascii="宋体" w:hAnsi="宋体" w:cs="宋体" w:eastAsia="宋体" w:hint="default"/>
                            <w:sz w:val="18"/>
                            <w:szCs w:val="18"/>
                          </w:rPr>
                          <w:t>的整体规 </w:t>
                        </w:r>
                        <w:r>
                          <w:rPr>
                            <w:rFonts w:ascii="宋体" w:hAnsi="宋体" w:cs="宋体" w:eastAsia="宋体" w:hint="default"/>
                            <w:spacing w:val="-2"/>
                            <w:sz w:val="18"/>
                            <w:szCs w:val="18"/>
                          </w:rPr>
                          <w:t>划设计，涵盖生态城市诊断、生态指标体系、生态专项规划（土地集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约利用、生态环境、绿色交通、绿色能源、水资源综合利用、固废利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用、绿色建筑、人文等）及不同层次的相关规划活动。与传统规划的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主要差异在于将人的建设活动和自然生态系统进行平衡规划，关注人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的活动对区域的影响，追求生活、生态、生产三合一，而不是通过大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规模破坏自然体系的建设活动来实现规划意图。</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公信服务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
                          <w:jc w:val="both"/>
                          <w:rPr>
                            <w:rFonts w:ascii="宋体" w:hAnsi="宋体" w:cs="宋体" w:eastAsia="宋体" w:hint="default"/>
                            <w:sz w:val="18"/>
                            <w:szCs w:val="18"/>
                          </w:rPr>
                        </w:pPr>
                        <w:r>
                          <w:rPr>
                            <w:rFonts w:ascii="宋体" w:hAnsi="宋体" w:cs="宋体" w:eastAsia="宋体" w:hint="default"/>
                            <w:spacing w:val="-2"/>
                            <w:sz w:val="18"/>
                            <w:szCs w:val="18"/>
                          </w:rPr>
                          <w:t>以公正、权威的非当事人身份，根据有关法律、标准或合同所进行的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工程、建筑材料或部品、建筑设备、建筑环境等检测、检验、认证、 评估等活动。</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工程设计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根据建设工程和法律法规的要求，对建设工程所需的技术、经济、资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源、环境等条件进行综合分析、论证，编制建设工程设计文件，提供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相关服务的活动。</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工程勘察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left"/>
                          <w:rPr>
                            <w:rFonts w:ascii="宋体" w:hAnsi="宋体" w:cs="宋体" w:eastAsia="宋体" w:hint="default"/>
                            <w:sz w:val="18"/>
                            <w:szCs w:val="18"/>
                          </w:rPr>
                        </w:pPr>
                        <w:r>
                          <w:rPr>
                            <w:rFonts w:ascii="宋体" w:hAnsi="宋体" w:cs="宋体" w:eastAsia="宋体" w:hint="default"/>
                            <w:spacing w:val="-5"/>
                            <w:sz w:val="18"/>
                            <w:szCs w:val="18"/>
                          </w:rPr>
                          <w:t>根据建设工程和法律法规的要求，查明、分析、评价建设场地的地质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地理环境特征和岩土工程条件，编制建设工程勘察文件的活动。</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工程咨询</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遵循独立、科学、公正的原则，运用工程技术、科学技术、经济管理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和法律法规等多学科方面的知识和经验，为政府部门、项目业主及其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他各类客户的工程建设项目决策和管理提供咨询活动的智力服务，包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括前期立项阶段咨询、勘察设计阶段咨询、施工阶段咨询、投产或交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付使用后的评价等工作。</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绿色综合运营（</w:t>
                        </w:r>
                        <w:r>
                          <w:rPr>
                            <w:rFonts w:ascii="Times New Roman" w:hAnsi="Times New Roman" w:cs="Times New Roman" w:eastAsia="Times New Roman" w:hint="default"/>
                            <w:sz w:val="18"/>
                            <w:szCs w:val="18"/>
                          </w:rPr>
                          <w:t>DOT</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Design-Operation-Transfer</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的缩写，即包含</w:t>
                        </w:r>
                        <w:r>
                          <w:rPr>
                            <w:rFonts w:ascii="Times New Roman" w:hAnsi="Times New Roman" w:cs="Times New Roman" w:eastAsia="Times New Roman" w:hint="default"/>
                            <w:sz w:val="18"/>
                            <w:szCs w:val="18"/>
                          </w:rPr>
                          <w:t>"</w:t>
                        </w:r>
                        <w:r>
                          <w:rPr>
                            <w:rFonts w:ascii="宋体" w:hAnsi="宋体" w:cs="宋体" w:eastAsia="宋体" w:hint="default"/>
                            <w:sz w:val="18"/>
                            <w:szCs w:val="18"/>
                          </w:rPr>
                          <w:t>设计</w:t>
                        </w:r>
                        <w:r>
                          <w:rPr>
                            <w:rFonts w:ascii="Times New Roman" w:hAnsi="Times New Roman" w:cs="Times New Roman" w:eastAsia="Times New Roman" w:hint="default"/>
                            <w:sz w:val="18"/>
                            <w:szCs w:val="18"/>
                          </w:rPr>
                          <w:t>-</w:t>
                        </w:r>
                        <w:r>
                          <w:rPr>
                            <w:rFonts w:ascii="宋体" w:hAnsi="宋体" w:cs="宋体" w:eastAsia="宋体" w:hint="default"/>
                            <w:sz w:val="18"/>
                            <w:szCs w:val="18"/>
                          </w:rPr>
                          <w:t>运营</w:t>
                        </w:r>
                        <w:r>
                          <w:rPr>
                            <w:rFonts w:ascii="Times New Roman" w:hAnsi="Times New Roman" w:cs="Times New Roman" w:eastAsia="Times New Roman" w:hint="default"/>
                            <w:sz w:val="18"/>
                            <w:szCs w:val="18"/>
                          </w:rPr>
                          <w:t>-</w:t>
                        </w:r>
                        <w:r>
                          <w:rPr>
                            <w:rFonts w:ascii="宋体" w:hAnsi="宋体" w:cs="宋体" w:eastAsia="宋体" w:hint="default"/>
                            <w:sz w:val="18"/>
                            <w:szCs w:val="18"/>
                          </w:rPr>
                          <w:t>移交</w:t>
                        </w:r>
                        <w:r>
                          <w:rPr>
                            <w:rFonts w:ascii="Times New Roman" w:hAnsi="Times New Roman" w:cs="Times New Roman" w:eastAsia="Times New Roman" w:hint="default"/>
                            <w:sz w:val="18"/>
                            <w:szCs w:val="18"/>
                          </w:rPr>
                          <w:t>"</w:t>
                        </w:r>
                        <w:r>
                          <w:rPr>
                            <w:rFonts w:ascii="宋体" w:hAnsi="宋体" w:cs="宋体" w:eastAsia="宋体" w:hint="default"/>
                            <w:sz w:val="18"/>
                            <w:szCs w:val="18"/>
                          </w:rPr>
                          <w:t>等三个环 </w:t>
                        </w:r>
                        <w:r>
                          <w:rPr>
                            <w:rFonts w:ascii="宋体" w:hAnsi="宋体" w:cs="宋体" w:eastAsia="宋体" w:hint="default"/>
                            <w:spacing w:val="-2"/>
                            <w:sz w:val="18"/>
                            <w:szCs w:val="18"/>
                          </w:rPr>
                          <w:t>节。提供涵盖规划设计、建设运营全过程的综合服务，为客户减少协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调沟通成本，实现项目绿色运营实效。</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 </w:t>
                        </w:r>
                        <w:r>
                          <w:rPr>
                            <w:rFonts w:ascii="宋体" w:hAnsi="宋体" w:cs="宋体" w:eastAsia="宋体" w:hint="default"/>
                            <w:sz w:val="18"/>
                            <w:szCs w:val="18"/>
                          </w:rPr>
                          <w:t>工程总承包</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w:t>
                        </w:r>
                        <w:r>
                          <w:rPr>
                            <w:rFonts w:ascii="Times New Roman" w:hAnsi="Times New Roman" w:cs="Times New Roman" w:eastAsia="Times New Roman" w:hint="default"/>
                            <w:sz w:val="18"/>
                            <w:szCs w:val="18"/>
                          </w:rPr>
                          <w:t>Engineering Procurement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Construction</w:t>
                        </w:r>
                        <w:r>
                          <w:rPr>
                            <w:rFonts w:ascii="宋体" w:hAnsi="宋体" w:cs="宋体" w:eastAsia="宋体" w:hint="default"/>
                            <w:sz w:val="18"/>
                            <w:szCs w:val="18"/>
                          </w:rPr>
                          <w:t>）是指公司受业主委托，</w:t>
                        </w:r>
                        <w:r>
                          <w:rPr>
                            <w:rFonts w:ascii="宋体" w:hAnsi="宋体" w:cs="宋体" w:eastAsia="宋体" w:hint="default"/>
                            <w:w w:val="99"/>
                            <w:sz w:val="18"/>
                            <w:szCs w:val="18"/>
                          </w:rPr>
                          <w:t> </w:t>
                        </w:r>
                        <w:r>
                          <w:rPr>
                            <w:rFonts w:ascii="宋体" w:hAnsi="宋体" w:cs="宋体" w:eastAsia="宋体" w:hint="default"/>
                            <w:spacing w:val="-2"/>
                            <w:sz w:val="18"/>
                            <w:szCs w:val="18"/>
                          </w:rPr>
                          <w:t>按照合同约定对工程建设项目的设计、采购、施工、试运行等实行全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过程或若干阶段的承包。</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left="0" w:right="1139"/>
        <w:jc w:val="right"/>
      </w:pPr>
      <w:r>
        <w:rPr/>
        <w:t>、</w:t>
      </w:r>
    </w:p>
    <w:p>
      <w:pPr>
        <w:spacing w:after="0" w:line="240" w:lineRule="auto"/>
        <w:jc w:val="right"/>
        <w:sectPr>
          <w:pgSz w:w="11910" w:h="16840"/>
          <w:pgMar w:header="852" w:footer="980" w:top="132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456" w:lineRule="exact"/>
        <w:ind w:left="2642" w:right="0"/>
        <w:jc w:val="left"/>
        <w:rPr>
          <w:b w:val="0"/>
          <w:bCs w:val="0"/>
        </w:rPr>
      </w:pPr>
      <w:bookmarkStart w:name="_bookmark1" w:id="2"/>
      <w:bookmarkEnd w:id="2"/>
      <w:r>
        <w:rPr>
          <w:b w:val="0"/>
          <w:bCs w:val="0"/>
        </w:rPr>
      </w: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pict>
          <v:shape style="position:absolute;margin-left:147.020004pt;margin-top:114.552498pt;width:387.95pt;height:19.7pt;mso-position-horizontal-relative:page;mso-position-vertical-relative:paragraph;z-index:-1021984"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建科院</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300675</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深圳市建筑科学研究院股份有限公司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深圳建科院</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Shenzhen Institute of Building Research Co.,</w:t>
            </w:r>
            <w:r>
              <w:rPr>
                <w:rFonts w:ascii="Times New Roman"/>
                <w:spacing w:val="-12"/>
                <w:sz w:val="18"/>
              </w:rPr>
              <w:t> </w:t>
            </w:r>
            <w:r>
              <w:rPr>
                <w:rFonts w:ascii="Times New Roman"/>
                <w:sz w:val="18"/>
              </w:rPr>
              <w:t>Ltd.</w:t>
            </w:r>
          </w:p>
        </w:tc>
      </w:tr>
      <w:tr>
        <w:trPr>
          <w:trHeight w:val="404"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IBR</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叶青</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深圳市福田区梅林梅坳三路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号建科大楼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518049</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深圳市福田区梅林梅坳三路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号建科大楼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518049</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www.szibr.com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ibrir@ibrcn.com</w:t>
              </w:r>
            </w:hyperlink>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毛洪伟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舒彦铭</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深圳市福田区梅林梅坳三路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号建科大 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深圳市福田区梅林梅坳三路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号建科大 楼</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0755-23950525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0755-23950525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0755-23931800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0755-23931800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Maohw@ibrcn.com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Shuyanming@ibrcn.com</w:t>
              </w:r>
            </w:hyperlink>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4">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after="0" w:line="240" w:lineRule="auto"/>
        <w:jc w:val="left"/>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号四楼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丘运良、吴健东</w:t>
            </w:r>
          </w:p>
        </w:tc>
      </w:tr>
    </w:tbl>
    <w:p>
      <w:pPr>
        <w:pStyle w:val="BodyText"/>
        <w:spacing w:line="240" w:lineRule="auto" w:before="49"/>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申万宏源证券承销保荐有限 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北京市西城区太平桥大街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李志文、梁葳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2017.7.19-2020.12.31</w:t>
            </w:r>
          </w:p>
        </w:tc>
      </w:tr>
    </w:tbl>
    <w:p>
      <w:pPr>
        <w:pStyle w:val="BodyText"/>
        <w:spacing w:line="240" w:lineRule="auto" w:before="49"/>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5"/>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397,007,934.86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381,831,957.61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346,125,986.64</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34,630,772.68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33,987,787.76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31,539,638.45</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12,116,967.00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24,170,554.18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23,382,116.51</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42,986,794.68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97,410,702.88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86,889,826.14</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0.2361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0.2713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0.2867</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0.2361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0.2713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0.2867</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11.51%</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847,429,547.90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691,584,901.89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535,667,956.81</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443,270,304.60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418,172,867.42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285,320,793.16</w:t>
            </w:r>
          </w:p>
        </w:tc>
      </w:tr>
    </w:tbl>
    <w:p>
      <w:pPr>
        <w:spacing w:line="240" w:lineRule="auto" w:before="4"/>
        <w:rPr>
          <w:rFonts w:ascii="宋体" w:hAnsi="宋体" w:cs="宋体" w:eastAsia="宋体" w:hint="default"/>
          <w:sz w:val="18"/>
          <w:szCs w:val="18"/>
        </w:rPr>
      </w:pPr>
    </w:p>
    <w:p>
      <w:pPr>
        <w:pStyle w:val="Heading2"/>
        <w:spacing w:line="367" w:lineRule="exact"/>
        <w:ind w:right="0"/>
        <w:jc w:val="left"/>
        <w:rPr>
          <w:b w:val="0"/>
          <w:bCs w:val="0"/>
        </w:rPr>
      </w:pPr>
      <w:r>
        <w:rPr/>
        <w:t>六、分季度主要财务指标</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43,519,507.05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110,246,499.86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90,469,545.11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152,772,382.84</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-26,783,354.59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30,394,673.43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60,392.38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30,959,061.46</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-32,131,210.45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29,037,457.15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-3,111,595.72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17,895,465.51</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-49,050,178.32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-14,037,744.82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62,964,416.03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43,110,301.79</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15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5,770.00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-1,866.15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75,775.18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24,011,542.95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11,626,595.75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9,379,816.61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2,112,436.97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743,850.00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-202,402.17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49,013.91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181,976.38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4,156,069.25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1,862,109.08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1,479,498.18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1,322.82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-5,599.15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548.05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22,513,805.68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9,817,233.58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8,157,521.94</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pgSz w:w="11910" w:h="16840"/>
          <w:pgMar w:header="852" w:footer="980" w:top="1320" w:bottom="1160" w:left="980" w:right="0"/>
        </w:sectPr>
      </w:pPr>
    </w:p>
    <w:p>
      <w:pPr>
        <w:pStyle w:val="BodyText"/>
        <w:spacing w:line="300" w:lineRule="auto" w:before="111"/>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852" w:footer="980" w:top="132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456" w:lineRule="exact"/>
        <w:ind w:left="3446" w:right="0"/>
        <w:jc w:val="left"/>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7694"/>
        <w:jc w:val="left"/>
      </w:pPr>
      <w:r>
        <w:rPr/>
        <w:t>公司是否需要遵守特殊行业的披露要求 否</w:t>
      </w:r>
    </w:p>
    <w:p>
      <w:pPr>
        <w:pStyle w:val="BodyText"/>
        <w:spacing w:line="312" w:lineRule="auto" w:before="25"/>
        <w:ind w:right="0"/>
        <w:jc w:val="left"/>
      </w:pPr>
      <w:r>
        <w:rPr>
          <w:spacing w:val="-2"/>
        </w:rPr>
        <w:t>公司以绿色、生态、低碳理念为指导，以本土化、低成本、精细、适宜的技术路线为特色，以全生命周期服务为手段，面向</w:t>
      </w:r>
      <w:r>
        <w:rPr>
          <w:spacing w:val="-65"/>
        </w:rPr>
        <w:t> </w:t>
      </w:r>
      <w:r>
        <w:rPr>
          <w:spacing w:val="-65"/>
        </w:rPr>
      </w:r>
      <w:r>
        <w:rPr>
          <w:spacing w:val="-2"/>
        </w:rPr>
        <w:t>城市绿色发展，提供涵盖科研、规划、设计、咨询、检测、项目管理以及运营等全过程所需综合解决方案，逐步发展成为国</w:t>
      </w:r>
      <w:r>
        <w:rPr>
          <w:spacing w:val="-70"/>
        </w:rPr>
        <w:t> </w:t>
      </w:r>
      <w:r>
        <w:rPr>
          <w:spacing w:val="-70"/>
        </w:rPr>
      </w:r>
      <w:r>
        <w:rPr/>
        <w:t>内知名、领先的绿色建筑和绿色城市价值创造者。 </w:t>
      </w:r>
      <w:r>
        <w:rPr>
          <w:spacing w:val="-4"/>
        </w:rPr>
        <w:t>围绕城市和建筑的绿色建设运营，公司提供城市规划、建筑设计等技术咨询服务业务，是公司多年形成的核心主营业务之一：</w:t>
      </w:r>
      <w:r>
        <w:rPr>
          <w:spacing w:val="-44"/>
        </w:rPr>
        <w:t> </w:t>
      </w:r>
      <w:r>
        <w:rPr>
          <w:spacing w:val="-44"/>
        </w:rPr>
      </w:r>
      <w:r>
        <w:rPr>
          <w:spacing w:val="-4"/>
        </w:rPr>
        <w:t>城市规划业务，在传统规划的基础上，公司综合生态经济学知识和现代城市规划理论及方法，针对城市生态本底及其与产业、</w:t>
      </w:r>
      <w:r>
        <w:rPr>
          <w:spacing w:val="-44"/>
        </w:rPr>
        <w:t> </w:t>
      </w:r>
      <w:r>
        <w:rPr>
          <w:spacing w:val="-44"/>
        </w:rPr>
      </w:r>
      <w:r>
        <w:rPr/>
        <w:t>社会、人口之间复杂的系统关系进行生态诊断，并为之提出经济可行的基于</w:t>
      </w:r>
      <w:r>
        <w:rPr>
          <w:rFonts w:ascii="Times New Roman" w:hAnsi="Times New Roman" w:cs="Times New Roman" w:eastAsia="Times New Roman" w:hint="default"/>
        </w:rPr>
        <w:t>“</w:t>
      </w:r>
      <w:r>
        <w:rPr/>
        <w:t>生态导向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动态平衡</w:t>
      </w:r>
      <w:r>
        <w:rPr>
          <w:rFonts w:ascii="Times New Roman" w:hAnsi="Times New Roman" w:cs="Times New Roman" w:eastAsia="Times New Roman" w:hint="default"/>
        </w:rPr>
        <w:t>”</w:t>
      </w:r>
      <w:r>
        <w:rPr/>
        <w:t>的规划和建设运营整体 </w:t>
      </w:r>
      <w:r>
        <w:rPr>
          <w:spacing w:val="-2"/>
        </w:rPr>
        <w:t>解决方案；绿色建筑设计业务，公司形成了独特的共享设计理念和方法，并利用数字化设计，形成独特的设计风格，致力于</w:t>
      </w:r>
      <w:r>
        <w:rPr>
          <w:spacing w:val="-67"/>
        </w:rPr>
        <w:t> </w:t>
      </w:r>
      <w:r>
        <w:rPr>
          <w:spacing w:val="-67"/>
        </w:rPr>
      </w:r>
      <w:r>
        <w:rPr>
          <w:spacing w:val="-2"/>
        </w:rPr>
        <w:t>为客户打造人与自然和谐共生、更加人性化、更加适宜的各类建筑。公司承担的城市规划和建筑设计项目凭借出色的技术水</w:t>
      </w:r>
      <w:r>
        <w:rPr>
          <w:spacing w:val="-66"/>
        </w:rPr>
        <w:t> </w:t>
      </w:r>
      <w:r>
        <w:rPr>
          <w:spacing w:val="-66"/>
        </w:rPr>
      </w:r>
      <w:r>
        <w:rPr/>
        <w:t>平和绿色设计理念，先后获得了多项国家、省市甚至国际组织的奖项。 </w:t>
      </w:r>
      <w:r>
        <w:rPr>
          <w:rFonts w:ascii="Times New Roman" w:hAnsi="Times New Roman" w:cs="Times New Roman" w:eastAsia="Times New Roman" w:hint="default"/>
        </w:rPr>
        <w:t>EPC</w:t>
      </w:r>
      <w:r>
        <w:rPr/>
        <w:t>及项目全过程管理业务，公司在整合规划设计、绿色建筑咨询、检测服务、项目管理咨询等业务的基础上，以绿色建筑 </w:t>
      </w:r>
      <w:r>
        <w:rPr>
          <w:spacing w:val="-2"/>
        </w:rPr>
        <w:t>交付为目标的工程总包服务业务。自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年两年的业务开拓，该业务模式有了新的突破，成功中标国际低碳城产业</w:t>
      </w:r>
      <w:r>
        <w:rPr>
          <w:spacing w:val="-58"/>
        </w:rPr>
        <w:t> </w:t>
      </w:r>
      <w:r>
        <w:rPr>
          <w:spacing w:val="-58"/>
        </w:rPr>
      </w:r>
      <w:r>
        <w:rPr>
          <w:spacing w:val="-4"/>
        </w:rPr>
        <w:t>园区配套住房项目、龙岗区委党校加固修缮与整体提升工程、传音控股总部大厦等项目等，相关业务合同额合计超过</w:t>
      </w:r>
      <w:r>
        <w:rPr>
          <w:rFonts w:ascii="Times New Roman" w:hAnsi="Times New Roman" w:cs="Times New Roman" w:eastAsia="Times New Roman" w:hint="default"/>
          <w:spacing w:val="-4"/>
        </w:rPr>
        <w:t>10</w:t>
      </w:r>
      <w:r>
        <w:rPr>
          <w:spacing w:val="-4"/>
        </w:rPr>
        <w:t>亿元，</w:t>
      </w:r>
      <w:r>
        <w:rPr>
          <w:spacing w:val="-39"/>
        </w:rPr>
        <w:t> </w:t>
      </w:r>
      <w:r>
        <w:rPr>
          <w:spacing w:val="-39"/>
        </w:rPr>
      </w:r>
      <w:r>
        <w:rPr/>
        <w:t>成为公司新的主营业务增长点。 </w:t>
      </w:r>
      <w:r>
        <w:rPr>
          <w:spacing w:val="-2"/>
        </w:rPr>
        <w:t>公信服务业务，是公司另一个核心主营业务领域，是以检测、检验、认证为基础，集成绿色建筑设计优化、工程性能质量检</w:t>
      </w:r>
      <w:r>
        <w:rPr>
          <w:spacing w:val="-70"/>
        </w:rPr>
        <w:t> </w:t>
      </w:r>
      <w:r>
        <w:rPr>
          <w:spacing w:val="-70"/>
        </w:rPr>
      </w:r>
      <w:r>
        <w:rPr>
          <w:spacing w:val="-2"/>
        </w:rPr>
        <w:t>测检验认证、综合技术研究咨询于一体的服务模式，包括：绿色建筑综合咨询、能源环境规划咨询、装修污染物全过程控制</w:t>
      </w:r>
      <w:r>
        <w:rPr>
          <w:spacing w:val="-67"/>
        </w:rPr>
        <w:t> </w:t>
      </w:r>
      <w:r>
        <w:rPr>
          <w:spacing w:val="-67"/>
        </w:rPr>
      </w:r>
      <w:r>
        <w:rPr>
          <w:spacing w:val="-2"/>
        </w:rPr>
        <w:t>咨询、既有建筑绿色化改造全过程咨询、建设工程检测和验收全过程服务、合成材料运动场地检测及监管、甲方内部质量控</w:t>
      </w:r>
      <w:r>
        <w:rPr>
          <w:spacing w:val="-63"/>
        </w:rPr>
        <w:t> </w:t>
      </w:r>
      <w:r>
        <w:rPr>
          <w:spacing w:val="-63"/>
        </w:rPr>
      </w:r>
      <w:r>
        <w:rPr/>
        <w:t>制抽检服务、建筑工程质量潜在缺陷保险风险管理服务、产品</w:t>
      </w:r>
      <w:r>
        <w:rPr>
          <w:rFonts w:ascii="Times New Roman" w:hAnsi="Times New Roman" w:cs="Times New Roman" w:eastAsia="Times New Roman" w:hint="default"/>
        </w:rPr>
        <w:t>/</w:t>
      </w:r>
      <w:r>
        <w:rPr/>
        <w:t>体系</w:t>
      </w:r>
      <w:r>
        <w:rPr>
          <w:rFonts w:ascii="Times New Roman" w:hAnsi="Times New Roman" w:cs="Times New Roman" w:eastAsia="Times New Roman" w:hint="default"/>
        </w:rPr>
        <w:t>/</w:t>
      </w:r>
      <w:r>
        <w:rPr/>
        <w:t>服务认证、绿色生态城区智慧运营监测数据平台建设， 致力于为城市、建筑、家居的安全、健康、舒适、高效、可持续性提供一站式解决方案。</w:t>
      </w:r>
    </w:p>
    <w:p>
      <w:pPr>
        <w:spacing w:line="240" w:lineRule="auto" w:before="4"/>
        <w:rPr>
          <w:rFonts w:ascii="宋体" w:hAnsi="宋体" w:cs="宋体" w:eastAsia="宋体" w:hint="default"/>
          <w:sz w:val="15"/>
          <w:szCs w:val="15"/>
        </w:rPr>
      </w:pPr>
    </w:p>
    <w:p>
      <w:pPr>
        <w:pStyle w:val="Heading2"/>
        <w:spacing w:line="240" w:lineRule="auto"/>
        <w:ind w:right="0"/>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报告期内公司股权资产减少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万元，系投资公司荆门玖伊园和绿研智库亏损所 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报告期内公司固定资产不存在重大变化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报告期内公司无形资产不存在重大变化</w:t>
            </w: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297"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报告期内公司在建工程增加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5,766.71 </w:t>
            </w:r>
            <w:r>
              <w:rPr>
                <w:rFonts w:ascii="宋体" w:hAnsi="宋体" w:cs="宋体" w:eastAsia="宋体" w:hint="default"/>
                <w:sz w:val="18"/>
                <w:szCs w:val="18"/>
              </w:rPr>
              <w:t>万元，系建科院未来大厦项目完成地基施工， 工程建设投入增加所致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报告期内公司货币资金减少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7,513.24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万元，系公司利用暂时闲置的资金开展理财业 务所致</w:t>
            </w:r>
          </w:p>
        </w:tc>
      </w:tr>
      <w:tr>
        <w:trPr>
          <w:trHeight w:val="36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报告期内公司以公允价值计量且其变动计入当期损益的金融资产增加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11,889.15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r>
    </w:tbl>
    <w:p>
      <w:pPr>
        <w:spacing w:after="0" w:line="240"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14"/>
        <w:rPr>
          <w:rFonts w:ascii="Microsoft JhengHei" w:hAnsi="Microsoft JhengHei" w:cs="Microsoft JhengHei" w:eastAsia="Microsoft JhengHei" w:hint="default"/>
          <w:b/>
          <w:bCs/>
          <w:sz w:val="5"/>
          <w:szCs w:val="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36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益的金融资产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元，系公司利用暂时闲置的资金开展理财业务所致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报告期内公司应收账款增加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3,344.57 </w:t>
            </w:r>
            <w:r>
              <w:rPr>
                <w:rFonts w:ascii="宋体" w:hAnsi="宋体" w:cs="宋体" w:eastAsia="宋体" w:hint="default"/>
                <w:sz w:val="18"/>
                <w:szCs w:val="18"/>
              </w:rPr>
              <w:t>万元，主要系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业务应收款项增加所致</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right="7694"/>
        <w:jc w:val="left"/>
      </w:pPr>
      <w:r>
        <w:rPr/>
        <w:t>公司是否需要遵守特殊行业的披露要求 否</w:t>
      </w:r>
    </w:p>
    <w:p>
      <w:pPr>
        <w:pStyle w:val="BodyText"/>
        <w:spacing w:line="312" w:lineRule="auto" w:before="29"/>
        <w:ind w:right="0"/>
        <w:jc w:val="left"/>
      </w:pPr>
      <w:r>
        <w:rPr/>
        <w:t>（一）城市绿色发展领域全过程技术积累和技术创新优势 </w:t>
      </w:r>
      <w:r>
        <w:rPr>
          <w:spacing w:val="-2"/>
        </w:rPr>
        <w:t>公司十多年来积极推动绿色低碳理念和技术的普及，率先开展规模化的建筑节能、绿色建筑和城市绿色发展实践，先后累计</w:t>
      </w:r>
      <w:r>
        <w:rPr>
          <w:spacing w:val="-63"/>
        </w:rPr>
        <w:t> </w:t>
      </w:r>
      <w:r>
        <w:rPr>
          <w:spacing w:val="-63"/>
        </w:rPr>
      </w:r>
      <w:r>
        <w:rPr/>
        <w:t>承担了国家各级课题研究</w:t>
      </w:r>
      <w:r>
        <w:rPr>
          <w:rFonts w:ascii="Times New Roman" w:hAnsi="Times New Roman" w:cs="Times New Roman" w:eastAsia="Times New Roman" w:hint="default"/>
        </w:rPr>
        <w:t>100</w:t>
      </w:r>
      <w:r>
        <w:rPr/>
        <w:t>多项，参与编制各级标准规范</w:t>
      </w:r>
      <w:r>
        <w:rPr>
          <w:rFonts w:ascii="Times New Roman" w:hAnsi="Times New Roman" w:cs="Times New Roman" w:eastAsia="Times New Roman" w:hint="default"/>
        </w:rPr>
        <w:t>100</w:t>
      </w:r>
      <w:r>
        <w:rPr/>
        <w:t>多项，完成国家级示范工程</w:t>
      </w:r>
      <w:r>
        <w:rPr>
          <w:rFonts w:ascii="Times New Roman" w:hAnsi="Times New Roman" w:cs="Times New Roman" w:eastAsia="Times New Roman" w:hint="default"/>
        </w:rPr>
        <w:t>100</w:t>
      </w:r>
      <w:r>
        <w:rPr/>
        <w:t>多个。 </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日，公司（含子公司）直接拥有专利</w:t>
      </w:r>
      <w:r>
        <w:rPr>
          <w:rFonts w:ascii="Times New Roman" w:hAnsi="Times New Roman" w:cs="Times New Roman" w:eastAsia="Times New Roman" w:hint="default"/>
          <w:spacing w:val="-2"/>
        </w:rPr>
        <w:t>80</w:t>
      </w:r>
      <w:r>
        <w:rPr>
          <w:spacing w:val="-2"/>
        </w:rPr>
        <w:t>项（其中发明专利</w:t>
      </w:r>
      <w:r>
        <w:rPr>
          <w:rFonts w:ascii="Times New Roman" w:hAnsi="Times New Roman" w:cs="Times New Roman" w:eastAsia="Times New Roman" w:hint="default"/>
          <w:spacing w:val="-2"/>
        </w:rPr>
        <w:t>45</w:t>
      </w:r>
      <w:r>
        <w:rPr>
          <w:spacing w:val="-2"/>
        </w:rPr>
        <w:t>项），拥有计算机软件著作权</w:t>
      </w:r>
      <w:r>
        <w:rPr>
          <w:rFonts w:ascii="Times New Roman" w:hAnsi="Times New Roman" w:cs="Times New Roman" w:eastAsia="Times New Roman" w:hint="default"/>
          <w:spacing w:val="-2"/>
        </w:rPr>
        <w:t>20</w:t>
      </w:r>
      <w:r>
        <w:rPr>
          <w:spacing w:val="-2"/>
        </w:rPr>
        <w:t>项。主编、参</w:t>
      </w:r>
      <w:r>
        <w:rPr>
          <w:spacing w:val="-59"/>
        </w:rPr>
        <w:t> </w:t>
      </w:r>
      <w:r>
        <w:rPr>
          <w:spacing w:val="-59"/>
        </w:rPr>
      </w:r>
      <w:r>
        <w:rPr>
          <w:spacing w:val="-4"/>
        </w:rPr>
        <w:t>编了国家、省、市级标准、规范</w:t>
      </w:r>
      <w:r>
        <w:rPr>
          <w:rFonts w:ascii="Times New Roman" w:hAnsi="Times New Roman" w:cs="Times New Roman" w:eastAsia="Times New Roman" w:hint="default"/>
          <w:spacing w:val="-4"/>
        </w:rPr>
        <w:t>100</w:t>
      </w:r>
      <w:r>
        <w:rPr>
          <w:spacing w:val="-4"/>
        </w:rPr>
        <w:t>多项，包括《民用建筑能耗标准》《绿色建筑评价标准》《公共建筑节能设计标准》《节</w:t>
      </w:r>
      <w:r>
        <w:rPr>
          <w:spacing w:val="-40"/>
        </w:rPr>
        <w:t> </w:t>
      </w:r>
      <w:r>
        <w:rPr>
          <w:spacing w:val="-40"/>
        </w:rPr>
      </w:r>
      <w:r>
        <w:rPr>
          <w:spacing w:val="-2"/>
        </w:rPr>
        <w:t>能建筑评价标准》等国家标准，直接参与和推动了全国建筑节能强制实施和绿色建筑的普及。经过多年的精耕细作，在持续</w:t>
      </w:r>
      <w:r>
        <w:rPr>
          <w:spacing w:val="-64"/>
        </w:rPr>
        <w:t> </w:t>
      </w:r>
      <w:r>
        <w:rPr>
          <w:spacing w:val="-64"/>
        </w:rPr>
      </w:r>
      <w:r>
        <w:rPr>
          <w:spacing w:val="-2"/>
        </w:rPr>
        <w:t>的研发创新、实验、项目实施基础上，公司掌握了系统完整的城市和建筑绿色建设运营全过程的集成技术体系，能因地制宜</w:t>
      </w:r>
      <w:r>
        <w:rPr>
          <w:spacing w:val="-64"/>
        </w:rPr>
        <w:t> </w:t>
      </w:r>
      <w:r>
        <w:rPr>
          <w:spacing w:val="-64"/>
        </w:rPr>
      </w:r>
      <w:r>
        <w:rPr>
          <w:spacing w:val="-2"/>
        </w:rPr>
        <w:t>地为不同区域、类型的客户提供具有品质、特色、适宜、能较好实现绿色效益的综合技术服务，形成了系统的技术积累和较</w:t>
      </w:r>
      <w:r>
        <w:rPr>
          <w:spacing w:val="-65"/>
        </w:rPr>
        <w:t> </w:t>
      </w:r>
      <w:r>
        <w:rPr>
          <w:spacing w:val="-65"/>
        </w:rPr>
      </w:r>
      <w:r>
        <w:rPr/>
        <w:t>好的行业科技品牌影响力。</w:t>
      </w:r>
    </w:p>
    <w:p>
      <w:pPr>
        <w:pStyle w:val="BodyText"/>
        <w:spacing w:line="319" w:lineRule="auto" w:before="22"/>
        <w:ind w:right="0"/>
        <w:jc w:val="left"/>
        <w:rPr>
          <w:rFonts w:ascii="Times New Roman" w:hAnsi="Times New Roman" w:cs="Times New Roman" w:eastAsia="Times New Roman" w:hint="default"/>
        </w:rPr>
      </w:pPr>
      <w:r>
        <w:rPr/>
        <w:t>（二）基于研发、实验、数据平台系统的实证能力优势 </w:t>
      </w:r>
      <w:r>
        <w:rPr>
          <w:spacing w:val="-2"/>
        </w:rPr>
        <w:t>公司具有国家认监委颁发的检验机构审查认可证书，中国合格评定国家认可委员会颁发的检验机构认可证书、实验室认可证</w:t>
      </w:r>
      <w:r>
        <w:rPr>
          <w:spacing w:val="-63"/>
        </w:rPr>
        <w:t> </w:t>
      </w:r>
      <w:r>
        <w:rPr>
          <w:spacing w:val="-63"/>
        </w:rPr>
      </w:r>
      <w:r>
        <w:rPr>
          <w:spacing w:val="-2"/>
        </w:rPr>
        <w:t>书，广东省质量技术监督局颁发的计量认证证书，以及拥有多个国家及省市级检测平台，具有覆盖多项专业检测项目的核心</w:t>
      </w:r>
      <w:r>
        <w:rPr>
          <w:spacing w:val="-63"/>
        </w:rPr>
        <w:t> </w:t>
      </w:r>
      <w:r>
        <w:rPr>
          <w:spacing w:val="-63"/>
        </w:rPr>
      </w:r>
      <w:r>
        <w:rPr>
          <w:spacing w:val="-2"/>
        </w:rPr>
        <w:t>技术能力。公司还与美国劳伦斯－伯克利国家实验室、美国能源基金会、耶鲁大学、康奈尔大学、雪城大学、牛津大学、荷</w:t>
      </w:r>
      <w:r>
        <w:rPr>
          <w:spacing w:val="-73"/>
        </w:rPr>
        <w:t> </w:t>
      </w:r>
      <w:r>
        <w:rPr>
          <w:spacing w:val="-73"/>
        </w:rPr>
      </w:r>
      <w:r>
        <w:rPr>
          <w:spacing w:val="-6"/>
          <w:w w:val="99"/>
        </w:rPr>
        <w:t>兰应用科学研究院、欧洲环境基金会、清华大学等国内外知名机构开展绿色城市、绿色建筑领域研发合作，建立了</w:t>
      </w:r>
      <w:r>
        <w:rPr>
          <w:rFonts w:ascii="Times New Roman" w:hAnsi="Times New Roman" w:cs="Times New Roman" w:eastAsia="Times New Roman" w:hint="default"/>
          <w:spacing w:val="-6"/>
          <w:w w:val="99"/>
        </w:rPr>
        <w:t>IBR</w:t>
      </w:r>
      <w:r>
        <w:rPr>
          <w:spacing w:val="-6"/>
          <w:w w:val="99"/>
        </w:rPr>
        <w:t>－</w:t>
      </w:r>
      <w:r>
        <w:rPr>
          <w:rFonts w:ascii="Times New Roman" w:hAnsi="Times New Roman" w:cs="Times New Roman" w:eastAsia="Times New Roman" w:hint="default"/>
          <w:spacing w:val="-6"/>
          <w:w w:val="99"/>
        </w:rPr>
        <w:t>LBNL</w:t>
      </w:r>
      <w:r>
        <w:rPr>
          <w:rFonts w:ascii="Times New Roman" w:hAnsi="Times New Roman" w:cs="Times New Roman" w:eastAsia="Times New Roman" w:hint="default"/>
          <w:spacing w:val="-6"/>
        </w:rPr>
      </w:r>
    </w:p>
    <w:p>
      <w:pPr>
        <w:pStyle w:val="BodyText"/>
        <w:spacing w:line="312" w:lineRule="auto"/>
        <w:ind w:right="1034"/>
        <w:jc w:val="left"/>
      </w:pPr>
      <w:r>
        <w:rPr/>
        <w:t>（美国劳伦斯伯克利国家实验室）联合研究中心、</w:t>
      </w:r>
      <w:r>
        <w:rPr>
          <w:rFonts w:ascii="Times New Roman" w:hAnsi="Times New Roman" w:cs="Times New Roman" w:eastAsia="Times New Roman" w:hint="default"/>
        </w:rPr>
        <w:t>IBR</w:t>
      </w:r>
      <w:r>
        <w:rPr/>
        <w:t>－清华大学绿色人居环境研究中心等。上述研究平台、实验室为公司 城市、建筑绿色技术的研发和应用发挥着重要的支撑作用，为公司持续技术创新提供了平台保障。 </w:t>
      </w:r>
      <w:r>
        <w:rPr>
          <w:spacing w:val="-2"/>
        </w:rPr>
        <w:t>公司从事建设工程检测业务超过</w:t>
      </w:r>
      <w:r>
        <w:rPr>
          <w:rFonts w:ascii="Times New Roman" w:hAnsi="Times New Roman" w:cs="Times New Roman" w:eastAsia="Times New Roman" w:hint="default"/>
          <w:spacing w:val="-2"/>
        </w:rPr>
        <w:t>20</w:t>
      </w:r>
      <w:r>
        <w:rPr>
          <w:spacing w:val="-2"/>
        </w:rPr>
        <w:t>年，材料部品检测包含</w:t>
      </w:r>
      <w:r>
        <w:rPr>
          <w:rFonts w:ascii="Times New Roman" w:hAnsi="Times New Roman" w:cs="Times New Roman" w:eastAsia="Times New Roman" w:hint="default"/>
          <w:spacing w:val="-2"/>
        </w:rPr>
        <w:t>27</w:t>
      </w:r>
      <w:r>
        <w:rPr>
          <w:spacing w:val="-2"/>
        </w:rPr>
        <w:t>大类，超过</w:t>
      </w:r>
      <w:r>
        <w:rPr>
          <w:rFonts w:ascii="Times New Roman" w:hAnsi="Times New Roman" w:cs="Times New Roman" w:eastAsia="Times New Roman" w:hint="default"/>
          <w:spacing w:val="-2"/>
        </w:rPr>
        <w:t>1600</w:t>
      </w:r>
      <w:r>
        <w:rPr>
          <w:spacing w:val="-2"/>
        </w:rPr>
        <w:t>个参数。公司通过多年工程及材料检测、能耗监</w:t>
      </w:r>
      <w:r>
        <w:rPr>
          <w:spacing w:val="-57"/>
        </w:rPr>
        <w:t> </w:t>
      </w:r>
      <w:r>
        <w:rPr>
          <w:spacing w:val="-57"/>
        </w:rPr>
      </w:r>
      <w:r>
        <w:rPr/>
        <w:t>测以及绿色建筑、生态城市技术服务业务和研发实验，建立了庞大的涉及城市气候、空气质量、水文、资源、地质、能耗、 </w:t>
      </w:r>
      <w:r>
        <w:rPr>
          <w:spacing w:val="-2"/>
        </w:rPr>
        <w:t>碳排放、自然植被、交通等城市基底、建筑性能相关数据库。同时建立了具有自有知识产权的城市评估、热岛、能源、碳排</w:t>
      </w:r>
      <w:r>
        <w:rPr>
          <w:spacing w:val="-73"/>
        </w:rPr>
        <w:t> </w:t>
      </w:r>
      <w:r>
        <w:rPr>
          <w:spacing w:val="-73"/>
        </w:rPr>
      </w:r>
      <w:r>
        <w:rPr>
          <w:spacing w:val="-2"/>
        </w:rPr>
        <w:t>放、植物生态数据、生态城评估等软件平台。公司数据库涵盖范围广泛，时间跨度长，是我国绿色建筑研究领域收集整理较</w:t>
      </w:r>
      <w:r>
        <w:rPr>
          <w:spacing w:val="-67"/>
        </w:rPr>
        <w:t> </w:t>
      </w:r>
      <w:r>
        <w:rPr>
          <w:spacing w:val="-67"/>
        </w:rPr>
      </w:r>
      <w:r>
        <w:rPr/>
        <w:t>为完备的数据资料，将为公司未来在全国范围内开展技术服务提供重要的数据支持，形成公司特有的差异化竞争优势。</w:t>
      </w:r>
    </w:p>
    <w:p>
      <w:pPr>
        <w:pStyle w:val="BodyText"/>
        <w:spacing w:line="309" w:lineRule="auto" w:before="22"/>
        <w:ind w:right="0"/>
        <w:jc w:val="left"/>
      </w:pPr>
      <w:r>
        <w:rPr/>
        <w:t>（三）灵活、快速响应市场需求的业务模式创新机制优势 </w:t>
      </w:r>
      <w:r>
        <w:rPr>
          <w:spacing w:val="-2"/>
        </w:rPr>
        <w:t>公司倡导</w:t>
      </w:r>
      <w:r>
        <w:rPr>
          <w:rFonts w:ascii="Times New Roman" w:hAnsi="Times New Roman" w:cs="Times New Roman" w:eastAsia="Times New Roman" w:hint="default"/>
          <w:spacing w:val="-2"/>
        </w:rPr>
        <w:t>“</w:t>
      </w:r>
      <w:r>
        <w:rPr>
          <w:spacing w:val="-2"/>
        </w:rPr>
        <w:t>价值共享</w:t>
      </w:r>
      <w:r>
        <w:rPr>
          <w:rFonts w:ascii="Times New Roman" w:hAnsi="Times New Roman" w:cs="Times New Roman" w:eastAsia="Times New Roman" w:hint="default"/>
          <w:spacing w:val="-2"/>
        </w:rPr>
        <w:t>”</w:t>
      </w:r>
      <w:r>
        <w:rPr>
          <w:spacing w:val="-2"/>
        </w:rPr>
        <w:t>理念，建立了多点科技创新，业务链灵活组合业务模式，逐步形成了涵盖科研服务、规划设计、公信服</w:t>
      </w:r>
      <w:r>
        <w:rPr>
          <w:spacing w:val="-46"/>
        </w:rPr>
        <w:t> </w:t>
      </w:r>
      <w:r>
        <w:rPr>
          <w:spacing w:val="-46"/>
        </w:rPr>
      </w:r>
      <w:r>
        <w:rPr/>
        <w:t>务、项目管理以及运营服务等全过程业务链，业务模式创新机制在行业内较有鲜明特色和差异化竞争优势。</w:t>
      </w:r>
    </w:p>
    <w:p>
      <w:pPr>
        <w:pStyle w:val="BodyText"/>
        <w:spacing w:line="302" w:lineRule="auto" w:before="24"/>
        <w:ind w:right="1040"/>
        <w:jc w:val="left"/>
      </w:pPr>
      <w:r>
        <w:rPr/>
        <w:t>（四）建设领域的绿色品牌优势 </w:t>
      </w:r>
      <w:r>
        <w:rPr>
          <w:spacing w:val="-2"/>
        </w:rPr>
        <w:t>自</w:t>
      </w:r>
      <w:r>
        <w:rPr>
          <w:rFonts w:ascii="Times New Roman" w:hAnsi="Times New Roman" w:cs="Times New Roman" w:eastAsia="Times New Roman" w:hint="default"/>
          <w:spacing w:val="-2"/>
        </w:rPr>
        <w:t>2000</w:t>
      </w:r>
      <w:r>
        <w:rPr>
          <w:spacing w:val="-2"/>
        </w:rPr>
        <w:t>年建立第一个建筑节能实验室并确立以绿色为核心的发展路线以来，公司一直专注于绿色建筑领域技术的研发、创新</w:t>
      </w:r>
      <w:r>
        <w:rPr>
          <w:spacing w:val="-62"/>
        </w:rPr>
        <w:t> </w:t>
      </w:r>
      <w:r>
        <w:rPr>
          <w:spacing w:val="-62"/>
        </w:rPr>
      </w:r>
      <w:r>
        <w:rPr>
          <w:spacing w:val="-4"/>
        </w:rPr>
        <w:t>及工程应用实践，近年完成了前海深港现代服务业合作区绿色建筑专项规划研究（</w:t>
      </w:r>
      <w:r>
        <w:rPr>
          <w:rFonts w:ascii="Times New Roman" w:hAnsi="Times New Roman" w:cs="Times New Roman" w:eastAsia="Times New Roman" w:hint="default"/>
          <w:spacing w:val="-4"/>
        </w:rPr>
        <w:t>2016</w:t>
      </w:r>
      <w:r>
        <w:rPr>
          <w:spacing w:val="-4"/>
        </w:rPr>
        <w:t>年度全国优秀工程咨询成果三等奖）、</w:t>
      </w:r>
      <w:r>
        <w:rPr>
          <w:spacing w:val="-37"/>
        </w:rPr>
        <w:t> </w:t>
      </w:r>
      <w:r>
        <w:rPr>
          <w:spacing w:val="-37"/>
        </w:rPr>
      </w:r>
      <w:r>
        <w:rPr/>
        <w:t>北京用友软件园</w:t>
      </w:r>
      <w:r>
        <w:rPr>
          <w:rFonts w:ascii="Times New Roman" w:hAnsi="Times New Roman" w:cs="Times New Roman" w:eastAsia="Times New Roman" w:hint="default"/>
        </w:rPr>
        <w:t>2</w:t>
      </w:r>
      <w:r>
        <w:rPr/>
        <w:t>号研发中心（</w:t>
      </w:r>
      <w:r>
        <w:rPr>
          <w:rFonts w:ascii="Times New Roman" w:hAnsi="Times New Roman" w:cs="Times New Roman" w:eastAsia="Times New Roman" w:hint="default"/>
        </w:rPr>
        <w:t>2017</w:t>
      </w:r>
      <w:r>
        <w:rPr/>
        <w:t>年度全国绿色建筑创新奖一等奖）、长沙公共资源交易中心建设项目（</w:t>
      </w:r>
      <w:r>
        <w:rPr>
          <w:rFonts w:ascii="Times New Roman" w:hAnsi="Times New Roman" w:cs="Times New Roman" w:eastAsia="Times New Roman" w:hint="default"/>
        </w:rPr>
        <w:t>2017</w:t>
      </w:r>
      <w:r>
        <w:rPr/>
        <w:t>年度全国绿 色建筑创新奖二等奖）、深圳万科第五园（七期）</w:t>
      </w:r>
      <w:r>
        <w:rPr>
          <w:rFonts w:ascii="Times New Roman" w:hAnsi="Times New Roman" w:cs="Times New Roman" w:eastAsia="Times New Roman" w:hint="default"/>
        </w:rPr>
        <w:t>1-3</w:t>
      </w:r>
      <w:r>
        <w:rPr/>
        <w:t>、</w:t>
      </w:r>
      <w:r>
        <w:rPr>
          <w:rFonts w:ascii="Times New Roman" w:hAnsi="Times New Roman" w:cs="Times New Roman" w:eastAsia="Times New Roman" w:hint="default"/>
        </w:rPr>
        <w:t>25-29</w:t>
      </w:r>
      <w:r>
        <w:rPr/>
        <w:t>栋（</w:t>
      </w:r>
      <w:r>
        <w:rPr>
          <w:rFonts w:ascii="Times New Roman" w:hAnsi="Times New Roman" w:cs="Times New Roman" w:eastAsia="Times New Roman" w:hint="default"/>
        </w:rPr>
        <w:t>2017</w:t>
      </w:r>
      <w:r>
        <w:rPr/>
        <w:t>年度全国绿色建筑创新奖三等奖）、福田区环境检测 监控基地大楼项目（</w:t>
      </w:r>
      <w:r>
        <w:rPr>
          <w:rFonts w:ascii="Times New Roman" w:hAnsi="Times New Roman" w:cs="Times New Roman" w:eastAsia="Times New Roman" w:hint="default"/>
        </w:rPr>
        <w:t>2017</w:t>
      </w:r>
      <w:r>
        <w:rPr/>
        <w:t>年度全国优秀工程勘察设计行业奖建筑工程公建二等奖</w:t>
      </w:r>
      <w:r>
        <w:rPr>
          <w:rFonts w:ascii="Times New Roman" w:hAnsi="Times New Roman" w:cs="Times New Roman" w:eastAsia="Times New Roman" w:hint="default"/>
        </w:rPr>
        <w:t>/2017</w:t>
      </w:r>
      <w:r>
        <w:rPr/>
        <w:t>年度全国优秀工程勘察设计行业奖绿 </w:t>
      </w:r>
      <w:r>
        <w:rPr>
          <w:spacing w:val="-2"/>
        </w:rPr>
        <w:t>色建筑工程设计二等奖）、上海</w:t>
      </w:r>
      <w:r>
        <w:rPr>
          <w:rFonts w:ascii="Times New Roman" w:hAnsi="Times New Roman" w:cs="Times New Roman" w:eastAsia="Times New Roman" w:hint="default"/>
          <w:spacing w:val="-2"/>
        </w:rPr>
        <w:t>“E</w:t>
      </w:r>
      <w:r>
        <w:rPr>
          <w:spacing w:val="-2"/>
        </w:rPr>
        <w:t>朋汇</w:t>
      </w:r>
      <w:r>
        <w:rPr>
          <w:rFonts w:ascii="Times New Roman" w:hAnsi="Times New Roman" w:cs="Times New Roman" w:eastAsia="Times New Roman" w:hint="default"/>
          <w:spacing w:val="-2"/>
        </w:rPr>
        <w:t>”</w:t>
      </w:r>
      <w:r>
        <w:rPr>
          <w:spacing w:val="-2"/>
        </w:rPr>
        <w:t>（上海市首届既有建筑绿色更新改造金奖）等众多优秀项目的设计或技术咨询工作。</w:t>
      </w:r>
      <w:r>
        <w:rPr>
          <w:spacing w:val="-61"/>
        </w:rPr>
        <w:t> </w:t>
      </w:r>
      <w:r>
        <w:rPr>
          <w:spacing w:val="-61"/>
        </w:rPr>
      </w:r>
      <w:r>
        <w:rPr/>
        <w:t>公司凭借技术创新和市场业务方面的优势，先后获得了</w:t>
      </w:r>
      <w:r>
        <w:rPr>
          <w:rFonts w:ascii="Times New Roman" w:hAnsi="Times New Roman" w:cs="Times New Roman" w:eastAsia="Times New Roman" w:hint="default"/>
        </w:rPr>
        <w:t>“</w:t>
      </w:r>
      <w:r>
        <w:rPr/>
        <w:t>中国企业新纪录</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全国建筑节能技术创新企业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当代中国建筑 设计百家名院</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全国绿色建筑先锋奖</w:t>
      </w:r>
      <w:r>
        <w:rPr>
          <w:rFonts w:ascii="Times New Roman" w:hAnsi="Times New Roman" w:cs="Times New Roman" w:eastAsia="Times New Roman" w:hint="default"/>
        </w:rPr>
        <w:t>”</w:t>
      </w:r>
      <w:r>
        <w:rPr/>
        <w:t>等多项荣誉。公司已发展成为我国绿色建筑、生态城市领域的知名企业，具有很好</w:t>
      </w:r>
    </w:p>
    <w:p>
      <w:pPr>
        <w:spacing w:after="0" w:line="302" w:lineRule="auto"/>
        <w:jc w:val="left"/>
        <w:sectPr>
          <w:pgSz w:w="11910" w:h="16840"/>
          <w:pgMar w:header="852" w:footer="980" w:top="1320" w:bottom="1160" w:left="980" w:right="0"/>
        </w:sectPr>
      </w:pPr>
    </w:p>
    <w:p>
      <w:pPr>
        <w:pStyle w:val="BodyText"/>
        <w:spacing w:line="240" w:lineRule="auto" w:before="111"/>
        <w:ind w:right="0"/>
        <w:jc w:val="left"/>
      </w:pPr>
      <w:r>
        <w:rPr/>
        <w:t>的行业品牌影响力。</w:t>
      </w:r>
    </w:p>
    <w:p>
      <w:pPr>
        <w:pStyle w:val="BodyText"/>
        <w:spacing w:line="312" w:lineRule="auto" w:before="77"/>
        <w:ind w:right="1034"/>
        <w:jc w:val="left"/>
      </w:pPr>
      <w:r>
        <w:rPr/>
        <w:t>（五）管理优势 公司多年来一直努力引进、创新各种先进的管理理念和机制，不断提升管理效能，逐步形成了独特的管理机制。 </w:t>
      </w:r>
      <w:r>
        <w:rPr>
          <w:spacing w:val="-2"/>
        </w:rPr>
        <w:t>公司整体上形成了以客户和市场为导向的业务和质量管理组织模式，实施扁平化的组织架构，采用端到端的流程式和矩阵式</w:t>
      </w:r>
      <w:r>
        <w:rPr>
          <w:spacing w:val="-62"/>
        </w:rPr>
        <w:t> </w:t>
      </w:r>
      <w:r>
        <w:rPr>
          <w:spacing w:val="-62"/>
        </w:rPr>
      </w:r>
      <w:r>
        <w:rPr/>
        <w:t>经营管理模式。公司以项目为核心，由项目主任牵头总负责，质控部门进行全过程质量把控，各部门、专业人员密切配合， 充分实现资源、管理的协同。公司建立了</w:t>
      </w:r>
      <w:r>
        <w:rPr>
          <w:rFonts w:ascii="Times New Roman" w:hAnsi="Times New Roman" w:cs="Times New Roman" w:eastAsia="Times New Roman" w:hint="default"/>
        </w:rPr>
        <w:t>“</w:t>
      </w:r>
      <w:r>
        <w:rPr/>
        <w:t>三合一</w:t>
      </w:r>
      <w:r>
        <w:rPr>
          <w:rFonts w:ascii="Times New Roman" w:hAnsi="Times New Roman" w:cs="Times New Roman" w:eastAsia="Times New Roman" w:hint="default"/>
        </w:rPr>
        <w:t>”</w:t>
      </w:r>
      <w:r>
        <w:rPr/>
        <w:t>管理体系（</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2015</w:t>
      </w:r>
      <w:r>
        <w:rPr/>
        <w:t>环境管理体系认证、</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2015</w:t>
      </w:r>
      <w:r>
        <w:rPr/>
        <w:t>质量管理 体系认证、</w:t>
      </w:r>
      <w:r>
        <w:rPr>
          <w:rFonts w:ascii="Times New Roman" w:hAnsi="Times New Roman" w:cs="Times New Roman" w:eastAsia="Times New Roman" w:hint="default"/>
        </w:rPr>
        <w:t>OHSAS18001</w:t>
      </w:r>
      <w:r>
        <w:rPr/>
        <w:t>：</w:t>
      </w:r>
      <w:r>
        <w:rPr>
          <w:rFonts w:ascii="Times New Roman" w:hAnsi="Times New Roman" w:cs="Times New Roman" w:eastAsia="Times New Roman" w:hint="default"/>
        </w:rPr>
        <w:t>2007</w:t>
      </w:r>
      <w:r>
        <w:rPr/>
        <w:t>职业健康安全管理体系认证），还建立了规范的监督、评估和升级体系，包括管理审计、技 </w:t>
      </w:r>
      <w:r>
        <w:rPr>
          <w:spacing w:val="-3"/>
        </w:rPr>
        <w:t>术审计、财务审计、合同与产品质量的第三方后评估等制度，保障了公司管理体制的有效运行。公司运用平衡积分卡（</w:t>
      </w:r>
      <w:r>
        <w:rPr>
          <w:rFonts w:ascii="Times New Roman" w:hAnsi="Times New Roman" w:cs="Times New Roman" w:eastAsia="Times New Roman" w:hint="default"/>
          <w:spacing w:val="-3"/>
        </w:rPr>
        <w:t>BSC</w:t>
      </w:r>
      <w:r>
        <w:rPr>
          <w:spacing w:val="-3"/>
        </w:rPr>
        <w:t>）</w:t>
      </w:r>
      <w:r>
        <w:rPr>
          <w:spacing w:val="-77"/>
        </w:rPr>
        <w:t> </w:t>
      </w:r>
      <w:r>
        <w:rPr>
          <w:spacing w:val="-2"/>
        </w:rPr>
        <w:t>工具进行战略管理，将战略目标进行分解细化，并进行多维度综合考核评估，注重财务与非财务、长期目标与短期目标、外</w:t>
      </w:r>
      <w:r>
        <w:rPr>
          <w:spacing w:val="-67"/>
        </w:rPr>
        <w:t> </w:t>
      </w:r>
      <w:r>
        <w:rPr>
          <w:spacing w:val="-67"/>
        </w:rPr>
      </w:r>
      <w:r>
        <w:rPr/>
        <w:t>部和内部、结果和过程等之间的平衡，确保战略目标的实现。 </w:t>
      </w:r>
      <w:r>
        <w:rPr>
          <w:spacing w:val="-2"/>
        </w:rPr>
        <w:t>公司一直以来十分重视信息化建设，在建立协同办公系统、财务管理系统、科研项目管理系统、档案管理系统、客户资源管</w:t>
      </w:r>
      <w:r>
        <w:rPr>
          <w:spacing w:val="-67"/>
        </w:rPr>
        <w:t> </w:t>
      </w:r>
      <w:r>
        <w:rPr>
          <w:spacing w:val="-67"/>
        </w:rPr>
      </w:r>
      <w:r>
        <w:rPr/>
        <w:t>理（</w:t>
      </w:r>
      <w:r>
        <w:rPr>
          <w:rFonts w:ascii="Times New Roman" w:hAnsi="Times New Roman" w:cs="Times New Roman" w:eastAsia="Times New Roman" w:hint="default"/>
        </w:rPr>
        <w:t>CRM</w:t>
      </w:r>
      <w:r>
        <w:rPr/>
        <w:t>）系统及</w:t>
      </w:r>
      <w:r>
        <w:rPr>
          <w:rFonts w:ascii="Times New Roman" w:hAnsi="Times New Roman" w:cs="Times New Roman" w:eastAsia="Times New Roman" w:hint="default"/>
        </w:rPr>
        <w:t>“</w:t>
      </w:r>
      <w:r>
        <w:rPr/>
        <w:t>乐活</w:t>
      </w:r>
      <w:r>
        <w:rPr>
          <w:rFonts w:ascii="Times New Roman" w:hAnsi="Times New Roman" w:cs="Times New Roman" w:eastAsia="Times New Roman" w:hint="default"/>
        </w:rPr>
        <w:t>”</w:t>
      </w:r>
      <w:r>
        <w:rPr/>
        <w:t>系统后，又继续完善和建设了实验室信息管理系统（</w:t>
      </w:r>
      <w:r>
        <w:rPr>
          <w:rFonts w:ascii="Times New Roman" w:hAnsi="Times New Roman" w:cs="Times New Roman" w:eastAsia="Times New Roman" w:hint="default"/>
        </w:rPr>
        <w:t>LIMS</w:t>
      </w:r>
      <w:r>
        <w:rPr/>
        <w:t>）、设计生产管理系统，并实现了各系 </w:t>
      </w:r>
      <w:r>
        <w:rPr>
          <w:spacing w:val="-2"/>
        </w:rPr>
        <w:t>统之间的有效对接。公司现已基本搭建出一套完整的信息化业务管理体系，有利于更好实现内部信息及时传递、共享，充分</w:t>
      </w:r>
      <w:r>
        <w:rPr>
          <w:spacing w:val="-64"/>
        </w:rPr>
        <w:t> </w:t>
      </w:r>
      <w:r>
        <w:rPr>
          <w:spacing w:val="-64"/>
        </w:rPr>
      </w:r>
      <w:r>
        <w:rPr/>
        <w:t>发挥各业务、部门协同效应，加强内部控制，提升管理效率。</w:t>
      </w:r>
    </w:p>
    <w:p>
      <w:pPr>
        <w:pStyle w:val="BodyText"/>
        <w:spacing w:line="314" w:lineRule="auto" w:before="22"/>
        <w:ind w:right="0"/>
        <w:jc w:val="left"/>
      </w:pPr>
      <w:r>
        <w:rPr/>
        <w:t>（六）资质优势 </w:t>
      </w:r>
      <w:r>
        <w:rPr>
          <w:spacing w:val="-2"/>
        </w:rPr>
        <w:t>公司在发展的过程中不断积累和壮大，取得了各类资质，为公司业务发展提供了重要支撑。目前，公司拥有城乡规划编制甲</w:t>
      </w:r>
      <w:r>
        <w:rPr>
          <w:spacing w:val="-66"/>
        </w:rPr>
        <w:t> </w:t>
      </w:r>
      <w:r>
        <w:rPr>
          <w:spacing w:val="-66"/>
        </w:rPr>
      </w:r>
      <w:r>
        <w:rPr>
          <w:spacing w:val="-4"/>
        </w:rPr>
        <w:t>级、工程设计建筑行业（建筑工程）甲级、房屋建筑工程监理甲级、工程咨询单位甲级咨信、工程设计市政行业（给水工程、</w:t>
      </w:r>
      <w:r>
        <w:rPr>
          <w:spacing w:val="-41"/>
        </w:rPr>
        <w:t> </w:t>
      </w:r>
      <w:r>
        <w:rPr>
          <w:spacing w:val="-41"/>
        </w:rPr>
      </w:r>
      <w:r>
        <w:rPr>
          <w:spacing w:val="-2"/>
        </w:rPr>
        <w:t>桥梁工程、道路工程、排水工程）专业乙级、风景园林工程设计专项乙级、工程勘察专业类（岩土工程）乙级、建设工程质</w:t>
      </w:r>
      <w:r>
        <w:rPr>
          <w:spacing w:val="-65"/>
        </w:rPr>
        <w:t> </w:t>
      </w:r>
      <w:r>
        <w:rPr>
          <w:spacing w:val="-65"/>
        </w:rPr>
      </w:r>
      <w:r>
        <w:rPr>
          <w:spacing w:val="-4"/>
        </w:rPr>
        <w:t>量检测机构资质、计量认证、地质灾害治理工程设计丙级、地质灾害治理工程监理丙级、深圳市环境保护工程技术（废水乙、</w:t>
      </w:r>
      <w:r>
        <w:rPr>
          <w:spacing w:val="-43"/>
        </w:rPr>
        <w:t> </w:t>
      </w:r>
      <w:r>
        <w:rPr>
          <w:spacing w:val="-43"/>
        </w:rPr>
      </w:r>
      <w:r>
        <w:rPr>
          <w:spacing w:val="-5"/>
        </w:rPr>
        <w:t>废气丙、噪声丙）等资质；还获得了中国合格评定国家认可委员会的实验室认可证书（</w:t>
      </w:r>
      <w:r>
        <w:rPr>
          <w:rFonts w:ascii="Times New Roman" w:hAnsi="Times New Roman" w:cs="Times New Roman" w:eastAsia="Times New Roman" w:hint="default"/>
          <w:spacing w:val="-5"/>
        </w:rPr>
        <w:t>CNAS</w:t>
      </w:r>
      <w:r>
        <w:rPr>
          <w:spacing w:val="-5"/>
        </w:rPr>
        <w:t>）、检验机构认可证书（</w:t>
      </w:r>
      <w:r>
        <w:rPr>
          <w:rFonts w:ascii="Times New Roman" w:hAnsi="Times New Roman" w:cs="Times New Roman" w:eastAsia="Times New Roman" w:hint="default"/>
          <w:spacing w:val="-5"/>
        </w:rPr>
        <w:t>CNAS</w:t>
      </w:r>
      <w:r>
        <w:rPr>
          <w:spacing w:val="-5"/>
        </w:rPr>
        <w:t>）</w:t>
      </w:r>
      <w:r>
        <w:rPr>
          <w:spacing w:val="-40"/>
        </w:rPr>
        <w:t> </w:t>
      </w:r>
      <w:r>
        <w:rPr/>
        <w:t>和国家认监委的检验机构资质认定证书（</w:t>
      </w:r>
      <w:r>
        <w:rPr>
          <w:rFonts w:ascii="Times New Roman" w:hAnsi="Times New Roman" w:cs="Times New Roman" w:eastAsia="Times New Roman" w:hint="default"/>
        </w:rPr>
        <w:t>CMA</w:t>
      </w:r>
      <w:r>
        <w:rPr/>
        <w:t>）。 </w:t>
      </w:r>
      <w:r>
        <w:rPr>
          <w:spacing w:val="-2"/>
        </w:rPr>
        <w:t>完善的资质和认可体系是企业综合实力的体现，特别是在工程技术服务行业中，资质往往是业务开展和项目招投标的基本条</w:t>
      </w:r>
      <w:r>
        <w:rPr>
          <w:spacing w:val="-64"/>
        </w:rPr>
        <w:t> </w:t>
      </w:r>
      <w:r>
        <w:rPr>
          <w:spacing w:val="-64"/>
        </w:rPr>
      </w:r>
      <w:r>
        <w:rPr>
          <w:spacing w:val="-2"/>
        </w:rPr>
        <w:t>件，公司资质和认可涵盖了建筑工程、市政等领域，涉及到设计、咨询、管理和检测等多个环节，为公司全面开拓市场提供</w:t>
      </w:r>
      <w:r>
        <w:rPr>
          <w:spacing w:val="-68"/>
        </w:rPr>
        <w:t> </w:t>
      </w:r>
      <w:r>
        <w:rPr>
          <w:spacing w:val="-68"/>
        </w:rPr>
      </w:r>
      <w:r>
        <w:rPr/>
        <w:t>了强有力的资质保证。</w:t>
      </w:r>
    </w:p>
    <w:p>
      <w:pPr>
        <w:spacing w:after="0" w:line="314" w:lineRule="auto"/>
        <w:jc w:val="left"/>
        <w:sectPr>
          <w:pgSz w:w="11910" w:h="16840"/>
          <w:pgMar w:header="852" w:footer="980" w:top="132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1"/>
        <w:spacing w:line="456" w:lineRule="exact"/>
        <w:ind w:left="2964" w:right="0"/>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0"/>
        <w:jc w:val="left"/>
      </w:pPr>
      <w:r>
        <w:rPr/>
        <w:t>（一）经营情况分析 </w:t>
      </w:r>
      <w:r>
        <w:rPr>
          <w:spacing w:val="-2"/>
        </w:rPr>
        <w:t>公司近二十年来始终坚持初心，根据公司战略目标，聚焦建筑、城区、园区、城市绿色发展的技术服务，持续创新，不追求</w:t>
      </w:r>
      <w:r>
        <w:rPr>
          <w:spacing w:val="-73"/>
        </w:rPr>
        <w:t> </w:t>
      </w:r>
      <w:r>
        <w:rPr>
          <w:spacing w:val="-73"/>
        </w:rPr>
      </w:r>
      <w:r>
        <w:rPr>
          <w:spacing w:val="-2"/>
        </w:rPr>
        <w:t>单一业务的短时增长，不断探索由行业传统规划、设计、检测等单项业务，向具有协同效应和面向公众绿色生活和城市绿色</w:t>
      </w:r>
      <w:r>
        <w:rPr>
          <w:spacing w:val="-64"/>
        </w:rPr>
        <w:t> </w:t>
      </w:r>
      <w:r>
        <w:rPr>
          <w:spacing w:val="-64"/>
        </w:rPr>
      </w:r>
      <w:r>
        <w:rPr/>
        <w:t>发展的全过程技术和综合服务业务转型。</w:t>
      </w:r>
    </w:p>
    <w:p>
      <w:pPr>
        <w:pStyle w:val="BodyText"/>
        <w:spacing w:line="304" w:lineRule="auto" w:before="19"/>
        <w:ind w:right="0"/>
        <w:jc w:val="left"/>
      </w:pPr>
      <w:r>
        <w:rPr>
          <w:rFonts w:ascii="Times New Roman" w:hAnsi="Times New Roman" w:cs="Times New Roman" w:eastAsia="Times New Roman" w:hint="default"/>
        </w:rPr>
        <w:t>2018</w:t>
      </w:r>
      <w:r>
        <w:rPr/>
        <w:t>年公司已初具</w:t>
      </w:r>
      <w:r>
        <w:rPr>
          <w:rFonts w:ascii="Times New Roman" w:hAnsi="Times New Roman" w:cs="Times New Roman" w:eastAsia="Times New Roman" w:hint="default"/>
        </w:rPr>
        <w:t>2</w:t>
      </w:r>
      <w:r>
        <w:rPr/>
        <w:t>条全过程技术服务业务链的雏形： </w:t>
      </w:r>
      <w:r>
        <w:rPr>
          <w:spacing w:val="-2"/>
        </w:rPr>
        <w:t>一是城市绿色发展全过程技术服务，涵盖传统的多个服务类型，包括：城市规划、建筑设计、</w:t>
      </w:r>
      <w:r>
        <w:rPr>
          <w:rFonts w:ascii="Times New Roman" w:hAnsi="Times New Roman" w:cs="Times New Roman" w:eastAsia="Times New Roman" w:hint="default"/>
          <w:spacing w:val="-2"/>
        </w:rPr>
        <w:t>EPC</w:t>
      </w:r>
      <w:r>
        <w:rPr>
          <w:spacing w:val="-2"/>
        </w:rPr>
        <w:t>及项目全过程管理、绿色</w:t>
      </w:r>
      <w:r>
        <w:rPr>
          <w:spacing w:val="-38"/>
        </w:rPr>
        <w:t> </w:t>
      </w:r>
      <w:r>
        <w:rPr>
          <w:spacing w:val="-38"/>
        </w:rPr>
      </w:r>
      <w:r>
        <w:rPr/>
        <w:t>运营等业务单元，</w:t>
      </w:r>
      <w:r>
        <w:rPr>
          <w:rFonts w:ascii="Times New Roman" w:hAnsi="Times New Roman" w:cs="Times New Roman" w:eastAsia="Times New Roman" w:hint="default"/>
        </w:rPr>
        <w:t>2018</w:t>
      </w:r>
      <w:r>
        <w:rPr/>
        <w:t>年该业务链上已经开始强化多业务组合服务模式，组合式业务的收入占比达到</w:t>
      </w:r>
      <w:r>
        <w:rPr>
          <w:rFonts w:ascii="Times New Roman" w:hAnsi="Times New Roman" w:cs="Times New Roman" w:eastAsia="Times New Roman" w:hint="default"/>
        </w:rPr>
        <w:t>16.26%</w:t>
      </w:r>
      <w:r>
        <w:rPr/>
        <w:t>，同时各分项 </w:t>
      </w:r>
      <w:r>
        <w:rPr>
          <w:spacing w:val="-2"/>
        </w:rPr>
        <w:t>业务在公司统一的市场、技术、财务和质量管理平台下协同均衡发展。城市规划业务在公司的业务体系中具有一定的区域市</w:t>
      </w:r>
      <w:r>
        <w:rPr>
          <w:spacing w:val="-63"/>
        </w:rPr>
        <w:t> </w:t>
      </w:r>
      <w:r>
        <w:rPr>
          <w:spacing w:val="-63"/>
        </w:rPr>
      </w:r>
      <w:r>
        <w:rPr>
          <w:spacing w:val="-1"/>
        </w:rPr>
        <w:t>场前期开拓功能，</w:t>
      </w:r>
      <w:r>
        <w:rPr>
          <w:rFonts w:ascii="Times New Roman" w:hAnsi="Times New Roman" w:cs="Times New Roman" w:eastAsia="Times New Roman" w:hint="default"/>
          <w:spacing w:val="-1"/>
        </w:rPr>
        <w:t>2018</w:t>
      </w:r>
      <w:r>
        <w:rPr>
          <w:spacing w:val="-1"/>
        </w:rPr>
        <w:t>年营业收入</w:t>
      </w:r>
      <w:r>
        <w:rPr>
          <w:rFonts w:ascii="Times New Roman" w:hAnsi="Times New Roman" w:cs="Times New Roman" w:eastAsia="Times New Roman" w:hint="default"/>
          <w:spacing w:val="-1"/>
        </w:rPr>
        <w:t>7,573.83</w:t>
      </w:r>
      <w:r>
        <w:rPr>
          <w:spacing w:val="-1"/>
        </w:rPr>
        <w:t>万元，较上年同期下降</w:t>
      </w:r>
      <w:r>
        <w:rPr>
          <w:rFonts w:ascii="Times New Roman" w:hAnsi="Times New Roman" w:cs="Times New Roman" w:eastAsia="Times New Roman" w:hint="default"/>
          <w:spacing w:val="-1"/>
        </w:rPr>
        <w:t>19.14%</w:t>
      </w:r>
      <w:r>
        <w:rPr>
          <w:spacing w:val="-1"/>
        </w:rPr>
        <w:t>，是由于</w:t>
      </w:r>
      <w:r>
        <w:rPr>
          <w:rFonts w:ascii="Times New Roman" w:hAnsi="Times New Roman" w:cs="Times New Roman" w:eastAsia="Times New Roman" w:hint="default"/>
          <w:spacing w:val="-1"/>
        </w:rPr>
        <w:t>2018</w:t>
      </w:r>
      <w:r>
        <w:rPr>
          <w:spacing w:val="-1"/>
        </w:rPr>
        <w:t>年公司在雄安新区、张家口等新兴区</w:t>
      </w:r>
      <w:r>
        <w:rPr>
          <w:spacing w:val="-42"/>
        </w:rPr>
        <w:t> </w:t>
      </w:r>
      <w:r>
        <w:rPr>
          <w:spacing w:val="-42"/>
        </w:rPr>
      </w:r>
      <w:r>
        <w:rPr>
          <w:spacing w:val="-2"/>
        </w:rPr>
        <w:t>域投入了较多力量进行前期研究和市场开拓。建筑设计业务继续聚焦绿色建筑设计和更新改造，</w:t>
      </w:r>
      <w:r>
        <w:rPr>
          <w:rFonts w:ascii="Times New Roman" w:hAnsi="Times New Roman" w:cs="Times New Roman" w:eastAsia="Times New Roman" w:hint="default"/>
          <w:spacing w:val="-2"/>
        </w:rPr>
        <w:t>2018</w:t>
      </w:r>
      <w:r>
        <w:rPr>
          <w:spacing w:val="-2"/>
        </w:rPr>
        <w:t>年平稳发展，营业收入</w:t>
      </w:r>
      <w:r>
        <w:rPr>
          <w:spacing w:val="-62"/>
        </w:rPr>
        <w:t> </w:t>
      </w:r>
      <w:r>
        <w:rPr>
          <w:spacing w:val="-62"/>
        </w:rPr>
      </w:r>
      <w:r>
        <w:rPr>
          <w:rFonts w:ascii="Times New Roman" w:hAnsi="Times New Roman" w:cs="Times New Roman" w:eastAsia="Times New Roman" w:hint="default"/>
        </w:rPr>
        <w:t>10,581.80</w:t>
      </w:r>
      <w:r>
        <w:rPr/>
        <w:t>万元，较上年同期增长</w:t>
      </w:r>
      <w:r>
        <w:rPr>
          <w:rFonts w:ascii="Times New Roman" w:hAnsi="Times New Roman" w:cs="Times New Roman" w:eastAsia="Times New Roman" w:hint="default"/>
        </w:rPr>
        <w:t>2.84%</w:t>
      </w:r>
      <w:r>
        <w:rPr/>
        <w:t>。绿色建筑</w:t>
      </w:r>
      <w:r>
        <w:rPr>
          <w:rFonts w:ascii="Times New Roman" w:hAnsi="Times New Roman" w:cs="Times New Roman" w:eastAsia="Times New Roman" w:hint="default"/>
        </w:rPr>
        <w:t>EPC</w:t>
      </w:r>
      <w:r>
        <w:rPr/>
        <w:t>总承包、全过程项目管理和政府代建业务继续快速发展，</w:t>
      </w:r>
      <w:r>
        <w:rPr>
          <w:rFonts w:ascii="Times New Roman" w:hAnsi="Times New Roman" w:cs="Times New Roman" w:eastAsia="Times New Roman" w:hint="default"/>
        </w:rPr>
        <w:t>2018</w:t>
      </w:r>
      <w:r>
        <w:rPr/>
        <w:t>年通过 </w:t>
      </w:r>
      <w:r>
        <w:rPr>
          <w:spacing w:val="-2"/>
        </w:rPr>
        <w:t>人员梯队完善和项目综合管理能力提高，成为推动公司业务链整合创新的主要力量。国际低碳城产业园区配套住房、龙岗区</w:t>
      </w:r>
      <w:r>
        <w:rPr>
          <w:spacing w:val="-63"/>
        </w:rPr>
        <w:t> </w:t>
      </w:r>
      <w:r>
        <w:rPr>
          <w:spacing w:val="-63"/>
        </w:rPr>
      </w:r>
      <w:r>
        <w:rPr>
          <w:spacing w:val="-2"/>
        </w:rPr>
        <w:t>委党校加固修缮与整体提升工程、传音控股总部大厦等项目进展顺利，成为</w:t>
      </w:r>
      <w:r>
        <w:rPr>
          <w:rFonts w:ascii="Times New Roman" w:hAnsi="Times New Roman" w:cs="Times New Roman" w:eastAsia="Times New Roman" w:hint="default"/>
          <w:spacing w:val="-2"/>
        </w:rPr>
        <w:t>2018</w:t>
      </w:r>
      <w:r>
        <w:rPr>
          <w:spacing w:val="-2"/>
        </w:rPr>
        <w:t>年公司新的主营业务增长点，实现营业收入</w:t>
      </w:r>
      <w:r>
        <w:rPr>
          <w:spacing w:val="-60"/>
        </w:rPr>
        <w:t> </w:t>
      </w:r>
      <w:r>
        <w:rPr>
          <w:spacing w:val="-60"/>
        </w:rPr>
      </w:r>
      <w:r>
        <w:rPr>
          <w:rFonts w:ascii="Times New Roman" w:hAnsi="Times New Roman" w:cs="Times New Roman" w:eastAsia="Times New Roman" w:hint="default"/>
        </w:rPr>
        <w:t>3,325.61</w:t>
      </w:r>
      <w:r>
        <w:rPr/>
        <w:t>万元，占营业总收入比重达</w:t>
      </w:r>
      <w:r>
        <w:rPr>
          <w:rFonts w:ascii="Times New Roman" w:hAnsi="Times New Roman" w:cs="Times New Roman" w:eastAsia="Times New Roman" w:hint="default"/>
        </w:rPr>
        <w:t>8.38%</w:t>
      </w:r>
      <w:r>
        <w:rPr/>
        <w:t>。绿色建筑与园区运营服务收入（列入其他业务收入）是公司正在培育和尝试的 新业务，</w:t>
      </w:r>
      <w:r>
        <w:rPr>
          <w:rFonts w:ascii="Times New Roman" w:hAnsi="Times New Roman" w:cs="Times New Roman" w:eastAsia="Times New Roman" w:hint="default"/>
        </w:rPr>
        <w:t>2018</w:t>
      </w:r>
      <w:r>
        <w:rPr/>
        <w:t>年实现营业收入</w:t>
      </w:r>
      <w:r>
        <w:rPr>
          <w:rFonts w:ascii="Times New Roman" w:hAnsi="Times New Roman" w:cs="Times New Roman" w:eastAsia="Times New Roman" w:hint="default"/>
        </w:rPr>
        <w:t>2,616.41</w:t>
      </w:r>
      <w:r>
        <w:rPr/>
        <w:t>万元。 </w:t>
      </w:r>
      <w:r>
        <w:rPr>
          <w:spacing w:val="-2"/>
        </w:rPr>
        <w:t>二是绿色人居公信全过程技术服务，涵盖传统的检测、检验、认证、咨询等业务，</w:t>
      </w:r>
      <w:r>
        <w:rPr>
          <w:rFonts w:ascii="Times New Roman" w:hAnsi="Times New Roman" w:cs="Times New Roman" w:eastAsia="Times New Roman" w:hint="default"/>
          <w:spacing w:val="-2"/>
        </w:rPr>
        <w:t>2018</w:t>
      </w:r>
      <w:r>
        <w:rPr>
          <w:spacing w:val="-2"/>
        </w:rPr>
        <w:t>年开始将绿色建筑咨询业务逐步与公</w:t>
      </w:r>
      <w:r>
        <w:rPr>
          <w:spacing w:val="-61"/>
        </w:rPr>
        <w:t> </w:t>
      </w:r>
      <w:r>
        <w:rPr>
          <w:spacing w:val="-61"/>
        </w:rPr>
      </w:r>
      <w:r>
        <w:rPr>
          <w:spacing w:val="-2"/>
        </w:rPr>
        <w:t>信检测和规划设计业务融合尝试，通过提供更具市场竞争力的综合服务方式，促进建筑咨询业务增长，从而扭转该业务近年</w:t>
      </w:r>
      <w:r>
        <w:rPr>
          <w:spacing w:val="-62"/>
        </w:rPr>
        <w:t> </w:t>
      </w:r>
      <w:r>
        <w:rPr>
          <w:spacing w:val="-62"/>
        </w:rPr>
      </w:r>
      <w:r>
        <w:rPr/>
        <w:t>呈现的下滑趋势，</w:t>
      </w:r>
      <w:r>
        <w:rPr>
          <w:rFonts w:ascii="Times New Roman" w:hAnsi="Times New Roman" w:cs="Times New Roman" w:eastAsia="Times New Roman" w:hint="default"/>
        </w:rPr>
        <w:t>2018</w:t>
      </w:r>
      <w:r>
        <w:rPr/>
        <w:t>年业务融合措施取得了显著成效，建筑咨询业务实现营业收入</w:t>
      </w:r>
      <w:r>
        <w:rPr>
          <w:rFonts w:ascii="Times New Roman" w:hAnsi="Times New Roman" w:cs="Times New Roman" w:eastAsia="Times New Roman" w:hint="default"/>
        </w:rPr>
        <w:t>5,189.51</w:t>
      </w:r>
      <w:r>
        <w:rPr/>
        <w:t>万元，同比增长</w:t>
      </w:r>
      <w:r>
        <w:rPr>
          <w:rFonts w:ascii="Times New Roman" w:hAnsi="Times New Roman" w:cs="Times New Roman" w:eastAsia="Times New Roman" w:hint="default"/>
        </w:rPr>
        <w:t>10.88%</w:t>
      </w:r>
      <w:r>
        <w:rPr/>
        <w:t>。 </w:t>
      </w:r>
      <w:r>
        <w:rPr>
          <w:spacing w:val="-2"/>
        </w:rPr>
        <w:t>检测认证业务持续增长，在雄安新区建立实验室，取得《质量监督检验检疫准予行政许可决定书》，具备开展公信业务的资</w:t>
      </w:r>
      <w:r>
        <w:rPr>
          <w:spacing w:val="-67"/>
        </w:rPr>
        <w:t> </w:t>
      </w:r>
      <w:r>
        <w:rPr>
          <w:spacing w:val="-67"/>
        </w:rPr>
      </w:r>
      <w:r>
        <w:rPr/>
        <w:t>质和能力，逐步开拓新的区域市场。</w:t>
      </w:r>
      <w:r>
        <w:rPr>
          <w:rFonts w:ascii="Times New Roman" w:hAnsi="Times New Roman" w:cs="Times New Roman" w:eastAsia="Times New Roman" w:hint="default"/>
        </w:rPr>
        <w:t>2018</w:t>
      </w:r>
      <w:r>
        <w:rPr/>
        <w:t>年实现营业收入</w:t>
      </w:r>
      <w:r>
        <w:rPr>
          <w:rFonts w:ascii="Times New Roman" w:hAnsi="Times New Roman" w:cs="Times New Roman" w:eastAsia="Times New Roman" w:hint="default"/>
        </w:rPr>
        <w:t>10,413.64</w:t>
      </w:r>
      <w:r>
        <w:rPr/>
        <w:t>万元，同比增长</w:t>
      </w:r>
      <w:r>
        <w:rPr>
          <w:rFonts w:ascii="Times New Roman" w:hAnsi="Times New Roman" w:cs="Times New Roman" w:eastAsia="Times New Roman" w:hint="default"/>
        </w:rPr>
        <w:t>12.20%</w:t>
      </w:r>
      <w:r>
        <w:rPr/>
        <w:t>。 报告期内，在国内经济下行压力增大，行业竞争日趋激烈的大环境中，公司业绩总体上保持平稳。实现营业收入</w:t>
      </w:r>
      <w:r>
        <w:rPr>
          <w:rFonts w:ascii="Times New Roman" w:hAnsi="Times New Roman" w:cs="Times New Roman" w:eastAsia="Times New Roman" w:hint="default"/>
        </w:rPr>
        <w:t>39,700.79 </w:t>
      </w:r>
      <w:r>
        <w:rPr>
          <w:spacing w:val="-1"/>
        </w:rPr>
        <w:t>万元，同比增长</w:t>
      </w:r>
      <w:r>
        <w:rPr>
          <w:rFonts w:ascii="Times New Roman" w:hAnsi="Times New Roman" w:cs="Times New Roman" w:eastAsia="Times New Roman" w:hint="default"/>
          <w:spacing w:val="-1"/>
        </w:rPr>
        <w:t>3.97%</w:t>
      </w:r>
      <w:r>
        <w:rPr>
          <w:spacing w:val="-1"/>
        </w:rPr>
        <w:t>，归属于上市公司股东的净利润</w:t>
      </w:r>
      <w:r>
        <w:rPr>
          <w:rFonts w:ascii="Times New Roman" w:hAnsi="Times New Roman" w:cs="Times New Roman" w:eastAsia="Times New Roman" w:hint="default"/>
          <w:spacing w:val="-1"/>
        </w:rPr>
        <w:t>3,463.08</w:t>
      </w:r>
      <w:r>
        <w:rPr>
          <w:spacing w:val="-1"/>
        </w:rPr>
        <w:t>万元，同比增长</w:t>
      </w:r>
      <w:r>
        <w:rPr>
          <w:rFonts w:ascii="Times New Roman" w:hAnsi="Times New Roman" w:cs="Times New Roman" w:eastAsia="Times New Roman" w:hint="default"/>
          <w:spacing w:val="-1"/>
        </w:rPr>
        <w:t>1.89%</w:t>
      </w:r>
      <w:r>
        <w:rPr>
          <w:spacing w:val="-1"/>
        </w:rPr>
        <w:t>。</w:t>
      </w:r>
      <w:r>
        <w:rPr>
          <w:rFonts w:ascii="Times New Roman" w:hAnsi="Times New Roman" w:cs="Times New Roman" w:eastAsia="Times New Roman" w:hint="default"/>
          <w:spacing w:val="-1"/>
        </w:rPr>
        <w:t>2018</w:t>
      </w:r>
      <w:r>
        <w:rPr>
          <w:spacing w:val="-1"/>
        </w:rPr>
        <w:t>年公司扣除非经常性损益后的净</w:t>
      </w:r>
      <w:r>
        <w:rPr>
          <w:spacing w:val="-56"/>
        </w:rPr>
        <w:t> </w:t>
      </w:r>
      <w:r>
        <w:rPr>
          <w:spacing w:val="-56"/>
        </w:rPr>
      </w:r>
      <w:r>
        <w:rPr>
          <w:spacing w:val="-2"/>
        </w:rPr>
        <w:t>利润同比有较大幅度下降，主要原因包括：公司加大新区域市场的培育前期投入，链条业务整合的平台开发投入加大，以培</w:t>
      </w:r>
      <w:r>
        <w:rPr>
          <w:spacing w:val="-65"/>
        </w:rPr>
        <w:t> </w:t>
      </w:r>
      <w:r>
        <w:rPr>
          <w:spacing w:val="-65"/>
        </w:rPr>
      </w:r>
      <w:r>
        <w:rPr>
          <w:spacing w:val="-2"/>
        </w:rPr>
        <w:t>育新业务板块为目的新设子公司处于初创投入期。未来公司将进一步加强战略投入的管理，继续推动业务链的战略转型，更</w:t>
      </w:r>
      <w:r>
        <w:rPr>
          <w:spacing w:val="-63"/>
        </w:rPr>
        <w:t> </w:t>
      </w:r>
      <w:r>
        <w:rPr>
          <w:spacing w:val="-63"/>
        </w:rPr>
      </w:r>
      <w:r>
        <w:rPr/>
        <w:t>好发挥业务协同提升市场竞争力，实现经营业绩的持续增长。</w:t>
      </w:r>
    </w:p>
    <w:p>
      <w:pPr>
        <w:pStyle w:val="BodyText"/>
        <w:spacing w:line="240" w:lineRule="auto" w:before="28"/>
        <w:ind w:right="0"/>
        <w:jc w:val="left"/>
      </w:pPr>
      <w:r>
        <w:rPr/>
        <w:t>（二）着力改革发展，努力开拓业务新局面</w:t>
      </w:r>
    </w:p>
    <w:p>
      <w:pPr>
        <w:pStyle w:val="BodyText"/>
        <w:spacing w:line="240" w:lineRule="auto" w:before="76"/>
        <w:ind w:right="0"/>
        <w:jc w:val="left"/>
      </w:pPr>
      <w:r>
        <w:rPr>
          <w:rFonts w:ascii="Times New Roman" w:hAnsi="Times New Roman" w:cs="Times New Roman" w:eastAsia="Times New Roman" w:hint="default"/>
        </w:rPr>
        <w:t>1</w:t>
      </w:r>
      <w:r>
        <w:rPr/>
        <w:t>、启动</w:t>
      </w:r>
      <w:r>
        <w:rPr>
          <w:rFonts w:ascii="Times New Roman" w:hAnsi="Times New Roman" w:cs="Times New Roman" w:eastAsia="Times New Roman" w:hint="default"/>
        </w:rPr>
        <w:t>“</w:t>
      </w:r>
      <w:r>
        <w:rPr/>
        <w:t>重新定义</w:t>
      </w:r>
      <w:r>
        <w:rPr>
          <w:rFonts w:ascii="Times New Roman" w:hAnsi="Times New Roman" w:cs="Times New Roman" w:eastAsia="Times New Roman" w:hint="default"/>
        </w:rPr>
        <w:t>IBR”</w:t>
      </w:r>
      <w:r>
        <w:rPr/>
        <w:t>管理变革和流程再造计划</w:t>
      </w:r>
    </w:p>
    <w:p>
      <w:pPr>
        <w:pStyle w:val="BodyText"/>
        <w:spacing w:line="314" w:lineRule="auto" w:before="63"/>
        <w:ind w:right="0"/>
        <w:jc w:val="left"/>
      </w:pPr>
      <w:r>
        <w:rPr>
          <w:rFonts w:ascii="Times New Roman" w:hAnsi="Times New Roman" w:cs="Times New Roman" w:eastAsia="Times New Roman" w:hint="default"/>
          <w:spacing w:val="-2"/>
        </w:rPr>
        <w:t>2018</w:t>
      </w:r>
      <w:r>
        <w:rPr>
          <w:spacing w:val="-2"/>
        </w:rPr>
        <w:t>年，公司组建了公信服务事业部、规划设计事业部、建设管理事业部，基本完成事业部运作方式的转换。重点突出市场</w:t>
      </w:r>
      <w:r>
        <w:rPr>
          <w:spacing w:val="-65"/>
        </w:rPr>
        <w:t> </w:t>
      </w:r>
      <w:r>
        <w:rPr>
          <w:spacing w:val="-65"/>
        </w:rPr>
      </w:r>
      <w:r>
        <w:rPr>
          <w:spacing w:val="-2"/>
        </w:rPr>
        <w:t>开拓、客户维护、平台管理以及统筹华南区、华北区、华东区、华中区等各区域的销售职能，加大力度建设以城市级和战略</w:t>
      </w:r>
      <w:r>
        <w:rPr>
          <w:spacing w:val="-68"/>
        </w:rPr>
        <w:t> </w:t>
      </w:r>
      <w:r>
        <w:rPr>
          <w:spacing w:val="-68"/>
        </w:rPr>
      </w:r>
      <w:r>
        <w:rPr>
          <w:spacing w:val="-2"/>
        </w:rPr>
        <w:t>级客户为核心的区域市场体系。重点提升市场策划团队客户开拓和服务能力，特别是提高雄安、西南、华东等市场的服务能</w:t>
      </w:r>
      <w:r>
        <w:rPr>
          <w:spacing w:val="-64"/>
        </w:rPr>
        <w:t> </w:t>
      </w:r>
      <w:r>
        <w:rPr>
          <w:spacing w:val="-64"/>
        </w:rPr>
      </w:r>
      <w:r>
        <w:rPr/>
        <w:t>力和市场份额。 </w:t>
      </w:r>
      <w:r>
        <w:rPr>
          <w:spacing w:val="-4"/>
        </w:rPr>
        <w:t>为加快高级经营和管理人才、各业务领域创新型技术人才的引进及培养，对公司现有职业通道及职位体系进行了回顾和优化，</w:t>
      </w:r>
      <w:r>
        <w:rPr>
          <w:spacing w:val="-44"/>
        </w:rPr>
        <w:t> </w:t>
      </w:r>
      <w:r>
        <w:rPr>
          <w:spacing w:val="-44"/>
        </w:rPr>
      </w:r>
      <w:r>
        <w:rPr/>
        <w:t>借鉴标杆，公司开展人才评估和能力认证，建立具有公司特色的考核激励机制，形成对人才的长效激励机制。</w:t>
      </w:r>
      <w:r>
        <w:rPr/>
        <w:t> </w:t>
      </w:r>
      <w:r>
        <w:rPr>
          <w:rFonts w:ascii="Times New Roman" w:hAnsi="Times New Roman" w:cs="Times New Roman" w:eastAsia="Times New Roman" w:hint="default"/>
        </w:rPr>
        <w:t>2</w:t>
      </w:r>
      <w:r>
        <w:rPr/>
        <w:t>、自主创新能力持续增强，行业优势更加突出</w:t>
      </w:r>
    </w:p>
    <w:p>
      <w:pPr>
        <w:pStyle w:val="BodyText"/>
        <w:spacing w:line="300" w:lineRule="auto" w:before="1"/>
        <w:ind w:right="1131"/>
        <w:jc w:val="both"/>
      </w:pPr>
      <w:r>
        <w:rPr>
          <w:rFonts w:ascii="Times New Roman" w:hAnsi="Times New Roman" w:cs="Times New Roman" w:eastAsia="Times New Roman" w:hint="default"/>
        </w:rPr>
        <w:t>2018</w:t>
      </w:r>
      <w:r>
        <w:rPr/>
        <w:t>年公司新增论文</w:t>
      </w:r>
      <w:r>
        <w:rPr>
          <w:rFonts w:ascii="Times New Roman" w:hAnsi="Times New Roman" w:cs="Times New Roman" w:eastAsia="Times New Roman" w:hint="default"/>
        </w:rPr>
        <w:t>35</w:t>
      </w:r>
      <w:r>
        <w:rPr/>
        <w:t>篇，其中</w:t>
      </w:r>
      <w:r>
        <w:rPr>
          <w:rFonts w:ascii="Times New Roman" w:hAnsi="Times New Roman" w:cs="Times New Roman" w:eastAsia="Times New Roman" w:hint="default"/>
        </w:rPr>
        <w:t>SCI 2</w:t>
      </w:r>
      <w:r>
        <w:rPr/>
        <w:t>篇，</w:t>
      </w:r>
      <w:r>
        <w:rPr>
          <w:rFonts w:ascii="Times New Roman" w:hAnsi="Times New Roman" w:cs="Times New Roman" w:eastAsia="Times New Roman" w:hint="default"/>
        </w:rPr>
        <w:t>EI</w:t>
      </w:r>
      <w:r>
        <w:rPr>
          <w:rFonts w:ascii="Times New Roman" w:hAnsi="Times New Roman" w:cs="Times New Roman" w:eastAsia="Times New Roman" w:hint="default"/>
          <w:spacing w:val="-7"/>
        </w:rPr>
        <w:t> </w:t>
      </w:r>
      <w:r>
        <w:rPr>
          <w:rFonts w:ascii="Times New Roman" w:hAnsi="Times New Roman" w:cs="Times New Roman" w:eastAsia="Times New Roman" w:hint="default"/>
        </w:rPr>
        <w:t>1</w:t>
      </w:r>
      <w:r>
        <w:rPr/>
        <w:t>篇，中文核心</w:t>
      </w:r>
      <w:r>
        <w:rPr>
          <w:rFonts w:ascii="Times New Roman" w:hAnsi="Times New Roman" w:cs="Times New Roman" w:eastAsia="Times New Roman" w:hint="default"/>
        </w:rPr>
        <w:t>3</w:t>
      </w:r>
      <w:r>
        <w:rPr/>
        <w:t>篇。新增授权专利</w:t>
      </w:r>
      <w:r>
        <w:rPr>
          <w:rFonts w:ascii="Times New Roman" w:hAnsi="Times New Roman" w:cs="Times New Roman" w:eastAsia="Times New Roman" w:hint="default"/>
        </w:rPr>
        <w:t>13</w:t>
      </w:r>
      <w:r>
        <w:rPr/>
        <w:t>项，其中发明专利</w:t>
      </w:r>
      <w:r>
        <w:rPr>
          <w:rFonts w:ascii="Times New Roman" w:hAnsi="Times New Roman" w:cs="Times New Roman" w:eastAsia="Times New Roman" w:hint="default"/>
        </w:rPr>
        <w:t>8</w:t>
      </w:r>
      <w:r>
        <w:rPr/>
        <w:t>项，实用新型</w:t>
      </w:r>
      <w:r>
        <w:rPr>
          <w:rFonts w:ascii="Times New Roman" w:hAnsi="Times New Roman" w:cs="Times New Roman" w:eastAsia="Times New Roman" w:hint="default"/>
        </w:rPr>
        <w:t>4</w:t>
      </w:r>
      <w:r>
        <w:rPr/>
        <w:t>项，外</w:t>
      </w:r>
      <w:r>
        <w:rPr>
          <w:w w:val="99"/>
        </w:rPr>
        <w:t> </w:t>
      </w:r>
      <w:r>
        <w:rPr>
          <w:spacing w:val="-2"/>
        </w:rPr>
        <w:t>观设计</w:t>
      </w:r>
      <w:r>
        <w:rPr>
          <w:rFonts w:ascii="Times New Roman" w:hAnsi="Times New Roman" w:cs="Times New Roman" w:eastAsia="Times New Roman" w:hint="default"/>
          <w:spacing w:val="-2"/>
        </w:rPr>
        <w:t>1</w:t>
      </w:r>
      <w:r>
        <w:rPr>
          <w:spacing w:val="-2"/>
        </w:rPr>
        <w:t>项；新增专利申请</w:t>
      </w:r>
      <w:r>
        <w:rPr>
          <w:rFonts w:ascii="Times New Roman" w:hAnsi="Times New Roman" w:cs="Times New Roman" w:eastAsia="Times New Roman" w:hint="default"/>
          <w:spacing w:val="-2"/>
        </w:rPr>
        <w:t>13</w:t>
      </w:r>
      <w:r>
        <w:rPr>
          <w:spacing w:val="-2"/>
        </w:rPr>
        <w:t>项，其中发明专利</w:t>
      </w:r>
      <w:r>
        <w:rPr>
          <w:rFonts w:ascii="Times New Roman" w:hAnsi="Times New Roman" w:cs="Times New Roman" w:eastAsia="Times New Roman" w:hint="default"/>
          <w:spacing w:val="-2"/>
        </w:rPr>
        <w:t>6</w:t>
      </w:r>
      <w:r>
        <w:rPr>
          <w:spacing w:val="-2"/>
        </w:rPr>
        <w:t>项，实用新型</w:t>
      </w:r>
      <w:r>
        <w:rPr>
          <w:rFonts w:ascii="Times New Roman" w:hAnsi="Times New Roman" w:cs="Times New Roman" w:eastAsia="Times New Roman" w:hint="default"/>
          <w:spacing w:val="-2"/>
        </w:rPr>
        <w:t>5</w:t>
      </w:r>
      <w:r>
        <w:rPr>
          <w:spacing w:val="-2"/>
        </w:rPr>
        <w:t>项，外观设计</w:t>
      </w:r>
      <w:r>
        <w:rPr>
          <w:rFonts w:ascii="Times New Roman" w:hAnsi="Times New Roman" w:cs="Times New Roman" w:eastAsia="Times New Roman" w:hint="default"/>
          <w:spacing w:val="-2"/>
        </w:rPr>
        <w:t>2</w:t>
      </w:r>
      <w:r>
        <w:rPr>
          <w:spacing w:val="-2"/>
        </w:rPr>
        <w:t>项。新增发布标准</w:t>
      </w:r>
      <w:r>
        <w:rPr>
          <w:rFonts w:ascii="Times New Roman" w:hAnsi="Times New Roman" w:cs="Times New Roman" w:eastAsia="Times New Roman" w:hint="default"/>
          <w:spacing w:val="-2"/>
        </w:rPr>
        <w:t>7</w:t>
      </w:r>
      <w:r>
        <w:rPr>
          <w:spacing w:val="-2"/>
        </w:rPr>
        <w:t>项，其中行业标准</w:t>
      </w:r>
      <w:r>
        <w:rPr>
          <w:rFonts w:ascii="Times New Roman" w:hAnsi="Times New Roman" w:cs="Times New Roman" w:eastAsia="Times New Roman" w:hint="default"/>
          <w:spacing w:val="-2"/>
        </w:rPr>
        <w:t>3</w:t>
      </w:r>
      <w:r>
        <w:rPr>
          <w:spacing w:val="-2"/>
        </w:rPr>
        <w:t>项，地</w:t>
      </w:r>
      <w:r>
        <w:rPr>
          <w:spacing w:val="-67"/>
        </w:rPr>
        <w:t> </w:t>
      </w:r>
      <w:r>
        <w:rPr>
          <w:spacing w:val="-67"/>
        </w:rPr>
      </w:r>
      <w:r>
        <w:rPr/>
        <w:t>方标准</w:t>
      </w:r>
      <w:r>
        <w:rPr>
          <w:rFonts w:ascii="Times New Roman" w:hAnsi="Times New Roman" w:cs="Times New Roman" w:eastAsia="Times New Roman" w:hint="default"/>
        </w:rPr>
        <w:t>4</w:t>
      </w:r>
      <w:r>
        <w:rPr/>
        <w:t>项。</w:t>
      </w:r>
      <w:r>
        <w:rPr>
          <w:rFonts w:ascii="Times New Roman" w:hAnsi="Times New Roman" w:cs="Times New Roman" w:eastAsia="Times New Roman" w:hint="default"/>
        </w:rPr>
        <w:t>2018</w:t>
      </w:r>
      <w:r>
        <w:rPr/>
        <w:t>年公司在研课题</w:t>
      </w:r>
      <w:r>
        <w:rPr>
          <w:rFonts w:ascii="Times New Roman" w:hAnsi="Times New Roman" w:cs="Times New Roman" w:eastAsia="Times New Roman" w:hint="default"/>
        </w:rPr>
        <w:t>54</w:t>
      </w:r>
      <w:r>
        <w:rPr/>
        <w:t>项，其中国家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国家重点研发计划项目级</w:t>
      </w:r>
      <w:r>
        <w:rPr>
          <w:rFonts w:ascii="Times New Roman" w:hAnsi="Times New Roman" w:cs="Times New Roman" w:eastAsia="Times New Roman" w:hint="default"/>
        </w:rPr>
        <w:t>1</w:t>
      </w:r>
      <w:r>
        <w:rPr/>
        <w:t>项，课题</w:t>
      </w:r>
      <w:r>
        <w:rPr>
          <w:rFonts w:ascii="Times New Roman" w:hAnsi="Times New Roman" w:cs="Times New Roman" w:eastAsia="Times New Roman" w:hint="default"/>
        </w:rPr>
        <w:t>6</w:t>
      </w:r>
      <w:r>
        <w:rPr/>
        <w:t>项，子课题</w:t>
      </w:r>
      <w:r>
        <w:rPr>
          <w:rFonts w:ascii="Times New Roman" w:hAnsi="Times New Roman" w:cs="Times New Roman" w:eastAsia="Times New Roman" w:hint="default"/>
        </w:rPr>
        <w:t>16</w:t>
      </w:r>
      <w:r>
        <w:rPr/>
        <w:t>项，省部级课</w:t>
      </w:r>
      <w:r>
        <w:rPr>
          <w:spacing w:val="-88"/>
        </w:rPr>
        <w:t> </w:t>
      </w:r>
      <w:r>
        <w:rPr/>
        <w:t>题</w:t>
      </w:r>
      <w:r>
        <w:rPr>
          <w:rFonts w:ascii="Times New Roman" w:hAnsi="Times New Roman" w:cs="Times New Roman" w:eastAsia="Times New Roman" w:hint="default"/>
        </w:rPr>
        <w:t>5</w:t>
      </w:r>
      <w:r>
        <w:rPr/>
        <w:t>项，国际基金课题</w:t>
      </w:r>
      <w:r>
        <w:rPr>
          <w:rFonts w:ascii="Times New Roman" w:hAnsi="Times New Roman" w:cs="Times New Roman" w:eastAsia="Times New Roman" w:hint="default"/>
        </w:rPr>
        <w:t>1</w:t>
      </w:r>
      <w:r>
        <w:rPr/>
        <w:t>项，市级课题</w:t>
      </w:r>
      <w:r>
        <w:rPr>
          <w:rFonts w:ascii="Times New Roman" w:hAnsi="Times New Roman" w:cs="Times New Roman" w:eastAsia="Times New Roman" w:hint="default"/>
        </w:rPr>
        <w:t>1</w:t>
      </w:r>
      <w:r>
        <w:rPr/>
        <w:t>项。</w:t>
      </w:r>
    </w:p>
    <w:p>
      <w:pPr>
        <w:spacing w:after="0" w:line="300" w:lineRule="auto"/>
        <w:jc w:val="both"/>
        <w:sectPr>
          <w:pgSz w:w="11910" w:h="16840"/>
          <w:pgMar w:header="852" w:footer="980" w:top="1320" w:bottom="1160" w:left="980" w:right="0"/>
        </w:sectPr>
      </w:pPr>
    </w:p>
    <w:p>
      <w:pPr>
        <w:pStyle w:val="BodyText"/>
        <w:spacing w:line="309" w:lineRule="auto" w:before="111"/>
        <w:ind w:right="1112"/>
        <w:jc w:val="left"/>
      </w:pPr>
      <w:r>
        <w:rPr>
          <w:spacing w:val="-2"/>
        </w:rPr>
        <w:t>绿色建筑性能质量检测认证平台完成实验室布局设计和仪器设备等实验室软硬件采购计划制定。并在现有实验室基础上，进</w:t>
      </w:r>
      <w:r>
        <w:rPr>
          <w:spacing w:val="-64"/>
        </w:rPr>
        <w:t> </w:t>
      </w:r>
      <w:r>
        <w:rPr>
          <w:spacing w:val="-64"/>
        </w:rPr>
      </w:r>
      <w:r>
        <w:rPr>
          <w:spacing w:val="-2"/>
        </w:rPr>
        <w:t>行了房屋安全性能检查评估实验室、绿色建材与部品性能评估实验室、建筑设备性能评估实验室、室内人居环境实验室的建</w:t>
      </w:r>
      <w:r>
        <w:rPr>
          <w:spacing w:val="-63"/>
        </w:rPr>
        <w:t> </w:t>
      </w:r>
      <w:r>
        <w:rPr>
          <w:spacing w:val="-63"/>
        </w:rPr>
      </w:r>
      <w:r>
        <w:rPr/>
        <w:t>设方案完善，开展了</w:t>
      </w:r>
      <w:r>
        <w:rPr>
          <w:rFonts w:ascii="Times New Roman" w:hAnsi="Times New Roman" w:cs="Times New Roman" w:eastAsia="Times New Roman" w:hint="default"/>
        </w:rPr>
        <w:t>4</w:t>
      </w:r>
      <w:r>
        <w:rPr/>
        <w:t>类实验室的仪器设备采购和检测资质扩项。 </w:t>
      </w:r>
      <w:r>
        <w:rPr>
          <w:spacing w:val="-2"/>
        </w:rPr>
        <w:t>科研成果方面，牵头承担的《既有城市工业区功能提升与改造技术》项目获得国家科技部立项，国家重点研发计划课题《住</w:t>
      </w:r>
      <w:r>
        <w:rPr>
          <w:spacing w:val="-67"/>
        </w:rPr>
        <w:t> </w:t>
      </w:r>
      <w:r>
        <w:rPr>
          <w:spacing w:val="-67"/>
        </w:rPr>
      </w:r>
      <w:r>
        <w:rPr>
          <w:spacing w:val="-2"/>
        </w:rPr>
        <w:t>宅通风和空气净化过滤技术实施及效果评测》通过中期评议，《建筑室内装修污染全过程控制理论与应用研究》项目成果经</w:t>
      </w:r>
      <w:r>
        <w:rPr>
          <w:spacing w:val="-64"/>
        </w:rPr>
        <w:t> </w:t>
      </w:r>
      <w:r>
        <w:rPr>
          <w:spacing w:val="-64"/>
        </w:rPr>
      </w:r>
      <w:r>
        <w:rPr>
          <w:spacing w:val="-2"/>
        </w:rPr>
        <w:t>第三方机构组织的以侯立安院士为组织的专家委员会评审，被认定为</w:t>
      </w:r>
      <w:r>
        <w:rPr>
          <w:rFonts w:ascii="Times New Roman" w:hAnsi="Times New Roman" w:cs="Times New Roman" w:eastAsia="Times New Roman" w:hint="default"/>
          <w:spacing w:val="-2"/>
        </w:rPr>
        <w:t>“</w:t>
      </w:r>
      <w:r>
        <w:rPr>
          <w:spacing w:val="-2"/>
        </w:rPr>
        <w:t>国际领先水平</w:t>
      </w:r>
      <w:r>
        <w:rPr>
          <w:rFonts w:ascii="Times New Roman" w:hAnsi="Times New Roman" w:cs="Times New Roman" w:eastAsia="Times New Roman" w:hint="default"/>
          <w:spacing w:val="-2"/>
        </w:rPr>
        <w:t>”</w:t>
      </w:r>
      <w:r>
        <w:rPr>
          <w:spacing w:val="-2"/>
        </w:rPr>
        <w:t>，承担的深圳市科创委技术攻关重大专</w:t>
      </w:r>
      <w:r>
        <w:rPr>
          <w:spacing w:val="-43"/>
        </w:rPr>
        <w:t> </w:t>
      </w:r>
      <w:r>
        <w:rPr>
          <w:spacing w:val="-43"/>
        </w:rPr>
      </w:r>
      <w:r>
        <w:rPr>
          <w:spacing w:val="-2"/>
        </w:rPr>
        <w:t>项《城市宜居空间智慧模型及个性化决策系统研发》通过中期专家评审，自主研发课题《生态城市（园区）规划体系》研究</w:t>
      </w:r>
      <w:r>
        <w:rPr>
          <w:spacing w:val="-73"/>
        </w:rPr>
        <w:t> </w:t>
      </w:r>
      <w:r>
        <w:rPr>
          <w:spacing w:val="-73"/>
        </w:rPr>
      </w:r>
      <w:r>
        <w:rPr/>
        <w:t>通过验收评审，形成</w:t>
      </w:r>
      <w:r>
        <w:rPr>
          <w:rFonts w:ascii="Times New Roman" w:hAnsi="Times New Roman" w:cs="Times New Roman" w:eastAsia="Times New Roman" w:hint="default"/>
        </w:rPr>
        <w:t>1+N</w:t>
      </w:r>
      <w:r>
        <w:rPr/>
        <w:t>规划产品体系（包括专项模板</w:t>
      </w:r>
      <w:r>
        <w:rPr>
          <w:rFonts w:ascii="Times New Roman" w:hAnsi="Times New Roman" w:cs="Times New Roman" w:eastAsia="Times New Roman" w:hint="default"/>
        </w:rPr>
        <w:t>9</w:t>
      </w:r>
      <w:r>
        <w:rPr/>
        <w:t>套、软件工具</w:t>
      </w:r>
      <w:r>
        <w:rPr>
          <w:rFonts w:ascii="Times New Roman" w:hAnsi="Times New Roman" w:cs="Times New Roman" w:eastAsia="Times New Roman" w:hint="default"/>
        </w:rPr>
        <w:t>6</w:t>
      </w:r>
      <w:r>
        <w:rPr/>
        <w:t>个，案例</w:t>
      </w:r>
      <w:r>
        <w:rPr>
          <w:rFonts w:ascii="Times New Roman" w:hAnsi="Times New Roman" w:cs="Times New Roman" w:eastAsia="Times New Roman" w:hint="default"/>
        </w:rPr>
        <w:t>/</w:t>
      </w:r>
      <w:r>
        <w:rPr/>
        <w:t>数据集</w:t>
      </w:r>
      <w:r>
        <w:rPr>
          <w:rFonts w:ascii="Times New Roman" w:hAnsi="Times New Roman" w:cs="Times New Roman" w:eastAsia="Times New Roman" w:hint="default"/>
        </w:rPr>
        <w:t>3</w:t>
      </w:r>
      <w:r>
        <w:rPr/>
        <w:t>套），相关成果已向横向项目推广 应用，相关合同额达到</w:t>
      </w:r>
      <w:r>
        <w:rPr>
          <w:rFonts w:ascii="Times New Roman" w:hAnsi="Times New Roman" w:cs="Times New Roman" w:eastAsia="Times New Roman" w:hint="default"/>
        </w:rPr>
        <w:t>530</w:t>
      </w:r>
      <w:r>
        <w:rPr/>
        <w:t>万，初步实现市场转化。 </w:t>
      </w:r>
      <w:r>
        <w:rPr>
          <w:spacing w:val="-2"/>
        </w:rPr>
        <w:t>公司还主导组建了直流建筑联盟，致力于发展直流供电的标准制定，产品研发示范建设、系统验证、反馈评估等。在研究过</w:t>
      </w:r>
      <w:r>
        <w:rPr>
          <w:spacing w:val="-67"/>
        </w:rPr>
        <w:t> </w:t>
      </w:r>
      <w:r>
        <w:rPr>
          <w:spacing w:val="-67"/>
        </w:rPr>
      </w:r>
      <w:r>
        <w:rPr/>
        <w:t>程中形成了</w:t>
      </w:r>
      <w:r>
        <w:rPr>
          <w:rFonts w:ascii="Times New Roman" w:hAnsi="Times New Roman" w:cs="Times New Roman" w:eastAsia="Times New Roman" w:hint="default"/>
        </w:rPr>
        <w:t>“</w:t>
      </w:r>
      <w:r>
        <w:rPr/>
        <w:t>户式配储控一体机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直流专用防电弧插头插座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直流自适应变电压排插</w:t>
      </w:r>
      <w:r>
        <w:rPr>
          <w:rFonts w:ascii="Times New Roman" w:hAnsi="Times New Roman" w:cs="Times New Roman" w:eastAsia="Times New Roman" w:hint="default"/>
        </w:rPr>
        <w:t>”</w:t>
      </w:r>
      <w:r>
        <w:rPr/>
        <w:t>等</w:t>
      </w:r>
      <w:r>
        <w:rPr>
          <w:rFonts w:ascii="Times New Roman" w:hAnsi="Times New Roman" w:cs="Times New Roman" w:eastAsia="Times New Roman" w:hint="default"/>
        </w:rPr>
        <w:t>4</w:t>
      </w:r>
      <w:r>
        <w:rPr/>
        <w:t>项专利，结合未来大厦项目论 </w:t>
      </w:r>
      <w:r>
        <w:rPr>
          <w:spacing w:val="-2"/>
        </w:rPr>
        <w:t>证形成《民用建筑直流配电技术导则》，为推广直流建筑技术提供了技术及产品积累。未来大厦将建成世界最大规模的直流</w:t>
      </w:r>
      <w:r>
        <w:rPr>
          <w:spacing w:val="-64"/>
        </w:rPr>
        <w:t> </w:t>
      </w:r>
      <w:r>
        <w:rPr>
          <w:spacing w:val="-64"/>
        </w:rPr>
      </w:r>
      <w:r>
        <w:rPr/>
        <w:t>建筑，已入选科技部组织的筛选，将于</w:t>
      </w:r>
      <w:r>
        <w:rPr>
          <w:rFonts w:ascii="宋体" w:hAnsi="宋体" w:cs="宋体" w:eastAsia="宋体" w:hint="default"/>
        </w:rPr>
        <w:t>2019</w:t>
      </w:r>
      <w:r>
        <w:rPr/>
        <w:t>年</w:t>
      </w:r>
      <w:r>
        <w:rPr>
          <w:rFonts w:ascii="宋体" w:hAnsi="宋体" w:cs="宋体" w:eastAsia="宋体" w:hint="default"/>
        </w:rPr>
        <w:t>5</w:t>
      </w:r>
      <w:r>
        <w:rPr/>
        <w:t>月初在中国驻美国使馆开放日活动中，作为向美国公众宣传的中国科技成就 和中美合作成果。 此外，公司狠抓质量管理，以质量促发展，不断夯实行业优势地位。</w:t>
      </w:r>
      <w:r>
        <w:rPr>
          <w:rFonts w:ascii="Times New Roman" w:hAnsi="Times New Roman" w:cs="Times New Roman" w:eastAsia="Times New Roman" w:hint="default"/>
        </w:rPr>
        <w:t>2018</w:t>
      </w:r>
      <w:r>
        <w:rPr/>
        <w:t>年，公司荣获市国资委评选的</w:t>
      </w:r>
      <w:r>
        <w:rPr>
          <w:rFonts w:ascii="Times New Roman" w:hAnsi="Times New Roman" w:cs="Times New Roman" w:eastAsia="Times New Roman" w:hint="default"/>
        </w:rPr>
        <w:t>“</w:t>
      </w:r>
      <w:r>
        <w:rPr/>
        <w:t>第一届深圳十佳质 </w:t>
      </w:r>
      <w:r>
        <w:rPr>
          <w:spacing w:val="-1"/>
        </w:rPr>
        <w:t>量提升国企</w:t>
      </w:r>
      <w:r>
        <w:rPr>
          <w:rFonts w:ascii="Times New Roman" w:hAnsi="Times New Roman" w:cs="Times New Roman" w:eastAsia="Times New Roman" w:hint="default"/>
          <w:spacing w:val="-1"/>
        </w:rPr>
        <w:t>”</w:t>
      </w:r>
      <w:r>
        <w:rPr>
          <w:spacing w:val="-1"/>
        </w:rPr>
        <w:t>，前海深港现代服务业合作区</w:t>
      </w:r>
      <w:r>
        <w:rPr>
          <w:rFonts w:ascii="Times New Roman" w:hAnsi="Times New Roman" w:cs="Times New Roman" w:eastAsia="Times New Roman" w:hint="default"/>
          <w:spacing w:val="-1"/>
        </w:rPr>
        <w:t>1.5</w:t>
      </w:r>
      <w:r>
        <w:rPr>
          <w:spacing w:val="-1"/>
        </w:rPr>
        <w:t>级土地开发方案策划项目荣获</w:t>
      </w:r>
      <w:r>
        <w:rPr>
          <w:rFonts w:ascii="Times New Roman" w:hAnsi="Times New Roman" w:cs="Times New Roman" w:eastAsia="Times New Roman" w:hint="default"/>
          <w:spacing w:val="-1"/>
        </w:rPr>
        <w:t>2017</w:t>
      </w:r>
      <w:r>
        <w:rPr>
          <w:spacing w:val="-1"/>
        </w:rPr>
        <w:t>年度广东省优秀城乡规划设计奖表扬奖，深</w:t>
      </w:r>
      <w:r>
        <w:rPr>
          <w:spacing w:val="-63"/>
        </w:rPr>
        <w:t> </w:t>
      </w:r>
      <w:r>
        <w:rPr>
          <w:spacing w:val="-63"/>
        </w:rPr>
      </w:r>
      <w:r>
        <w:rPr>
          <w:spacing w:val="-2"/>
        </w:rPr>
        <w:t>圳博物馆观众服务用房建筑设计荣获</w:t>
      </w:r>
      <w:r>
        <w:rPr>
          <w:rFonts w:ascii="Times New Roman" w:hAnsi="Times New Roman" w:cs="Times New Roman" w:eastAsia="Times New Roman" w:hint="default"/>
          <w:spacing w:val="-2"/>
        </w:rPr>
        <w:t>“</w:t>
      </w:r>
      <w:r>
        <w:rPr>
          <w:spacing w:val="-2"/>
        </w:rPr>
        <w:t>第九届中国威海国际建筑设计大奖赛优秀奖</w:t>
      </w:r>
      <w:r>
        <w:rPr>
          <w:rFonts w:ascii="Times New Roman" w:hAnsi="Times New Roman" w:cs="Times New Roman" w:eastAsia="Times New Roman" w:hint="default"/>
          <w:spacing w:val="-2"/>
        </w:rPr>
        <w:t>”</w:t>
      </w:r>
      <w:r>
        <w:rPr>
          <w:spacing w:val="-2"/>
        </w:rPr>
        <w:t>，绿色生态园区技术集成应用研究与示范</w:t>
      </w:r>
      <w:r>
        <w:rPr>
          <w:spacing w:val="-42"/>
        </w:rPr>
        <w:t> </w:t>
      </w:r>
      <w:r>
        <w:rPr>
          <w:spacing w:val="-42"/>
        </w:rPr>
      </w:r>
      <w:r>
        <w:rPr/>
        <w:t>荣获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w:t>
      </w:r>
      <w:r>
        <w:rPr/>
        <w:t>华夏建设科学技术奖</w:t>
      </w:r>
      <w:r>
        <w:rPr>
          <w:rFonts w:ascii="Times New Roman" w:hAnsi="Times New Roman" w:cs="Times New Roman" w:eastAsia="Times New Roman" w:hint="default"/>
        </w:rPr>
        <w:t>”</w:t>
      </w:r>
      <w:r>
        <w:rPr/>
        <w:t>二等奖；建科大楼再次荣获三星级绿色建筑标识证书。</w:t>
      </w:r>
    </w:p>
    <w:p>
      <w:pPr>
        <w:pStyle w:val="BodyText"/>
        <w:spacing w:line="240" w:lineRule="auto" w:before="5"/>
        <w:ind w:right="0"/>
        <w:jc w:val="left"/>
      </w:pPr>
      <w:r>
        <w:rPr/>
        <w:t>（三）稳抓重点工作，经营管理取得新成绩</w:t>
      </w:r>
    </w:p>
    <w:p>
      <w:pPr>
        <w:pStyle w:val="BodyText"/>
        <w:spacing w:line="240" w:lineRule="auto" w:before="76"/>
        <w:ind w:right="0"/>
        <w:jc w:val="left"/>
      </w:pPr>
      <w:r>
        <w:rPr>
          <w:rFonts w:ascii="Times New Roman" w:hAnsi="Times New Roman" w:cs="Times New Roman" w:eastAsia="Times New Roman" w:hint="default"/>
        </w:rPr>
        <w:t>1</w:t>
      </w:r>
      <w:r>
        <w:rPr/>
        <w:t>、深化卓越绩效管理，加强风险管控</w:t>
      </w:r>
    </w:p>
    <w:p>
      <w:pPr>
        <w:pStyle w:val="BodyText"/>
        <w:spacing w:line="240" w:lineRule="auto" w:before="63"/>
        <w:ind w:right="0"/>
        <w:jc w:val="left"/>
      </w:pPr>
      <w:r>
        <w:rPr>
          <w:rFonts w:ascii="Times New Roman" w:hAnsi="Times New Roman" w:cs="Times New Roman" w:eastAsia="Times New Roman" w:hint="default"/>
        </w:rPr>
        <w:t>2018</w:t>
      </w:r>
      <w:r>
        <w:rPr/>
        <w:t>年，公司完成了内审、外审，</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ISO14001</w:t>
      </w:r>
      <w:r>
        <w:rPr/>
        <w:t>的换版及</w:t>
      </w:r>
      <w:r>
        <w:rPr>
          <w:rFonts w:ascii="Times New Roman" w:hAnsi="Times New Roman" w:cs="Times New Roman" w:eastAsia="Times New Roman" w:hint="default"/>
        </w:rPr>
        <w:t>OHSAS18001</w:t>
      </w:r>
      <w:r>
        <w:rPr/>
        <w:t>监督评审工作。</w:t>
      </w:r>
    </w:p>
    <w:p>
      <w:pPr>
        <w:pStyle w:val="BodyText"/>
        <w:spacing w:line="240" w:lineRule="auto" w:before="63"/>
        <w:ind w:right="0"/>
        <w:jc w:val="left"/>
      </w:pPr>
      <w:r>
        <w:rPr>
          <w:rFonts w:ascii="Times New Roman" w:hAnsi="Times New Roman" w:cs="Times New Roman" w:eastAsia="Times New Roman" w:hint="default"/>
        </w:rPr>
        <w:t>2</w:t>
      </w:r>
      <w:r>
        <w:rPr/>
        <w:t>、完善组织架构，加快绿色生态与绿色人居两大主营业务的发展速度</w:t>
      </w:r>
    </w:p>
    <w:p>
      <w:pPr>
        <w:pStyle w:val="BodyText"/>
        <w:spacing w:line="300" w:lineRule="auto" w:before="63"/>
        <w:ind w:right="0"/>
        <w:jc w:val="left"/>
      </w:pPr>
      <w:r>
        <w:rPr>
          <w:rFonts w:ascii="Times New Roman" w:hAnsi="Times New Roman" w:cs="Times New Roman" w:eastAsia="Times New Roman" w:hint="default"/>
          <w:spacing w:val="-2"/>
        </w:rPr>
        <w:t>2018</w:t>
      </w:r>
      <w:r>
        <w:rPr>
          <w:spacing w:val="-2"/>
        </w:rPr>
        <w:t>年，公信服务事业部、规划设计事业部与建设管理事业部完成组建，事业部组织架构及人员调整到位。加之以事业部运</w:t>
      </w:r>
      <w:r>
        <w:rPr>
          <w:spacing w:val="-61"/>
        </w:rPr>
        <w:t> </w:t>
      </w:r>
      <w:r>
        <w:rPr>
          <w:spacing w:val="-61"/>
        </w:rPr>
      </w:r>
      <w:r>
        <w:rPr/>
        <w:t>作的子公司，公司已形成以绿色生态、绿色人居为主营业务的五大事业部格局。</w:t>
      </w:r>
    </w:p>
    <w:p>
      <w:pPr>
        <w:pStyle w:val="BodyText"/>
        <w:spacing w:line="307" w:lineRule="auto" w:before="31"/>
        <w:ind w:right="1038"/>
        <w:jc w:val="left"/>
      </w:pPr>
      <w:r>
        <w:rPr>
          <w:rFonts w:ascii="Times New Roman" w:hAnsi="Times New Roman" w:cs="Times New Roman" w:eastAsia="Times New Roman" w:hint="default"/>
        </w:rPr>
        <w:t>3</w:t>
      </w:r>
      <w:r>
        <w:rPr/>
        <w:t>、伊城战略稳步推进，雄安实践有序开展 </w:t>
      </w:r>
      <w:r>
        <w:rPr>
          <w:spacing w:val="-10"/>
        </w:rPr>
        <w:t>伊城战略是指具有</w:t>
      </w:r>
      <w:r>
        <w:rPr>
          <w:rFonts w:ascii="宋体" w:hAnsi="宋体" w:cs="宋体" w:eastAsia="宋体" w:hint="default"/>
          <w:spacing w:val="-10"/>
        </w:rPr>
        <w:t>IBR</w:t>
      </w:r>
      <w:r>
        <w:rPr>
          <w:spacing w:val="-10"/>
        </w:rPr>
        <w:t>自主知识产权和实践案例的城市绿色发展模式。“伊”为“她”的别称，英文是</w:t>
      </w:r>
      <w:r>
        <w:rPr>
          <w:rFonts w:ascii="宋体" w:hAnsi="宋体" w:cs="宋体" w:eastAsia="宋体" w:hint="default"/>
          <w:spacing w:val="-10"/>
        </w:rPr>
        <w:t>SHE</w:t>
      </w:r>
      <w:r>
        <w:rPr>
          <w:spacing w:val="-10"/>
        </w:rPr>
        <w:t>，即代表安全（</w:t>
      </w:r>
      <w:r>
        <w:rPr>
          <w:rFonts w:ascii="宋体" w:hAnsi="宋体" w:cs="宋体" w:eastAsia="宋体" w:hint="default"/>
          <w:spacing w:val="-10"/>
        </w:rPr>
        <w:t>Safe</w:t>
      </w:r>
      <w:r>
        <w:rPr>
          <w:spacing w:val="-10"/>
        </w:rPr>
        <w:t>）、</w:t>
      </w:r>
      <w:r>
        <w:rPr>
          <w:spacing w:val="-66"/>
        </w:rPr>
        <w:t> </w:t>
      </w:r>
      <w:r>
        <w:rPr/>
        <w:t>健康幸福（</w:t>
      </w:r>
      <w:r>
        <w:rPr>
          <w:rFonts w:ascii="宋体" w:hAnsi="宋体" w:cs="宋体" w:eastAsia="宋体" w:hint="default"/>
        </w:rPr>
        <w:t>Healthy</w:t>
      </w:r>
      <w:r>
        <w:rPr/>
        <w:t>，</w:t>
      </w:r>
      <w:r>
        <w:rPr>
          <w:rFonts w:ascii="宋体" w:hAnsi="宋体" w:cs="宋体" w:eastAsia="宋体" w:hint="default"/>
        </w:rPr>
        <w:t>Happy</w:t>
      </w:r>
      <w:r>
        <w:rPr/>
        <w:t>）、生态高效（</w:t>
      </w:r>
      <w:r>
        <w:rPr>
          <w:rFonts w:ascii="宋体" w:hAnsi="宋体" w:cs="宋体" w:eastAsia="宋体" w:hint="default"/>
        </w:rPr>
        <w:t>Ecological</w:t>
      </w:r>
      <w:r>
        <w:rPr/>
        <w:t>，</w:t>
      </w:r>
      <w:r>
        <w:rPr>
          <w:rFonts w:ascii="宋体" w:hAnsi="宋体" w:cs="宋体" w:eastAsia="宋体" w:hint="default"/>
        </w:rPr>
        <w:t>Efficient</w:t>
      </w:r>
      <w:r>
        <w:rPr/>
        <w:t>）。 </w:t>
      </w:r>
      <w:r>
        <w:rPr>
          <w:spacing w:val="-2"/>
        </w:rPr>
        <w:t>公司继续开展雄安绿色发展研究、未来绿色社区模式研究，并积极利用现场条件进行低成本改造在小尺度和小空间中实现了</w:t>
      </w:r>
      <w:r>
        <w:rPr>
          <w:spacing w:val="-64"/>
        </w:rPr>
        <w:t> </w:t>
      </w:r>
      <w:r>
        <w:rPr>
          <w:spacing w:val="-64"/>
        </w:rPr>
      </w:r>
      <w:r>
        <w:rPr>
          <w:rFonts w:ascii="Times New Roman" w:hAnsi="Times New Roman" w:cs="Times New Roman" w:eastAsia="Times New Roman" w:hint="default"/>
          <w:spacing w:val="-2"/>
        </w:rPr>
        <w:t>“</w:t>
      </w:r>
      <w:r>
        <w:rPr>
          <w:spacing w:val="-2"/>
        </w:rPr>
        <w:t>绿色设计</w:t>
      </w:r>
      <w:r>
        <w:rPr>
          <w:rFonts w:ascii="Times New Roman" w:hAnsi="Times New Roman" w:cs="Times New Roman" w:eastAsia="Times New Roman" w:hint="default"/>
          <w:spacing w:val="-2"/>
        </w:rPr>
        <w:t>+</w:t>
      </w:r>
      <w:r>
        <w:rPr>
          <w:spacing w:val="-2"/>
        </w:rPr>
        <w:t>复合功能</w:t>
      </w:r>
      <w:r>
        <w:rPr>
          <w:rFonts w:ascii="Times New Roman" w:hAnsi="Times New Roman" w:cs="Times New Roman" w:eastAsia="Times New Roman" w:hint="default"/>
          <w:spacing w:val="-2"/>
        </w:rPr>
        <w:t>+</w:t>
      </w:r>
      <w:r>
        <w:rPr>
          <w:spacing w:val="-2"/>
        </w:rPr>
        <w:t>文化活动</w:t>
      </w:r>
      <w:r>
        <w:rPr>
          <w:rFonts w:ascii="Times New Roman" w:hAnsi="Times New Roman" w:cs="Times New Roman" w:eastAsia="Times New Roman" w:hint="default"/>
          <w:spacing w:val="-2"/>
        </w:rPr>
        <w:t>”</w:t>
      </w:r>
      <w:r>
        <w:rPr>
          <w:spacing w:val="-2"/>
        </w:rPr>
        <w:t>的试点实验。如：完成容城县国土巷绿色微改造项目</w:t>
      </w:r>
      <w:r>
        <w:rPr>
          <w:rFonts w:ascii="Times New Roman" w:hAnsi="Times New Roman" w:cs="Times New Roman" w:eastAsia="Times New Roman" w:hint="default"/>
          <w:spacing w:val="-2"/>
        </w:rPr>
        <w:t>——</w:t>
      </w:r>
      <w:r>
        <w:rPr>
          <w:spacing w:val="-2"/>
        </w:rPr>
        <w:t>伊街坊，绿色生活体验馆改造提升</w:t>
      </w:r>
      <w:r>
        <w:rPr>
          <w:spacing w:val="-65"/>
        </w:rPr>
        <w:t> </w:t>
      </w:r>
      <w:r>
        <w:rPr>
          <w:spacing w:val="-65"/>
        </w:rPr>
      </w:r>
      <w:r>
        <w:rPr/>
        <w:t>项目</w:t>
      </w:r>
      <w:r>
        <w:rPr>
          <w:rFonts w:ascii="Times New Roman" w:hAnsi="Times New Roman" w:cs="Times New Roman" w:eastAsia="Times New Roman" w:hint="default"/>
        </w:rPr>
        <w:t>——</w:t>
      </w:r>
      <w:r>
        <w:rPr/>
        <w:t>伊工社，利用街区碎片化空间建立了公共艺术平台</w:t>
      </w:r>
      <w:r>
        <w:rPr>
          <w:rFonts w:ascii="Times New Roman" w:hAnsi="Times New Roman" w:cs="Times New Roman" w:eastAsia="Times New Roman" w:hint="default"/>
        </w:rPr>
        <w:t>——</w:t>
      </w:r>
      <w:r>
        <w:rPr/>
        <w:t>伊美术馆，为城市提供了有温度的空间载体。通过雄安</w:t>
      </w:r>
      <w:r>
        <w:rPr>
          <w:rFonts w:ascii="Times New Roman" w:hAnsi="Times New Roman" w:cs="Times New Roman" w:eastAsia="Times New Roman" w:hint="default"/>
        </w:rPr>
        <w:t>“</w:t>
      </w:r>
      <w:r>
        <w:rPr/>
        <w:t>伊 系列</w:t>
      </w:r>
      <w:r>
        <w:rPr>
          <w:rFonts w:ascii="Times New Roman" w:hAnsi="Times New Roman" w:cs="Times New Roman" w:eastAsia="Times New Roman" w:hint="default"/>
        </w:rPr>
        <w:t>”</w:t>
      </w:r>
      <w:r>
        <w:rPr/>
        <w:t>的实践，为建科院战略转型发展开展了有益探索。 同时也加强了公司在雄安新区的业务平台的布局。如：雄安绿研检验公司获得了国家计量认证</w:t>
      </w:r>
      <w:r>
        <w:rPr>
          <w:rFonts w:ascii="Times New Roman" w:hAnsi="Times New Roman" w:cs="Times New Roman" w:eastAsia="Times New Roman" w:hint="default"/>
        </w:rPr>
        <w:t>CMA</w:t>
      </w:r>
      <w:r>
        <w:rPr/>
        <w:t>、河北省建设工程质量 </w:t>
      </w:r>
      <w:r>
        <w:rPr>
          <w:spacing w:val="-2"/>
        </w:rPr>
        <w:t>检测机构资质证书，成为雄安新区检测机构第一个新获得以上资质的检测机构。绿研智库积极参与新区多项创新政策的研究</w:t>
      </w:r>
      <w:r>
        <w:rPr>
          <w:spacing w:val="-64"/>
        </w:rPr>
        <w:t> </w:t>
      </w:r>
      <w:r>
        <w:rPr>
          <w:spacing w:val="-64"/>
        </w:rPr>
      </w:r>
      <w:r>
        <w:rPr/>
        <w:t>工作，并积极推动雄安新区的科研交流合作和绿色生活方式的文化传播。</w:t>
      </w:r>
      <w:r>
        <w:rPr>
          <w:rFonts w:ascii="Times New Roman" w:hAnsi="Times New Roman" w:cs="Times New Roman" w:eastAsia="Times New Roman" w:hint="default"/>
        </w:rPr>
        <w:t>2018</w:t>
      </w:r>
      <w:r>
        <w:rPr/>
        <w:t>年共组织</w:t>
      </w:r>
      <w:r>
        <w:rPr>
          <w:rFonts w:ascii="Times New Roman" w:hAnsi="Times New Roman" w:cs="Times New Roman" w:eastAsia="Times New Roman" w:hint="default"/>
        </w:rPr>
        <w:t>22</w:t>
      </w:r>
      <w:r>
        <w:rPr/>
        <w:t>期绿研沙龙。 </w:t>
      </w:r>
      <w:r>
        <w:rPr>
          <w:spacing w:val="-3"/>
        </w:rPr>
        <w:t>借助雄安战略高地，公司品牌宣传成效显著。</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21-22</w:t>
      </w:r>
      <w:r>
        <w:rPr>
          <w:spacing w:val="-3"/>
        </w:rPr>
        <w:t>日，中央电视台《焦点访谈》播出《雄安新区规划纲要解读》。</w:t>
      </w:r>
      <w:r>
        <w:rPr>
          <w:spacing w:val="-57"/>
        </w:rPr>
        <w:t> </w:t>
      </w:r>
      <w:r>
        <w:rPr>
          <w:spacing w:val="-57"/>
        </w:rPr>
      </w:r>
      <w:r>
        <w:rPr/>
        <w:t>作为雄安新区规划评议和技术研究专家，叶青董事长在采访中详细介绍了雄安绿色、生态规划理念和相关技术。</w:t>
      </w:r>
      <w:r>
        <w:rPr>
          <w:rFonts w:ascii="Times New Roman" w:hAnsi="Times New Roman" w:cs="Times New Roman" w:eastAsia="Times New Roman" w:hint="default"/>
        </w:rPr>
        <w:t>9</w:t>
      </w:r>
      <w:r>
        <w:rPr/>
        <w:t>月，深圳</w:t>
      </w:r>
      <w:r>
        <w:rPr>
          <w:spacing w:val="-87"/>
        </w:rPr>
        <w:t> </w:t>
      </w:r>
      <w:r>
        <w:rPr>
          <w:spacing w:val="-2"/>
        </w:rPr>
        <w:t>特区报、深圳卫视《深视新闻》栏目对公司在雄安的实践工作进行了密集报道。此外，新华网对叶青董事长做了专访，中央</w:t>
      </w:r>
      <w:r>
        <w:rPr>
          <w:spacing w:val="-68"/>
        </w:rPr>
        <w:t> </w:t>
      </w:r>
      <w:r>
        <w:rPr>
          <w:spacing w:val="-68"/>
        </w:rPr>
      </w:r>
      <w:r>
        <w:rPr/>
        <w:t>广播电台、</w:t>
      </w:r>
      <w:r>
        <w:rPr>
          <w:rFonts w:ascii="Times New Roman" w:hAnsi="Times New Roman" w:cs="Times New Roman" w:eastAsia="Times New Roman" w:hint="default"/>
        </w:rPr>
        <w:t>CHINA DAILY</w:t>
      </w:r>
      <w:r>
        <w:rPr/>
        <w:t>等同期报道中也体现了建科院在雄安的理论研究与绿色实践。</w:t>
      </w:r>
      <w:r>
        <w:rPr>
          <w:rFonts w:ascii="Times New Roman" w:hAnsi="Times New Roman" w:cs="Times New Roman" w:eastAsia="Times New Roman" w:hint="default"/>
        </w:rPr>
        <w:t>2018</w:t>
      </w:r>
      <w:r>
        <w:rPr/>
        <w:t>年，雄安相关报道</w:t>
      </w:r>
      <w:r>
        <w:rPr>
          <w:rFonts w:ascii="Times New Roman" w:hAnsi="Times New Roman" w:cs="Times New Roman" w:eastAsia="Times New Roman" w:hint="default"/>
        </w:rPr>
        <w:t>80</w:t>
      </w:r>
      <w:r>
        <w:rPr/>
        <w:t>多次，接</w:t>
      </w:r>
      <w:r>
        <w:rPr>
          <w:spacing w:val="-89"/>
        </w:rPr>
        <w:t> </w:t>
      </w:r>
      <w:r>
        <w:rPr/>
        <w:t>待参观来访人员一万余人次。 </w:t>
      </w:r>
      <w:r>
        <w:rPr>
          <w:rFonts w:ascii="Times New Roman" w:hAnsi="Times New Roman" w:cs="Times New Roman" w:eastAsia="Times New Roman" w:hint="default"/>
        </w:rPr>
        <w:t>4</w:t>
      </w:r>
      <w:r>
        <w:rPr/>
        <w:t>、加强公司信息化的平台建设力度，</w:t>
      </w:r>
      <w:r>
        <w:rPr>
          <w:rFonts w:ascii="Times New Roman" w:hAnsi="Times New Roman" w:cs="Times New Roman" w:eastAsia="Times New Roman" w:hint="default"/>
        </w:rPr>
        <w:t>“</w:t>
      </w:r>
      <w:r>
        <w:rPr/>
        <w:t>乐活工社</w:t>
      </w:r>
      <w:r>
        <w:rPr>
          <w:rFonts w:ascii="Times New Roman" w:hAnsi="Times New Roman" w:cs="Times New Roman" w:eastAsia="Times New Roman" w:hint="default"/>
        </w:rPr>
        <w:t>”</w:t>
      </w:r>
      <w:r>
        <w:rPr/>
        <w:t>平台持续完善。</w:t>
      </w:r>
      <w:r>
        <w:rPr>
          <w:rFonts w:ascii="Times New Roman" w:hAnsi="Times New Roman" w:cs="Times New Roman" w:eastAsia="Times New Roman" w:hint="default"/>
        </w:rPr>
        <w:t>2018</w:t>
      </w:r>
      <w:r>
        <w:rPr/>
        <w:t>年，在管理提效的基础上，成立专业信息化子公司， </w:t>
      </w:r>
      <w:r>
        <w:rPr>
          <w:spacing w:val="-2"/>
        </w:rPr>
        <w:t>以区块链技术为核心，加强乐活平台数据基础和系统整合。基于信息流建立个人信用评价体系，提升员工的自组织管理程度</w:t>
      </w:r>
      <w:r>
        <w:rPr>
          <w:spacing w:val="-63"/>
        </w:rPr>
        <w:t> </w:t>
      </w:r>
      <w:r>
        <w:rPr>
          <w:spacing w:val="-63"/>
        </w:rPr>
      </w:r>
      <w:r>
        <w:rPr/>
        <w:t>和内部市场体系激励机制，同时提高</w:t>
      </w:r>
      <w:r>
        <w:rPr>
          <w:rFonts w:ascii="Times New Roman" w:hAnsi="Times New Roman" w:cs="Times New Roman" w:eastAsia="Times New Roman" w:hint="default"/>
        </w:rPr>
        <w:t>EPC</w:t>
      </w:r>
      <w:r>
        <w:rPr/>
        <w:t>、公信等业务和项目管理的信息化程度和透明管理水平，提升了公司销售、项目、 人力、财务和行政的全过程信息化的集成度。</w:t>
      </w:r>
    </w:p>
    <w:p>
      <w:pPr>
        <w:spacing w:after="0" w:line="307" w:lineRule="auto"/>
        <w:jc w:val="left"/>
        <w:sectPr>
          <w:pgSz w:w="11910" w:h="16840"/>
          <w:pgMar w:header="852" w:footer="980" w:top="1320" w:bottom="1160" w:left="980" w:right="0"/>
        </w:sectPr>
      </w:pPr>
    </w:p>
    <w:p>
      <w:pPr>
        <w:pStyle w:val="Heading2"/>
        <w:spacing w:line="407" w:lineRule="exact"/>
        <w:ind w:right="0"/>
        <w:jc w:val="left"/>
        <w:rPr>
          <w:b w:val="0"/>
          <w:bCs w:val="0"/>
        </w:rPr>
      </w:pPr>
      <w:r>
        <w:rPr/>
        <w:t>二、主营业务分析</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line="482" w:lineRule="auto" w:before="0"/>
        <w:ind w:left="152" w:right="64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2"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974"/>
        <w:jc w:val="left"/>
      </w:pPr>
      <w:r>
        <w:rPr/>
        <w:t>公司是否需要遵守光伏产业链相关业的披露要求 否</w:t>
      </w:r>
    </w:p>
    <w:p>
      <w:pPr>
        <w:pStyle w:val="BodyText"/>
        <w:spacing w:line="340" w:lineRule="auto" w:before="25"/>
        <w:ind w:right="1395"/>
        <w:jc w:val="left"/>
      </w:pPr>
      <w:r>
        <w:rPr/>
        <w:t>公司是否需遵守《深圳证券交易所创业板行业信息披露指引第</w:t>
      </w:r>
      <w:r>
        <w:rPr>
          <w:spacing w:val="-46"/>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575"/>
        <w:jc w:val="left"/>
      </w:pPr>
      <w:r>
        <w:rPr/>
        <w:t>公司是否需遵守《深圳证券交易所创业板行业信息披露指引第</w:t>
      </w:r>
      <w:r>
        <w:rPr>
          <w:spacing w:val="-46"/>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137"/>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1"/>
        <w:ind w:right="1664"/>
        <w:jc w:val="left"/>
      </w:pPr>
      <w:r>
        <w:rPr/>
        <w:t>公司是否需遵守《深圳证券交易所行业信息披露指引第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3"/>
        <w:ind w:right="0"/>
        <w:jc w:val="left"/>
      </w:pPr>
      <w:r>
        <w:rPr/>
        <w:t>营业收入整体情况</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397,007,934.86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381,831,957.61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397,007,934.86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381,831,957.61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城市规划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75,738,265.68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93,660,421.94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-19.14%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公信服务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104,136,383.53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92,813,948.52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12.20%</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105,818,030.45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26.65%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102,893,835.72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2.84%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51,895,119.16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46,802,842.66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EPC </w:t>
            </w:r>
            <w:r>
              <w:rPr>
                <w:rFonts w:ascii="宋体" w:hAnsi="宋体" w:cs="宋体" w:eastAsia="宋体" w:hint="default"/>
                <w:sz w:val="18"/>
                <w:szCs w:val="18"/>
              </w:rPr>
              <w:t>及项目全过程 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33,256,072.86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26,164,063.18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45,660,908.77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-42.70%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53,066.03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38,766,961.45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25,877,963.97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49.81%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41,726,679.97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26,955,504.07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54.80%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292,560,102.93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297,854,775.62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20,743,205.14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22,079,714.91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166,415.09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3,210,985.37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8,844,517.92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-63.70%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52" w:footer="980" w:top="132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单位：元</w:t>
      </w:r>
    </w:p>
    <w:p>
      <w:pPr>
        <w:spacing w:after="0" w:line="240" w:lineRule="auto"/>
        <w:jc w:val="left"/>
        <w:sectPr>
          <w:type w:val="continuous"/>
          <w:pgSz w:w="11910" w:h="16840"/>
          <w:pgMar w:top="1280" w:bottom="1160" w:left="980" w:right="0"/>
          <w:cols w:num="2" w:equalWidth="0">
            <w:col w:w="3213" w:space="5707"/>
            <w:col w:w="2010"/>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397,007,934.86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245,210,537.81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城市规划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75,738,265.68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44,699,091.62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公信服务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104,136,383.53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52,462,332.51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105,818,030.45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63,750,164.43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建筑咨询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51,895,119.16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29,845,216.70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EPC </w:t>
            </w:r>
            <w:r>
              <w:rPr>
                <w:rFonts w:ascii="宋体" w:hAnsi="宋体" w:cs="宋体" w:eastAsia="宋体" w:hint="default"/>
                <w:sz w:val="18"/>
                <w:szCs w:val="18"/>
              </w:rPr>
              <w:t>及项目全过 程管理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33,256,072.86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25,246,913.88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24.08%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38,766,961.45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21,771,687.20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41,726,679.97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34,796,155.06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-15.16%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292,560,102.93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171,226,266.23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20,743,205.14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15,337,958.50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type w:val="continuous"/>
          <w:pgSz w:w="11910" w:h="16840"/>
          <w:pgMar w:top="1280" w:bottom="1160" w:left="980" w:right="0"/>
        </w:sectPr>
      </w:pPr>
    </w:p>
    <w:p>
      <w:pPr>
        <w:pStyle w:val="Heading3"/>
        <w:spacing w:line="240" w:lineRule="auto" w:before="24"/>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93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否</w:t>
      </w:r>
    </w:p>
    <w:p>
      <w:pPr>
        <w:pStyle w:val="BodyText"/>
        <w:spacing w:line="340" w:lineRule="auto" w:before="43"/>
        <w:ind w:right="183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单一销售合同金额占公司最近一个会计年度经审计营业收入</w:t>
      </w:r>
      <w:r>
        <w:rPr>
          <w:spacing w:val="-46"/>
        </w:rPr>
        <w:t> </w:t>
      </w:r>
      <w:r>
        <w:rPr>
          <w:rFonts w:ascii="Times New Roman" w:hAnsi="Times New Roman" w:cs="Times New Roman" w:eastAsia="Times New Roman" w:hint="default"/>
        </w:rPr>
        <w:t>30%</w:t>
      </w:r>
      <w:r>
        <w:rPr/>
        <w:t>以上且金额超过</w:t>
      </w:r>
      <w:r>
        <w:rPr>
          <w:spacing w:val="-47"/>
        </w:rPr>
        <w:t> </w:t>
      </w:r>
      <w:r>
        <w:rPr>
          <w:rFonts w:ascii="Times New Roman" w:hAnsi="Times New Roman" w:cs="Times New Roman" w:eastAsia="Times New Roman" w:hint="default"/>
        </w:rPr>
        <w:t>5000 </w:t>
      </w:r>
      <w:r>
        <w:rPr/>
        <w:t>万元的正在履行的合同情况</w:t>
      </w:r>
    </w:p>
    <w:p>
      <w:pPr>
        <w:pStyle w:val="BodyText"/>
        <w:spacing w:line="240" w:lineRule="auto" w:before="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项目执行进 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本期确认收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累计确认收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both"/>
              <w:rPr>
                <w:rFonts w:ascii="宋体" w:hAnsi="宋体" w:cs="宋体" w:eastAsia="宋体" w:hint="default"/>
                <w:sz w:val="18"/>
                <w:szCs w:val="18"/>
              </w:rPr>
            </w:pPr>
            <w:r>
              <w:rPr>
                <w:rFonts w:ascii="宋体" w:hAnsi="宋体" w:cs="宋体" w:eastAsia="宋体" w:hint="default"/>
                <w:sz w:val="18"/>
                <w:szCs w:val="18"/>
              </w:rPr>
              <w:t>项目进展是 否达到计划 进度或预期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未达到计划 进度或预期 的原因</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0"/>
              <w:jc w:val="both"/>
              <w:rPr>
                <w:rFonts w:ascii="宋体" w:hAnsi="宋体" w:cs="宋体" w:eastAsia="宋体" w:hint="default"/>
                <w:sz w:val="18"/>
                <w:szCs w:val="18"/>
              </w:rPr>
            </w:pPr>
            <w:r>
              <w:rPr>
                <w:rFonts w:ascii="宋体" w:hAnsi="宋体" w:cs="宋体" w:eastAsia="宋体" w:hint="default"/>
                <w:sz w:val="18"/>
                <w:szCs w:val="18"/>
              </w:rPr>
              <w:t>国际低碳城 产业园区配 套住房项目 </w:t>
            </w:r>
            <w:r>
              <w:rPr>
                <w:rFonts w:ascii="Times New Roman" w:hAnsi="Times New Roman" w:cs="Times New Roman" w:eastAsia="Times New Roman" w:hint="default"/>
                <w:sz w:val="18"/>
                <w:szCs w:val="18"/>
              </w:rPr>
              <w:t>EPC </w:t>
            </w:r>
            <w:r>
              <w:rPr>
                <w:rFonts w:ascii="宋体" w:hAnsi="宋体" w:cs="宋体" w:eastAsia="宋体" w:hint="default"/>
                <w:sz w:val="18"/>
                <w:szCs w:val="18"/>
              </w:rPr>
              <w:t>总承包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399,573,675.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3"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EPC </w:t>
            </w:r>
            <w:r>
              <w:rPr>
                <w:rFonts w:ascii="宋体" w:hAnsi="宋体" w:cs="宋体" w:eastAsia="宋体" w:hint="default"/>
                <w:sz w:val="18"/>
                <w:szCs w:val="18"/>
              </w:rPr>
              <w:t>及项目 全过程管理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8,242,793.94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10,559,346.7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依据合同及 实际项目进 度正常履行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right="0"/>
        <w:jc w:val="left"/>
      </w:pPr>
      <w:r>
        <w:rPr/>
        <w:t>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日在中国证监会指定的创业板信息披露网站上刊登的《关于</w:t>
      </w:r>
      <w:r>
        <w:rPr>
          <w:rFonts w:ascii="Times New Roman" w:hAnsi="Times New Roman" w:cs="Times New Roman" w:eastAsia="Times New Roman" w:hint="default"/>
        </w:rPr>
        <w:t>“</w:t>
      </w:r>
      <w:r>
        <w:rPr/>
        <w:t>国际低碳城产业园区配套住房项目</w:t>
      </w:r>
    </w:p>
    <w:p>
      <w:pPr>
        <w:pStyle w:val="BodyText"/>
        <w:spacing w:line="240" w:lineRule="auto" w:before="63"/>
        <w:ind w:right="0"/>
        <w:jc w:val="left"/>
      </w:pPr>
      <w:r>
        <w:rPr>
          <w:rFonts w:ascii="Times New Roman" w:hAnsi="Times New Roman" w:cs="Times New Roman" w:eastAsia="Times New Roman" w:hint="default"/>
        </w:rPr>
        <w:t>EPC</w:t>
      </w:r>
      <w:r>
        <w:rPr>
          <w:rFonts w:ascii="Times New Roman" w:hAnsi="Times New Roman" w:cs="Times New Roman" w:eastAsia="Times New Roman" w:hint="default"/>
          <w:spacing w:val="26"/>
        </w:rPr>
        <w:t> </w:t>
      </w:r>
      <w:r>
        <w:rPr/>
        <w:t>总承包</w:t>
      </w:r>
      <w:r>
        <w:rPr>
          <w:rFonts w:ascii="Times New Roman" w:hAnsi="Times New Roman" w:cs="Times New Roman" w:eastAsia="Times New Roman" w:hint="default"/>
        </w:rPr>
        <w:t>”</w:t>
      </w:r>
      <w:r>
        <w:rPr/>
        <w:t>项目的进展公告》（公告编号：</w:t>
      </w:r>
      <w:r>
        <w:rPr>
          <w:rFonts w:ascii="Times New Roman" w:hAnsi="Times New Roman" w:cs="Times New Roman" w:eastAsia="Times New Roman" w:hint="default"/>
        </w:rPr>
        <w:t>2018-027</w:t>
      </w:r>
      <w:r>
        <w:rPr/>
        <w:t>）</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52" w:footer="980" w:top="1320" w:bottom="1160" w:left="980" w:right="0"/>
        </w:sectPr>
      </w:pPr>
    </w:p>
    <w:p>
      <w:pPr>
        <w:pStyle w:val="BodyText"/>
        <w:spacing w:line="360"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280" w:bottom="1160" w:left="980" w:right="0"/>
          <w:cols w:num="2" w:equalWidth="0">
            <w:col w:w="873" w:space="8047"/>
            <w:col w:w="201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119,630,644.65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102,376,755.09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分包费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43,041,864.71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49,935,200.47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19,533,291.45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17,312,007.51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16,166,133.64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13,776,783.79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46,838,603.36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53,144,542.58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r>
    </w:tbl>
    <w:p>
      <w:pPr>
        <w:pStyle w:val="BodyText"/>
        <w:spacing w:line="240" w:lineRule="auto" w:before="49"/>
        <w:ind w:right="0"/>
        <w:jc w:val="left"/>
      </w:pPr>
      <w:r>
        <w:rPr/>
        <w:t>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58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本期公司新增合并单位</w:t>
      </w:r>
      <w:r>
        <w:rPr>
          <w:rFonts w:ascii="Times New Roman" w:hAnsi="Times New Roman" w:cs="Times New Roman" w:eastAsia="Times New Roman" w:hint="default"/>
        </w:rPr>
        <w:t>1</w:t>
      </w:r>
      <w:r>
        <w:rPr/>
        <w:t>家，为投资新设的合资公司建信筑和。</w:t>
      </w:r>
    </w:p>
    <w:p>
      <w:pPr>
        <w:spacing w:line="240" w:lineRule="auto" w:before="8"/>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280" w:bottom="1160" w:left="980" w:right="0"/>
        </w:sectPr>
      </w:pPr>
    </w:p>
    <w:p>
      <w:pPr>
        <w:pStyle w:val="Heading3"/>
        <w:spacing w:line="240" w:lineRule="auto" w:before="24"/>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58,700,491.66</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14.79%</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广西柳州市东城投资开发集团有限公司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13,267,081.54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深圳传音控股股份有限公司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13,025,807.27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深圳市龙岗区住房和建设局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12,634,042.71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中国雄安集团城市发展投资有限公司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10,824,496.14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w:t>
            </w:r>
          </w:p>
        </w:tc>
      </w:tr>
      <w:tr>
        <w:trPr>
          <w:trHeight w:val="71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7"/>
              <w:jc w:val="left"/>
              <w:rPr>
                <w:rFonts w:ascii="宋体" w:hAnsi="宋体" w:cs="宋体" w:eastAsia="宋体" w:hint="default"/>
                <w:sz w:val="18"/>
                <w:szCs w:val="18"/>
              </w:rPr>
            </w:pPr>
            <w:r>
              <w:rPr>
                <w:rFonts w:ascii="宋体" w:hAnsi="宋体" w:cs="宋体" w:eastAsia="宋体" w:hint="default"/>
                <w:sz w:val="18"/>
                <w:szCs w:val="18"/>
              </w:rPr>
              <w:t>深圳市龙华区政府投资工程项目前期工作 办公室</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8,949,064.00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58,700,491.66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14.79%</w:t>
            </w:r>
          </w:p>
        </w:tc>
      </w:tr>
    </w:tbl>
    <w:p>
      <w:pPr>
        <w:pStyle w:val="BodyText"/>
        <w:spacing w:line="240" w:lineRule="auto" w:before="49"/>
        <w:ind w:right="0"/>
        <w:jc w:val="left"/>
      </w:pPr>
      <w:r>
        <w:rPr/>
        <w:t>主要客户其他情况说明</w:t>
      </w:r>
    </w:p>
    <w:p>
      <w:pPr>
        <w:pStyle w:val="BodyText"/>
        <w:spacing w:line="340"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138,564,736.48</w:t>
            </w:r>
          </w:p>
        </w:tc>
      </w:tr>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57.76%</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中建钢构有限公司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32,269,213.58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18.21%</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上海杨浦知识创新区投资发展有限公司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11,151,389.76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深圳市中建大康建筑工程有限公司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6,937,012.15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深圳市灿烁装饰工程有限公司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4,569,876.47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r>
      <w:tr>
        <w:trPr>
          <w:trHeight w:val="716"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思联伟林建筑设计咨询（北京）有限公 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3,566,037.64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58,493,529.60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33.01%</w:t>
            </w:r>
          </w:p>
        </w:tc>
      </w:tr>
    </w:tbl>
    <w:p>
      <w:pPr>
        <w:pStyle w:val="BodyText"/>
        <w:spacing w:line="240" w:lineRule="auto" w:before="49"/>
        <w:ind w:right="0"/>
        <w:jc w:val="left"/>
      </w:pPr>
      <w:r>
        <w:rPr/>
        <w:t>主要供应商其他情况说明</w:t>
      </w:r>
    </w:p>
    <w:p>
      <w:pPr>
        <w:pStyle w:val="BodyText"/>
        <w:spacing w:line="240" w:lineRule="auto" w:before="11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20" w:bottom="1160" w:left="980" w:right="0"/>
        </w:sectPr>
      </w:pPr>
    </w:p>
    <w:p>
      <w:pPr>
        <w:pStyle w:val="Heading3"/>
        <w:spacing w:line="240" w:lineRule="auto" w:before="24"/>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12"/>
              <w:jc w:val="righ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57,461,140.24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47,390,255.84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系公司加大新业务、新区域市场开拓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力度所致</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45,185,298.05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37,655,747.49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系公司规模扩大以及提升管理质量 所致</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3,001,018.40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3,482,317.95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03"/>
              <w:jc w:val="right"/>
              <w:rPr>
                <w:rFonts w:ascii="宋体" w:hAnsi="宋体" w:cs="宋体" w:eastAsia="宋体" w:hint="default"/>
                <w:sz w:val="18"/>
                <w:szCs w:val="18"/>
              </w:rPr>
            </w:pPr>
            <w:r>
              <w:rPr>
                <w:rFonts w:ascii="宋体" w:hAnsi="宋体" w:cs="宋体" w:eastAsia="宋体" w:hint="default"/>
                <w:sz w:val="18"/>
                <w:szCs w:val="18"/>
              </w:rPr>
              <w:t>系流动资金借款减少所致</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13,888,223.01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8,978,450.87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54.68%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系公司承担国家及地方科研任务、政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府公共平台建设项目以及自主研发 项目投入大幅增加所致</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2018</w:t>
      </w:r>
      <w:r>
        <w:rPr/>
        <w:t>年是公司科研业务迈向新高地的一年</w:t>
      </w:r>
      <w:r>
        <w:rPr>
          <w:rFonts w:ascii="Times New Roman" w:hAnsi="Times New Roman" w:cs="Times New Roman" w:eastAsia="Times New Roman" w:hint="default"/>
        </w:rPr>
        <w:t>,</w:t>
      </w:r>
      <w:r>
        <w:rPr/>
        <w:t>公司承接了第一个项目级的</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国家重点研发计划</w:t>
      </w:r>
      <w:r>
        <w:rPr>
          <w:rFonts w:ascii="Times New Roman" w:hAnsi="Times New Roman" w:cs="Times New Roman" w:eastAsia="Times New Roman" w:hint="default"/>
        </w:rPr>
        <w:t>“</w:t>
      </w:r>
      <w:r>
        <w:rPr/>
        <w:t>既有城市工业区功能提 升与改造技术</w:t>
      </w:r>
      <w:r>
        <w:rPr>
          <w:rFonts w:ascii="Times New Roman" w:hAnsi="Times New Roman" w:cs="Times New Roman" w:eastAsia="Times New Roman" w:hint="default"/>
        </w:rPr>
        <w:t>”</w:t>
      </w:r>
      <w:r>
        <w:rPr/>
        <w:t>。全年在研课题</w:t>
      </w:r>
      <w:r>
        <w:rPr>
          <w:rFonts w:ascii="Times New Roman" w:hAnsi="Times New Roman" w:cs="Times New Roman" w:eastAsia="Times New Roman" w:hint="default"/>
        </w:rPr>
        <w:t>54</w:t>
      </w:r>
      <w:r>
        <w:rPr/>
        <w:t>项，其中国家、省市级科技计划项目、课题、子课题合计</w:t>
      </w:r>
      <w:r>
        <w:rPr>
          <w:rFonts w:ascii="Times New Roman" w:hAnsi="Times New Roman" w:cs="Times New Roman" w:eastAsia="Times New Roman" w:hint="default"/>
        </w:rPr>
        <w:t>31</w:t>
      </w:r>
      <w:r>
        <w:rPr/>
        <w:t>项。</w:t>
      </w:r>
    </w:p>
    <w:p>
      <w:pPr>
        <w:pStyle w:val="BodyText"/>
        <w:spacing w:line="312" w:lineRule="auto"/>
        <w:ind w:right="0"/>
        <w:jc w:val="left"/>
      </w:pPr>
      <w:r>
        <w:rPr>
          <w:spacing w:val="-2"/>
        </w:rPr>
        <w:t>本年度研究方向聚焦在生态城市与绿建节能两个方向。在生态城市板块，依托国家</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重点研发计划，深圳市科创委科</w:t>
      </w:r>
      <w:r>
        <w:rPr>
          <w:spacing w:val="-43"/>
        </w:rPr>
        <w:t> </w:t>
      </w:r>
      <w:r>
        <w:rPr>
          <w:spacing w:val="-43"/>
        </w:rPr>
      </w:r>
      <w:r>
        <w:rPr>
          <w:spacing w:val="-2"/>
        </w:rPr>
        <w:t>技攻关课题与自主研发资源，在既有工业区改造技术、生态城市（园区）规划体系、城市级节能减排领域进行深入研发，并</w:t>
      </w:r>
      <w:r>
        <w:rPr>
          <w:spacing w:val="-70"/>
        </w:rPr>
        <w:t> </w:t>
      </w:r>
      <w:r>
        <w:rPr>
          <w:spacing w:val="-70"/>
        </w:rPr>
      </w:r>
      <w:r>
        <w:rPr>
          <w:spacing w:val="-2"/>
        </w:rPr>
        <w:t>将研发成果在长治、张家口、雄安、荆门等地进行推广，通过实践验证对课题研究成果进一步迭代。在绿建节能板块，依托</w:t>
      </w:r>
      <w:r>
        <w:rPr>
          <w:spacing w:val="-66"/>
        </w:rPr>
        <w:t> </w:t>
      </w:r>
      <w:r>
        <w:rPr>
          <w:spacing w:val="-66"/>
        </w:rPr>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国家重点研发计划，在能源利用、低影响开发、室内外环境及可持续建筑结构方面进行探索，在建筑直流供电、雄</w:t>
      </w:r>
      <w:r>
        <w:rPr>
          <w:spacing w:val="-44"/>
        </w:rPr>
        <w:t> </w:t>
      </w:r>
      <w:r>
        <w:rPr>
          <w:spacing w:val="-44"/>
        </w:rPr>
      </w:r>
      <w:r>
        <w:rPr/>
        <w:t>安绿色建筑标准建立、珠海市环境改造等多个方面进行实践。</w:t>
      </w:r>
      <w:r>
        <w:rPr/>
        <w:t> </w:t>
      </w:r>
      <w:r>
        <w:rPr>
          <w:spacing w:val="-2"/>
        </w:rPr>
        <w:t>同时，在科研管理方面，着力开展科研服务在线化建设工作。通过实现经费、进度、成果的全在线，使课题负责人可实时掌</w:t>
      </w:r>
      <w:r>
        <w:rPr>
          <w:spacing w:val="-68"/>
        </w:rPr>
        <w:t> </w:t>
      </w:r>
      <w:r>
        <w:rPr>
          <w:spacing w:val="-68"/>
        </w:rPr>
      </w:r>
      <w:r>
        <w:rPr/>
        <w:t>握课题进展，减少填报工作量，提高科研服务质量和效率。</w:t>
      </w:r>
    </w:p>
    <w:p>
      <w:pPr>
        <w:pStyle w:val="BodyText"/>
        <w:spacing w:line="240" w:lineRule="auto" w:before="61"/>
        <w:ind w:right="0"/>
        <w:jc w:val="left"/>
      </w:pPr>
      <w:r>
        <w:rPr/>
        <w:t>近三年公司研发投入金额及占营业收入的比例</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22.87%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36,161,301.95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33,922,160.18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25,702,295.78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1,019,279.18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3,755,849.63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20" w:bottom="1160" w:left="980" w:right="0"/>
        </w:sectPr>
      </w:pPr>
    </w:p>
    <w:p>
      <w:pPr>
        <w:pStyle w:val="Heading3"/>
        <w:spacing w:line="240" w:lineRule="auto" w:before="24"/>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465,210,112.74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411,086,249.29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422,223,318.06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313,675,546.41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34.61%</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42,986,794.68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97,410,702.88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-55.87%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169,226,938.47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8,509.00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1,988,699.37%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374,297,408.49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34,577,077.42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982.50%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-205,070,470.02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-34,568,568.42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493.23%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209,497,622.00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19.41%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162,958,769.05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149,620,166.71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87,201,230.95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59,877,455.29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45.63%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-74,881,744.42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122,716,152.74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-161.02%</w:t>
            </w:r>
          </w:p>
        </w:tc>
      </w:tr>
    </w:tbl>
    <w:p>
      <w:pPr>
        <w:pStyle w:val="BodyText"/>
        <w:spacing w:line="240" w:lineRule="auto" w:before="49"/>
        <w:ind w:right="0"/>
        <w:jc w:val="left"/>
      </w:pPr>
      <w:r>
        <w:rPr/>
        <w:t>相关数据同比发生重大变动的主要影响因素说明</w:t>
      </w:r>
    </w:p>
    <w:p>
      <w:pPr>
        <w:pStyle w:val="BodyText"/>
        <w:spacing w:line="340" w:lineRule="auto" w:before="117"/>
        <w:ind w:right="33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经营活动产生的现金流量净流入同比减少</w:t>
      </w:r>
      <w:r>
        <w:rPr>
          <w:rFonts w:ascii="Times New Roman" w:hAnsi="Times New Roman" w:cs="Times New Roman" w:eastAsia="Times New Roman" w:hint="default"/>
        </w:rPr>
        <w:t>58.62%</w:t>
      </w:r>
      <w:r>
        <w:rPr/>
        <w:t>，主要系本期采购付款及薪酬支付增加所致；</w:t>
      </w:r>
    </w:p>
    <w:p>
      <w:pPr>
        <w:pStyle w:val="BodyText"/>
        <w:spacing w:line="228" w:lineRule="exact"/>
        <w:ind w:right="0"/>
        <w:jc w:val="left"/>
      </w:pPr>
      <w:r>
        <w:rPr/>
        <w:t>投资活动产生的现金流量净流出同比增加</w:t>
      </w:r>
      <w:r>
        <w:rPr>
          <w:rFonts w:ascii="Times New Roman" w:hAnsi="Times New Roman" w:cs="Times New Roman" w:eastAsia="Times New Roman" w:hint="default"/>
        </w:rPr>
        <w:t>493.23%</w:t>
      </w:r>
      <w:r>
        <w:rPr/>
        <w:t>，主要系公司购买结构性理财产品以及建科院未来大厦工程款项支付增加</w:t>
      </w:r>
    </w:p>
    <w:p>
      <w:pPr>
        <w:pStyle w:val="BodyText"/>
        <w:spacing w:line="328" w:lineRule="auto" w:before="63"/>
        <w:ind w:right="4274"/>
        <w:jc w:val="left"/>
      </w:pPr>
      <w:r>
        <w:rPr/>
        <w:t>所致； 筹资活动产生的现金流量净流入同比增加</w:t>
      </w:r>
      <w:r>
        <w:rPr>
          <w:rFonts w:ascii="Times New Roman" w:hAnsi="Times New Roman" w:cs="Times New Roman" w:eastAsia="Times New Roman" w:hint="default"/>
        </w:rPr>
        <w:t>45.63%</w:t>
      </w:r>
      <w:r>
        <w:rPr/>
        <w:t>，主要系银行借款增加所致。 报告期内公司经营活动产生的现金净流量与本年度净利润存在重大差异的原因说明</w:t>
      </w:r>
    </w:p>
    <w:p>
      <w:pPr>
        <w:pStyle w:val="BodyText"/>
        <w:spacing w:line="240" w:lineRule="auto" w:before="5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三、非主营业务情况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3"/>
        <w:gridCol w:w="2167"/>
        <w:gridCol w:w="2341"/>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662,817.90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理财收益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万元、参 股公司权益变动</w:t>
            </w:r>
            <w:r>
              <w:rPr>
                <w:rFonts w:ascii="Times New Roman" w:hAnsi="Times New Roman" w:cs="Times New Roman" w:eastAsia="Times New Roman" w:hint="default"/>
                <w:sz w:val="18"/>
                <w:szCs w:val="18"/>
              </w:rPr>
              <w:t>-55.82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891,468.50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尚未到期的理财产品预计 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15,603,246.92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40.04%</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计提应收款项坏账准备</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14,260,798.10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36.60%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主要为政府补助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371,800.91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0.95%</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主要是解约赔偿金</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527"/>
        <w:gridCol w:w="1916"/>
        <w:gridCol w:w="1623"/>
        <w:gridCol w:w="2167"/>
        <w:gridCol w:w="2341"/>
      </w:tblGrid>
      <w:tr>
        <w:trPr>
          <w:trHeight w:val="10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9,920,143.59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25.46%</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1"/>
              <w:jc w:val="both"/>
              <w:rPr>
                <w:rFonts w:ascii="宋体" w:hAnsi="宋体" w:cs="宋体" w:eastAsia="宋体" w:hint="default"/>
                <w:sz w:val="18"/>
                <w:szCs w:val="18"/>
              </w:rPr>
            </w:pPr>
            <w:r>
              <w:rPr>
                <w:rFonts w:ascii="宋体" w:hAnsi="宋体" w:cs="宋体" w:eastAsia="宋体" w:hint="default"/>
                <w:sz w:val="18"/>
                <w:szCs w:val="18"/>
              </w:rPr>
              <w:t>系根据研发课题及政府公 共平台建设项目投入结转 的专项经费收入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四、资产及负债状况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165"/>
        <w:gridCol w:w="1063"/>
        <w:gridCol w:w="1195"/>
        <w:gridCol w:w="1064"/>
        <w:gridCol w:w="797"/>
        <w:gridCol w:w="2919"/>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3" w:hRule="exact"/>
        </w:trPr>
        <w:tc>
          <w:tcPr>
            <w:tcW w:w="1368" w:type="dxa"/>
            <w:vMerge/>
            <w:tcBorders>
              <w:left w:val="single" w:sz="4" w:space="0" w:color="000000"/>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146,375,945.1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221,508,379.49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3"/>
              <w:jc w:val="left"/>
              <w:rPr>
                <w:rFonts w:ascii="宋体" w:hAnsi="宋体" w:cs="宋体" w:eastAsia="宋体" w:hint="default"/>
                <w:sz w:val="18"/>
                <w:szCs w:val="18"/>
              </w:rPr>
            </w:pPr>
            <w:r>
              <w:rPr>
                <w:rFonts w:ascii="宋体" w:hAnsi="宋体" w:cs="宋体" w:eastAsia="宋体" w:hint="default"/>
                <w:sz w:val="18"/>
                <w:szCs w:val="18"/>
              </w:rPr>
              <w:t>系公司利用闲置资金开展理财业务 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226,338,644.6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193,229,666.93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EPC </w:t>
            </w:r>
            <w:r>
              <w:rPr>
                <w:rFonts w:ascii="宋体" w:hAnsi="宋体" w:cs="宋体" w:eastAsia="宋体" w:hint="default"/>
                <w:sz w:val="18"/>
                <w:szCs w:val="18"/>
              </w:rPr>
              <w:t>业务应收款项增加所致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100,899.80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65,389.96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9,503,556.70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10,055,409.22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3,326,501.86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3,884,652.43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87,247,624.00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81,377,899.89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91,470,942.13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33,803,802.75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0"/>
              <w:jc w:val="left"/>
              <w:rPr>
                <w:rFonts w:ascii="宋体" w:hAnsi="宋体" w:cs="宋体" w:eastAsia="宋体" w:hint="default"/>
                <w:sz w:val="18"/>
                <w:szCs w:val="18"/>
              </w:rPr>
            </w:pPr>
            <w:r>
              <w:rPr>
                <w:rFonts w:ascii="宋体" w:hAnsi="宋体" w:cs="宋体" w:eastAsia="宋体" w:hint="default"/>
                <w:spacing w:val="-2"/>
                <w:sz w:val="18"/>
                <w:szCs w:val="18"/>
              </w:rPr>
              <w:t>系建科院未来大厦处于施工阶段，工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程建设投入增加所致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系银行借款增加所致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3"/>
              <w:jc w:val="left"/>
              <w:rPr>
                <w:rFonts w:ascii="宋体" w:hAnsi="宋体" w:cs="宋体" w:eastAsia="宋体" w:hint="default"/>
                <w:sz w:val="18"/>
                <w:szCs w:val="18"/>
              </w:rPr>
            </w:pPr>
            <w:r>
              <w:rPr>
                <w:rFonts w:ascii="宋体" w:hAnsi="宋体" w:cs="宋体" w:eastAsia="宋体" w:hint="default"/>
                <w:sz w:val="18"/>
                <w:szCs w:val="18"/>
              </w:rPr>
              <w:t>系公司根据建科院未来大厦资金需 求增加的固定资产借款</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以公允价值计量 且其变动计入当 期损益的金融资 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118,891,468.5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83"/>
              <w:jc w:val="left"/>
              <w:rPr>
                <w:rFonts w:ascii="宋体" w:hAnsi="宋体" w:cs="宋体" w:eastAsia="宋体" w:hint="default"/>
                <w:sz w:val="18"/>
                <w:szCs w:val="18"/>
              </w:rPr>
            </w:pPr>
            <w:r>
              <w:rPr>
                <w:rFonts w:ascii="宋体" w:hAnsi="宋体" w:cs="宋体" w:eastAsia="宋体" w:hint="default"/>
                <w:sz w:val="18"/>
                <w:szCs w:val="18"/>
              </w:rPr>
              <w:t>系公司利用闲置资金开展理财业务 所致</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85"/>
        <w:gridCol w:w="1155"/>
        <w:gridCol w:w="1154"/>
        <w:gridCol w:w="1154"/>
        <w:gridCol w:w="1155"/>
        <w:gridCol w:w="1154"/>
        <w:gridCol w:w="1155"/>
        <w:gridCol w:w="1152"/>
      </w:tblGrid>
      <w:tr>
        <w:trPr>
          <w:trHeight w:val="1026" w:hRule="exact"/>
        </w:trPr>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 w:right="3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82" w:right="33"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after="0" w:line="240"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85"/>
        <w:gridCol w:w="1155"/>
        <w:gridCol w:w="1154"/>
        <w:gridCol w:w="1154"/>
        <w:gridCol w:w="1155"/>
        <w:gridCol w:w="1154"/>
        <w:gridCol w:w="1155"/>
        <w:gridCol w:w="1152"/>
      </w:tblGrid>
      <w:tr>
        <w:trPr>
          <w:trHeight w:val="1649" w:hRule="exact"/>
        </w:trPr>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 期损益的金融资 </w:t>
            </w:r>
            <w:r>
              <w:rPr>
                <w:rFonts w:ascii="宋体" w:hAnsi="宋体" w:cs="宋体" w:eastAsia="宋体" w:hint="default"/>
                <w:spacing w:val="-2"/>
                <w:sz w:val="18"/>
                <w:szCs w:val="18"/>
              </w:rPr>
              <w:t>产（不含衍生金融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891,468.50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118,891,468.5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891,468.50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286,000,000.0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168,000,000.0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118,891,468.5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891,468.50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118,891,468.5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报告期内公司主要资产计量属性是否发生重大变化</w:t>
      </w:r>
    </w:p>
    <w:p>
      <w:pPr>
        <w:pStyle w:val="BodyText"/>
        <w:spacing w:line="240" w:lineRule="auto" w:before="11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31" w:type="dxa"/>
        <w:tblLayout w:type="fixed"/>
        <w:tblCellMar>
          <w:top w:w="0" w:type="dxa"/>
          <w:left w:w="0" w:type="dxa"/>
          <w:bottom w:w="0" w:type="dxa"/>
          <w:right w:w="0" w:type="dxa"/>
        </w:tblCellMar>
        <w:tblLook w:val="01E0"/>
      </w:tblPr>
      <w:tblGrid>
        <w:gridCol w:w="2439"/>
        <w:gridCol w:w="2420"/>
        <w:gridCol w:w="2117"/>
      </w:tblGrid>
      <w:tr>
        <w:trPr>
          <w:trHeight w:val="338" w:hRule="exact"/>
        </w:trPr>
        <w:tc>
          <w:tcPr>
            <w:tcW w:w="2439"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left="2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66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11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38" w:hRule="exact"/>
        </w:trPr>
        <w:tc>
          <w:tcPr>
            <w:tcW w:w="24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货币资金（元）</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790,956.97</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336" w:hRule="exact"/>
        </w:trPr>
        <w:tc>
          <w:tcPr>
            <w:tcW w:w="24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投资性房地产（元）</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9,503,556.70</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38" w:hRule="exact"/>
        </w:trPr>
        <w:tc>
          <w:tcPr>
            <w:tcW w:w="24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固定资产（元）</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50,173,409.50</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36" w:hRule="exact"/>
        </w:trPr>
        <w:tc>
          <w:tcPr>
            <w:tcW w:w="24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无形资产（元）</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12,951,382.95</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38" w:hRule="exact"/>
        </w:trPr>
        <w:tc>
          <w:tcPr>
            <w:tcW w:w="24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73,419,306.12</w:t>
            </w:r>
          </w:p>
        </w:tc>
        <w:tc>
          <w:tcPr>
            <w:tcW w:w="211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五、投资状况分析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190,394,139.38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21,634,082.33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780.07%</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63"/>
        <w:gridCol w:w="782"/>
        <w:gridCol w:w="783"/>
        <w:gridCol w:w="780"/>
        <w:gridCol w:w="715"/>
        <w:gridCol w:w="718"/>
        <w:gridCol w:w="716"/>
        <w:gridCol w:w="653"/>
        <w:gridCol w:w="650"/>
        <w:gridCol w:w="653"/>
        <w:gridCol w:w="653"/>
        <w:gridCol w:w="650"/>
        <w:gridCol w:w="653"/>
      </w:tblGrid>
      <w:tr>
        <w:trPr>
          <w:trHeight w:val="1027"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6"/>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86" w:right="79"/>
              <w:jc w:val="both"/>
              <w:rPr>
                <w:rFonts w:ascii="宋体" w:hAnsi="宋体" w:cs="宋体" w:eastAsia="宋体" w:hint="default"/>
                <w:sz w:val="18"/>
                <w:szCs w:val="18"/>
              </w:rPr>
            </w:pPr>
            <w:r>
              <w:rPr>
                <w:rFonts w:ascii="宋体" w:hAnsi="宋体" w:cs="宋体" w:eastAsia="宋体" w:hint="default"/>
                <w:sz w:val="18"/>
                <w:szCs w:val="18"/>
              </w:rPr>
              <w:t>截至报 告期末 累计实</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4" w:right="79"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2" w:right="50"/>
              <w:jc w:val="both"/>
              <w:rPr>
                <w:rFonts w:ascii="宋体" w:hAnsi="宋体" w:cs="宋体" w:eastAsia="宋体" w:hint="default"/>
                <w:sz w:val="18"/>
                <w:szCs w:val="18"/>
              </w:rPr>
            </w:pPr>
            <w:r>
              <w:rPr>
                <w:rFonts w:ascii="宋体" w:hAnsi="宋体" w:cs="宋体" w:eastAsia="宋体" w:hint="default"/>
                <w:sz w:val="18"/>
                <w:szCs w:val="18"/>
              </w:rPr>
              <w:t>截止报 告期末 累计实</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0" w:right="50"/>
              <w:jc w:val="both"/>
              <w:rPr>
                <w:rFonts w:ascii="宋体" w:hAnsi="宋体" w:cs="宋体" w:eastAsia="宋体" w:hint="default"/>
                <w:sz w:val="18"/>
                <w:szCs w:val="18"/>
              </w:rPr>
            </w:pPr>
            <w:r>
              <w:rPr>
                <w:rFonts w:ascii="宋体" w:hAnsi="宋体" w:cs="宋体" w:eastAsia="宋体" w:hint="default"/>
                <w:sz w:val="18"/>
                <w:szCs w:val="18"/>
              </w:rPr>
              <w:t>未达到 计划进 度和预</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4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48"/>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6" w:lineRule="auto"/>
        <w:jc w:val="both"/>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64"/>
        <w:gridCol w:w="782"/>
        <w:gridCol w:w="783"/>
        <w:gridCol w:w="780"/>
        <w:gridCol w:w="715"/>
        <w:gridCol w:w="718"/>
        <w:gridCol w:w="716"/>
        <w:gridCol w:w="653"/>
        <w:gridCol w:w="650"/>
        <w:gridCol w:w="653"/>
        <w:gridCol w:w="653"/>
        <w:gridCol w:w="650"/>
        <w:gridCol w:w="653"/>
      </w:tblGrid>
      <w:tr>
        <w:trPr>
          <w:trHeight w:val="675"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5" w:right="79" w:hanging="89"/>
              <w:jc w:val="left"/>
              <w:rPr>
                <w:rFonts w:ascii="宋体" w:hAnsi="宋体" w:cs="宋体" w:eastAsia="宋体" w:hint="default"/>
                <w:sz w:val="18"/>
                <w:szCs w:val="18"/>
              </w:rPr>
            </w:pPr>
            <w:r>
              <w:rPr>
                <w:rFonts w:ascii="宋体" w:hAnsi="宋体" w:cs="宋体" w:eastAsia="宋体" w:hint="default"/>
                <w:sz w:val="18"/>
                <w:szCs w:val="18"/>
              </w:rPr>
              <w:t>际投入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32" w:right="50" w:hanging="180"/>
              <w:jc w:val="left"/>
              <w:rPr>
                <w:rFonts w:ascii="宋体" w:hAnsi="宋体" w:cs="宋体" w:eastAsia="宋体" w:hint="default"/>
                <w:sz w:val="18"/>
                <w:szCs w:val="18"/>
              </w:rPr>
            </w:pPr>
            <w:r>
              <w:rPr>
                <w:rFonts w:ascii="宋体" w:hAnsi="宋体" w:cs="宋体" w:eastAsia="宋体" w:hint="default"/>
                <w:sz w:val="18"/>
                <w:szCs w:val="18"/>
              </w:rPr>
              <w:t>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0" w:right="50"/>
              <w:jc w:val="left"/>
              <w:rPr>
                <w:rFonts w:ascii="宋体" w:hAnsi="宋体" w:cs="宋体" w:eastAsia="宋体" w:hint="default"/>
                <w:sz w:val="18"/>
                <w:szCs w:val="18"/>
              </w:rPr>
            </w:pPr>
            <w:r>
              <w:rPr>
                <w:rFonts w:ascii="宋体" w:hAnsi="宋体" w:cs="宋体" w:eastAsia="宋体" w:hint="default"/>
                <w:sz w:val="18"/>
                <w:szCs w:val="18"/>
              </w:rPr>
              <w:t>计收益 的原因</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建科院未来大 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6"/>
              <w:jc w:val="righ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建筑设计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57,667,1</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39.38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91,470,9</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42.13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自有资 </w:t>
            </w:r>
            <w:r>
              <w:rPr>
                <w:rFonts w:ascii="宋体" w:hAnsi="宋体" w:cs="宋体" w:eastAsia="宋体" w:hint="default"/>
                <w:spacing w:val="-15"/>
                <w:sz w:val="18"/>
                <w:szCs w:val="18"/>
              </w:rPr>
              <w:t>金、银行</w:t>
            </w:r>
            <w:r>
              <w:rPr>
                <w:rFonts w:ascii="宋体" w:hAnsi="宋体" w:cs="宋体" w:eastAsia="宋体" w:hint="default"/>
                <w:sz w:val="18"/>
                <w:szCs w:val="18"/>
              </w:rPr>
              <w:t> 借款</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19.08%</w:t>
            </w: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67" w:firstLine="91"/>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57,667,1</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39.38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91,470,9</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42.13</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6"/>
        <w:gridCol w:w="955"/>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3" w:right="20"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1027"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118,000,00</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891,468.50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1,220,968.4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118,891,468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3"/>
              <w:jc w:val="both"/>
              <w:rPr>
                <w:rFonts w:ascii="宋体" w:hAnsi="宋体" w:cs="宋体" w:eastAsia="宋体" w:hint="default"/>
                <w:sz w:val="18"/>
                <w:szCs w:val="18"/>
              </w:rPr>
            </w:pPr>
            <w:r>
              <w:rPr>
                <w:rFonts w:ascii="宋体" w:hAnsi="宋体" w:cs="宋体" w:eastAsia="宋体" w:hint="default"/>
                <w:sz w:val="18"/>
                <w:szCs w:val="18"/>
              </w:rPr>
              <w:t>自有及借入 暂时闲置的 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118,000,00</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891,468.50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1,220,968.4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118,891,468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4" w:lineRule="auto"/>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发行股份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10,739.76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6,771.54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3,968.22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5"/>
              <w:jc w:val="both"/>
              <w:rPr>
                <w:rFonts w:ascii="宋体" w:hAnsi="宋体" w:cs="宋体" w:eastAsia="宋体" w:hint="default"/>
                <w:sz w:val="18"/>
                <w:szCs w:val="18"/>
              </w:rPr>
            </w:pPr>
            <w:r>
              <w:rPr>
                <w:rFonts w:ascii="宋体" w:hAnsi="宋体" w:cs="宋体" w:eastAsia="宋体" w:hint="default"/>
                <w:sz w:val="18"/>
                <w:szCs w:val="18"/>
              </w:rPr>
              <w:t>暂时闲置 的募集资 金用于购 买银行理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10,739.76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6,771.54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3,968.22</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62"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日，公司对募集资金项目累计投入人民币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6,771.54 </w:t>
            </w:r>
            <w:r>
              <w:rPr>
                <w:rFonts w:ascii="宋体" w:hAnsi="宋体" w:cs="宋体" w:eastAsia="宋体" w:hint="default"/>
                <w:sz w:val="18"/>
                <w:szCs w:val="18"/>
              </w:rPr>
              <w:t>万元，其中：公司于募集资金到位之前利用自有</w:t>
            </w:r>
          </w:p>
        </w:tc>
      </w:tr>
    </w:tbl>
    <w:p>
      <w:pPr>
        <w:spacing w:after="0" w:line="240"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1"/>
        <w:rPr>
          <w:rFonts w:ascii="宋体" w:hAnsi="宋体" w:cs="宋体" w:eastAsia="宋体" w:hint="default"/>
          <w:sz w:val="8"/>
          <w:szCs w:val="8"/>
        </w:rPr>
      </w:pPr>
    </w:p>
    <w:p>
      <w:pPr>
        <w:spacing w:line="1298" w:lineRule="exact"/>
        <w:ind w:left="152" w:right="0" w:firstLine="0"/>
        <w:rPr>
          <w:rFonts w:ascii="宋体" w:hAnsi="宋体" w:cs="宋体" w:eastAsia="宋体" w:hint="default"/>
          <w:sz w:val="20"/>
          <w:szCs w:val="20"/>
        </w:rPr>
      </w:pPr>
      <w:r>
        <w:rPr>
          <w:rFonts w:ascii="宋体" w:hAnsi="宋体" w:cs="宋体" w:eastAsia="宋体" w:hint="default"/>
          <w:position w:val="-25"/>
          <w:sz w:val="20"/>
          <w:szCs w:val="20"/>
        </w:rPr>
        <w:pict>
          <v:shape style="width:478.3pt;height:64.95pt;mso-position-horizontal-relative:char;mso-position-vertical-relative:line" type="#_x0000_t202" filled="false" stroked="true" strokeweight=".48004pt" strokecolor="#000000">
            <w10:anchorlock/>
            <v:textbox inset="0,0,0,0">
              <w:txbxContent>
                <w:p>
                  <w:pPr>
                    <w:pStyle w:val="BodyText"/>
                    <w:spacing w:line="240" w:lineRule="auto" w:before="10"/>
                    <w:ind w:left="23" w:right="0"/>
                    <w:jc w:val="left"/>
                  </w:pPr>
                  <w:r>
                    <w:rPr/>
                    <w:t>资金先期投入募集资金项目人民币</w:t>
                  </w:r>
                  <w:r>
                    <w:rPr>
                      <w:spacing w:val="-48"/>
                    </w:rPr>
                    <w:t> </w:t>
                  </w:r>
                  <w:r>
                    <w:rPr>
                      <w:rFonts w:ascii="Times New Roman" w:hAnsi="Times New Roman" w:cs="Times New Roman" w:eastAsia="Times New Roman" w:hint="default"/>
                    </w:rPr>
                    <w:t>4,819.44</w:t>
                  </w:r>
                  <w:r>
                    <w:rPr>
                      <w:rFonts w:ascii="Times New Roman" w:hAnsi="Times New Roman" w:cs="Times New Roman" w:eastAsia="Times New Roman" w:hint="default"/>
                      <w:spacing w:val="-3"/>
                    </w:rPr>
                    <w:t> </w:t>
                  </w:r>
                  <w:r>
                    <w:rPr/>
                    <w:t>万元，该自筹投入资金经立信会计师事务所（特殊普通合伙）出具</w:t>
                  </w:r>
                  <w:r>
                    <w:rPr>
                      <w:rFonts w:ascii="Times New Roman" w:hAnsi="Times New Roman" w:cs="Times New Roman" w:eastAsia="Times New Roman" w:hint="default"/>
                    </w:rPr>
                    <w:t>“</w:t>
                  </w:r>
                  <w:r>
                    <w:rPr/>
                    <w:t>信会师报</w:t>
                  </w:r>
                </w:p>
                <w:p>
                  <w:pPr>
                    <w:pStyle w:val="BodyText"/>
                    <w:spacing w:line="240" w:lineRule="auto" w:before="63"/>
                    <w:ind w:left="23" w:right="0"/>
                    <w:jc w:val="left"/>
                  </w:pPr>
                  <w:r>
                    <w:rPr/>
                    <w:t>字</w:t>
                  </w:r>
                  <w:r>
                    <w:rPr>
                      <w:rFonts w:ascii="Times New Roman" w:hAnsi="Times New Roman" w:cs="Times New Roman" w:eastAsia="Times New Roman" w:hint="default"/>
                    </w:rPr>
                    <w:t>[2017]10675 </w:t>
                  </w:r>
                  <w:r>
                    <w:rPr/>
                    <w:t>号</w:t>
                  </w:r>
                  <w:r>
                    <w:rPr>
                      <w:rFonts w:ascii="Times New Roman" w:hAnsi="Times New Roman" w:cs="Times New Roman" w:eastAsia="Times New Roman" w:hint="default"/>
                    </w:rPr>
                    <w:t>”</w:t>
                  </w:r>
                  <w:r>
                    <w:rPr/>
                    <w:t>鉴证报告确认；本期使用募集资金投入承诺投资项目人民币</w:t>
                  </w:r>
                  <w:r>
                    <w:rPr>
                      <w:spacing w:val="-46"/>
                    </w:rPr>
                    <w:t> </w:t>
                  </w:r>
                  <w:r>
                    <w:rPr>
                      <w:rFonts w:ascii="Times New Roman" w:hAnsi="Times New Roman" w:cs="Times New Roman" w:eastAsia="Times New Roman" w:hint="default"/>
                    </w:rPr>
                    <w:t>1,472.70 </w:t>
                  </w:r>
                  <w:r>
                    <w:rPr/>
                    <w:t>万元。截止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63"/>
                    <w:ind w:left="23" w:right="-5"/>
                    <w:jc w:val="left"/>
                  </w:pPr>
                  <w:r>
                    <w:rPr/>
                    <w:t>募集资金专户收到利息收入（含理财收益）扣除手续费净额人民币</w:t>
                  </w:r>
                  <w:r>
                    <w:rPr>
                      <w:spacing w:val="-47"/>
                    </w:rPr>
                    <w:t> </w:t>
                  </w:r>
                  <w:r>
                    <w:rPr>
                      <w:rFonts w:ascii="Times New Roman" w:hAnsi="Times New Roman" w:cs="Times New Roman" w:eastAsia="Times New Roman" w:hint="default"/>
                    </w:rPr>
                    <w:t>116.12</w:t>
                  </w:r>
                  <w:r>
                    <w:rPr>
                      <w:rFonts w:ascii="Times New Roman" w:hAnsi="Times New Roman" w:cs="Times New Roman" w:eastAsia="Times New Roman" w:hint="default"/>
                      <w:spacing w:val="-2"/>
                    </w:rPr>
                    <w:t> </w:t>
                  </w:r>
                  <w:r>
                    <w:rPr/>
                    <w:t>万元，募集资金账户余额为人民币</w:t>
                  </w:r>
                  <w:r>
                    <w:rPr>
                      <w:spacing w:val="-48"/>
                    </w:rPr>
                    <w:t> </w:t>
                  </w:r>
                  <w:r>
                    <w:rPr>
                      <w:rFonts w:ascii="Times New Roman" w:hAnsi="Times New Roman" w:cs="Times New Roman" w:eastAsia="Times New Roman" w:hint="default"/>
                    </w:rPr>
                    <w:t>84.77</w:t>
                  </w:r>
                  <w:r>
                    <w:rPr>
                      <w:rFonts w:ascii="Times New Roman" w:hAnsi="Times New Roman" w:cs="Times New Roman" w:eastAsia="Times New Roman" w:hint="default"/>
                      <w:spacing w:val="-2"/>
                    </w:rPr>
                    <w:t> </w:t>
                  </w:r>
                  <w:r>
                    <w:rPr/>
                    <w:t>万元，</w:t>
                  </w:r>
                </w:p>
                <w:p>
                  <w:pPr>
                    <w:pStyle w:val="BodyText"/>
                    <w:spacing w:line="240" w:lineRule="auto" w:before="63"/>
                    <w:ind w:left="23" w:right="0"/>
                    <w:jc w:val="left"/>
                  </w:pPr>
                  <w:r>
                    <w:rPr/>
                    <w:t>此外，用于理财的闲置募集资金</w:t>
                  </w:r>
                  <w:r>
                    <w:rPr>
                      <w:spacing w:val="-46"/>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1"/>
                    </w:rPr>
                    <w:t> </w:t>
                  </w:r>
                  <w:r>
                    <w:rPr/>
                    <w:t>万元。</w:t>
                  </w:r>
                </w:p>
              </w:txbxContent>
            </v:textbox>
          </v:shape>
        </w:pict>
      </w:r>
      <w:r>
        <w:rPr>
          <w:rFonts w:ascii="宋体" w:hAnsi="宋体" w:cs="宋体" w:eastAsia="宋体" w:hint="default"/>
          <w:position w:val="-25"/>
          <w:sz w:val="20"/>
          <w:szCs w:val="20"/>
        </w:rPr>
      </w:r>
    </w:p>
    <w:p>
      <w:pPr>
        <w:spacing w:line="240" w:lineRule="auto" w:before="11"/>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20"/>
        <w:gridCol w:w="914"/>
        <w:gridCol w:w="720"/>
        <w:gridCol w:w="723"/>
        <w:gridCol w:w="720"/>
        <w:gridCol w:w="720"/>
        <w:gridCol w:w="723"/>
        <w:gridCol w:w="722"/>
        <w:gridCol w:w="720"/>
        <w:gridCol w:w="722"/>
        <w:gridCol w:w="723"/>
        <w:gridCol w:w="722"/>
        <w:gridCol w:w="722"/>
      </w:tblGrid>
      <w:tr>
        <w:trPr>
          <w:trHeight w:val="1651"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2" w:right="91"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7" w:right="5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6"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9" w:lineRule="exact"/>
              <w:ind w:left="30"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上海钢琴厂低碳化 升级改造及运营</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DOT</w:t>
            </w:r>
            <w:r>
              <w:rPr>
                <w:rFonts w:ascii="宋体" w:hAnsi="宋体" w:cs="宋体" w:eastAsia="宋体" w:hint="default"/>
                <w:sz w:val="18"/>
                <w:szCs w:val="18"/>
              </w:rPr>
              <w:t>）项目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6,044.42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线上运营平台及乐 活系统建设项目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4,698.8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4,698.8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179.1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718.16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15.28%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低碳建筑研究及社 区级应用服务实验 基地项目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0"/>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10,739.7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10,739.7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1,472.7</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6,771.54</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0"/>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10,739.7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10,739.7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1,472.7</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6,771.54</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20"/>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58"/>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21"/>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58"/>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635"/>
        <w:gridCol w:w="720"/>
        <w:gridCol w:w="7218"/>
      </w:tblGrid>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35" w:type="dxa"/>
            <w:vMerge/>
            <w:tcBorders>
              <w:left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公司于募集资金到位之前利用自有资金先期投入募集资金项目人民币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pacing w:val="-3"/>
                <w:sz w:val="18"/>
                <w:szCs w:val="18"/>
              </w:rPr>
              <w:t>经</w:t>
            </w:r>
            <w:r>
              <w:rPr>
                <w:rFonts w:ascii="宋体" w:hAnsi="宋体" w:cs="宋体" w:eastAsia="宋体" w:hint="default"/>
                <w:sz w:val="18"/>
                <w:szCs w:val="18"/>
              </w:rPr>
              <w:t>公</w:t>
            </w:r>
          </w:p>
          <w:p>
            <w:pPr>
              <w:pStyle w:val="TableParagraph"/>
              <w:spacing w:line="307" w:lineRule="auto" w:before="60"/>
              <w:ind w:left="26" w:right="19"/>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日召开的第二届董事会第二次定期会议、第二届监事会第三次会议审议通 过，并经保荐人核查同意，公司以募集资金置换预先已投入募集资金投资项目的自筹资金 </w:t>
            </w:r>
            <w:r>
              <w:rPr>
                <w:rFonts w:ascii="Times New Roman" w:hAnsi="Times New Roman" w:cs="Times New Roman" w:eastAsia="Times New Roman" w:hint="default"/>
                <w:sz w:val="18"/>
                <w:szCs w:val="18"/>
              </w:rPr>
              <w:t>48,194,430.82</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元，上述置换事项及置换金额业经立信会计师事务所（特殊普通合伙）出具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信</w:t>
            </w:r>
            <w:r>
              <w:rPr>
                <w:rFonts w:ascii="宋体" w:hAnsi="宋体" w:cs="宋体" w:eastAsia="宋体" w:hint="default"/>
                <w:spacing w:val="-87"/>
                <w:sz w:val="18"/>
                <w:szCs w:val="18"/>
              </w:rPr>
              <w:t> </w:t>
            </w:r>
            <w:r>
              <w:rPr>
                <w:rFonts w:ascii="宋体" w:hAnsi="宋体" w:cs="宋体" w:eastAsia="宋体" w:hint="default"/>
                <w:sz w:val="18"/>
                <w:szCs w:val="18"/>
              </w:rPr>
              <w:t>会师报字</w:t>
            </w:r>
            <w:r>
              <w:rPr>
                <w:rFonts w:ascii="Times New Roman" w:hAnsi="Times New Roman" w:cs="Times New Roman" w:eastAsia="Times New Roman" w:hint="default"/>
                <w:sz w:val="18"/>
                <w:szCs w:val="18"/>
              </w:rPr>
              <w:t>[2017]10675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鉴证报告确认。</w:t>
            </w:r>
          </w:p>
        </w:tc>
      </w:tr>
      <w:tr>
        <w:trPr>
          <w:trHeight w:val="401"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经公司董事会批准，同意使用额度不超过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万元的闲置募集资金进行现金管理，截至本</w:t>
            </w:r>
          </w:p>
          <w:p>
            <w:pPr>
              <w:pStyle w:val="TableParagraph"/>
              <w:spacing w:line="300" w:lineRule="auto" w:before="63"/>
              <w:ind w:left="26" w:right="18"/>
              <w:jc w:val="left"/>
              <w:rPr>
                <w:rFonts w:ascii="宋体" w:hAnsi="宋体" w:cs="宋体" w:eastAsia="宋体" w:hint="default"/>
                <w:sz w:val="18"/>
                <w:szCs w:val="18"/>
              </w:rPr>
            </w:pPr>
            <w:r>
              <w:rPr>
                <w:rFonts w:ascii="宋体" w:hAnsi="宋体" w:cs="宋体" w:eastAsia="宋体" w:hint="default"/>
                <w:spacing w:val="-3"/>
                <w:sz w:val="18"/>
                <w:szCs w:val="18"/>
              </w:rPr>
              <w:t>报告期末，公司使用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万元闲置募集资金购买银行理财产品，其余尚未使用的募集资 金存放于募集资金专户中。公司将根据项目进度妥善安排募集资金的使用。</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报告期内，公司募集资金无使用及披露中存在的问题或其他情况。</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七、主要控股参股公司分析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52" w:footer="980" w:top="1320" w:bottom="1160" w:left="980" w:right="0"/>
        </w:sectPr>
      </w:pPr>
    </w:p>
    <w:p>
      <w:pPr>
        <w:pStyle w:val="BodyText"/>
        <w:spacing w:line="240" w:lineRule="auto" w:before="111"/>
        <w:ind w:right="0"/>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pStyle w:val="BodyText"/>
        <w:spacing w:line="240" w:lineRule="auto" w:before="10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5"/>
        <w:gridCol w:w="1044"/>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建研检测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建筑工程、 建筑材料及 部品检测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64,383,896.7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18,911,626.9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82,035,565.0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7,179,911.33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6,404,415.90</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市政中心</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市政建设及 规划咨询</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6,000,000.00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33,181,870.2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21,987,371.4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40,094,420.4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7,440,579.66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6,665,340.35</w:t>
            </w:r>
          </w:p>
        </w:tc>
      </w:tr>
    </w:tbl>
    <w:p>
      <w:pPr>
        <w:pStyle w:val="BodyText"/>
        <w:spacing w:line="240" w:lineRule="auto" w:before="49"/>
        <w:ind w:right="0"/>
        <w:jc w:val="left"/>
      </w:pPr>
      <w:r>
        <w:rPr/>
        <w:t>报告期内取得和处置子公司的情况</w:t>
      </w:r>
    </w:p>
    <w:p>
      <w:pPr>
        <w:pStyle w:val="BodyText"/>
        <w:spacing w:line="340" w:lineRule="auto" w:before="117"/>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spacing w:line="240" w:lineRule="auto" w:before="9"/>
        <w:rPr>
          <w:rFonts w:ascii="宋体" w:hAnsi="宋体" w:cs="宋体" w:eastAsia="宋体" w:hint="default"/>
          <w:sz w:val="13"/>
          <w:szCs w:val="13"/>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九、公司未来发展的展望</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0" w:lineRule="auto"/>
        <w:ind w:right="9254"/>
        <w:jc w:val="left"/>
      </w:pPr>
      <w:r>
        <w:rPr>
          <w:rFonts w:ascii="Times New Roman" w:hAnsi="Times New Roman" w:cs="Times New Roman" w:eastAsia="Times New Roman" w:hint="default"/>
        </w:rPr>
        <w:t>(</w:t>
      </w:r>
      <w:r>
        <w:rPr/>
        <w:t>一）行业发展趋势</w:t>
      </w:r>
      <w:r>
        <w:rPr>
          <w:w w:val="99"/>
        </w:rPr>
        <w:t> </w:t>
      </w:r>
      <w:r>
        <w:rPr>
          <w:rFonts w:ascii="Times New Roman" w:hAnsi="Times New Roman" w:cs="Times New Roman" w:eastAsia="Times New Roman" w:hint="default"/>
        </w:rPr>
        <w:t>1</w:t>
      </w:r>
      <w:r>
        <w:rPr/>
        <w:t>、政策层面</w:t>
      </w:r>
    </w:p>
    <w:p>
      <w:pPr>
        <w:pStyle w:val="BodyText"/>
        <w:spacing w:line="316" w:lineRule="auto" w:before="13"/>
        <w:ind w:right="1034"/>
        <w:jc w:val="left"/>
      </w:pPr>
      <w:r>
        <w:rPr>
          <w:spacing w:val="-2"/>
        </w:rPr>
        <w:t>十八大以来，国家陆续出台了一系列国家政策，新型城镇化、城市绿色发展等成为发展的重点。如《中共中央国务院关于进</w:t>
      </w:r>
      <w:r>
        <w:rPr>
          <w:spacing w:val="-67"/>
        </w:rPr>
        <w:t> </w:t>
      </w:r>
      <w:r>
        <w:rPr>
          <w:spacing w:val="-67"/>
        </w:rPr>
      </w:r>
      <w:r>
        <w:rPr>
          <w:spacing w:val="-2"/>
        </w:rPr>
        <w:t>一步加强城市规划建设管理工作的若干意见》指出牢固树立和贯彻落实创新、协调、绿色、开放、共享的发展理念，走中国</w:t>
      </w:r>
      <w:r>
        <w:rPr>
          <w:spacing w:val="-68"/>
        </w:rPr>
        <w:t> </w:t>
      </w:r>
      <w:r>
        <w:rPr>
          <w:spacing w:val="-68"/>
        </w:rPr>
      </w:r>
      <w:r>
        <w:rPr>
          <w:spacing w:val="-2"/>
        </w:rPr>
        <w:t>特色城市发展道路要求。为建设领域企业未来业务空间提出了指引，特别是城市生态规划、绿色与工业化建筑、建筑性能和</w:t>
      </w:r>
      <w:r>
        <w:rPr>
          <w:spacing w:val="-64"/>
        </w:rPr>
        <w:t> </w:t>
      </w:r>
      <w:r>
        <w:rPr>
          <w:spacing w:val="-64"/>
        </w:rPr>
      </w:r>
      <w:r>
        <w:rPr/>
        <w:t>安全管理、水安全和生态市政、绿色交通和智能城市和城市生态安全等方面将迎来重大历史机遇。 同时，行业监管政策表明，未来建设领域招投标管理和政府采购制度向更市场化方向转变；行业资质准入制度进一步放开，</w:t>
      </w:r>
      <w:r>
        <w:rPr/>
        <w:t> 国内市场竞争将更趋激烈；工程建设一体化服务、工程总承包服务成为新趋势。</w:t>
      </w:r>
    </w:p>
    <w:p>
      <w:pPr>
        <w:pStyle w:val="BodyText"/>
        <w:spacing w:line="314" w:lineRule="auto" w:before="19"/>
        <w:ind w:right="1119"/>
        <w:jc w:val="left"/>
      </w:pPr>
      <w:r>
        <w:rPr>
          <w:rFonts w:ascii="Times New Roman" w:hAnsi="Times New Roman" w:cs="Times New Roman" w:eastAsia="Times New Roman" w:hint="default"/>
        </w:rPr>
        <w:t>2</w:t>
      </w:r>
      <w:r>
        <w:rPr/>
        <w:t>、行业层面 </w:t>
      </w:r>
      <w:r>
        <w:rPr>
          <w:spacing w:val="-2"/>
        </w:rPr>
        <w:t>宏观经济和行业发展的市场化改革进入深水区，以增强内生动力为方向的质量效益型发展方式成为必然选择。随着市场化进</w:t>
      </w:r>
      <w:r>
        <w:rPr>
          <w:spacing w:val="-64"/>
        </w:rPr>
        <w:t> </w:t>
      </w:r>
      <w:r>
        <w:rPr>
          <w:spacing w:val="-64"/>
        </w:rPr>
      </w:r>
      <w:r>
        <w:rPr>
          <w:spacing w:val="-2"/>
        </w:rPr>
        <w:t>程的加快，政府部门从监管部门向服务部门转变，行业格局将产生较大的变化。建立公平开放透明的市场规则，由市场决定</w:t>
      </w:r>
      <w:r>
        <w:rPr>
          <w:spacing w:val="-65"/>
        </w:rPr>
        <w:t> </w:t>
      </w:r>
      <w:r>
        <w:rPr>
          <w:spacing w:val="-65"/>
        </w:rPr>
      </w:r>
      <w:r>
        <w:rPr/>
        <w:t>价格将加剧竞争，这要求企业转变增长方式，提升创新能力，实现资源配置的效益最大化和效率最优化。 </w:t>
      </w:r>
      <w:r>
        <w:rPr>
          <w:spacing w:val="-2"/>
        </w:rPr>
        <w:t>国家加强地方政府性债务管理，地方政府举债能力减弱，平台融资能力受限，固定资产投资不足，增速持续减缓，使得在公</w:t>
      </w:r>
      <w:r>
        <w:rPr>
          <w:spacing w:val="-65"/>
        </w:rPr>
        <w:t> </w:t>
      </w:r>
      <w:r>
        <w:rPr>
          <w:spacing w:val="-65"/>
        </w:rPr>
      </w:r>
      <w:r>
        <w:rPr>
          <w:spacing w:val="-2"/>
        </w:rPr>
        <w:t>共服务、资源环境、生态建设、基础设施等领域进一步创新投融资机制，充分发挥社会资本的作用愈发重要，这为建科院在</w:t>
      </w:r>
      <w:r>
        <w:rPr>
          <w:spacing w:val="-67"/>
        </w:rPr>
        <w:t> </w:t>
      </w:r>
      <w:r>
        <w:rPr>
          <w:spacing w:val="-67"/>
        </w:rPr>
      </w:r>
      <w:r>
        <w:rPr>
          <w:rFonts w:ascii="Times New Roman" w:hAnsi="Times New Roman" w:cs="Times New Roman" w:eastAsia="Times New Roman" w:hint="default"/>
        </w:rPr>
        <w:t>IPO</w:t>
      </w:r>
      <w:r>
        <w:rPr/>
        <w:t>后切入市场提供了契机。</w:t>
      </w:r>
    </w:p>
    <w:p>
      <w:pPr>
        <w:pStyle w:val="BodyText"/>
        <w:spacing w:line="312" w:lineRule="auto" w:before="1"/>
        <w:ind w:right="1119"/>
        <w:jc w:val="left"/>
      </w:pPr>
      <w:r>
        <w:rPr>
          <w:rFonts w:ascii="Times New Roman" w:hAnsi="Times New Roman" w:cs="Times New Roman" w:eastAsia="Times New Roman" w:hint="default"/>
        </w:rPr>
        <w:t>3</w:t>
      </w:r>
      <w:r>
        <w:rPr/>
        <w:t>、技术层面 </w:t>
      </w:r>
      <w:r>
        <w:rPr>
          <w:spacing w:val="-2"/>
        </w:rPr>
        <w:t>国家全面深化改革对工程建设行业提出了转型发展的新要求，住宅产业现代化、新型建筑工业化和建筑产业化成为发展的趋</w:t>
      </w:r>
      <w:r>
        <w:rPr>
          <w:spacing w:val="-64"/>
        </w:rPr>
        <w:t> </w:t>
      </w:r>
      <w:r>
        <w:rPr>
          <w:spacing w:val="-64"/>
        </w:rPr>
      </w:r>
      <w:r>
        <w:rPr>
          <w:spacing w:val="-2"/>
        </w:rPr>
        <w:t>势，信息化与建筑工业化的深度融合，基础性技术、标准的研究和制定，建筑工业化、产业化标准体系与实施机制的研究正</w:t>
      </w:r>
      <w:r>
        <w:rPr>
          <w:spacing w:val="-67"/>
        </w:rPr>
        <w:t> </w:t>
      </w:r>
      <w:r>
        <w:rPr>
          <w:spacing w:val="-67"/>
        </w:rPr>
      </w:r>
      <w:r>
        <w:rPr/>
        <w:t>在不断深化，这要求建科院紧跟行业技术前沿，不断提升技术创新能力。</w:t>
      </w:r>
    </w:p>
    <w:p>
      <w:pPr>
        <w:pStyle w:val="BodyText"/>
        <w:spacing w:line="309" w:lineRule="auto" w:before="22"/>
        <w:ind w:right="0"/>
        <w:jc w:val="left"/>
      </w:pPr>
      <w:r>
        <w:rPr>
          <w:rFonts w:ascii="Times New Roman" w:hAnsi="Times New Roman" w:cs="Times New Roman" w:eastAsia="Times New Roman" w:hint="default"/>
        </w:rPr>
        <w:t>(</w:t>
      </w:r>
      <w:r>
        <w:rPr/>
        <w:t>二）公司发展战略及经营计划</w:t>
      </w:r>
      <w:r>
        <w:rPr>
          <w:w w:val="99"/>
        </w:rPr>
        <w:t> </w:t>
      </w:r>
      <w:r>
        <w:rPr>
          <w:spacing w:val="-2"/>
        </w:rPr>
        <w:t>公司持续推进城市绿色发展和绿色建筑领域全过程技术服务能力的创新，使公司的科技创新能力、市场服务能力和资源整合</w:t>
      </w:r>
      <w:r>
        <w:rPr>
          <w:spacing w:val="-65"/>
        </w:rPr>
        <w:t> </w:t>
      </w:r>
      <w:r>
        <w:rPr>
          <w:spacing w:val="-65"/>
        </w:rPr>
      </w:r>
      <w:r>
        <w:rPr/>
        <w:t>能力迈上一个新的台阶。具体如下：</w:t>
      </w:r>
    </w:p>
    <w:p>
      <w:pPr>
        <w:pStyle w:val="BodyText"/>
        <w:spacing w:line="300" w:lineRule="auto" w:before="24"/>
        <w:ind w:right="0"/>
        <w:jc w:val="left"/>
      </w:pPr>
      <w:r>
        <w:rPr>
          <w:rFonts w:ascii="Times New Roman" w:hAnsi="Times New Roman" w:cs="Times New Roman" w:eastAsia="Times New Roman" w:hint="default"/>
        </w:rPr>
        <w:t>1</w:t>
      </w:r>
      <w:r>
        <w:rPr/>
        <w:t>、深化公司业务链整合创新，形成新的收入增长点 公司将跟进国家绿色发展战略和市场需求，对现有业务类型进行合理的链式整合，形成核心业务链拓展</w:t>
      </w:r>
      <w:r>
        <w:rPr>
          <w:rFonts w:ascii="Times New Roman" w:hAnsi="Times New Roman" w:cs="Times New Roman" w:eastAsia="Times New Roman" w:hint="default"/>
        </w:rPr>
        <w:t>+</w:t>
      </w:r>
      <w:r>
        <w:rPr/>
        <w:t>多点业务创新协同 </w:t>
      </w:r>
      <w:r>
        <w:rPr>
          <w:spacing w:val="-3"/>
        </w:rPr>
        <w:t>发展。第一，加强规划设计、建设管理、绿色运营业务的协同和业务整合创新，进一步加强绿色工程项目总包业务（如</w:t>
      </w:r>
      <w:r>
        <w:rPr>
          <w:rFonts w:ascii="Times New Roman" w:hAnsi="Times New Roman" w:cs="Times New Roman" w:eastAsia="Times New Roman" w:hint="default"/>
          <w:spacing w:val="-3"/>
        </w:rPr>
        <w:t>EPC</w:t>
      </w:r>
      <w:r>
        <w:rPr>
          <w:spacing w:val="-3"/>
        </w:rPr>
        <w:t>、</w:t>
      </w:r>
    </w:p>
    <w:p>
      <w:pPr>
        <w:spacing w:after="0" w:line="300" w:lineRule="auto"/>
        <w:jc w:val="left"/>
        <w:sectPr>
          <w:pgSz w:w="11910" w:h="16840"/>
          <w:pgMar w:header="852" w:footer="980" w:top="1320" w:bottom="1160" w:left="980" w:right="0"/>
        </w:sectPr>
      </w:pPr>
    </w:p>
    <w:p>
      <w:pPr>
        <w:pStyle w:val="BodyText"/>
        <w:spacing w:line="300" w:lineRule="auto" w:before="111"/>
        <w:ind w:right="1119"/>
        <w:jc w:val="left"/>
      </w:pPr>
      <w:r>
        <w:rPr/>
        <w:t>代建）和绿色运营业务，形成公司新的收入增长点，同时也加大全过程组合业务的推广力度（如</w:t>
      </w:r>
      <w:r>
        <w:rPr>
          <w:rFonts w:ascii="Times New Roman" w:hAnsi="Times New Roman" w:cs="Times New Roman" w:eastAsia="Times New Roman" w:hint="default"/>
        </w:rPr>
        <w:t>DOT</w:t>
      </w:r>
      <w:r>
        <w:rPr/>
        <w:t>），促进业务规模和 </w:t>
      </w:r>
      <w:r>
        <w:rPr>
          <w:spacing w:val="-1"/>
        </w:rPr>
        <w:t>客户结构优化上新台阶；第二，加大检测和技术咨询（解决方案）整合力度，促使公信业务链的成熟，并加大</w:t>
      </w:r>
      <w:r>
        <w:rPr>
          <w:rFonts w:ascii="Times New Roman" w:hAnsi="Times New Roman" w:cs="Times New Roman" w:eastAsia="Times New Roman" w:hint="default"/>
          <w:spacing w:val="-1"/>
        </w:rPr>
        <w:t>B2C</w:t>
      </w:r>
      <w:r>
        <w:rPr>
          <w:spacing w:val="-1"/>
        </w:rPr>
        <w:t>业务模式</w:t>
      </w:r>
      <w:r>
        <w:rPr/>
        <w:t> 的创新力度，使之成为公司新的收入增长点。</w:t>
      </w:r>
    </w:p>
    <w:p>
      <w:pPr>
        <w:pStyle w:val="BodyText"/>
        <w:spacing w:line="314" w:lineRule="auto" w:before="31"/>
        <w:ind w:right="0"/>
        <w:jc w:val="left"/>
      </w:pPr>
      <w:r>
        <w:rPr>
          <w:rFonts w:ascii="Times New Roman" w:hAnsi="Times New Roman" w:cs="Times New Roman" w:eastAsia="Times New Roman" w:hint="default"/>
        </w:rPr>
        <w:t>2</w:t>
      </w:r>
      <w:r>
        <w:rPr/>
        <w:t>、加强公司综合创新平台的建设，提升公司核心竞争力 </w:t>
      </w:r>
      <w:r>
        <w:rPr>
          <w:spacing w:val="-2"/>
        </w:rPr>
        <w:t>公司始终注重科技创新，坚持</w:t>
      </w:r>
      <w:r>
        <w:rPr>
          <w:rFonts w:ascii="Times New Roman" w:hAnsi="Times New Roman" w:cs="Times New Roman" w:eastAsia="Times New Roman" w:hint="default"/>
          <w:spacing w:val="-2"/>
        </w:rPr>
        <w:t>“</w:t>
      </w:r>
      <w:r>
        <w:rPr>
          <w:spacing w:val="-2"/>
        </w:rPr>
        <w:t>自主创新</w:t>
      </w:r>
      <w:r>
        <w:rPr>
          <w:rFonts w:ascii="Times New Roman" w:hAnsi="Times New Roman" w:cs="Times New Roman" w:eastAsia="Times New Roman" w:hint="default"/>
          <w:spacing w:val="-2"/>
        </w:rPr>
        <w:t>”</w:t>
      </w:r>
      <w:r>
        <w:rPr>
          <w:spacing w:val="-2"/>
        </w:rPr>
        <w:t>的经营策略，持续加大研发费用投入，特别是研究平台的建设，公司将重点推进建</w:t>
      </w:r>
      <w:r>
        <w:rPr>
          <w:spacing w:val="-42"/>
        </w:rPr>
        <w:t> </w:t>
      </w:r>
      <w:r>
        <w:rPr>
          <w:spacing w:val="-42"/>
        </w:rPr>
      </w:r>
      <w:r>
        <w:rPr>
          <w:spacing w:val="-2"/>
        </w:rPr>
        <w:t>筑级、建筑群级和园区级的三级集成研究和中试平台的建设，建立市场与技术委员会及办公室、城市绿色发展研究院、研创</w:t>
      </w:r>
      <w:r>
        <w:rPr>
          <w:spacing w:val="-64"/>
        </w:rPr>
        <w:t> </w:t>
      </w:r>
      <w:r>
        <w:rPr>
          <w:spacing w:val="-64"/>
        </w:rPr>
      </w:r>
      <w:r>
        <w:rPr>
          <w:spacing w:val="-2"/>
        </w:rPr>
        <w:t>中心、质量管理中心（总师室）为核心的三级研发管理体系，组织和领导公司的市场模式和业务链整合创新、科技创新、技</w:t>
      </w:r>
      <w:r>
        <w:rPr>
          <w:spacing w:val="-70"/>
        </w:rPr>
        <w:t> </w:t>
      </w:r>
      <w:r>
        <w:rPr>
          <w:spacing w:val="-70"/>
        </w:rPr>
      </w:r>
      <w:r>
        <w:rPr/>
        <w:t>术和质量管理工作，打造公司的科技和创新核心能力，真正推动公司市场和业务转型实质性突破。 </w:t>
      </w:r>
      <w:r>
        <w:rPr>
          <w:rFonts w:ascii="Times New Roman" w:hAnsi="Times New Roman" w:cs="Times New Roman" w:eastAsia="Times New Roman" w:hint="default"/>
        </w:rPr>
        <w:t>3</w:t>
      </w:r>
      <w:r>
        <w:rPr/>
        <w:t>、完善区域市场，提升品牌知名度，促进业务发展 </w:t>
      </w:r>
      <w:r>
        <w:rPr>
          <w:spacing w:val="-2"/>
        </w:rPr>
        <w:t>继续加大力度建设以城市级和战略级客户为核心的区域市场体系建设，特别是针对雄安新区的绿色发展需求，公司在完成了</w:t>
      </w:r>
      <w:r>
        <w:rPr>
          <w:spacing w:val="-64"/>
        </w:rPr>
        <w:t> </w:t>
      </w:r>
      <w:r>
        <w:rPr>
          <w:spacing w:val="-64"/>
        </w:rPr>
      </w:r>
      <w:r>
        <w:rPr>
          <w:spacing w:val="-2"/>
        </w:rPr>
        <w:t>绿色建设智库平台（雄安绿研智库科技有限公司（雄安集团投资设立的首个合资公司））、创新业务平台（河北雄安玖壹生</w:t>
      </w:r>
      <w:r>
        <w:rPr>
          <w:spacing w:val="-68"/>
        </w:rPr>
        <w:t> </w:t>
      </w:r>
      <w:r>
        <w:rPr>
          <w:spacing w:val="-68"/>
        </w:rPr>
      </w:r>
      <w:r>
        <w:rPr>
          <w:spacing w:val="-2"/>
        </w:rPr>
        <w:t>态科技有限公司）、公信服务平台（河北雄安绿研检验认证有限公司）的整体布局的基础上，通过快速响应、创新先导的工</w:t>
      </w:r>
      <w:r>
        <w:rPr>
          <w:spacing w:val="-68"/>
        </w:rPr>
        <w:t> </w:t>
      </w:r>
      <w:r>
        <w:rPr>
          <w:spacing w:val="-68"/>
        </w:rPr>
      </w:r>
      <w:r>
        <w:rPr>
          <w:spacing w:val="-2"/>
        </w:rPr>
        <w:t>作，努力为雄安的绿色发展研究、建设试点和模式创新提供力量，从而引导公司业务模式创新和全国品牌影响力、业务辐射</w:t>
      </w:r>
      <w:r>
        <w:rPr>
          <w:spacing w:val="-64"/>
        </w:rPr>
        <w:t> </w:t>
      </w:r>
      <w:r>
        <w:rPr>
          <w:spacing w:val="-64"/>
        </w:rPr>
      </w:r>
      <w:r>
        <w:rPr>
          <w:spacing w:val="-2"/>
        </w:rPr>
        <w:t>力和资源聚集力提升。同时，公司继续完善区域市场和事业部的营销职能和资源配置，增强激励和约束机制。重点提升市场</w:t>
      </w:r>
      <w:r>
        <w:rPr>
          <w:spacing w:val="-64"/>
        </w:rPr>
        <w:t> </w:t>
      </w:r>
      <w:r>
        <w:rPr>
          <w:spacing w:val="-64"/>
        </w:rPr>
      </w:r>
      <w:r>
        <w:rPr>
          <w:spacing w:val="-2"/>
        </w:rPr>
        <w:t>策划团队客户开拓和服务能力。全方位推进公司的品牌建设，启动公司新的品牌规划，提升品牌影响力，以服务和体验方式</w:t>
      </w:r>
      <w:r>
        <w:rPr>
          <w:spacing w:val="-64"/>
        </w:rPr>
        <w:t> </w:t>
      </w:r>
      <w:r>
        <w:rPr>
          <w:spacing w:val="-64"/>
        </w:rPr>
      </w:r>
      <w:r>
        <w:rPr/>
        <w:t>传播公司品牌形象。</w:t>
      </w:r>
    </w:p>
    <w:p>
      <w:pPr>
        <w:pStyle w:val="BodyText"/>
        <w:spacing w:line="312" w:lineRule="auto" w:before="20"/>
        <w:ind w:right="1034"/>
        <w:jc w:val="left"/>
      </w:pPr>
      <w:r>
        <w:rPr>
          <w:rFonts w:ascii="Times New Roman" w:hAnsi="Times New Roman" w:cs="Times New Roman" w:eastAsia="Times New Roman" w:hint="default"/>
        </w:rPr>
        <w:t>4</w:t>
      </w:r>
      <w:r>
        <w:rPr/>
        <w:t>、继续推进</w:t>
      </w:r>
      <w:r>
        <w:rPr>
          <w:rFonts w:ascii="Times New Roman" w:hAnsi="Times New Roman" w:cs="Times New Roman" w:eastAsia="Times New Roman" w:hint="default"/>
        </w:rPr>
        <w:t>“</w:t>
      </w:r>
      <w:r>
        <w:rPr/>
        <w:t>重新定义</w:t>
      </w:r>
      <w:r>
        <w:rPr>
          <w:rFonts w:ascii="Times New Roman" w:hAnsi="Times New Roman" w:cs="Times New Roman" w:eastAsia="Times New Roman" w:hint="default"/>
        </w:rPr>
        <w:t>IBR”</w:t>
      </w:r>
      <w:r>
        <w:rPr/>
        <w:t>管理变革计划，加强人力资源引进及能力提升工作 首先，回顾、梳理现有激励体系，对公司员工激励诉求进行诊断，构建</w:t>
      </w:r>
      <w:r>
        <w:rPr>
          <w:rFonts w:ascii="Times New Roman" w:hAnsi="Times New Roman" w:cs="Times New Roman" w:eastAsia="Times New Roman" w:hint="default"/>
        </w:rPr>
        <w:t>“</w:t>
      </w:r>
      <w:r>
        <w:rPr/>
        <w:t>蜜蜂</w:t>
      </w:r>
      <w:r>
        <w:rPr>
          <w:rFonts w:ascii="Times New Roman" w:hAnsi="Times New Roman" w:cs="Times New Roman" w:eastAsia="Times New Roman" w:hint="default"/>
        </w:rPr>
        <w:t>”</w:t>
      </w:r>
      <w:r>
        <w:rPr/>
        <w:t>激励模型的激励体系。 </w:t>
      </w:r>
      <w:r>
        <w:rPr>
          <w:spacing w:val="-2"/>
        </w:rPr>
        <w:t>其次，对公司现有职业通道及职位体系进行回顾和优化；借鉴标杆企业任职资格标准，修订建科院任职资格标准；组建任职</w:t>
      </w:r>
      <w:r>
        <w:rPr>
          <w:spacing w:val="-64"/>
        </w:rPr>
        <w:t> </w:t>
      </w:r>
      <w:r>
        <w:rPr>
          <w:spacing w:val="-64"/>
        </w:rPr>
      </w:r>
      <w:r>
        <w:rPr/>
        <w:t>资格体系管理机构；培训认证者与管理者；组织商务、项目、秘书职位开展人才评估，能力认证。 </w:t>
      </w:r>
      <w:r>
        <w:rPr>
          <w:spacing w:val="-2"/>
        </w:rPr>
        <w:t>第三，针对公司人力资源现状与业务发展之间匹配度的差距，有针对性、多渠道地引进中级专业技术人才；加强专业技能培</w:t>
      </w:r>
      <w:r>
        <w:rPr>
          <w:spacing w:val="-64"/>
        </w:rPr>
        <w:t> </w:t>
      </w:r>
      <w:r>
        <w:rPr>
          <w:spacing w:val="-64"/>
        </w:rPr>
      </w:r>
      <w:r>
        <w:rPr/>
        <w:t>训，积极发挥导师作用，通过具体工作中的</w:t>
      </w:r>
      <w:r>
        <w:rPr>
          <w:rFonts w:ascii="Times New Roman" w:hAnsi="Times New Roman" w:cs="Times New Roman" w:eastAsia="Times New Roman" w:hint="default"/>
        </w:rPr>
        <w:t>“</w:t>
      </w:r>
      <w:r>
        <w:rPr/>
        <w:t>传帮带</w:t>
      </w:r>
      <w:r>
        <w:rPr>
          <w:rFonts w:ascii="Times New Roman" w:hAnsi="Times New Roman" w:cs="Times New Roman" w:eastAsia="Times New Roman" w:hint="default"/>
        </w:rPr>
        <w:t>”</w:t>
      </w:r>
      <w:r>
        <w:rPr/>
        <w:t>促进现有基层员工能力的快速提升。 </w:t>
      </w:r>
      <w:r>
        <w:rPr>
          <w:rFonts w:ascii="Times New Roman" w:hAnsi="Times New Roman" w:cs="Times New Roman" w:eastAsia="Times New Roman" w:hint="default"/>
        </w:rPr>
        <w:t>5</w:t>
      </w:r>
      <w:r>
        <w:rPr/>
        <w:t>、加强市场营销体系建设，增强异地市场开拓能力 </w:t>
      </w:r>
      <w:r>
        <w:rPr>
          <w:spacing w:val="-2"/>
        </w:rPr>
        <w:t>首先，明确并强化价值中心在市场营销管理中的统筹协调职能；进一步强化片区市场及大客户管理，建立公司领导、片区负</w:t>
      </w:r>
      <w:r>
        <w:rPr>
          <w:spacing w:val="-64"/>
        </w:rPr>
        <w:t> </w:t>
      </w:r>
      <w:r>
        <w:rPr>
          <w:spacing w:val="-64"/>
        </w:rPr>
      </w:r>
      <w:r>
        <w:rPr/>
        <w:t>责人、商务经理三位一体的市场开拓力量，增强整体协同作战能力。 其次，重点提升市场策划团队客户开拓和服务能力，调整资源聚焦并贴身服务大客户和价值客户。聚集资源制定专项计划， </w:t>
      </w:r>
      <w:r>
        <w:rPr>
          <w:spacing w:val="-2"/>
        </w:rPr>
        <w:t>加大公信事业部的业务拓展。规划设计事业部集中力量重点立足大湾区，特别是深圳地区的大客户及深汕合作区、荆门和张</w:t>
      </w:r>
      <w:r>
        <w:rPr>
          <w:spacing w:val="-63"/>
        </w:rPr>
        <w:t> </w:t>
      </w:r>
      <w:r>
        <w:rPr>
          <w:spacing w:val="-63"/>
        </w:rPr>
      </w:r>
      <w:r>
        <w:rPr/>
        <w:t>家口的新项目。建设管理事业部除保质保量完成在手项目外，还应进一步开拓市场，实现</w:t>
      </w:r>
      <w:r>
        <w:rPr>
          <w:rFonts w:ascii="Times New Roman" w:hAnsi="Times New Roman" w:cs="Times New Roman" w:eastAsia="Times New Roman" w:hint="default"/>
        </w:rPr>
        <w:t>EPC</w:t>
      </w:r>
      <w:r>
        <w:rPr/>
        <w:t>、全过程项目管理、代建业务 的增长。 第三，研究推行</w:t>
      </w:r>
      <w:r>
        <w:rPr>
          <w:rFonts w:ascii="Times New Roman" w:hAnsi="Times New Roman" w:cs="Times New Roman" w:eastAsia="Times New Roman" w:hint="default"/>
        </w:rPr>
        <w:t>“</w:t>
      </w:r>
      <w:r>
        <w:rPr/>
        <w:t>一区一策</w:t>
      </w:r>
      <w:r>
        <w:rPr>
          <w:rFonts w:ascii="Times New Roman" w:hAnsi="Times New Roman" w:cs="Times New Roman" w:eastAsia="Times New Roman" w:hint="default"/>
        </w:rPr>
        <w:t>”</w:t>
      </w:r>
      <w:r>
        <w:rPr/>
        <w:t>区域市场经营策略。调整各区域的经营策略，研究制定适应各区域市场差异性的经营管理举措。 </w:t>
      </w:r>
      <w:r>
        <w:rPr>
          <w:rFonts w:ascii="Times New Roman" w:hAnsi="Times New Roman" w:cs="Times New Roman" w:eastAsia="Times New Roman" w:hint="default"/>
        </w:rPr>
        <w:t>6</w:t>
      </w:r>
      <w:r>
        <w:rPr/>
        <w:t>、继续推进雄安战略，积极参与粤港澳大湾区建设 </w:t>
      </w:r>
      <w:r>
        <w:rPr>
          <w:spacing w:val="-2"/>
        </w:rPr>
        <w:t>紧紧抓住雄安新区和粤港澳大湾区即将开始的大规模规划、设计工作这一南一北的两大商机，充分发挥建科院在绿色城市和</w:t>
      </w:r>
      <w:r>
        <w:rPr>
          <w:spacing w:val="-64"/>
        </w:rPr>
        <w:t> </w:t>
      </w:r>
      <w:r>
        <w:rPr>
          <w:spacing w:val="-64"/>
        </w:rPr>
      </w:r>
      <w:r>
        <w:rPr>
          <w:spacing w:val="-2"/>
        </w:rPr>
        <w:t>绿色建筑技术的优势，在这两个区域的绿色城市和绿色建筑技术服务上拓展更多的业务。积极参与雄安新区绿色建筑研究和</w:t>
      </w:r>
      <w:r>
        <w:rPr>
          <w:spacing w:val="-64"/>
        </w:rPr>
        <w:t> </w:t>
      </w:r>
      <w:r>
        <w:rPr>
          <w:spacing w:val="-64"/>
        </w:rPr>
      </w:r>
      <w:r>
        <w:rPr>
          <w:spacing w:val="-2"/>
        </w:rPr>
        <w:t>公信服务，继续拓展在雄安新区的设计、规划业务，并以雄安新区的业务作为品牌的制高点带动其他地区业务拓展，实现业</w:t>
      </w:r>
      <w:r>
        <w:rPr>
          <w:spacing w:val="-64"/>
        </w:rPr>
        <w:t> </w:t>
      </w:r>
      <w:r>
        <w:rPr>
          <w:spacing w:val="-64"/>
        </w:rPr>
      </w:r>
      <w:r>
        <w:rPr>
          <w:spacing w:val="-2"/>
        </w:rPr>
        <w:t>绩的较大增长。设立深汕合作区分支机构，促进公信服务、城市规划、建筑设计等业务落地。加强建科院、建研检测珠海分</w:t>
      </w:r>
      <w:r>
        <w:rPr>
          <w:spacing w:val="-68"/>
        </w:rPr>
        <w:t> </w:t>
      </w:r>
      <w:r>
        <w:rPr>
          <w:spacing w:val="-68"/>
        </w:rPr>
      </w:r>
      <w:r>
        <w:rPr/>
        <w:t>公司的能力建设。</w:t>
      </w:r>
    </w:p>
    <w:p>
      <w:pPr>
        <w:pStyle w:val="BodyText"/>
        <w:spacing w:line="312" w:lineRule="auto" w:before="23"/>
        <w:ind w:right="0"/>
        <w:jc w:val="left"/>
      </w:pPr>
      <w:r>
        <w:rPr>
          <w:rFonts w:ascii="Times New Roman" w:hAnsi="Times New Roman" w:cs="Times New Roman" w:eastAsia="Times New Roman" w:hint="default"/>
        </w:rPr>
        <w:t>7</w:t>
      </w:r>
      <w:r>
        <w:rPr/>
        <w:t>、进一步推进产业链上下游的并购工作 完善公司战略投资机制和体系建设，加强战略投资和产业整合能力，优化公司战略决策程序，提升公司资本运作效率。 </w:t>
      </w:r>
      <w:r>
        <w:rPr>
          <w:spacing w:val="-2"/>
        </w:rPr>
        <w:t>关注国内外行业发展状况，尝试充分利用上市后的品牌和资金优势，寻求行业并购机会，选择符合公司发展战略，与公司业</w:t>
      </w:r>
      <w:r>
        <w:rPr>
          <w:spacing w:val="-64"/>
        </w:rPr>
        <w:t> </w:t>
      </w:r>
      <w:r>
        <w:rPr>
          <w:spacing w:val="-64"/>
        </w:rPr>
      </w:r>
      <w:r>
        <w:rPr/>
        <w:t>务有协同效应的目标公司进行强强联合，实现跨越式发展。</w:t>
      </w:r>
    </w:p>
    <w:p>
      <w:pPr>
        <w:pStyle w:val="BodyText"/>
        <w:spacing w:line="309" w:lineRule="auto" w:before="22"/>
        <w:ind w:right="0"/>
        <w:jc w:val="left"/>
      </w:pPr>
      <w:r>
        <w:rPr>
          <w:rFonts w:ascii="Times New Roman" w:hAnsi="Times New Roman" w:cs="Times New Roman" w:eastAsia="Times New Roman" w:hint="default"/>
        </w:rPr>
        <w:t>8</w:t>
      </w:r>
      <w:r>
        <w:rPr/>
        <w:t>、加强公司的规范运作和风险管理 </w:t>
      </w:r>
      <w:r>
        <w:rPr>
          <w:spacing w:val="-2"/>
        </w:rPr>
        <w:t>提升全面风险管理建设，特别是针对创新业务的安全风险、重大事项的决策风险、廉政风险等，加强日常的审计工作。为公</w:t>
      </w:r>
      <w:r>
        <w:rPr>
          <w:spacing w:val="-67"/>
        </w:rPr>
        <w:t> </w:t>
      </w:r>
      <w:r>
        <w:rPr>
          <w:spacing w:val="-67"/>
        </w:rPr>
      </w:r>
      <w:r>
        <w:rPr/>
        <w:t>司战略转型和发展保驾护航。</w:t>
      </w:r>
    </w:p>
    <w:p>
      <w:pPr>
        <w:pStyle w:val="BodyText"/>
        <w:spacing w:line="240" w:lineRule="auto" w:before="24"/>
        <w:ind w:right="0"/>
        <w:jc w:val="left"/>
      </w:pPr>
      <w:r>
        <w:rPr/>
        <w:t>（三）面临的主要风险及对策</w:t>
      </w:r>
    </w:p>
    <w:p>
      <w:pPr>
        <w:spacing w:after="0" w:line="240" w:lineRule="auto"/>
        <w:jc w:val="left"/>
        <w:sectPr>
          <w:pgSz w:w="11910" w:h="16840"/>
          <w:pgMar w:header="852" w:footer="980" w:top="1320" w:bottom="1160" w:left="980" w:right="0"/>
        </w:sectPr>
      </w:pPr>
    </w:p>
    <w:p>
      <w:pPr>
        <w:pStyle w:val="BodyText"/>
        <w:spacing w:line="314" w:lineRule="auto" w:before="111"/>
        <w:ind w:right="0"/>
        <w:jc w:val="left"/>
      </w:pPr>
      <w:r>
        <w:rPr>
          <w:rFonts w:ascii="Times New Roman" w:hAnsi="Times New Roman" w:cs="Times New Roman" w:eastAsia="Times New Roman" w:hint="default"/>
        </w:rPr>
        <w:t>1</w:t>
      </w:r>
      <w:r>
        <w:rPr/>
        <w:t>、政策风险：十九大报告指出，中国经济已由高速增长阶段转向高质量发展阶段，正处在转变发展方式、优化经济结构、 </w:t>
      </w:r>
      <w:r>
        <w:rPr>
          <w:spacing w:val="-2"/>
        </w:rPr>
        <w:t>转换增长动力的攻关期。继续深化供给侧结构性改革，推动经济高质量发展。要深化要素市场化配置改革、完善国企国资改</w:t>
      </w:r>
      <w:r>
        <w:rPr>
          <w:spacing w:val="-65"/>
        </w:rPr>
        <w:t> </w:t>
      </w:r>
      <w:r>
        <w:rPr>
          <w:spacing w:val="-65"/>
        </w:rPr>
      </w:r>
      <w:r>
        <w:rPr>
          <w:spacing w:val="-2"/>
        </w:rPr>
        <w:t>革方案、实施区域协调发展战略，加快推进生态文明建设，围绕国家在经济转型、创新驱动、经济结构调整、产业结构优化</w:t>
      </w:r>
      <w:r>
        <w:rPr>
          <w:spacing w:val="-68"/>
        </w:rPr>
        <w:t> </w:t>
      </w:r>
      <w:r>
        <w:rPr>
          <w:spacing w:val="-68"/>
        </w:rPr>
      </w:r>
      <w:r>
        <w:rPr>
          <w:spacing w:val="-2"/>
        </w:rPr>
        <w:t>等方面所提出的目标和政策，行业市场竞争格局发生着深刻变化，新技术、新业态、新模式、新经济都将对公司发展产生影</w:t>
      </w:r>
      <w:r>
        <w:rPr>
          <w:spacing w:val="-65"/>
        </w:rPr>
        <w:t> </w:t>
      </w:r>
      <w:r>
        <w:rPr>
          <w:spacing w:val="-65"/>
        </w:rPr>
      </w:r>
      <w:r>
        <w:rPr>
          <w:spacing w:val="-2"/>
        </w:rPr>
        <w:t>响。风险应对策略：及时应对这些政策变化、积极响应国家政策导向、抓住新的行业发展机遇，这将对公司的环境适配能力</w:t>
      </w:r>
      <w:r>
        <w:rPr>
          <w:spacing w:val="-67"/>
        </w:rPr>
        <w:t> </w:t>
      </w:r>
      <w:r>
        <w:rPr>
          <w:spacing w:val="-67"/>
        </w:rPr>
      </w:r>
      <w:r>
        <w:rPr/>
        <w:t>提出新的挑战。 </w:t>
      </w:r>
      <w:r>
        <w:rPr>
          <w:rFonts w:ascii="Times New Roman" w:hAnsi="Times New Roman" w:cs="Times New Roman" w:eastAsia="Times New Roman" w:hint="default"/>
        </w:rPr>
        <w:t>2</w:t>
      </w:r>
      <w:r>
        <w:rPr/>
        <w:t>、市场竞争风险：行业受行业政策、业主需求变化等因素的直接影响，此外，随着行业资质管理改革的深入</w:t>
      </w:r>
      <w:r>
        <w:rPr>
          <w:rFonts w:ascii="Times New Roman" w:hAnsi="Times New Roman" w:cs="Times New Roman" w:eastAsia="Times New Roman" w:hint="default"/>
        </w:rPr>
        <w:t>,</w:t>
      </w:r>
      <w:r>
        <w:rPr/>
        <w:t>行业市场化进 </w:t>
      </w:r>
      <w:r>
        <w:rPr>
          <w:spacing w:val="-2"/>
        </w:rPr>
        <w:t>程将进一步推进，新成立的企业不断进入，公司将面临更为激烈的市场竞争环境，存在因市场竞争加剧导致盈利水平下降的</w:t>
      </w:r>
      <w:r>
        <w:rPr>
          <w:spacing w:val="-63"/>
        </w:rPr>
        <w:t> </w:t>
      </w:r>
      <w:r>
        <w:rPr>
          <w:spacing w:val="-63"/>
        </w:rPr>
      </w:r>
      <w:r>
        <w:rPr>
          <w:spacing w:val="-2"/>
        </w:rPr>
        <w:t>风险。风险应对策略：建立规范的市场战略管理机制。每年对公司战略和市场战略规划执行情况进行检查与评估，及时发现</w:t>
      </w:r>
      <w:r>
        <w:rPr>
          <w:spacing w:val="-64"/>
        </w:rPr>
        <w:t> </w:t>
      </w:r>
      <w:r>
        <w:rPr>
          <w:spacing w:val="-64"/>
        </w:rPr>
      </w:r>
      <w:r>
        <w:rPr>
          <w:spacing w:val="-2"/>
        </w:rPr>
        <w:t>总体规划实施过程中存在的问题，并提出改进建议。如遇到外部环境（如宏观经济形势和行业政策等）或内部条件发生重大</w:t>
      </w:r>
      <w:r>
        <w:rPr>
          <w:spacing w:val="-64"/>
        </w:rPr>
        <w:t> </w:t>
      </w:r>
      <w:r>
        <w:rPr>
          <w:spacing w:val="-64"/>
        </w:rPr>
      </w:r>
      <w:r>
        <w:rPr/>
        <w:t>变化的情形，适时对战略规划进行适当修订；同时，将按照三年周期，对规划进行滚动调整。 </w:t>
      </w:r>
      <w:r>
        <w:rPr>
          <w:rFonts w:ascii="Times New Roman" w:hAnsi="Times New Roman" w:cs="Times New Roman" w:eastAsia="Times New Roman" w:hint="default"/>
        </w:rPr>
        <w:t>3</w:t>
      </w:r>
      <w:r>
        <w:rPr/>
        <w:t>、技术风险：科研成果以及转化是重要的业务创新支撑，也意味着要保持一定的技术投入，客观上面临技术投入无法转化 </w:t>
      </w:r>
      <w:r>
        <w:rPr>
          <w:spacing w:val="-2"/>
        </w:rPr>
        <w:t>成技术成果或者科研产业化失败的风险。风险应对策略：完善公司研发管理体系和技术成果转化的业务体系对接，包括决策</w:t>
      </w:r>
      <w:r>
        <w:rPr>
          <w:spacing w:val="-66"/>
        </w:rPr>
        <w:t> </w:t>
      </w:r>
      <w:r>
        <w:rPr>
          <w:spacing w:val="-66"/>
        </w:rPr>
      </w:r>
      <w:r>
        <w:rPr/>
        <w:t>程序、过程控制和成果评估。注重决策风险控制，强化过程监督，完善成果的审查机制。 </w:t>
      </w:r>
      <w:r>
        <w:rPr>
          <w:rFonts w:ascii="Times New Roman" w:hAnsi="Times New Roman" w:cs="Times New Roman" w:eastAsia="Times New Roman" w:hint="default"/>
          <w:spacing w:val="-2"/>
        </w:rPr>
        <w:t>4</w:t>
      </w:r>
      <w:r>
        <w:rPr>
          <w:spacing w:val="-2"/>
        </w:rPr>
        <w:t>、业务运作风险：不同于传统的设计咨询项目，未来的项目类型更加多元化，新的工程项目、运营项目、投资项目受市场、</w:t>
      </w:r>
      <w:r>
        <w:rPr>
          <w:spacing w:val="-67"/>
        </w:rPr>
        <w:t> </w:t>
      </w:r>
      <w:r>
        <w:rPr>
          <w:spacing w:val="-67"/>
        </w:rPr>
      </w:r>
      <w:r>
        <w:rPr>
          <w:spacing w:val="-2"/>
        </w:rPr>
        <w:t>政策、管理等方面的因素影响，周期长、协调环节多、运作更为复杂，客观存在项目运作风险。风险应对策略：健全全面风</w:t>
      </w:r>
      <w:r>
        <w:rPr>
          <w:spacing w:val="-71"/>
        </w:rPr>
        <w:t> </w:t>
      </w:r>
      <w:r>
        <w:rPr>
          <w:spacing w:val="-71"/>
        </w:rPr>
      </w:r>
      <w:r>
        <w:rPr>
          <w:spacing w:val="-2"/>
        </w:rPr>
        <w:t>险与内控管理制度体系，形成公司风险管理手册，有效指导日常工作。以风险信息收集、风险辨识为着力点，全面促进各业</w:t>
      </w:r>
      <w:r>
        <w:rPr>
          <w:spacing w:val="-67"/>
        </w:rPr>
        <w:t> </w:t>
      </w:r>
      <w:r>
        <w:rPr>
          <w:spacing w:val="-67"/>
        </w:rPr>
      </w:r>
      <w:r>
        <w:rPr/>
        <w:t>务单元风险管控体系建设和风险评估工作开展，督促风险管理策略有效落实，确保公司整体风险可控受控。 </w:t>
      </w:r>
      <w:r>
        <w:rPr>
          <w:rFonts w:ascii="Times New Roman" w:hAnsi="Times New Roman" w:cs="Times New Roman" w:eastAsia="Times New Roman" w:hint="default"/>
        </w:rPr>
        <w:t>5</w:t>
      </w:r>
      <w:r>
        <w:rPr/>
        <w:t>、项目管理风险：在国家推行</w:t>
      </w:r>
      <w:r>
        <w:rPr>
          <w:rFonts w:ascii="Times New Roman" w:hAnsi="Times New Roman" w:cs="Times New Roman" w:eastAsia="Times New Roman" w:hint="default"/>
        </w:rPr>
        <w:t>“</w:t>
      </w:r>
      <w:r>
        <w:rPr/>
        <w:t>建筑师负责制</w:t>
      </w:r>
      <w:r>
        <w:rPr>
          <w:rFonts w:ascii="Times New Roman" w:hAnsi="Times New Roman" w:cs="Times New Roman" w:eastAsia="Times New Roman" w:hint="default"/>
        </w:rPr>
        <w:t>”</w:t>
      </w:r>
      <w:r>
        <w:rPr/>
        <w:t>的背景下，建筑师在工程项目全过程中被赋予了更为关键的对设计质量把控 </w:t>
      </w:r>
      <w:r>
        <w:rPr>
          <w:spacing w:val="-2"/>
        </w:rPr>
        <w:t>和管理的职责，对建筑师在质量、成本、进度、跨专业协调、采购、施工等的项目管理能力提出了更高的要求。公司不断的</w:t>
      </w:r>
      <w:r>
        <w:rPr>
          <w:spacing w:val="-73"/>
        </w:rPr>
        <w:t> </w:t>
      </w:r>
      <w:r>
        <w:rPr>
          <w:spacing w:val="-73"/>
        </w:rPr>
      </w:r>
      <w:r>
        <w:rPr>
          <w:spacing w:val="-2"/>
        </w:rPr>
        <w:t>加强集成化服务能力，在行业领域的水平扩张和产业价值链的垂直整合过程中，全国化拓展和跨区域经营的资源整合、项目</w:t>
      </w:r>
      <w:r>
        <w:rPr>
          <w:spacing w:val="-61"/>
        </w:rPr>
        <w:t> </w:t>
      </w:r>
      <w:r>
        <w:rPr>
          <w:spacing w:val="-61"/>
        </w:rPr>
      </w:r>
      <w:r>
        <w:rPr>
          <w:spacing w:val="-4"/>
        </w:rPr>
        <w:t>管理能力需要有效管理和无缝对接。信息、项目、人力资源、资金等内部资源的调配和管理，与客户、政府部门、施工单位、</w:t>
      </w:r>
      <w:r>
        <w:rPr>
          <w:spacing w:val="-44"/>
        </w:rPr>
        <w:t> </w:t>
      </w:r>
      <w:r>
        <w:rPr>
          <w:spacing w:val="-44"/>
        </w:rPr>
      </w:r>
      <w:r>
        <w:rPr/>
        <w:t>监理单位等外部合作单位之间的沟通和协调，都对公司的管理能力提出了更高要求。公司随着</w:t>
      </w:r>
      <w:r>
        <w:rPr>
          <w:rFonts w:ascii="Times New Roman" w:hAnsi="Times New Roman" w:cs="Times New Roman" w:eastAsia="Times New Roman" w:hint="default"/>
        </w:rPr>
        <w:t>EPC</w:t>
      </w:r>
      <w:r>
        <w:rPr/>
        <w:t>工程总承包业务的扩大， </w:t>
      </w:r>
      <w:r>
        <w:rPr>
          <w:spacing w:val="-2"/>
        </w:rPr>
        <w:t>公司不但面临项目管理、合同管理、进度管理、采购及施工分包等方面的风险因素。风险应对策略：提升项目管理水平，严</w:t>
      </w:r>
      <w:r>
        <w:rPr>
          <w:spacing w:val="-70"/>
        </w:rPr>
        <w:t> </w:t>
      </w:r>
      <w:r>
        <w:rPr>
          <w:spacing w:val="-70"/>
        </w:rPr>
      </w:r>
      <w:r>
        <w:rPr/>
        <w:t>格把控项目进展、以优质的服务提升客户及市场的满意度。 </w:t>
      </w:r>
      <w:r>
        <w:rPr>
          <w:rFonts w:ascii="Times New Roman" w:hAnsi="Times New Roman" w:cs="Times New Roman" w:eastAsia="Times New Roman" w:hint="default"/>
        </w:rPr>
        <w:t>6</w:t>
      </w:r>
      <w:r>
        <w:rPr/>
        <w:t>、人才风险分析：公司新的业务模式需要大量的新型人才，重点包括资本类人才、产业运营类人才、高级研发人才等，这 </w:t>
      </w:r>
      <w:r>
        <w:rPr>
          <w:spacing w:val="-2"/>
        </w:rPr>
        <w:t>类人才的特点与现有的技术类人才有较大的差异性，客观上存在人才的招募、激励、使用等方面的风险。风险应对策略：加</w:t>
      </w:r>
      <w:r>
        <w:rPr>
          <w:spacing w:val="-67"/>
        </w:rPr>
        <w:t> </w:t>
      </w:r>
      <w:r>
        <w:rPr>
          <w:spacing w:val="-67"/>
        </w:rPr>
      </w:r>
      <w:r>
        <w:rPr/>
        <w:t>强人力资源管理，健全骨干人才培养体系，建立科学的人才引进、选拔、适用的竞争机制，改革公司薪酬和激励机制。</w:t>
      </w:r>
    </w:p>
    <w:p>
      <w:pPr>
        <w:spacing w:line="240" w:lineRule="auto" w:before="2"/>
        <w:rPr>
          <w:rFonts w:ascii="宋体" w:hAnsi="宋体" w:cs="宋体" w:eastAsia="宋体" w:hint="default"/>
          <w:sz w:val="15"/>
          <w:szCs w:val="15"/>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宋体" w:hAnsi="宋体" w:cs="宋体" w:eastAsia="宋体" w:hint="default"/>
                <w:spacing w:val="-5"/>
                <w:sz w:val="18"/>
                <w:szCs w:val="18"/>
              </w:rPr>
              <w:t>建科院：</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 活动记录表</w:t>
            </w:r>
          </w:p>
        </w:tc>
      </w:tr>
    </w:tbl>
    <w:p>
      <w:pPr>
        <w:spacing w:after="0" w:line="300"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0"/>
        <w:rPr>
          <w:rFonts w:ascii="宋体" w:hAnsi="宋体" w:cs="宋体" w:eastAsia="宋体" w:hint="default"/>
          <w:sz w:val="20"/>
          <w:szCs w:val="20"/>
        </w:rPr>
      </w:pPr>
      <w:r>
        <w:rPr/>
        <w:pict>
          <v:shape style="position:absolute;margin-left:218.649002pt;margin-top:677.619995pt;width:316.3pt;height:19.6pt;mso-position-horizontal-relative:page;mso-position-vertical-relative:page;z-index:-1021936" type="#_x0000_t202" filled="false" stroked="false">
            <v:textbox inset="0,0,0,0">
              <w:txbxContent>
                <w:p>
                  <w:pPr>
                    <w:pStyle w:val="BodyText"/>
                    <w:spacing w:line="240" w:lineRule="auto" w:before="49"/>
                    <w:ind w:left="0" w:right="0"/>
                    <w:jc w:val="left"/>
                  </w:pPr>
                  <w:r>
                    <w:rPr/>
                    <w:t>（元）</w:t>
                  </w:r>
                </w:p>
              </w:txbxContent>
            </v:textbox>
            <w10:wrap type="none"/>
          </v:shape>
        </w:pict>
      </w:r>
    </w:p>
    <w:p>
      <w:pPr>
        <w:spacing w:line="240" w:lineRule="auto" w:before="6"/>
        <w:rPr>
          <w:rFonts w:ascii="宋体" w:hAnsi="宋体" w:cs="宋体" w:eastAsia="宋体" w:hint="default"/>
          <w:sz w:val="19"/>
          <w:szCs w:val="19"/>
        </w:rPr>
      </w:pPr>
    </w:p>
    <w:p>
      <w:pPr>
        <w:pStyle w:val="Heading1"/>
        <w:spacing w:line="456" w:lineRule="exact"/>
        <w:ind w:right="3047"/>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报告期内普通股利润分配政策，特别是现金分红政策的制定、执行或调整情况</w:t>
      </w:r>
    </w:p>
    <w:p>
      <w:pPr>
        <w:pStyle w:val="BodyText"/>
        <w:spacing w:line="314"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报告期内，公司为了充分维护全体股东的利益，严格按照《公司章程》相关利润分配政策和审议程序审议利润分配方案，分</w:t>
      </w:r>
      <w:r>
        <w:rPr>
          <w:spacing w:val="-67"/>
        </w:rPr>
        <w:t> </w:t>
      </w:r>
      <w:r>
        <w:rPr>
          <w:spacing w:val="-67"/>
        </w:rPr>
      </w:r>
      <w:r>
        <w:rPr/>
        <w:t>红标准和分红比例明确清晰，相关的决策程序和机制完备。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日召开第二届董事会第三次定期会议及第二届监事会第八次会议，于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日召开公司</w:t>
      </w:r>
      <w:r>
        <w:rPr>
          <w:rFonts w:ascii="Times New Roman" w:hAnsi="Times New Roman" w:cs="Times New Roman" w:eastAsia="Times New Roman" w:hint="default"/>
          <w:spacing w:val="-2"/>
        </w:rPr>
        <w:t>2018</w:t>
      </w:r>
      <w:r>
        <w:rPr>
          <w:spacing w:val="-2"/>
        </w:rPr>
        <w:t>年度股</w:t>
      </w:r>
      <w:r>
        <w:rPr>
          <w:spacing w:val="-49"/>
        </w:rPr>
        <w:t> </w:t>
      </w:r>
      <w:r>
        <w:rPr/>
        <w:t>东大会，审议通过了《关于</w:t>
      </w:r>
      <w:r>
        <w:rPr>
          <w:rFonts w:ascii="Times New Roman" w:hAnsi="Times New Roman" w:cs="Times New Roman" w:eastAsia="Times New Roman" w:hint="default"/>
        </w:rPr>
        <w:t>&lt;2017</w:t>
      </w:r>
      <w:r>
        <w:rPr/>
        <w:t>年度利润分配方案</w:t>
      </w:r>
      <w:r>
        <w:rPr>
          <w:rFonts w:ascii="Times New Roman" w:hAnsi="Times New Roman" w:cs="Times New Roman" w:eastAsia="Times New Roman" w:hint="default"/>
        </w:rPr>
        <w:t>&gt;</w:t>
      </w:r>
      <w:r>
        <w:rPr/>
        <w:t>的议案》：以公司现有总股本</w:t>
      </w:r>
      <w:r>
        <w:rPr>
          <w:rFonts w:ascii="Times New Roman" w:hAnsi="Times New Roman" w:cs="Times New Roman" w:eastAsia="Times New Roman" w:hint="default"/>
        </w:rPr>
        <w:t>146,666,700</w:t>
      </w:r>
      <w:r>
        <w:rPr/>
        <w:t>股为基数，向全体股东每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w:t>
      </w:r>
      <w:r>
        <w:rPr>
          <w:rFonts w:ascii="Times New Roman" w:hAnsi="Times New Roman" w:cs="Times New Roman" w:eastAsia="Times New Roman" w:hint="default"/>
        </w:rPr>
        <w:t>0.65</w:t>
      </w:r>
      <w:r>
        <w:rPr/>
        <w:t>元人民币现金（含税）。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日，公司发布《</w:t>
      </w:r>
      <w:r>
        <w:rPr>
          <w:rFonts w:ascii="Times New Roman" w:hAnsi="Times New Roman" w:cs="Times New Roman" w:eastAsia="Times New Roman" w:hint="default"/>
        </w:rPr>
        <w:t>2017</w:t>
      </w:r>
      <w:r>
        <w:rPr/>
        <w:t>年年度权益分派实施公告》，权益分派的股权登记日为</w:t>
      </w:r>
    </w:p>
    <w:p>
      <w:pPr>
        <w:pStyle w:val="BodyText"/>
        <w:spacing w:line="300" w:lineRule="auto" w:before="1"/>
        <w:ind w:right="103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 公司</w:t>
      </w:r>
      <w:r>
        <w:rPr>
          <w:rFonts w:ascii="Times New Roman" w:hAnsi="Times New Roman" w:cs="Times New Roman" w:eastAsia="Times New Roman" w:hint="default"/>
        </w:rPr>
        <w:t>2017</w:t>
      </w:r>
      <w:r>
        <w:rPr/>
        <w:t>年度利润分配方案严格按照《公司章程》中关于现金分红政策执行，经公司董事会、监事会和股东大会审议通过， 独立董事发表了专项意见，履行了相关决策程序，并在规定的时间内实施，切实保证了全体股东的利益。</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71"/>
        <w:ind w:right="0"/>
        <w:jc w:val="left"/>
      </w:pPr>
      <w:r>
        <w:rPr/>
        <w:t>公司报告期利润分配预案及资本公积金转增股本预案与公司章程和分红管理办法等的相关规定一致</w:t>
      </w:r>
    </w:p>
    <w:p>
      <w:pPr>
        <w:pStyle w:val="BodyText"/>
        <w:spacing w:line="350" w:lineRule="auto" w:before="117"/>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146,666,700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10,266,669.00</w:t>
            </w:r>
          </w:p>
        </w:tc>
      </w:tr>
      <w:tr>
        <w:trPr>
          <w:trHeight w:val="402" w:hRule="exact"/>
        </w:trPr>
        <w:tc>
          <w:tcPr>
            <w:tcW w:w="371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10,266,669.00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128,319,555.46</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36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5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公司拟以截至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146,666,700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股为基数，向全体股东进行现金分红，每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股分配现金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共计分配现金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15"/>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不进行资</w:t>
            </w:r>
            <w:r>
              <w:rPr>
                <w:rFonts w:ascii="宋体" w:hAnsi="宋体" w:cs="宋体" w:eastAsia="宋体" w:hint="default"/>
                <w:spacing w:val="-3"/>
                <w:sz w:val="18"/>
                <w:szCs w:val="18"/>
              </w:rPr>
              <w:t>本</w:t>
            </w:r>
            <w:r>
              <w:rPr>
                <w:rFonts w:ascii="宋体" w:hAnsi="宋体" w:cs="宋体" w:eastAsia="宋体" w:hint="default"/>
                <w:sz w:val="18"/>
                <w:szCs w:val="18"/>
              </w:rPr>
              <w:t>公积转增股本</w:t>
            </w:r>
            <w:r>
              <w:rPr>
                <w:rFonts w:ascii="宋体" w:hAnsi="宋体" w:cs="宋体" w:eastAsia="宋体" w:hint="default"/>
                <w:spacing w:val="-15"/>
                <w:sz w:val="18"/>
                <w:szCs w:val="18"/>
              </w:rPr>
              <w:t>，</w:t>
            </w:r>
            <w:r>
              <w:rPr>
                <w:rFonts w:ascii="宋体" w:hAnsi="宋体" w:cs="宋体" w:eastAsia="宋体" w:hint="default"/>
                <w:sz w:val="18"/>
                <w:szCs w:val="18"/>
              </w:rPr>
              <w:t>不送红股</w:t>
            </w:r>
            <w:r>
              <w:rPr>
                <w:rFonts w:ascii="宋体" w:hAnsi="宋体" w:cs="宋体" w:eastAsia="宋体" w:hint="default"/>
                <w:spacing w:val="-15"/>
                <w:sz w:val="18"/>
                <w:szCs w:val="18"/>
              </w:rPr>
              <w:t>。</w:t>
            </w:r>
            <w:r>
              <w:rPr>
                <w:rFonts w:ascii="宋体" w:hAnsi="宋体" w:cs="宋体" w:eastAsia="宋体" w:hint="default"/>
                <w:sz w:val="18"/>
                <w:szCs w:val="18"/>
              </w:rPr>
              <w:t>此利润分配预案已经公司第二届</w:t>
            </w:r>
          </w:p>
          <w:p>
            <w:pPr>
              <w:pStyle w:val="TableParagraph"/>
              <w:spacing w:line="309" w:lineRule="auto" w:before="63"/>
              <w:ind w:left="24" w:right="24"/>
              <w:jc w:val="both"/>
              <w:rPr>
                <w:rFonts w:ascii="宋体" w:hAnsi="宋体" w:cs="宋体" w:eastAsia="宋体" w:hint="default"/>
                <w:sz w:val="18"/>
                <w:szCs w:val="18"/>
              </w:rPr>
            </w:pPr>
            <w:r>
              <w:rPr>
                <w:rFonts w:ascii="宋体" w:hAnsi="宋体" w:cs="宋体" w:eastAsia="宋体" w:hint="default"/>
                <w:sz w:val="18"/>
                <w:szCs w:val="18"/>
              </w:rPr>
              <w:t>董事会第五次定期会议审议通过，尚需提交公司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年年度股东大会审议，公司独立董事对此预案发表了同意的独立意 </w:t>
            </w:r>
            <w:r>
              <w:rPr>
                <w:rFonts w:ascii="宋体" w:hAnsi="宋体" w:cs="宋体" w:eastAsia="宋体" w:hint="default"/>
                <w:spacing w:val="-4"/>
                <w:sz w:val="18"/>
                <w:szCs w:val="18"/>
              </w:rPr>
              <w:t>见，预案内容及审议程序符合《公司法》、《公司章程》等有关规定，符合公司当前的实际情况，有利于与全体股东分享公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司成长的经营成果，与公司业绩相匹配，与公司成长性相符，有利于公司的持续稳定健康发展。</w:t>
            </w:r>
          </w:p>
        </w:tc>
      </w:tr>
    </w:tbl>
    <w:p>
      <w:pPr>
        <w:pStyle w:val="BodyText"/>
        <w:spacing w:line="321" w:lineRule="auto" w:before="49"/>
        <w:ind w:right="1119"/>
        <w:jc w:val="left"/>
        <w:rPr>
          <w:rFonts w:ascii="Times New Roman" w:hAnsi="Times New Roman" w:cs="Times New Roman" w:eastAsia="Times New Roman" w:hint="default"/>
        </w:rPr>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年度利润分配方案 </w:t>
      </w:r>
      <w:r>
        <w:rPr>
          <w:spacing w:val="-4"/>
        </w:rPr>
        <w:t>根据立信会计师事务所（特殊普通合伙）为公司出具的《</w:t>
      </w:r>
      <w:r>
        <w:rPr>
          <w:rFonts w:ascii="Times New Roman" w:hAnsi="Times New Roman" w:cs="Times New Roman" w:eastAsia="Times New Roman" w:hint="default"/>
          <w:spacing w:val="-4"/>
        </w:rPr>
        <w:t>2018</w:t>
      </w:r>
      <w:r>
        <w:rPr>
          <w:spacing w:val="-4"/>
        </w:rPr>
        <w:t>年度审计报告》，母公司实现净利润</w:t>
      </w:r>
      <w:r>
        <w:rPr>
          <w:rFonts w:ascii="Times New Roman" w:hAnsi="Times New Roman" w:cs="Times New Roman" w:eastAsia="Times New Roman" w:hint="default"/>
          <w:spacing w:val="-4"/>
        </w:rPr>
        <w:t>27,319,096.04</w:t>
      </w:r>
      <w:r>
        <w:rPr>
          <w:spacing w:val="-4"/>
        </w:rPr>
        <w:t>元，截止</w:t>
      </w:r>
      <w:r>
        <w:rPr>
          <w:rFonts w:ascii="Times New Roman" w:hAnsi="Times New Roman" w:cs="Times New Roman" w:eastAsia="Times New Roman" w:hint="default"/>
          <w:spacing w:val="-4"/>
        </w:rPr>
        <w:t>2018</w:t>
      </w:r>
    </w:p>
    <w:p>
      <w:pPr>
        <w:pStyle w:val="BodyText"/>
        <w:spacing w:line="300" w:lineRule="auto"/>
        <w:ind w:right="0"/>
        <w:jc w:val="left"/>
      </w:pP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日母公司可供股东分配利润</w:t>
      </w:r>
      <w:r>
        <w:rPr>
          <w:rFonts w:ascii="Times New Roman" w:hAnsi="Times New Roman" w:cs="Times New Roman" w:eastAsia="Times New Roman" w:hint="default"/>
          <w:spacing w:val="-2"/>
        </w:rPr>
        <w:t>128,319,555.46</w:t>
      </w:r>
      <w:r>
        <w:rPr>
          <w:spacing w:val="-2"/>
        </w:rPr>
        <w:t>元，向全体股东每</w:t>
      </w:r>
      <w:r>
        <w:rPr>
          <w:rFonts w:ascii="Times New Roman" w:hAnsi="Times New Roman" w:cs="Times New Roman" w:eastAsia="Times New Roman" w:hint="default"/>
          <w:spacing w:val="-2"/>
        </w:rPr>
        <w:t>10</w:t>
      </w:r>
      <w:r>
        <w:rPr>
          <w:spacing w:val="-2"/>
        </w:rPr>
        <w:t>股分配现金股利</w:t>
      </w:r>
      <w:r>
        <w:rPr>
          <w:rFonts w:ascii="Times New Roman" w:hAnsi="Times New Roman" w:cs="Times New Roman" w:eastAsia="Times New Roman" w:hint="default"/>
          <w:spacing w:val="-2"/>
        </w:rPr>
        <w:t>0.70</w:t>
      </w:r>
      <w:r>
        <w:rPr>
          <w:spacing w:val="-2"/>
        </w:rPr>
        <w:t>元人民币现金（含税），合计分</w:t>
      </w:r>
      <w:r>
        <w:rPr>
          <w:spacing w:val="-49"/>
        </w:rPr>
        <w:t> </w:t>
      </w:r>
      <w:r>
        <w:rPr>
          <w:spacing w:val="-49"/>
        </w:rPr>
      </w:r>
      <w:r>
        <w:rPr/>
        <w:t>配股利</w:t>
      </w:r>
      <w:r>
        <w:rPr>
          <w:rFonts w:ascii="Times New Roman" w:hAnsi="Times New Roman" w:cs="Times New Roman" w:eastAsia="Times New Roman" w:hint="default"/>
        </w:rPr>
        <w:t>10,266,669.00</w:t>
      </w:r>
      <w:r>
        <w:rPr/>
        <w:t>元。</w:t>
      </w:r>
    </w:p>
    <w:p>
      <w:pPr>
        <w:pStyle w:val="BodyText"/>
        <w:spacing w:line="300" w:lineRule="auto" w:before="13"/>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年度利润分配方案 </w:t>
      </w:r>
      <w:r>
        <w:rPr>
          <w:spacing w:val="-4"/>
        </w:rPr>
        <w:t>根据立信会计师事务所（特殊普通合伙）为公司出具的《</w:t>
      </w:r>
      <w:r>
        <w:rPr>
          <w:rFonts w:ascii="Times New Roman" w:hAnsi="Times New Roman" w:cs="Times New Roman" w:eastAsia="Times New Roman" w:hint="default"/>
          <w:spacing w:val="-4"/>
        </w:rPr>
        <w:t>2017</w:t>
      </w:r>
      <w:r>
        <w:rPr>
          <w:spacing w:val="-4"/>
        </w:rPr>
        <w:t>年度审计报告》，母公司实现净利润</w:t>
      </w:r>
      <w:r>
        <w:rPr>
          <w:rFonts w:ascii="Times New Roman" w:hAnsi="Times New Roman" w:cs="Times New Roman" w:eastAsia="Times New Roman" w:hint="default"/>
          <w:spacing w:val="-4"/>
        </w:rPr>
        <w:t>22,558,672.52</w:t>
      </w:r>
      <w:r>
        <w:rPr>
          <w:spacing w:val="-4"/>
        </w:rPr>
        <w:t>元，截止</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日母公司可供股东分配利润</w:t>
      </w:r>
      <w:r>
        <w:rPr>
          <w:rFonts w:ascii="Times New Roman" w:hAnsi="Times New Roman" w:cs="Times New Roman" w:eastAsia="Times New Roman" w:hint="default"/>
          <w:spacing w:val="-2"/>
        </w:rPr>
        <w:t>113,265,704.52</w:t>
      </w:r>
      <w:r>
        <w:rPr>
          <w:spacing w:val="-2"/>
        </w:rPr>
        <w:t>元，向全体股东每</w:t>
      </w:r>
      <w:r>
        <w:rPr>
          <w:rFonts w:ascii="Times New Roman" w:hAnsi="Times New Roman" w:cs="Times New Roman" w:eastAsia="Times New Roman" w:hint="default"/>
          <w:spacing w:val="-2"/>
        </w:rPr>
        <w:t>10</w:t>
      </w:r>
      <w:r>
        <w:rPr>
          <w:spacing w:val="-2"/>
        </w:rPr>
        <w:t>股分配现金股利</w:t>
      </w:r>
      <w:r>
        <w:rPr>
          <w:rFonts w:ascii="Times New Roman" w:hAnsi="Times New Roman" w:cs="Times New Roman" w:eastAsia="Times New Roman" w:hint="default"/>
          <w:spacing w:val="-2"/>
        </w:rPr>
        <w:t>0.65</w:t>
      </w:r>
      <w:r>
        <w:rPr>
          <w:spacing w:val="-2"/>
        </w:rPr>
        <w:t>元人民币现金（含税），合计分</w:t>
      </w:r>
      <w:r>
        <w:rPr>
          <w:spacing w:val="-49"/>
        </w:rPr>
        <w:t> </w:t>
      </w:r>
      <w:r>
        <w:rPr>
          <w:spacing w:val="-49"/>
        </w:rPr>
      </w:r>
      <w:r>
        <w:rPr/>
        <w:t>配股利</w:t>
      </w:r>
      <w:r>
        <w:rPr>
          <w:rFonts w:ascii="Times New Roman" w:hAnsi="Times New Roman" w:cs="Times New Roman" w:eastAsia="Times New Roman" w:hint="default"/>
        </w:rPr>
        <w:t>9,533,335.50</w:t>
      </w:r>
      <w:r>
        <w:rPr/>
        <w:t>元。</w:t>
      </w:r>
    </w:p>
    <w:p>
      <w:pPr>
        <w:pStyle w:val="BodyText"/>
        <w:spacing w:line="300" w:lineRule="auto" w:before="13"/>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年度利润分配方案 </w:t>
      </w:r>
      <w:r>
        <w:rPr>
          <w:spacing w:val="-4"/>
        </w:rPr>
        <w:t>根据立信会计师事务所（特殊普通合伙）为公司出具的《</w:t>
      </w:r>
      <w:r>
        <w:rPr>
          <w:rFonts w:ascii="Times New Roman" w:hAnsi="Times New Roman" w:cs="Times New Roman" w:eastAsia="Times New Roman" w:hint="default"/>
          <w:spacing w:val="-4"/>
        </w:rPr>
        <w:t>2016</w:t>
      </w:r>
      <w:r>
        <w:rPr>
          <w:spacing w:val="-4"/>
        </w:rPr>
        <w:t>年度审计报告》，母公司实现净利润</w:t>
      </w:r>
      <w:r>
        <w:rPr>
          <w:rFonts w:ascii="Times New Roman" w:hAnsi="Times New Roman" w:cs="Times New Roman" w:eastAsia="Times New Roman" w:hint="default"/>
          <w:spacing w:val="-4"/>
        </w:rPr>
        <w:t>25,876,888.50</w:t>
      </w:r>
      <w:r>
        <w:rPr>
          <w:spacing w:val="-4"/>
        </w:rPr>
        <w:t>元，截止</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日母公司可供股东分配利润</w:t>
      </w:r>
      <w:r>
        <w:rPr>
          <w:rFonts w:ascii="Times New Roman" w:hAnsi="Times New Roman" w:cs="Times New Roman" w:eastAsia="Times New Roman" w:hint="default"/>
          <w:spacing w:val="-2"/>
        </w:rPr>
        <w:t>102,496,234.75</w:t>
      </w:r>
      <w:r>
        <w:rPr>
          <w:spacing w:val="-2"/>
        </w:rPr>
        <w:t>元，向全体股东每</w:t>
      </w:r>
      <w:r>
        <w:rPr>
          <w:rFonts w:ascii="Times New Roman" w:hAnsi="Times New Roman" w:cs="Times New Roman" w:eastAsia="Times New Roman" w:hint="default"/>
          <w:spacing w:val="-2"/>
        </w:rPr>
        <w:t>10</w:t>
      </w:r>
      <w:r>
        <w:rPr>
          <w:spacing w:val="-2"/>
        </w:rPr>
        <w:t>股分配现金股利</w:t>
      </w:r>
      <w:r>
        <w:rPr>
          <w:rFonts w:ascii="Times New Roman" w:hAnsi="Times New Roman" w:cs="Times New Roman" w:eastAsia="Times New Roman" w:hint="default"/>
          <w:spacing w:val="-2"/>
        </w:rPr>
        <w:t>0.65</w:t>
      </w:r>
      <w:r>
        <w:rPr>
          <w:spacing w:val="-2"/>
        </w:rPr>
        <w:t>元人民币现金（含税），合计分</w:t>
      </w:r>
      <w:r>
        <w:rPr>
          <w:spacing w:val="-49"/>
        </w:rPr>
        <w:t> </w:t>
      </w:r>
      <w:r>
        <w:rPr>
          <w:spacing w:val="-49"/>
        </w:rPr>
      </w:r>
      <w:r>
        <w:rPr/>
        <w:t>配股利</w:t>
      </w:r>
      <w:r>
        <w:rPr>
          <w:rFonts w:ascii="Times New Roman" w:hAnsi="Times New Roman" w:cs="Times New Roman" w:eastAsia="Times New Roman" w:hint="default"/>
        </w:rPr>
        <w:t>9,533,335.50</w:t>
      </w:r>
      <w:r>
        <w:rPr/>
        <w:t>元。</w:t>
      </w:r>
    </w:p>
    <w:p>
      <w:pPr>
        <w:pStyle w:val="BodyText"/>
        <w:spacing w:line="240" w:lineRule="auto" w:before="51"/>
        <w:ind w:right="0"/>
        <w:jc w:val="left"/>
      </w:pPr>
      <w:r>
        <w:rPr/>
        <w:t>公司近三年（包括本报告期）普通股现金分红情况表</w:t>
      </w:r>
    </w:p>
    <w:p>
      <w:pPr>
        <w:pStyle w:val="BodyText"/>
        <w:spacing w:line="240" w:lineRule="auto" w:before="120"/>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5"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3" w:right="140"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10,266,669.00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34,630,772.68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10,266,669.00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29.65%</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9,533,335.50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33,987,787.76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9,533,335.50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28.05%</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9,533,335.50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31,539,638.45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9,533,335.50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30.23%</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20" w:bottom="1160" w:left="980" w:right="0"/>
        </w:sectPr>
      </w:pPr>
    </w:p>
    <w:p>
      <w:pPr>
        <w:pStyle w:val="Heading2"/>
        <w:spacing w:line="407" w:lineRule="exact"/>
        <w:ind w:right="0"/>
        <w:jc w:val="left"/>
        <w:rPr>
          <w:b w:val="0"/>
          <w:bCs w:val="0"/>
        </w:rPr>
      </w:pPr>
      <w:r>
        <w:rPr/>
        <w:pict>
          <v:shape style="position:absolute;margin-left:440.624023pt;margin-top:352.249969pt;width:34.1pt;height:113.2pt;mso-position-horizontal-relative:page;mso-position-vertical-relative:page;z-index:-10218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1"/>
                    <w:ind w:left="0" w:right="0"/>
                    <w:jc w:val="left"/>
                  </w:pPr>
                  <w:r>
                    <w:rPr/>
                    <w:t>，</w:t>
                  </w:r>
                </w:p>
              </w:txbxContent>
            </v:textbox>
            <w10:wrap type="none"/>
          </v:shape>
        </w:pict>
      </w:r>
      <w:r>
        <w:rPr/>
        <w:pict>
          <v:group style="position:absolute;margin-left:127.82pt;margin-top:465.919983pt;width:27.85pt;height:269.3pt;mso-position-horizontal-relative:page;mso-position-vertical-relative:page;z-index:-1021864" coordorigin="2556,9318" coordsize="557,5386">
            <v:group style="position:absolute;left:2556;top:9318;width:557;height:5386" coordorigin="2556,9318" coordsize="557,5386">
              <v:shape style="position:absolute;left:2556;top:9318;width:557;height:5386" coordorigin="2556,9318" coordsize="557,5386" path="m2556,14704l3113,14704,3113,9318,2556,9318,2556,14704xe" filled="true" fillcolor="#ffffff" stroked="false">
                <v:path arrowok="t"/>
                <v:fill type="solid"/>
              </v:shape>
            </v:group>
            <v:group style="position:absolute;left:2580;top:11502;width:512;height:353" coordorigin="2580,11502" coordsize="512,353">
              <v:shape style="position:absolute;left:2580;top:11502;width:512;height:353" coordorigin="2580,11502" coordsize="512,353" path="m2580,11855l3092,11855,3092,11502,2580,11502,2580,11855xe" filled="true" fillcolor="#ffffff" stroked="false">
                <v:path arrowok="t"/>
                <v:fill type="solid"/>
              </v:shape>
            </v:group>
            <v:group style="position:absolute;left:2580;top:11855;width:512;height:312" coordorigin="2580,11855" coordsize="512,312">
              <v:shape style="position:absolute;left:2580;top:11855;width:512;height:312" coordorigin="2580,11855" coordsize="512,312" path="m2580,12167l3092,12167,3092,11855,2580,11855,2580,12167xe" filled="true" fillcolor="#ffffff" stroked="false">
                <v:path arrowok="t"/>
                <v:fill type="solid"/>
              </v:shape>
            </v:group>
            <v:group style="position:absolute;left:2580;top:12167;width:512;height:353" coordorigin="2580,12167" coordsize="512,353">
              <v:shape style="position:absolute;left:2580;top:12167;width:512;height:353" coordorigin="2580,12167" coordsize="512,353" path="m2580,12520l3092,12520,3092,12167,2580,12167,2580,12520xe" filled="true" fillcolor="#ffffff" stroked="false">
                <v:path arrowok="t"/>
                <v:fill type="solid"/>
              </v:shape>
            </v:group>
            <w10:wrap type="none"/>
          </v:group>
        </w:pict>
      </w:r>
      <w:r>
        <w:rPr/>
        <w:t>二、承诺事项履行情况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Heading3"/>
        <w:spacing w:line="312" w:lineRule="exact"/>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07"/>
        <w:gridCol w:w="710"/>
        <w:gridCol w:w="566"/>
        <w:gridCol w:w="5814"/>
        <w:gridCol w:w="566"/>
        <w:gridCol w:w="566"/>
        <w:gridCol w:w="636"/>
      </w:tblGrid>
      <w:tr>
        <w:trPr>
          <w:trHeight w:val="161" w:hRule="exact"/>
        </w:trPr>
        <w:tc>
          <w:tcPr>
            <w:tcW w:w="7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8" w:right="77" w:hanging="180"/>
              <w:jc w:val="left"/>
              <w:rPr>
                <w:rFonts w:ascii="宋体" w:hAnsi="宋体" w:cs="宋体" w:eastAsia="宋体" w:hint="default"/>
                <w:sz w:val="18"/>
                <w:szCs w:val="18"/>
              </w:rPr>
            </w:pPr>
            <w:r>
              <w:rPr>
                <w:rFonts w:ascii="宋体" w:hAnsi="宋体" w:cs="宋体" w:eastAsia="宋体" w:hint="default"/>
                <w:sz w:val="18"/>
                <w:szCs w:val="18"/>
              </w:rPr>
              <w:t>承诺来 源</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3" w:right="41" w:hanging="180"/>
              <w:jc w:val="left"/>
              <w:rPr>
                <w:rFonts w:ascii="宋体" w:hAnsi="宋体" w:cs="宋体" w:eastAsia="宋体" w:hint="default"/>
                <w:sz w:val="18"/>
                <w:szCs w:val="18"/>
              </w:rPr>
            </w:pPr>
            <w:r>
              <w:rPr>
                <w:rFonts w:ascii="宋体" w:hAnsi="宋体" w:cs="宋体" w:eastAsia="宋体" w:hint="default"/>
                <w:sz w:val="18"/>
                <w:szCs w:val="18"/>
              </w:rPr>
              <w:t>履行情 况</w:t>
            </w:r>
          </w:p>
        </w:tc>
      </w:tr>
      <w:tr>
        <w:trPr>
          <w:trHeight w:val="394"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r>
      <w:tr>
        <w:trPr>
          <w:trHeight w:val="161" w:hRule="exact"/>
        </w:trPr>
        <w:tc>
          <w:tcPr>
            <w:tcW w:w="707"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r>
      <w:tr>
        <w:trPr>
          <w:trHeight w:val="196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收购报 告书或 权益变 动报告 书中所 作承诺</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资产重 组时所 作承诺</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首次公 开发行 或再融 资时所 作承诺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 w:right="132"/>
              <w:jc w:val="both"/>
              <w:rPr>
                <w:rFonts w:ascii="宋体" w:hAnsi="宋体" w:cs="宋体" w:eastAsia="宋体" w:hint="default"/>
                <w:sz w:val="18"/>
                <w:szCs w:val="18"/>
              </w:rPr>
            </w:pPr>
            <w:r>
              <w:rPr>
                <w:rFonts w:ascii="宋体" w:hAnsi="宋体" w:cs="宋体" w:eastAsia="宋体" w:hint="default"/>
                <w:sz w:val="18"/>
                <w:szCs w:val="18"/>
              </w:rPr>
              <w:t>深圳市 远致投 资有限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、自发行人股票上市之日起三十六个月内，不转让或者委托他人管理所 持有的发行人公开发行股份前已发行的股份，也不由发行人回购该等股 份；</w:t>
            </w:r>
            <w:r>
              <w:rPr>
                <w:rFonts w:ascii="Times New Roman" w:hAnsi="Times New Roman" w:cs="Times New Roman" w:eastAsia="Times New Roman" w:hint="default"/>
                <w:sz w:val="18"/>
                <w:szCs w:val="18"/>
              </w:rPr>
              <w:t>2</w:t>
            </w:r>
            <w:r>
              <w:rPr>
                <w:rFonts w:ascii="宋体" w:hAnsi="宋体" w:cs="宋体" w:eastAsia="宋体" w:hint="default"/>
                <w:sz w:val="18"/>
                <w:szCs w:val="18"/>
              </w:rPr>
              <w:t>、发行人股票上市后六个月内如公司股票连续二十个交易日的收盘 价均低于发行价（发行人股票上市后六个月内如有派息、送股、资本公积 </w:t>
            </w:r>
            <w:r>
              <w:rPr>
                <w:rFonts w:ascii="宋体" w:hAnsi="宋体" w:cs="宋体" w:eastAsia="宋体" w:hint="default"/>
                <w:spacing w:val="-6"/>
                <w:sz w:val="18"/>
                <w:szCs w:val="18"/>
              </w:rPr>
              <w:t>金转增股本、增发新股等除权除息事项的，发行价将相应进行调整，下同）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或者上市后六个月期末收盘价低于发行价，本公司持有发行人股票的锁定</w:t>
            </w:r>
            <w:r>
              <w:rPr>
                <w:rFonts w:ascii="宋体" w:hAnsi="宋体" w:cs="宋体" w:eastAsia="宋体" w:hint="default"/>
                <w:sz w:val="18"/>
                <w:szCs w:val="18"/>
              </w:rPr>
              <w:t> 期限在原有锁定期限基础上自动延长六个月。</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263" w:lineRule="exact"/>
              <w:ind w:right="-51"/>
              <w:jc w:val="left"/>
              <w:rPr>
                <w:rFonts w:ascii="宋体" w:hAnsi="宋体" w:cs="宋体" w:eastAsia="宋体" w:hint="default"/>
                <w:sz w:val="20"/>
                <w:szCs w:val="20"/>
              </w:rPr>
            </w:pPr>
            <w:r>
              <w:rPr>
                <w:rFonts w:ascii="宋体" w:hAnsi="宋体" w:cs="宋体" w:eastAsia="宋体" w:hint="default"/>
                <w:position w:val="-44"/>
                <w:sz w:val="20"/>
                <w:szCs w:val="20"/>
              </w:rPr>
              <w:pict>
                <v:group style="width:27.85pt;height:113.2pt;mso-position-horizontal-relative:char;mso-position-vertical-relative:line" coordorigin="0,0" coordsize="557,2264">
                  <v:group style="position:absolute;left:0;top:0;width:557;height:2264" coordorigin="0,0" coordsize="557,2264">
                    <v:shape style="position:absolute;left:0;top:0;width:557;height:2264" coordorigin="0,0" coordsize="557,2264" path="m0,2264l557,2264,557,0,0,0,0,2264xe" filled="true" fillcolor="#ffffff" stroked="false">
                      <v:path arrowok="t"/>
                      <v:fill type="solid"/>
                    </v:shape>
                  </v:group>
                  <v:group style="position:absolute;left:24;top:468;width:512;height:353" coordorigin="24,468" coordsize="512,353">
                    <v:shape style="position:absolute;left:24;top:468;width:512;height:353" coordorigin="24,468" coordsize="512,353" path="m24,821l535,821,535,468,24,468,24,821xe" filled="true" fillcolor="#ffffff" stroked="false">
                      <v:path arrowok="t"/>
                      <v:fill type="solid"/>
                    </v:shape>
                  </v:group>
                  <v:group style="position:absolute;left:24;top:821;width:512;height:312" coordorigin="24,821" coordsize="512,312">
                    <v:shape style="position:absolute;left:24;top:821;width:512;height:312" coordorigin="24,821" coordsize="512,312" path="m24,1133l535,1133,535,821,24,821,24,1133xe" filled="true" fillcolor="#ffffff" stroked="false">
                      <v:path arrowok="t"/>
                      <v:fill type="solid"/>
                    </v:shape>
                  </v:group>
                  <v:group style="position:absolute;left:24;top:1133;width:512;height:312" coordorigin="24,1133" coordsize="512,312">
                    <v:shape style="position:absolute;left:24;top:1133;width:512;height:312" coordorigin="24,1133" coordsize="512,312" path="m24,1445l535,1445,535,1133,24,1133,24,1445xe" filled="true" fillcolor="#ffffff" stroked="false">
                      <v:path arrowok="t"/>
                      <v:fill type="solid"/>
                    </v:shape>
                  </v:group>
                  <v:group style="position:absolute;left:24;top:1445;width:512;height:351" coordorigin="24,1445" coordsize="512,351">
                    <v:shape style="position:absolute;left:24;top:1445;width:512;height:351" coordorigin="24,1445" coordsize="512,351" path="m24,1795l535,1795,535,1445,24,1445,24,1795xe" filled="true" fillcolor="#ffffff" stroked="false">
                      <v:path arrowok="t"/>
                      <v:fill type="solid"/>
                    </v:shape>
                  </v:group>
                </v:group>
              </w:pict>
            </w:r>
            <w:r>
              <w:rPr>
                <w:rFonts w:ascii="宋体" w:hAnsi="宋体" w:cs="宋体" w:eastAsia="宋体" w:hint="default"/>
                <w:position w:val="-44"/>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7-18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5396" w:hRule="exact"/>
        </w:trPr>
        <w:tc>
          <w:tcPr>
            <w:tcW w:w="707" w:type="dxa"/>
            <w:vMerge/>
            <w:tcBorders>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83"/>
              <w:jc w:val="both"/>
              <w:rPr>
                <w:rFonts w:ascii="宋体" w:hAnsi="宋体" w:cs="宋体" w:eastAsia="宋体" w:hint="default"/>
                <w:sz w:val="18"/>
                <w:szCs w:val="18"/>
              </w:rPr>
            </w:pPr>
            <w:r>
              <w:rPr>
                <w:rFonts w:ascii="宋体" w:hAnsi="宋体" w:cs="宋体" w:eastAsia="宋体" w:hint="default"/>
                <w:sz w:val="18"/>
                <w:szCs w:val="18"/>
              </w:rPr>
              <w:t>深圳市 创新投 资集团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市建科 投资股 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圳市英 龙建安</w:t>
            </w:r>
          </w:p>
          <w:p>
            <w:pPr>
              <w:pStyle w:val="TableParagraph"/>
              <w:spacing w:line="314" w:lineRule="auto" w:before="21"/>
              <w:ind w:left="26" w:right="-46"/>
              <w:jc w:val="left"/>
              <w:rPr>
                <w:rFonts w:ascii="宋体" w:hAnsi="宋体" w:cs="宋体" w:eastAsia="宋体" w:hint="default"/>
                <w:sz w:val="18"/>
                <w:szCs w:val="18"/>
              </w:rPr>
            </w:pPr>
            <w:r>
              <w:rPr>
                <w:rFonts w:ascii="宋体" w:hAnsi="宋体" w:cs="宋体" w:eastAsia="宋体" w:hint="default"/>
                <w:sz w:val="18"/>
                <w:szCs w:val="18"/>
              </w:rPr>
              <w:t>（集团）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中关 村发展 集团有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自发行人股票上市之日起十二个月内，不转让或者委托他人管理所持有的 发行人公开发行股份前已发行的股份，也不由发行人回购该等股份。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7-18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已履行 完毕</w:t>
            </w:r>
          </w:p>
        </w:tc>
      </w:tr>
      <w:tr>
        <w:trPr>
          <w:trHeight w:val="674" w:hRule="exact"/>
        </w:trPr>
        <w:tc>
          <w:tcPr>
            <w:tcW w:w="707"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6" w:right="83"/>
              <w:jc w:val="left"/>
              <w:rPr>
                <w:rFonts w:ascii="宋体" w:hAnsi="宋体" w:cs="宋体" w:eastAsia="宋体" w:hint="default"/>
                <w:sz w:val="18"/>
                <w:szCs w:val="18"/>
              </w:rPr>
            </w:pPr>
            <w:r>
              <w:rPr>
                <w:rFonts w:ascii="宋体" w:hAnsi="宋体" w:cs="宋体" w:eastAsia="宋体" w:hint="default"/>
                <w:sz w:val="18"/>
                <w:szCs w:val="18"/>
              </w:rPr>
              <w:t>陈泽广</w:t>
            </w:r>
            <w:r>
              <w:rPr>
                <w:rFonts w:ascii="Times New Roman" w:hAnsi="Times New Roman" w:cs="Times New Roman" w:eastAsia="Times New Roman" w:hint="default"/>
                <w:sz w:val="18"/>
                <w:szCs w:val="18"/>
              </w:rPr>
              <w:t>; </w:t>
            </w:r>
            <w:r>
              <w:rPr>
                <w:rFonts w:ascii="宋体" w:hAnsi="宋体" w:cs="宋体" w:eastAsia="宋体" w:hint="default"/>
                <w:sz w:val="18"/>
                <w:szCs w:val="18"/>
              </w:rPr>
              <w:t>蓝虹</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股份 限售</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、自发行人股票上市之日起十二个月内，不转让或者委托他人管理本人 间接持有的发行人公开发行股份前已发行的股份，也不由发行人回购该等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9999-1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w:t>
            </w:r>
          </w:p>
        </w:tc>
      </w:tr>
    </w:tbl>
    <w:p>
      <w:pPr>
        <w:spacing w:after="0" w:line="240"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r>
        <w:rPr/>
        <w:pict>
          <v:shape style="position:absolute;margin-left:440.859985pt;margin-top:72.47998pt;width:33.85pt;height:173.7pt;mso-position-horizontal-relative:page;mso-position-vertical-relative:page;z-index:-1021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707"/>
        <w:gridCol w:w="710"/>
        <w:gridCol w:w="566"/>
        <w:gridCol w:w="5814"/>
        <w:gridCol w:w="566"/>
        <w:gridCol w:w="566"/>
        <w:gridCol w:w="636"/>
      </w:tblGrid>
      <w:tr>
        <w:trPr>
          <w:trHeight w:val="3483" w:hRule="exact"/>
        </w:trPr>
        <w:tc>
          <w:tcPr>
            <w:tcW w:w="707" w:type="dxa"/>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6" w:right="83"/>
              <w:jc w:val="both"/>
              <w:rPr>
                <w:rFonts w:ascii="宋体" w:hAnsi="宋体" w:cs="宋体" w:eastAsia="宋体" w:hint="default"/>
                <w:sz w:val="18"/>
                <w:szCs w:val="18"/>
              </w:rPr>
            </w:pPr>
            <w:r>
              <w:rPr>
                <w:rFonts w:ascii="宋体" w:hAnsi="宋体" w:cs="宋体" w:eastAsia="宋体" w:hint="default"/>
                <w:sz w:val="18"/>
                <w:szCs w:val="18"/>
              </w:rPr>
              <w:t>俊跃</w:t>
            </w:r>
            <w:r>
              <w:rPr>
                <w:rFonts w:ascii="Times New Roman" w:hAnsi="Times New Roman" w:cs="Times New Roman" w:eastAsia="Times New Roman" w:hint="default"/>
                <w:sz w:val="18"/>
                <w:szCs w:val="18"/>
              </w:rPr>
              <w:t>;</w:t>
            </w:r>
            <w:r>
              <w:rPr>
                <w:rFonts w:ascii="宋体" w:hAnsi="宋体" w:cs="宋体" w:eastAsia="宋体" w:hint="default"/>
                <w:sz w:val="18"/>
                <w:szCs w:val="18"/>
              </w:rPr>
              <w:t>毛 洪伟</w:t>
            </w:r>
            <w:r>
              <w:rPr>
                <w:rFonts w:ascii="Times New Roman" w:hAnsi="Times New Roman" w:cs="Times New Roman" w:eastAsia="Times New Roman" w:hint="default"/>
                <w:sz w:val="18"/>
                <w:szCs w:val="18"/>
              </w:rPr>
              <w:t>;</w:t>
            </w:r>
            <w:r>
              <w:rPr>
                <w:rFonts w:ascii="宋体" w:hAnsi="宋体" w:cs="宋体" w:eastAsia="宋体" w:hint="default"/>
                <w:sz w:val="18"/>
                <w:szCs w:val="18"/>
              </w:rPr>
              <w:t>莫 福光</w:t>
            </w:r>
            <w:r>
              <w:rPr>
                <w:rFonts w:ascii="Times New Roman" w:hAnsi="Times New Roman" w:cs="Times New Roman" w:eastAsia="Times New Roman" w:hint="default"/>
                <w:sz w:val="18"/>
                <w:szCs w:val="18"/>
              </w:rPr>
              <w:t>;</w:t>
            </w:r>
            <w:r>
              <w:rPr>
                <w:rFonts w:ascii="宋体" w:hAnsi="宋体" w:cs="宋体" w:eastAsia="宋体" w:hint="default"/>
                <w:sz w:val="18"/>
                <w:szCs w:val="18"/>
              </w:rPr>
              <w:t>姚 培</w:t>
            </w:r>
            <w:r>
              <w:rPr>
                <w:rFonts w:ascii="Times New Roman" w:hAnsi="Times New Roman" w:cs="Times New Roman" w:eastAsia="Times New Roman" w:hint="default"/>
                <w:sz w:val="18"/>
                <w:szCs w:val="18"/>
              </w:rPr>
              <w:t>;</w:t>
            </w:r>
            <w:r>
              <w:rPr>
                <w:rFonts w:ascii="宋体" w:hAnsi="宋体" w:cs="宋体" w:eastAsia="宋体" w:hint="default"/>
                <w:sz w:val="18"/>
                <w:szCs w:val="18"/>
              </w:rPr>
              <w:t>叶青</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、在上述期限届满后，本人在发行人任职期间每年转让直接或间 接持有发行人股份不超过本人直接或间接持有建科院股份总数的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z w:val="18"/>
                <w:szCs w:val="18"/>
              </w:rPr>
              <w:t> </w:t>
            </w:r>
            <w:r>
              <w:rPr>
                <w:rFonts w:ascii="宋体" w:hAnsi="宋体" w:cs="宋体" w:eastAsia="宋体" w:hint="default"/>
                <w:sz w:val="18"/>
                <w:szCs w:val="18"/>
              </w:rPr>
              <w:t>在离职半年内，本人不转让所直接或间接持有的发行人股份；</w:t>
            </w:r>
            <w:r>
              <w:rPr>
                <w:rFonts w:ascii="Times New Roman" w:hAnsi="Times New Roman" w:cs="Times New Roman" w:eastAsia="Times New Roman" w:hint="default"/>
                <w:sz w:val="18"/>
                <w:szCs w:val="18"/>
              </w:rPr>
              <w:t>4</w:t>
            </w:r>
            <w:r>
              <w:rPr>
                <w:rFonts w:ascii="宋体" w:hAnsi="宋体" w:cs="宋体" w:eastAsia="宋体" w:hint="default"/>
                <w:sz w:val="18"/>
                <w:szCs w:val="18"/>
              </w:rPr>
              <w:t>、在发行 人股票上市之日起六个月内本人申报离职的，自申报离职之日起十八个月 内不转让本人直接或间接持有的发行人股份；在建科院股票上市之日起七 个月至十二个月之间申报离职的，自申报离职之日起十二个月内本人不转 让直接或间接持有的发行人股份；</w:t>
            </w:r>
            <w:r>
              <w:rPr>
                <w:rFonts w:ascii="Times New Roman" w:hAnsi="Times New Roman" w:cs="Times New Roman" w:eastAsia="Times New Roman" w:hint="default"/>
                <w:sz w:val="18"/>
                <w:szCs w:val="18"/>
              </w:rPr>
              <w:t>5</w:t>
            </w:r>
            <w:r>
              <w:rPr>
                <w:rFonts w:ascii="宋体" w:hAnsi="宋体" w:cs="宋体" w:eastAsia="宋体" w:hint="default"/>
                <w:sz w:val="18"/>
                <w:szCs w:val="18"/>
              </w:rPr>
              <w:t>、发行人上市后六个月内如股票连续 二十个交易日的收盘价均低于发行价，或者上市后六个月期末收盘价低于 发行价，上述锁定期限届满后自动延长六个月的锁定期；</w:t>
            </w:r>
            <w:r>
              <w:rPr>
                <w:rFonts w:ascii="Times New Roman" w:hAnsi="Times New Roman" w:cs="Times New Roman" w:eastAsia="Times New Roman" w:hint="default"/>
                <w:sz w:val="18"/>
                <w:szCs w:val="18"/>
              </w:rPr>
              <w:t>6</w:t>
            </w:r>
            <w:r>
              <w:rPr>
                <w:rFonts w:ascii="宋体" w:hAnsi="宋体" w:cs="宋体" w:eastAsia="宋体" w:hint="default"/>
                <w:sz w:val="18"/>
                <w:szCs w:val="18"/>
              </w:rPr>
              <w:t>、所持发行人 股票在锁定期满后两年内减持的，其减持价格不低于发行价；</w:t>
            </w:r>
            <w:r>
              <w:rPr>
                <w:rFonts w:ascii="Times New Roman" w:hAnsi="Times New Roman" w:cs="Times New Roman" w:eastAsia="Times New Roman" w:hint="default"/>
                <w:sz w:val="18"/>
                <w:szCs w:val="18"/>
              </w:rPr>
              <w:t>7</w:t>
            </w:r>
            <w:r>
              <w:rPr>
                <w:rFonts w:ascii="宋体" w:hAnsi="宋体" w:cs="宋体" w:eastAsia="宋体" w:hint="default"/>
                <w:sz w:val="18"/>
                <w:szCs w:val="18"/>
              </w:rPr>
              <w:t>、本人不 因职务变更、离职等原因而放弃履行该承诺。</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347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27.85pt;height:173.7pt;mso-position-horizontal-relative:char;mso-position-vertical-relative:line" coordorigin="0,0" coordsize="557,3474">
                  <v:group style="position:absolute;left:0;top:0;width:557;height:3474" coordorigin="0,0" coordsize="557,3474">
                    <v:shape style="position:absolute;left:0;top:0;width:557;height:3474" coordorigin="0,0" coordsize="557,3474" path="m0,3473l557,3473,557,0,0,0,0,3473xe" filled="true" fillcolor="#ffffff" stroked="false">
                      <v:path arrowok="t"/>
                      <v:fill type="solid"/>
                    </v:shape>
                  </v:group>
                  <v:group style="position:absolute;left:24;top:0;width:512;height:313" coordorigin="24,0" coordsize="512,313">
                    <v:shape style="position:absolute;left:24;top:0;width:512;height:313" coordorigin="24,0" coordsize="512,313" path="m24,312l535,312,535,0,24,0,24,312xe" filled="true" fillcolor="#ffffff" stroked="false">
                      <v:path arrowok="t"/>
                      <v:fill type="solid"/>
                    </v:shape>
                  </v:group>
                  <v:group style="position:absolute;left:24;top:312;width:512;height:353" coordorigin="24,312" coordsize="512,353">
                    <v:shape style="position:absolute;left:24;top:312;width:512;height:353" coordorigin="24,312" coordsize="512,353" path="m24,665l535,665,535,312,24,312,24,665xe" filled="true" fillcolor="#ffffff" stroked="false">
                      <v:path arrowok="t"/>
                      <v:fill type="solid"/>
                    </v:shape>
                  </v:group>
                </v:group>
              </w:pict>
            </w:r>
            <w:r>
              <w:rPr>
                <w:rFonts w:ascii="Times New Roman" w:hAnsi="Times New Roman" w:cs="Times New Roman" w:eastAsia="Times New Roman" w:hint="default"/>
                <w:position w:val="-68"/>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sz w:val="18"/>
              </w:rPr>
              <w:t>2-31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行中</w:t>
            </w:r>
          </w:p>
        </w:tc>
      </w:tr>
      <w:tr>
        <w:trPr>
          <w:trHeight w:val="2273" w:hRule="exact"/>
        </w:trPr>
        <w:tc>
          <w:tcPr>
            <w:tcW w:w="707" w:type="dxa"/>
            <w:vMerge/>
            <w:tcBorders>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32"/>
              <w:jc w:val="both"/>
              <w:rPr>
                <w:rFonts w:ascii="宋体" w:hAnsi="宋体" w:cs="宋体" w:eastAsia="宋体" w:hint="default"/>
                <w:sz w:val="18"/>
                <w:szCs w:val="18"/>
              </w:rPr>
            </w:pPr>
            <w:r>
              <w:rPr>
                <w:rFonts w:ascii="宋体" w:hAnsi="宋体" w:cs="宋体" w:eastAsia="宋体" w:hint="default"/>
                <w:sz w:val="18"/>
                <w:szCs w:val="18"/>
              </w:rPr>
              <w:t>深圳市 远致投 资有限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本公司对发行人的发展前景充满信心，拟长期持有发行人的股份。在股份 锁定期满后两年内，本公司无减持所持有的发行人股票的计划。但若出现 法律法规、政策变化、自然灾害等自身无法控制的客观原因，本公司需在 锁定期满后两年内减持的，减持价格将不低于发行价，并将通过深圳证券 交易所竞价交易系统、大宗交易平台或深圳证券交易所允许的其他转让方 式合法转让发行人股票，实施减持时将提前三个交易日通过发行人予以公 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2-31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1651" w:hRule="exact"/>
        </w:trPr>
        <w:tc>
          <w:tcPr>
            <w:tcW w:w="707" w:type="dxa"/>
            <w:vMerge/>
            <w:tcBorders>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32"/>
              <w:jc w:val="both"/>
              <w:rPr>
                <w:rFonts w:ascii="宋体" w:hAnsi="宋体" w:cs="宋体" w:eastAsia="宋体" w:hint="default"/>
                <w:sz w:val="18"/>
                <w:szCs w:val="18"/>
              </w:rPr>
            </w:pPr>
            <w:r>
              <w:rPr>
                <w:rFonts w:ascii="宋体" w:hAnsi="宋体" w:cs="宋体" w:eastAsia="宋体" w:hint="default"/>
                <w:sz w:val="18"/>
                <w:szCs w:val="18"/>
              </w:rPr>
              <w:t>深圳市 建科投 资股份 有限公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70"/>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本公司对发行人的发展前景充满信心，拟长期持有发行人的股份。本公司 所持发行人股票锁定期届满后的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个月内，减持股票数量不超过本公司 所持发行人股票锁定期届满时本公司持有可减持股票数量的</w:t>
            </w:r>
            <w:r>
              <w:rPr>
                <w:rFonts w:ascii="宋体" w:hAnsi="宋体" w:cs="宋体" w:eastAsia="宋体" w:hint="default"/>
                <w:spacing w:val="6"/>
                <w:sz w:val="18"/>
                <w:szCs w:val="18"/>
              </w:rPr>
              <w:t> </w:t>
            </w:r>
            <w:r>
              <w:rPr>
                <w:rFonts w:ascii="Times New Roman" w:hAnsi="Times New Roman" w:cs="Times New Roman" w:eastAsia="Times New Roman" w:hint="default"/>
                <w:spacing w:val="-10"/>
                <w:sz w:val="18"/>
                <w:szCs w:val="18"/>
              </w:rPr>
              <w:t>30%</w:t>
            </w:r>
            <w:r>
              <w:rPr>
                <w:rFonts w:ascii="宋体" w:hAnsi="宋体" w:cs="宋体" w:eastAsia="宋体" w:hint="default"/>
                <w:spacing w:val="-10"/>
                <w:sz w:val="18"/>
                <w:szCs w:val="18"/>
              </w:rPr>
              <w:t>；锁定期</w:t>
            </w:r>
            <w:r>
              <w:rPr>
                <w:rFonts w:ascii="宋体" w:hAnsi="宋体" w:cs="宋体" w:eastAsia="宋体" w:hint="default"/>
                <w:sz w:val="18"/>
                <w:szCs w:val="18"/>
              </w:rPr>
              <w:t> 届满后的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个月内，本公司减持股票数量不超过锁定期届满时本公司持 有可减持股票数量的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2020-0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7-18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4146" w:hRule="exact"/>
        </w:trPr>
        <w:tc>
          <w:tcPr>
            <w:tcW w:w="707" w:type="dxa"/>
            <w:vMerge/>
            <w:tcBorders>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9"/>
              <w:jc w:val="left"/>
              <w:rPr>
                <w:rFonts w:ascii="宋体" w:hAnsi="宋体" w:cs="宋体" w:eastAsia="宋体" w:hint="default"/>
                <w:sz w:val="18"/>
                <w:szCs w:val="18"/>
              </w:rPr>
            </w:pPr>
            <w:r>
              <w:rPr>
                <w:rFonts w:ascii="宋体" w:hAnsi="宋体" w:cs="宋体" w:eastAsia="宋体" w:hint="default"/>
                <w:sz w:val="18"/>
                <w:szCs w:val="18"/>
              </w:rPr>
              <w:t>深圳市 创新投 资集团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市英龙 </w:t>
            </w:r>
            <w:r>
              <w:rPr>
                <w:rFonts w:ascii="宋体" w:hAnsi="宋体" w:cs="宋体" w:eastAsia="宋体" w:hint="default"/>
                <w:spacing w:val="-17"/>
                <w:sz w:val="18"/>
                <w:szCs w:val="18"/>
              </w:rPr>
              <w:t>建安（集</w:t>
            </w:r>
            <w:r>
              <w:rPr>
                <w:rFonts w:ascii="宋体" w:hAnsi="宋体" w:cs="宋体" w:eastAsia="宋体" w:hint="default"/>
                <w:sz w:val="18"/>
                <w:szCs w:val="18"/>
              </w:rPr>
              <w:t> </w:t>
            </w:r>
            <w:r>
              <w:rPr>
                <w:rFonts w:ascii="宋体" w:hAnsi="宋体" w:cs="宋体" w:eastAsia="宋体" w:hint="default"/>
                <w:spacing w:val="-17"/>
                <w:sz w:val="18"/>
                <w:szCs w:val="18"/>
              </w:rPr>
              <w:t>团）有限</w:t>
            </w:r>
            <w:r>
              <w:rPr>
                <w:rFonts w:ascii="宋体" w:hAnsi="宋体" w:cs="宋体" w:eastAsia="宋体" w:hint="default"/>
                <w:sz w:val="18"/>
                <w:szCs w:val="18"/>
              </w:rPr>
              <w:t>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 关村发 展集团 股份有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4" w:right="21"/>
              <w:jc w:val="both"/>
              <w:rPr>
                <w:rFonts w:ascii="宋体" w:hAnsi="宋体" w:cs="宋体" w:eastAsia="宋体" w:hint="default"/>
                <w:sz w:val="18"/>
                <w:szCs w:val="18"/>
              </w:rPr>
            </w:pPr>
            <w:r>
              <w:rPr>
                <w:rFonts w:ascii="宋体" w:hAnsi="宋体" w:cs="宋体" w:eastAsia="宋体" w:hint="default"/>
                <w:sz w:val="18"/>
                <w:szCs w:val="18"/>
              </w:rPr>
              <w:t>本公司对发行人的发展前景充满信心，拟长期持有发行人的股份。如因自 身资金需求、实现投资收益、公司股票价格波动等原因，在不违反本公司 在本次公开发行时所作出的公开承诺的前提下，本公司可依法减持发行人 公开发行股票前所持有发行人的股份。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2-31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2234" w:hRule="exact"/>
        </w:trPr>
        <w:tc>
          <w:tcPr>
            <w:tcW w:w="707"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6" w:right="132"/>
              <w:jc w:val="both"/>
              <w:rPr>
                <w:rFonts w:ascii="宋体" w:hAnsi="宋体" w:cs="宋体" w:eastAsia="宋体" w:hint="default"/>
                <w:sz w:val="18"/>
                <w:szCs w:val="18"/>
              </w:rPr>
            </w:pPr>
            <w:r>
              <w:rPr>
                <w:rFonts w:ascii="宋体" w:hAnsi="宋体" w:cs="宋体" w:eastAsia="宋体" w:hint="default"/>
                <w:sz w:val="18"/>
                <w:szCs w:val="18"/>
              </w:rPr>
              <w:t>深圳市 建筑科 学研究 院股份 有限公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分红 承诺</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本次发行后的利润分配政策和股东分红回报规划（一）本次发行前滚存利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润分配方案根据公司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年度股东大会审议通过的《关于公司本次发行</w:t>
            </w:r>
            <w:r>
              <w:rPr>
                <w:rFonts w:ascii="宋体" w:hAnsi="宋体" w:cs="宋体" w:eastAsia="宋体" w:hint="default"/>
                <w:spacing w:val="-42"/>
                <w:sz w:val="18"/>
                <w:szCs w:val="18"/>
              </w:rPr>
              <w:t> </w:t>
            </w:r>
            <w:r>
              <w:rPr>
                <w:rFonts w:ascii="Times New Roman" w:hAnsi="Times New Roman" w:cs="Times New Roman" w:eastAsia="Times New Roman" w:hint="default"/>
                <w:w w:val="99"/>
                <w:sz w:val="18"/>
                <w:szCs w:val="18"/>
              </w:rPr>
              <w:t>A </w:t>
            </w:r>
            <w:r>
              <w:rPr>
                <w:rFonts w:ascii="宋体" w:hAnsi="宋体" w:cs="宋体" w:eastAsia="宋体" w:hint="default"/>
                <w:spacing w:val="-3"/>
                <w:sz w:val="18"/>
                <w:szCs w:val="18"/>
              </w:rPr>
              <w:t>股前滚存利润分配方案的议案》，公司首次公开发行股票前的滚存利润由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发行后的新老股东按照发行后的股份比例共享。（二）本次发行后利润分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配政策根据公司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pacing w:val="-9"/>
                <w:sz w:val="18"/>
                <w:szCs w:val="18"/>
              </w:rPr>
              <w:t>年度股东大会审议通过的《公司章程（草案）》，公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司发行后的利润分配政策如下：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、基本原则公司应着眼于长远和可持续 发展</w:t>
            </w:r>
            <w:r>
              <w:rPr>
                <w:rFonts w:ascii="Times New Roman" w:hAnsi="Times New Roman" w:cs="Times New Roman" w:eastAsia="Times New Roman" w:hint="default"/>
                <w:sz w:val="18"/>
                <w:szCs w:val="18"/>
              </w:rPr>
              <w:t>,</w:t>
            </w:r>
            <w:r>
              <w:rPr>
                <w:rFonts w:ascii="宋体" w:hAnsi="宋体" w:cs="宋体" w:eastAsia="宋体" w:hint="default"/>
                <w:sz w:val="18"/>
                <w:szCs w:val="18"/>
              </w:rPr>
              <w:t>以股东利益最大化为公司价值目标</w:t>
            </w:r>
            <w:r>
              <w:rPr>
                <w:rFonts w:ascii="Times New Roman" w:hAnsi="Times New Roman" w:cs="Times New Roman" w:eastAsia="Times New Roman" w:hint="default"/>
                <w:sz w:val="18"/>
                <w:szCs w:val="18"/>
              </w:rPr>
              <w:t>,</w:t>
            </w:r>
            <w:r>
              <w:rPr>
                <w:rFonts w:ascii="宋体" w:hAnsi="宋体" w:cs="宋体" w:eastAsia="宋体" w:hint="default"/>
                <w:sz w:val="18"/>
                <w:szCs w:val="18"/>
              </w:rPr>
              <w:t>持续采取积极的现金及股票股利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2-31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6"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r>
        <w:rPr/>
        <w:pict>
          <v:shape style="position:absolute;margin-left:368.669006pt;margin-top:72.475983pt;width:106.05pt;height:686.5pt;mso-position-horizontal-relative:page;mso-position-vertical-relative:page;z-index:-1021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497"/>
                    <w:jc w:val="right"/>
                  </w:pPr>
                  <w:r>
                    <w:rPr/>
                    <w:t>建立对投资者持续、</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0"/>
                      <w:szCs w:val="20"/>
                    </w:rPr>
                  </w:pPr>
                </w:p>
                <w:p>
                  <w:pPr>
                    <w:pStyle w:val="BodyText"/>
                    <w:spacing w:line="240" w:lineRule="auto"/>
                    <w:ind w:left="0" w:right="498"/>
                    <w:jc w:val="right"/>
                  </w:pPr>
                  <w:r>
                    <w:rPr/>
                    <w:t>建立对投资者持续、</w:t>
                  </w:r>
                </w:p>
                <w:p>
                  <w:pPr>
                    <w:pStyle w:val="BodyText"/>
                    <w:spacing w:line="240" w:lineRule="auto" w:before="76"/>
                    <w:ind w:left="0" w:right="497"/>
                    <w:jc w:val="right"/>
                  </w:pPr>
                  <w:r>
                    <w:rPr/>
                    <w:t>、</w:t>
                  </w:r>
                </w:p>
              </w:txbxContent>
            </v:textbox>
            <w10:wrap type="none"/>
          </v:shape>
        </w:pict>
      </w:r>
      <w:r>
        <w:rPr/>
        <w:pict>
          <v:group style="position:absolute;margin-left:446.859985pt;margin-top:72.475983pt;width:27.85pt;height:686.5pt;mso-position-horizontal-relative:page;mso-position-vertical-relative:page;z-index:-1021768" coordorigin="8937,1450" coordsize="557,13730">
            <v:shape style="position:absolute;left:8937;top:1450;width:557;height:13730" coordorigin="8937,1450" coordsize="557,13730" path="m8937,15180l9494,15180,9494,1450,8937,1450,8937,15180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707"/>
        <w:gridCol w:w="710"/>
        <w:gridCol w:w="566"/>
        <w:gridCol w:w="5814"/>
        <w:gridCol w:w="566"/>
        <w:gridCol w:w="566"/>
        <w:gridCol w:w="636"/>
      </w:tblGrid>
      <w:tr>
        <w:trPr>
          <w:trHeight w:val="322" w:hRule="exact"/>
        </w:trPr>
        <w:tc>
          <w:tcPr>
            <w:tcW w:w="707" w:type="dxa"/>
            <w:vMerge w:val="restart"/>
            <w:tcBorders>
              <w:top w:val="single" w:sz="4" w:space="0" w:color="000000"/>
              <w:left w:val="single" w:sz="4" w:space="0" w:color="000000"/>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8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分配政策</w:t>
            </w:r>
            <w:r>
              <w:rPr>
                <w:rFonts w:ascii="Times New Roman" w:hAnsi="Times New Roman" w:cs="Times New Roman" w:eastAsia="Times New Roman" w:hint="default"/>
                <w:sz w:val="18"/>
                <w:szCs w:val="18"/>
              </w:rPr>
              <w:t>,</w:t>
            </w:r>
            <w:r>
              <w:rPr>
                <w:rFonts w:ascii="宋体" w:hAnsi="宋体" w:cs="宋体" w:eastAsia="宋体" w:hint="default"/>
                <w:sz w:val="18"/>
                <w:szCs w:val="18"/>
              </w:rPr>
              <w:t>注重对投资者回报</w:t>
            </w:r>
            <w:r>
              <w:rPr>
                <w:rFonts w:ascii="Times New Roman" w:hAnsi="Times New Roman" w:cs="Times New Roman" w:eastAsia="Times New Roman" w:hint="default"/>
                <w:sz w:val="18"/>
                <w:szCs w:val="18"/>
              </w:rPr>
              <w:t>,</w:t>
            </w:r>
            <w:r>
              <w:rPr>
                <w:rFonts w:ascii="宋体" w:hAnsi="宋体" w:cs="宋体" w:eastAsia="宋体" w:hint="default"/>
                <w:sz w:val="18"/>
                <w:szCs w:val="18"/>
              </w:rPr>
              <w:t>切实履行上市公司社会责任</w:t>
            </w:r>
            <w:r>
              <w:rPr>
                <w:rFonts w:ascii="Times New Roman" w:hAnsi="Times New Roman" w:cs="Times New Roman" w:eastAsia="Times New Roman" w:hint="default"/>
                <w:sz w:val="18"/>
                <w:szCs w:val="18"/>
              </w:rPr>
              <w:t>,</w:t>
            </w:r>
            <w:r>
              <w:rPr>
                <w:rFonts w:ascii="宋体" w:hAnsi="宋体" w:cs="宋体" w:eastAsia="宋体" w:hint="default"/>
                <w:sz w:val="18"/>
                <w:szCs w:val="18"/>
              </w:rPr>
              <w:t>严格按照《公司</w:t>
            </w: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w:t>
            </w:r>
            <w:r>
              <w:rPr>
                <w:rFonts w:ascii="宋体" w:hAnsi="宋体" w:cs="宋体" w:eastAsia="宋体" w:hint="default"/>
                <w:spacing w:val="-92"/>
                <w:sz w:val="18"/>
                <w:szCs w:val="18"/>
              </w:rPr>
              <w:t>》</w:t>
            </w:r>
            <w:r>
              <w:rPr>
                <w:rFonts w:ascii="宋体" w:hAnsi="宋体" w:cs="宋体" w:eastAsia="宋体" w:hint="default"/>
                <w:spacing w:val="-137"/>
                <w:sz w:val="18"/>
                <w:szCs w:val="18"/>
              </w:rPr>
              <w:t>、</w:t>
            </w:r>
            <w:r>
              <w:rPr>
                <w:rFonts w:ascii="宋体" w:hAnsi="宋体" w:cs="宋体" w:eastAsia="宋体" w:hint="default"/>
                <w:sz w:val="18"/>
                <w:szCs w:val="18"/>
              </w:rPr>
              <w:t>《证券法</w:t>
            </w:r>
            <w:r>
              <w:rPr>
                <w:rFonts w:ascii="宋体" w:hAnsi="宋体" w:cs="宋体" w:eastAsia="宋体" w:hint="default"/>
                <w:spacing w:val="-46"/>
                <w:sz w:val="18"/>
                <w:szCs w:val="18"/>
              </w:rPr>
              <w:t>》</w:t>
            </w:r>
            <w:r>
              <w:rPr>
                <w:rFonts w:ascii="宋体" w:hAnsi="宋体" w:cs="宋体" w:eastAsia="宋体" w:hint="default"/>
                <w:sz w:val="18"/>
                <w:szCs w:val="18"/>
              </w:rPr>
              <w:t>以及中国证监会</w:t>
            </w:r>
            <w:r>
              <w:rPr>
                <w:rFonts w:ascii="宋体" w:hAnsi="宋体" w:cs="宋体" w:eastAsia="宋体" w:hint="default"/>
                <w:spacing w:val="-46"/>
                <w:sz w:val="18"/>
                <w:szCs w:val="18"/>
              </w:rPr>
              <w:t>、</w:t>
            </w:r>
            <w:r>
              <w:rPr>
                <w:rFonts w:ascii="宋体" w:hAnsi="宋体" w:cs="宋体" w:eastAsia="宋体" w:hint="default"/>
                <w:sz w:val="18"/>
                <w:szCs w:val="18"/>
              </w:rPr>
              <w:t>证券交易所有关规定</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稳定、科学的回报机制。公司利润分配应注重对股东的合理投资回报并兼</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顾公司的持续发展</w:t>
            </w:r>
            <w:r>
              <w:rPr>
                <w:rFonts w:ascii="Times New Roman" w:hAnsi="Times New Roman" w:cs="Times New Roman" w:eastAsia="Times New Roman" w:hint="default"/>
                <w:sz w:val="18"/>
                <w:szCs w:val="18"/>
              </w:rPr>
              <w:t>,</w:t>
            </w:r>
            <w:r>
              <w:rPr>
                <w:rFonts w:ascii="宋体" w:hAnsi="宋体" w:cs="宋体" w:eastAsia="宋体" w:hint="default"/>
                <w:sz w:val="18"/>
                <w:szCs w:val="18"/>
              </w:rPr>
              <w:t>主要采取现金分红的方式进行</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利润分配政策应保持连</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续性和稳定性。公司当年未分配利润将用于生产经营或者留待以后年度进</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行分配。</w:t>
            </w:r>
            <w:r>
              <w:rPr>
                <w:rFonts w:ascii="Times New Roman" w:hAnsi="Times New Roman" w:cs="Times New Roman" w:eastAsia="Times New Roman" w:hint="default"/>
                <w:sz w:val="18"/>
                <w:szCs w:val="18"/>
              </w:rPr>
              <w:t>2</w:t>
            </w:r>
            <w:r>
              <w:rPr>
                <w:rFonts w:ascii="宋体" w:hAnsi="宋体" w:cs="宋体" w:eastAsia="宋体" w:hint="default"/>
                <w:sz w:val="18"/>
                <w:szCs w:val="18"/>
              </w:rPr>
              <w:t>、利润分配的形式和比例、发放股票股利的条件以及利润分配</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的期间间隔公司采用现金、股票、现金与股票相结合或者法律、法规允许</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的其他方式分配股利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并优先采用现金方式分配：公司每年以现金形式分配</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的利润不少于当年实现的可供分配利润的</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，且分配金额不低于按合并</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会计报表口径计算的当年实现的可分配利润的</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；在完成上述现金股利</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分配后，若公司未分配利润达到或超过股本的</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时，公司可实施股票股</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利分配，采用股票股利进行利润分配的，应当具有公司成长性、每股净资</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产的摊薄等真实合理因素；除上述年度股利分配外，公司可进行中期现金</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分红。公司发展阶段属成熟期且无重大资金支出安排的，进行利润分配时</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现金分红在该次利润分配中所占比例最低应达到</w:t>
            </w:r>
            <w:r>
              <w:rPr>
                <w:rFonts w:ascii="宋体" w:hAnsi="宋体" w:cs="宋体" w:eastAsia="宋体" w:hint="default"/>
                <w:spacing w:val="5"/>
                <w:sz w:val="18"/>
                <w:szCs w:val="18"/>
              </w:rPr>
              <w:t> </w:t>
            </w:r>
            <w:r>
              <w:rPr>
                <w:rFonts w:ascii="Times New Roman" w:hAnsi="Times New Roman" w:cs="Times New Roman" w:eastAsia="Times New Roman" w:hint="default"/>
                <w:spacing w:val="-6"/>
                <w:sz w:val="18"/>
                <w:szCs w:val="18"/>
              </w:rPr>
              <w:t>80%</w:t>
            </w:r>
            <w:r>
              <w:rPr>
                <w:rFonts w:ascii="宋体" w:hAnsi="宋体" w:cs="宋体" w:eastAsia="宋体" w:hint="default"/>
                <w:spacing w:val="-6"/>
                <w:sz w:val="18"/>
                <w:szCs w:val="18"/>
              </w:rPr>
              <w:t>；公司发展阶段属成</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熟期且有重大资金支出安排的，进行利润分配时，现金分红在该次利润分</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配中所占比例最低应达到</w:t>
            </w:r>
            <w:r>
              <w:rPr>
                <w:rFonts w:ascii="宋体" w:hAnsi="宋体" w:cs="宋体" w:eastAsia="宋体" w:hint="default"/>
                <w:spacing w:val="22"/>
                <w:sz w:val="18"/>
                <w:szCs w:val="18"/>
              </w:rPr>
              <w:t> </w:t>
            </w:r>
            <w:r>
              <w:rPr>
                <w:rFonts w:ascii="Times New Roman" w:hAnsi="Times New Roman" w:cs="Times New Roman" w:eastAsia="Times New Roman" w:hint="default"/>
                <w:spacing w:val="-4"/>
                <w:sz w:val="18"/>
                <w:szCs w:val="18"/>
              </w:rPr>
              <w:t>40%</w:t>
            </w:r>
            <w:r>
              <w:rPr>
                <w:rFonts w:ascii="宋体" w:hAnsi="宋体" w:cs="宋体" w:eastAsia="宋体" w:hint="default"/>
                <w:spacing w:val="-4"/>
                <w:sz w:val="18"/>
                <w:szCs w:val="18"/>
              </w:rPr>
              <w:t>；公司发展阶段属成长期或不易区分且有重</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大资金支出安排的，进行利润分配时，现金分红在该次利润分配中所占比</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例最低应达到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。本条所称</w:t>
            </w:r>
            <w:r>
              <w:rPr>
                <w:rFonts w:ascii="Times New Roman" w:hAnsi="Times New Roman" w:cs="Times New Roman" w:eastAsia="Times New Roman" w:hint="default"/>
                <w:sz w:val="18"/>
                <w:szCs w:val="18"/>
              </w:rPr>
              <w:t>“</w:t>
            </w:r>
            <w:r>
              <w:rPr>
                <w:rFonts w:ascii="宋体" w:hAnsi="宋体" w:cs="宋体" w:eastAsia="宋体" w:hint="default"/>
                <w:sz w:val="18"/>
                <w:szCs w:val="18"/>
              </w:rPr>
              <w:t>重大资金支出</w:t>
            </w:r>
            <w:r>
              <w:rPr>
                <w:rFonts w:ascii="Times New Roman" w:hAnsi="Times New Roman" w:cs="Times New Roman" w:eastAsia="Times New Roman" w:hint="default"/>
                <w:sz w:val="18"/>
                <w:szCs w:val="18"/>
              </w:rPr>
              <w:t>”</w:t>
            </w:r>
            <w:r>
              <w:rPr>
                <w:rFonts w:ascii="宋体" w:hAnsi="宋体" w:cs="宋体" w:eastAsia="宋体" w:hint="default"/>
                <w:sz w:val="18"/>
                <w:szCs w:val="18"/>
              </w:rPr>
              <w:t>指预计在未来一个会计年度</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一次性或累计资金支出超过 </w:t>
            </w:r>
            <w:r>
              <w:rPr>
                <w:rFonts w:ascii="Times New Roman" w:hAnsi="Times New Roman" w:cs="Times New Roman" w:eastAsia="Times New Roman" w:hint="default"/>
                <w:sz w:val="18"/>
                <w:szCs w:val="18"/>
              </w:rPr>
              <w:t>3,000 </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万元。公司董事会未作出现金分配预案</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的，应当在定期报告中披露原因及留存资金的具体用途，独立董事应当对</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此发表独立意见。</w:t>
            </w:r>
            <w:r>
              <w:rPr>
                <w:rFonts w:ascii="Times New Roman" w:hAnsi="Times New Roman" w:cs="Times New Roman" w:eastAsia="Times New Roman" w:hint="default"/>
                <w:sz w:val="18"/>
                <w:szCs w:val="18"/>
              </w:rPr>
              <w:t>3</w:t>
            </w:r>
            <w:r>
              <w:rPr>
                <w:rFonts w:ascii="宋体" w:hAnsi="宋体" w:cs="宋体" w:eastAsia="宋体" w:hint="default"/>
                <w:sz w:val="18"/>
                <w:szCs w:val="18"/>
              </w:rPr>
              <w:t>、股利分配的决策程序公司在每个会计年度结束后，</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由公司董事会提出公司及全资子公司的利润分配议案，董事会应当认真研</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究和论证公司现金分红的时机、条件、最低比例、调整的条件及其决策程</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序要求等事宜，独立董事可以征集中小股东的意见，提出分红提案，并直</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接提交董事会审议，公司董事会在利润分配方案论证过程中，需与独立董</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事充分讨论，董事会在考虑对全体股东持续、稳定、科学的回报基础上</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形成利润分配预案；在经公司二分之一以上独立董事同意后，方能提交公</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司董事会、监事会审议，并最终提交股东大会审议表决。涉及股利分配相</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关议案，公司独立董事可在股东大会召开前向公司社会公众股股东征集其</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在股东大会上的投票权，独立董事行使上述职权应当取得全体独立董事的</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二分之一以上同意；公司审议利润分配方案时，应为股东提供网络投票方</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w:t>
            </w:r>
            <w:r>
              <w:rPr>
                <w:rFonts w:ascii="Times New Roman" w:hAnsi="Times New Roman" w:cs="Times New Roman" w:eastAsia="Times New Roman" w:hint="default"/>
                <w:sz w:val="18"/>
                <w:szCs w:val="18"/>
              </w:rPr>
              <w:t>4</w:t>
            </w:r>
            <w:r>
              <w:rPr>
                <w:rFonts w:ascii="宋体" w:hAnsi="宋体" w:cs="宋体" w:eastAsia="宋体" w:hint="default"/>
                <w:sz w:val="18"/>
                <w:szCs w:val="18"/>
              </w:rPr>
              <w:t>、利润分配政策调整程序公司如需调整利润分配政策，调整后的利</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润分配政策不得违反中国证监会和证券交易所的有关规定；有关调整利润</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分配政策的议案需经二分之一以上独立董事同意后提交董事会、监事会和</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股东大会批准。公司审议利润分配政策变更事项时，应为股东提供网络投</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票方式</w:t>
            </w:r>
            <w:r>
              <w:rPr>
                <w:rFonts w:ascii="宋体" w:hAnsi="宋体" w:cs="宋体" w:eastAsia="宋体" w:hint="default"/>
                <w:spacing w:val="-92"/>
                <w:sz w:val="18"/>
                <w:szCs w:val="18"/>
              </w:rPr>
              <w:t>。</w:t>
            </w:r>
            <w:r>
              <w:rPr>
                <w:rFonts w:ascii="宋体" w:hAnsi="宋体" w:cs="宋体" w:eastAsia="宋体" w:hint="default"/>
                <w:sz w:val="18"/>
                <w:szCs w:val="18"/>
              </w:rPr>
              <w:t>（三）上市后未来三</w:t>
            </w:r>
            <w:r>
              <w:rPr>
                <w:rFonts w:ascii="宋体" w:hAnsi="宋体" w:cs="宋体" w:eastAsia="宋体" w:hint="default"/>
                <w:spacing w:val="2"/>
                <w:sz w:val="18"/>
                <w:szCs w:val="18"/>
              </w:rPr>
              <w:t>年</w:t>
            </w:r>
            <w:r>
              <w:rPr>
                <w:rFonts w:ascii="宋体" w:hAnsi="宋体" w:cs="宋体" w:eastAsia="宋体" w:hint="default"/>
                <w:sz w:val="18"/>
                <w:szCs w:val="18"/>
              </w:rPr>
              <w:t>股利分配规划为明确公司股东分红回报规</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划，进一步细化《公司章程</w:t>
            </w:r>
            <w:r>
              <w:rPr>
                <w:rFonts w:ascii="宋体" w:hAnsi="宋体" w:cs="宋体" w:eastAsia="宋体" w:hint="default"/>
                <w:spacing w:val="-92"/>
                <w:sz w:val="18"/>
                <w:szCs w:val="18"/>
              </w:rPr>
              <w:t>》</w:t>
            </w:r>
            <w:r>
              <w:rPr>
                <w:rFonts w:ascii="宋体" w:hAnsi="宋体" w:cs="宋体" w:eastAsia="宋体" w:hint="default"/>
                <w:sz w:val="18"/>
                <w:szCs w:val="18"/>
              </w:rPr>
              <w:t>（草案）中利润分配条款，公司</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东大会审议通过了《上市后未来三年股东分红回报规划》对上市后未来三</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年的股利分配进行了规划，具体内容如下：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、制定股东回报规划的考虑</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因素公司着眼于长远和可持续发展，综合考虑公司盈利情况、经营发展目</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标、股东回报、社会资金成本及外部融资环境等因素，</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稳定、科学的回报规划制度，以保证股利分配政策的连续性和稳定性。</w:t>
            </w:r>
            <w:r>
              <w:rPr>
                <w:rFonts w:ascii="Times New Roman" w:hAnsi="Times New Roman" w:cs="Times New Roman" w:eastAsia="Times New Roman" w:hint="default"/>
                <w:sz w:val="18"/>
                <w:szCs w:val="18"/>
              </w:rPr>
              <w:t>2</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制定股东回报规划的原则公司股东回报规划充分考虑和听取股东（特别是</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bl>
    <w:p>
      <w:pPr>
        <w:spacing w:after="0"/>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r>
        <w:rPr/>
        <w:pict>
          <v:shape style="position:absolute;margin-left:314.651001pt;margin-top:72.47998pt;width:160.050pt;height:298.5pt;mso-position-horizontal-relative:page;mso-position-vertical-relative:page;z-index:-1021744" type="#_x0000_t202" filled="false" stroked="false">
            <v:textbox inset="0,0,0,0">
              <w:txbxContent>
                <w:p>
                  <w:pPr>
                    <w:pStyle w:val="BodyText"/>
                    <w:spacing w:line="240" w:lineRule="auto" w:before="10"/>
                    <w:ind w:left="540" w:right="0" w:hanging="541"/>
                    <w:jc w:val="left"/>
                  </w:pPr>
                  <w:r>
                    <w:rPr/>
                    <w:t>坚持现金分红为主这一基本原则。</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6"/>
                      <w:szCs w:val="16"/>
                    </w:rPr>
                  </w:pPr>
                </w:p>
                <w:p>
                  <w:pPr>
                    <w:pStyle w:val="BodyText"/>
                    <w:spacing w:line="240" w:lineRule="auto"/>
                    <w:ind w:left="540" w:right="0"/>
                    <w:jc w:val="left"/>
                  </w:pPr>
                  <w:r>
                    <w:rPr/>
                    <w:t>发展阶段及当期资金需求，</w:t>
                  </w:r>
                </w:p>
              </w:txbxContent>
            </v:textbox>
            <w10:wrap type="none"/>
          </v:shape>
        </w:pict>
      </w:r>
      <w:r>
        <w:rPr/>
        <w:pict>
          <v:group style="position:absolute;margin-left:446.859985pt;margin-top:72.47998pt;width:27.85pt;height:691.1pt;mso-position-horizontal-relative:page;mso-position-vertical-relative:page;z-index:-1021720" coordorigin="8937,1450" coordsize="557,13822">
            <v:group style="position:absolute;left:8937;top:1450;width:557;height:5970" coordorigin="8937,1450" coordsize="557,5970">
              <v:shape style="position:absolute;left:8937;top:1450;width:557;height:5970" coordorigin="8937,1450" coordsize="557,5970" path="m8937,7419l9494,7419,9494,1450,8937,1450,8937,7419xe" filled="true" fillcolor="#ffffff" stroked="false">
                <v:path arrowok="t"/>
                <v:fill type="solid"/>
              </v:shape>
            </v:group>
            <v:group style="position:absolute;left:8937;top:7429;width:557;height:7842" coordorigin="8937,7429" coordsize="557,7842">
              <v:shape style="position:absolute;left:8937;top:7429;width:557;height:7842" coordorigin="8937,7429" coordsize="557,7842" path="m8937,15271l9494,15271,9494,7429,8937,7429,8937,15271xe" filled="true" fillcolor="#ffffff" stroked="false">
                <v:path arrowok="t"/>
                <v:fill type="solid"/>
              </v:shape>
            </v:group>
            <v:group style="position:absolute;left:8961;top:10686;width:512;height:351" coordorigin="8961,10686" coordsize="512,351">
              <v:shape style="position:absolute;left:8961;top:10686;width:512;height:351" coordorigin="8961,10686" coordsize="512,351" path="m8961,11037l9472,11037,9472,10686,8961,10686,8961,11037xe" filled="true" fillcolor="#ffffff" stroked="false">
                <v:path arrowok="t"/>
                <v:fill type="solid"/>
              </v:shape>
            </v:group>
            <v:group style="position:absolute;left:8961;top:11037;width:512;height:312" coordorigin="8961,11037" coordsize="512,312">
              <v:shape style="position:absolute;left:8961;top:11037;width:512;height:312" coordorigin="8961,11037" coordsize="512,312" path="m8961,11349l9472,11349,9472,11037,8961,11037,8961,11349xe" filled="true" fillcolor="#ffffff" stroked="false">
                <v:path arrowok="t"/>
                <v:fill type="solid"/>
              </v:shape>
            </v:group>
            <v:group style="position:absolute;left:8961;top:11349;width:512;height:312" coordorigin="8961,11349" coordsize="512,312">
              <v:shape style="position:absolute;left:8961;top:11349;width:512;height:312" coordorigin="8961,11349" coordsize="512,312" path="m8961,11661l9472,11661,9472,11349,8961,11349,8961,11661xe" filled="true" fillcolor="#ffffff" stroked="false">
                <v:path arrowok="t"/>
                <v:fill type="solid"/>
              </v:shape>
            </v:group>
            <v:group style="position:absolute;left:8961;top:11661;width:512;height:353" coordorigin="8961,11661" coordsize="512,353">
              <v:shape style="position:absolute;left:8961;top:11661;width:512;height:353" coordorigin="8961,11661" coordsize="512,353" path="m8961,12013l9472,12013,9472,11661,8961,11661,8961,1201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707"/>
        <w:gridCol w:w="710"/>
        <w:gridCol w:w="566"/>
        <w:gridCol w:w="5814"/>
        <w:gridCol w:w="566"/>
        <w:gridCol w:w="566"/>
        <w:gridCol w:w="636"/>
      </w:tblGrid>
      <w:tr>
        <w:trPr>
          <w:trHeight w:val="5979" w:hRule="exact"/>
        </w:trPr>
        <w:tc>
          <w:tcPr>
            <w:tcW w:w="707" w:type="dxa"/>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17"/>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公众投资者）、独立董事和监事的意见，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、股东回报规划审阅与修改程序公司至少每三年重新审阅一次《股东分 </w:t>
            </w:r>
            <w:r>
              <w:rPr>
                <w:rFonts w:ascii="宋体" w:hAnsi="宋体" w:cs="宋体" w:eastAsia="宋体" w:hint="default"/>
                <w:spacing w:val="-6"/>
                <w:sz w:val="18"/>
                <w:szCs w:val="18"/>
              </w:rPr>
              <w:t>红回报规划》，结合股东（特别是公众投资者）、独立董事和监事的意见对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公司正在实施的股利分配政策作出适当且必要的修改，确定该时段的股东</w:t>
            </w:r>
            <w:r>
              <w:rPr>
                <w:rFonts w:ascii="宋体" w:hAnsi="宋体" w:cs="宋体" w:eastAsia="宋体" w:hint="default"/>
                <w:sz w:val="18"/>
                <w:szCs w:val="18"/>
              </w:rPr>
              <w:t> 分红回报计划，但公司保证调整后的股东分红回报计划不得违反公司章程 确定的利润分配政策。</w:t>
            </w:r>
            <w:r>
              <w:rPr>
                <w:rFonts w:ascii="Times New Roman" w:hAnsi="Times New Roman" w:cs="Times New Roman" w:eastAsia="Times New Roman" w:hint="default"/>
                <w:sz w:val="18"/>
                <w:szCs w:val="18"/>
              </w:rPr>
              <w:t>4</w:t>
            </w:r>
            <w:r>
              <w:rPr>
                <w:rFonts w:ascii="宋体" w:hAnsi="宋体" w:cs="宋体" w:eastAsia="宋体" w:hint="default"/>
                <w:sz w:val="18"/>
                <w:szCs w:val="18"/>
              </w:rPr>
              <w:t>、上市后三年股东分红回报计划公司利润分配可 采取现金、股票、现金与股票相结合或者法律、法规允许的其他方式。公 司盈利年度在满足正常生产经营和重大投资的资金需求情况下，公司应当 采取现金方式分配股利，以现金方式分配的利润不少于当年实现的可供分 配利润的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、利润分配方案的制定及执行公司董事会结合具体经营 </w:t>
            </w:r>
            <w:r>
              <w:rPr>
                <w:rFonts w:ascii="宋体" w:hAnsi="宋体" w:cs="宋体" w:eastAsia="宋体" w:hint="default"/>
                <w:spacing w:val="-4"/>
                <w:sz w:val="18"/>
                <w:szCs w:val="18"/>
              </w:rPr>
              <w:t>数据，充分考虑公司盈利规模、现金流量状况、</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并结合股东（特别是公众投资者）、独立董事和监事的意见，制定年度或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中期分红方案，并经公司股东大会表决通过后实施。在制定现金分红具体</w:t>
            </w:r>
            <w:r>
              <w:rPr>
                <w:rFonts w:ascii="宋体" w:hAnsi="宋体" w:cs="宋体" w:eastAsia="宋体" w:hint="default"/>
                <w:sz w:val="18"/>
                <w:szCs w:val="18"/>
              </w:rPr>
              <w:t> 方案时，董事会应当认真研究和论证公司现金分红的时机、条件、最低比 例、调整的条件及其决策程序要求等事宜，独立董事应当发表明确意见。 独立董事可以征集中小股东的意见，提出分红提案，并直接提交董事会审 议。股东大会对现金分红具体方案进行审议前，应当通过多种渠道主动与 股东特别是中小股东进行沟通和交流，充分听取中小股东的意见和诉求， 及时答复中小股东关心的问题。</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707"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6" w:lineRule="auto"/>
              <w:ind w:left="26" w:right="132"/>
              <w:jc w:val="both"/>
              <w:rPr>
                <w:rFonts w:ascii="宋体" w:hAnsi="宋体" w:cs="宋体" w:eastAsia="宋体" w:hint="default"/>
                <w:sz w:val="18"/>
                <w:szCs w:val="18"/>
              </w:rPr>
            </w:pPr>
            <w:r>
              <w:rPr>
                <w:rFonts w:ascii="宋体" w:hAnsi="宋体" w:cs="宋体" w:eastAsia="宋体" w:hint="default"/>
                <w:sz w:val="18"/>
                <w:szCs w:val="18"/>
              </w:rPr>
              <w:t>深圳市 远致投 资有限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（一）关于避免同业竞争的承诺为避免未来可能发生的同业竞争，公司控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股股东远致投资向本公司出具《关于避免同业竞争的承诺函》，向本公司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做出如下承诺：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、在本承诺函签署之日，本企业不存在且不从事任何与 建科院及其子公司主营业务相同、相似或构成竞争的业务，也未直接或间 接经营任何与建科院及其子公司的主营业务相同、相似或构成竞争的业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、自本承诺函签署之日起，本企业将不以任何方式从事，包括与他 人合作直接或间接从事与建科院及其子公司相同、相似或在任何方面构成 竞争的业务；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、自本承诺函签署之日起，本企业将尽一切可能之努力使 本企业其他关联企业不从事与建科院及其子公司相同、相似或在任何方面 构成竞争的业务；</w:t>
            </w:r>
            <w:r>
              <w:rPr>
                <w:rFonts w:ascii="Times New Roman" w:hAnsi="Times New Roman" w:cs="Times New Roman" w:eastAsia="Times New Roman" w:hint="default"/>
                <w:sz w:val="18"/>
                <w:szCs w:val="18"/>
              </w:rPr>
              <w:t>4</w:t>
            </w:r>
            <w:r>
              <w:rPr>
                <w:rFonts w:ascii="宋体" w:hAnsi="宋体" w:cs="宋体" w:eastAsia="宋体" w:hint="default"/>
                <w:sz w:val="18"/>
                <w:szCs w:val="18"/>
              </w:rPr>
              <w:t>、自本承诺函签署之日起，本企业不投资控股于业务 与建科院及其子公司相同、相似或在任何方面构成竞争的公司、企业或其 他机构、组织；</w:t>
            </w:r>
            <w:r>
              <w:rPr>
                <w:rFonts w:ascii="Times New Roman" w:hAnsi="Times New Roman" w:cs="Times New Roman" w:eastAsia="Times New Roman" w:hint="default"/>
                <w:sz w:val="18"/>
                <w:szCs w:val="18"/>
              </w:rPr>
              <w:t>5</w:t>
            </w:r>
            <w:r>
              <w:rPr>
                <w:rFonts w:ascii="宋体" w:hAnsi="宋体" w:cs="宋体" w:eastAsia="宋体" w:hint="default"/>
                <w:sz w:val="18"/>
                <w:szCs w:val="18"/>
              </w:rPr>
              <w:t>、自本承诺函签署之日起，本企业不向其他业务与建科 </w:t>
            </w:r>
            <w:r>
              <w:rPr>
                <w:rFonts w:ascii="宋体" w:hAnsi="宋体" w:cs="宋体" w:eastAsia="宋体" w:hint="default"/>
                <w:spacing w:val="-4"/>
                <w:sz w:val="18"/>
                <w:szCs w:val="18"/>
              </w:rPr>
              <w:t>院及其子公司相同、相似或在任何方面构成竞争的公司、企业或其他机构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组织或个人提供专有技术或提供销售渠道、客户信息等商业秘密；</w:t>
            </w:r>
            <w:r>
              <w:rPr>
                <w:rFonts w:ascii="Times New Roman" w:hAnsi="Times New Roman" w:cs="Times New Roman" w:eastAsia="Times New Roman" w:hint="default"/>
                <w:sz w:val="18"/>
                <w:szCs w:val="18"/>
              </w:rPr>
              <w:t>6</w:t>
            </w:r>
            <w:r>
              <w:rPr>
                <w:rFonts w:ascii="宋体" w:hAnsi="宋体" w:cs="宋体" w:eastAsia="宋体" w:hint="default"/>
                <w:sz w:val="18"/>
                <w:szCs w:val="18"/>
              </w:rPr>
              <w:t>、自 本承诺函签署之日起，如果未来本企业拟从事的业务可能与建科院及其子 公司存在同业竞争，将本着建科院及其子公司优先的原则与建科院协商解 决；</w:t>
            </w:r>
            <w:r>
              <w:rPr>
                <w:rFonts w:ascii="Times New Roman" w:hAnsi="Times New Roman" w:cs="Times New Roman" w:eastAsia="Times New Roman" w:hint="default"/>
                <w:sz w:val="18"/>
                <w:szCs w:val="18"/>
              </w:rPr>
              <w:t>7</w:t>
            </w:r>
            <w:r>
              <w:rPr>
                <w:rFonts w:ascii="宋体" w:hAnsi="宋体" w:cs="宋体" w:eastAsia="宋体" w:hint="default"/>
                <w:sz w:val="18"/>
                <w:szCs w:val="18"/>
              </w:rPr>
              <w:t>、不利用建科院的控股股东的地位直接或通过本企业控制的其他企 业以借款、代偿债务、代垫款项或者其他方式占用建科院资金；若因建科 院与本企业控制的其他企业之间的资金往来致使建科院遭受任何责任或 处罚，或因此给建科院造成任何损失的，均由本企业承担全部责任；</w:t>
            </w:r>
            <w:r>
              <w:rPr>
                <w:rFonts w:ascii="Times New Roman" w:hAnsi="Times New Roman" w:cs="Times New Roman" w:eastAsia="Times New Roman" w:hint="default"/>
                <w:sz w:val="18"/>
                <w:szCs w:val="18"/>
              </w:rPr>
              <w:t>8</w:t>
            </w:r>
            <w:r>
              <w:rPr>
                <w:rFonts w:ascii="宋体" w:hAnsi="宋体" w:cs="宋体" w:eastAsia="宋体" w:hint="default"/>
                <w:sz w:val="18"/>
                <w:szCs w:val="18"/>
              </w:rPr>
              <w:t>、 在本企业作为建科院股东或关联方期间，本承诺函为有效之承诺。如上述 承诺被证明是不真实或未被遵守，本企业将向建科院赔偿一切直接和间接 </w:t>
            </w:r>
            <w:r>
              <w:rPr>
                <w:rFonts w:ascii="宋体" w:hAnsi="宋体" w:cs="宋体" w:eastAsia="宋体" w:hint="default"/>
                <w:spacing w:val="-3"/>
                <w:sz w:val="18"/>
                <w:szCs w:val="18"/>
              </w:rPr>
              <w:t>损失，并承担相应的法律责任。（二）规范和减少关联交易的措施公司根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据《公司法》等法律、法规的规定建立了规范、健全的法人治理结构，公</w:t>
            </w:r>
            <w:r>
              <w:rPr>
                <w:rFonts w:ascii="宋体" w:hAnsi="宋体" w:cs="宋体" w:eastAsia="宋体" w:hint="default"/>
                <w:sz w:val="18"/>
                <w:szCs w:val="18"/>
              </w:rPr>
              <w:t> </w:t>
            </w:r>
            <w:r>
              <w:rPr>
                <w:rFonts w:ascii="宋体" w:hAnsi="宋体" w:cs="宋体" w:eastAsia="宋体" w:hint="default"/>
                <w:spacing w:val="-16"/>
                <w:sz w:val="18"/>
                <w:szCs w:val="18"/>
              </w:rPr>
              <w:t>司制定的《公司章程》、《股东大会议事规则》、《董事会议事规则》、《独立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13" w:lineRule="exact"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149"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2-31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4"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07"/>
        <w:gridCol w:w="710"/>
        <w:gridCol w:w="566"/>
        <w:gridCol w:w="5814"/>
        <w:gridCol w:w="566"/>
        <w:gridCol w:w="566"/>
        <w:gridCol w:w="636"/>
      </w:tblGrid>
      <w:tr>
        <w:trPr>
          <w:trHeight w:val="5667" w:hRule="exact"/>
        </w:trPr>
        <w:tc>
          <w:tcPr>
            <w:tcW w:w="707" w:type="dxa"/>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2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董事工作制度》、《关联交易管理制度》等规章制度，对关联交易的决策权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限、决策程序及信息披露进行了详细的规定，有利于公司规范和减少关联</w:t>
            </w:r>
            <w:r>
              <w:rPr>
                <w:rFonts w:ascii="宋体" w:hAnsi="宋体" w:cs="宋体" w:eastAsia="宋体" w:hint="default"/>
                <w:sz w:val="18"/>
                <w:szCs w:val="18"/>
              </w:rPr>
              <w:t> 交易，保证关联交易的公平、公开、公正。此外，本公司控股股东远致投 </w:t>
            </w:r>
            <w:r>
              <w:rPr>
                <w:rFonts w:ascii="宋体" w:hAnsi="宋体" w:cs="宋体" w:eastAsia="宋体" w:hint="default"/>
                <w:spacing w:val="-6"/>
                <w:sz w:val="18"/>
                <w:szCs w:val="18"/>
              </w:rPr>
              <w:t>资已向本公司出具《关于规范关联交易的承诺函》，承诺：</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、截至本承诺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函出具之日，除已经披露的情形外，本公司及本公司控制的企业与建科院</w:t>
            </w:r>
            <w:r>
              <w:rPr>
                <w:rFonts w:ascii="宋体" w:hAnsi="宋体" w:cs="宋体" w:eastAsia="宋体" w:hint="default"/>
                <w:sz w:val="18"/>
                <w:szCs w:val="18"/>
              </w:rPr>
              <w:t> 之间不存在其他关联交易。本公司将善意履行作为建科院控股股东的义 务，不利用控股股东地位影响建科院的独立性、故意促使建科院对与本公 司及本公司控制的其他企业的任何关联交易采取任何行动、故意促使建科 院的股东大会或董事会做出侵犯其他股东合法权益的决议。如果建科院必 须与本公司及本公司控制的其他企业发生任何关联交易，则本公司承诺将 促使上述交易按照公平合理和正常商业交易的条件进行，本公司及本公司 控制的其他企业将不会要求或接受建科院给予比在任何一项市场公平交 易中第三者更优惠的条件。</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、本公司及本公司控制的其他企业将严格和 善意地履行与建科院签订的各种关联交易协议。本公司承诺将不会向建科 院谋求任何超出上述协议规定以外的利益或收益。</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、本公司对上述承诺 的真实性及合法性负全部法律责任，如果本公司及本公司控制的其他企业 违反上述声明、保证与承诺，并造成建科院经济损失的，本公司同意赔偿 </w:t>
            </w:r>
            <w:r>
              <w:rPr>
                <w:rFonts w:ascii="宋体" w:hAnsi="宋体" w:cs="宋体" w:eastAsia="宋体" w:hint="default"/>
                <w:spacing w:val="-8"/>
                <w:sz w:val="18"/>
                <w:szCs w:val="18"/>
              </w:rPr>
              <w:t>相应的损失。</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、本承诺将持续有效，直至本公司不再作为建科院的股东。</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707"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04" w:lineRule="auto"/>
              <w:ind w:left="26" w:right="33"/>
              <w:jc w:val="left"/>
              <w:rPr>
                <w:rFonts w:ascii="宋体" w:hAnsi="宋体" w:cs="宋体" w:eastAsia="宋体" w:hint="default"/>
                <w:sz w:val="18"/>
                <w:szCs w:val="18"/>
              </w:rPr>
            </w:pPr>
            <w:r>
              <w:rPr>
                <w:rFonts w:ascii="宋体" w:hAnsi="宋体" w:cs="宋体" w:eastAsia="宋体" w:hint="default"/>
                <w:sz w:val="18"/>
                <w:szCs w:val="18"/>
              </w:rPr>
              <w:t>曹翔</w:t>
            </w:r>
            <w:r>
              <w:rPr>
                <w:rFonts w:ascii="Times New Roman" w:hAnsi="Times New Roman" w:cs="Times New Roman" w:eastAsia="Times New Roman" w:hint="default"/>
                <w:sz w:val="18"/>
                <w:szCs w:val="18"/>
              </w:rPr>
              <w:t>;</w:t>
            </w:r>
            <w:r>
              <w:rPr>
                <w:rFonts w:ascii="宋体" w:hAnsi="宋体" w:cs="宋体" w:eastAsia="宋体" w:hint="default"/>
                <w:sz w:val="18"/>
                <w:szCs w:val="18"/>
              </w:rPr>
              <w:t>陈 泽广</w:t>
            </w:r>
            <w:r>
              <w:rPr>
                <w:rFonts w:ascii="Times New Roman" w:hAnsi="Times New Roman" w:cs="Times New Roman" w:eastAsia="Times New Roman" w:hint="default"/>
                <w:sz w:val="18"/>
                <w:szCs w:val="18"/>
              </w:rPr>
              <w:t>;</w:t>
            </w:r>
            <w:r>
              <w:rPr>
                <w:rFonts w:ascii="宋体" w:hAnsi="宋体" w:cs="宋体" w:eastAsia="宋体" w:hint="default"/>
                <w:sz w:val="18"/>
                <w:szCs w:val="18"/>
              </w:rPr>
              <w:t>蓝 虹</w:t>
            </w:r>
            <w:r>
              <w:rPr>
                <w:rFonts w:ascii="Times New Roman" w:hAnsi="Times New Roman" w:cs="Times New Roman" w:eastAsia="Times New Roman" w:hint="default"/>
                <w:sz w:val="18"/>
                <w:szCs w:val="18"/>
              </w:rPr>
              <w:t>;</w:t>
            </w:r>
            <w:r>
              <w:rPr>
                <w:rFonts w:ascii="宋体" w:hAnsi="宋体" w:cs="宋体" w:eastAsia="宋体" w:hint="default"/>
                <w:sz w:val="18"/>
                <w:szCs w:val="18"/>
              </w:rPr>
              <w:t>林晓 春</w:t>
            </w:r>
            <w:r>
              <w:rPr>
                <w:rFonts w:ascii="Times New Roman" w:hAnsi="Times New Roman" w:cs="Times New Roman" w:eastAsia="Times New Roman" w:hint="default"/>
                <w:sz w:val="18"/>
                <w:szCs w:val="18"/>
              </w:rPr>
              <w:t>;</w:t>
            </w:r>
            <w:r>
              <w:rPr>
                <w:rFonts w:ascii="宋体" w:hAnsi="宋体" w:cs="宋体" w:eastAsia="宋体" w:hint="default"/>
                <w:sz w:val="18"/>
                <w:szCs w:val="18"/>
              </w:rPr>
              <w:t>刘俊 跃</w:t>
            </w:r>
            <w:r>
              <w:rPr>
                <w:rFonts w:ascii="Times New Roman" w:hAnsi="Times New Roman" w:cs="Times New Roman" w:eastAsia="Times New Roman" w:hint="default"/>
                <w:sz w:val="18"/>
                <w:szCs w:val="18"/>
              </w:rPr>
              <w:t>;</w:t>
            </w:r>
            <w:r>
              <w:rPr>
                <w:rFonts w:ascii="宋体" w:hAnsi="宋体" w:cs="宋体" w:eastAsia="宋体" w:hint="default"/>
                <w:sz w:val="18"/>
                <w:szCs w:val="18"/>
              </w:rPr>
              <w:t>刘丽</w:t>
            </w:r>
            <w:r>
              <w:rPr>
                <w:rFonts w:ascii="Times New Roman" w:hAnsi="Times New Roman" w:cs="Times New Roman" w:eastAsia="Times New Roman" w:hint="default"/>
                <w:sz w:val="18"/>
                <w:szCs w:val="18"/>
              </w:rPr>
              <w:t>; </w:t>
            </w:r>
            <w:r>
              <w:rPr>
                <w:rFonts w:ascii="宋体" w:hAnsi="宋体" w:cs="宋体" w:eastAsia="宋体" w:hint="default"/>
                <w:sz w:val="18"/>
                <w:szCs w:val="18"/>
              </w:rPr>
              <w:t>毛洪伟</w:t>
            </w:r>
            <w:r>
              <w:rPr>
                <w:rFonts w:ascii="Times New Roman" w:hAnsi="Times New Roman" w:cs="Times New Roman" w:eastAsia="Times New Roman" w:hint="default"/>
                <w:sz w:val="18"/>
                <w:szCs w:val="18"/>
              </w:rPr>
              <w:t>; </w:t>
            </w:r>
            <w:r>
              <w:rPr>
                <w:rFonts w:ascii="宋体" w:hAnsi="宋体" w:cs="宋体" w:eastAsia="宋体" w:hint="default"/>
                <w:sz w:val="18"/>
                <w:szCs w:val="18"/>
              </w:rPr>
              <w:t>莫福光</w:t>
            </w:r>
            <w:r>
              <w:rPr>
                <w:rFonts w:ascii="Times New Roman" w:hAnsi="Times New Roman" w:cs="Times New Roman" w:eastAsia="Times New Roman" w:hint="default"/>
                <w:sz w:val="18"/>
                <w:szCs w:val="18"/>
              </w:rPr>
              <w:t>; </w:t>
            </w:r>
            <w:r>
              <w:rPr>
                <w:rFonts w:ascii="宋体" w:hAnsi="宋体" w:cs="宋体" w:eastAsia="宋体" w:hint="default"/>
                <w:sz w:val="18"/>
                <w:szCs w:val="18"/>
              </w:rPr>
              <w:t>邵顺昌</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深圳市 建筑科 学研究 院股份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市远致 投资有 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沈武</w:t>
            </w:r>
            <w:r>
              <w:rPr>
                <w:rFonts w:ascii="Times New Roman" w:hAnsi="Times New Roman" w:cs="Times New Roman" w:eastAsia="Times New Roman" w:hint="default"/>
                <w:sz w:val="18"/>
                <w:szCs w:val="18"/>
              </w:rPr>
              <w:t>;</w:t>
            </w:r>
            <w:r>
              <w:rPr>
                <w:rFonts w:ascii="宋体" w:hAnsi="宋体" w:cs="宋体" w:eastAsia="宋体" w:hint="default"/>
                <w:sz w:val="18"/>
                <w:szCs w:val="18"/>
              </w:rPr>
              <w:t>吴 硕贤</w:t>
            </w:r>
            <w:r>
              <w:rPr>
                <w:rFonts w:ascii="Times New Roman" w:hAnsi="Times New Roman" w:cs="Times New Roman" w:eastAsia="Times New Roman" w:hint="default"/>
                <w:sz w:val="18"/>
                <w:szCs w:val="18"/>
              </w:rPr>
              <w:t>;</w:t>
            </w:r>
            <w:r>
              <w:rPr>
                <w:rFonts w:ascii="宋体" w:hAnsi="宋体" w:cs="宋体" w:eastAsia="宋体" w:hint="default"/>
                <w:sz w:val="18"/>
                <w:szCs w:val="18"/>
              </w:rPr>
              <w:t>姚 培</w:t>
            </w:r>
            <w:r>
              <w:rPr>
                <w:rFonts w:ascii="Times New Roman" w:hAnsi="Times New Roman" w:cs="Times New Roman" w:eastAsia="Times New Roman" w:hint="default"/>
                <w:sz w:val="18"/>
                <w:szCs w:val="18"/>
              </w:rPr>
              <w:t>;</w:t>
            </w:r>
            <w:r>
              <w:rPr>
                <w:rFonts w:ascii="宋体" w:hAnsi="宋体" w:cs="宋体" w:eastAsia="宋体" w:hint="default"/>
                <w:sz w:val="18"/>
                <w:szCs w:val="18"/>
              </w:rPr>
              <w:t>叶青</w:t>
            </w:r>
            <w:r>
              <w:rPr>
                <w:rFonts w:ascii="Times New Roman" w:hAnsi="Times New Roman" w:cs="Times New Roman" w:eastAsia="Times New Roman" w:hint="default"/>
                <w:sz w:val="18"/>
                <w:szCs w:val="18"/>
              </w:rPr>
              <w:t>; </w:t>
            </w:r>
            <w:r>
              <w:rPr>
                <w:rFonts w:ascii="宋体" w:hAnsi="宋体" w:cs="宋体" w:eastAsia="宋体" w:hint="default"/>
                <w:sz w:val="18"/>
                <w:szCs w:val="18"/>
              </w:rPr>
              <w:t>余庆</w:t>
            </w:r>
            <w:r>
              <w:rPr>
                <w:rFonts w:ascii="Times New Roman" w:hAnsi="Times New Roman" w:cs="Times New Roman" w:eastAsia="Times New Roman" w:hint="default"/>
                <w:sz w:val="18"/>
                <w:szCs w:val="18"/>
              </w:rPr>
              <w:t>;</w:t>
            </w:r>
            <w:r>
              <w:rPr>
                <w:rFonts w:ascii="宋体" w:hAnsi="宋体" w:cs="宋体" w:eastAsia="宋体" w:hint="default"/>
                <w:sz w:val="18"/>
                <w:szCs w:val="18"/>
              </w:rPr>
              <w:t>詹 辉轮</w:t>
            </w:r>
            <w:r>
              <w:rPr>
                <w:rFonts w:ascii="Times New Roman" w:hAnsi="Times New Roman" w:cs="Times New Roman" w:eastAsia="Times New Roman" w:hint="default"/>
                <w:sz w:val="18"/>
                <w:szCs w:val="18"/>
              </w:rPr>
              <w:t>;</w:t>
            </w:r>
            <w:r>
              <w:rPr>
                <w:rFonts w:ascii="宋体" w:hAnsi="宋体" w:cs="宋体" w:eastAsia="宋体" w:hint="default"/>
                <w:sz w:val="18"/>
                <w:szCs w:val="18"/>
              </w:rPr>
              <w:t>郑 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w:t>
            </w:r>
          </w:p>
          <w:p>
            <w:pPr>
              <w:pStyle w:val="TableParagraph"/>
              <w:spacing w:line="316" w:lineRule="auto" w:before="60"/>
              <w:ind w:left="23" w:right="170"/>
              <w:jc w:val="both"/>
              <w:rPr>
                <w:rFonts w:ascii="宋体" w:hAnsi="宋体" w:cs="宋体" w:eastAsia="宋体" w:hint="default"/>
                <w:sz w:val="18"/>
                <w:szCs w:val="18"/>
              </w:rPr>
            </w:pPr>
            <w:r>
              <w:rPr>
                <w:rFonts w:ascii="宋体" w:hAnsi="宋体" w:cs="宋体" w:eastAsia="宋体" w:hint="default"/>
                <w:sz w:val="18"/>
                <w:szCs w:val="18"/>
              </w:rPr>
              <w:t>定股 价承 诺</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（一）稳定股价预案的启动条件公司上市后三年内，如果公司股票收盘价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连续二十个交易日低于上一会计年度经审计的每股净资产（因利润分配、 资本公积金转增股本、增发、配股等除权除息事项导致公司净资产或股份</w:t>
            </w:r>
            <w:r>
              <w:rPr>
                <w:rFonts w:ascii="宋体" w:hAnsi="宋体" w:cs="宋体" w:eastAsia="宋体" w:hint="default"/>
                <w:sz w:val="18"/>
                <w:szCs w:val="18"/>
              </w:rPr>
              <w:t> </w:t>
            </w:r>
            <w:r>
              <w:rPr>
                <w:rFonts w:ascii="宋体" w:hAnsi="宋体" w:cs="宋体" w:eastAsia="宋体" w:hint="default"/>
                <w:spacing w:val="-3"/>
                <w:sz w:val="18"/>
                <w:szCs w:val="18"/>
              </w:rPr>
              <w:t>总数发生变化的，每股净资产进行相应调整，下同），即触及启动稳定股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价预案的条件，公司应在发生上述情形的最后一个交易日起十个交易日 内，严格按照《公司股票上市后三年内公司股价稳定预案》的规定启动稳</w:t>
            </w:r>
            <w:r>
              <w:rPr>
                <w:rFonts w:ascii="宋体" w:hAnsi="宋体" w:cs="宋体" w:eastAsia="宋体" w:hint="default"/>
                <w:sz w:val="18"/>
                <w:szCs w:val="18"/>
              </w:rPr>
              <w:t> 定股价措施，向社会公众股东回购股票。由公司董事会制定具体实施方案 </w:t>
            </w:r>
            <w:r>
              <w:rPr>
                <w:rFonts w:ascii="宋体" w:hAnsi="宋体" w:cs="宋体" w:eastAsia="宋体" w:hint="default"/>
                <w:spacing w:val="-3"/>
                <w:sz w:val="18"/>
                <w:szCs w:val="18"/>
              </w:rPr>
              <w:t>并提前三个交易日公告。（二）稳定股价具体措施公司稳定股价的具体措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施为：本公司回购公司股票，公司控股股东增持公司股票，公司董事和高</w:t>
            </w:r>
            <w:r>
              <w:rPr>
                <w:rFonts w:ascii="宋体" w:hAnsi="宋体" w:cs="宋体" w:eastAsia="宋体" w:hint="default"/>
                <w:sz w:val="18"/>
                <w:szCs w:val="18"/>
              </w:rPr>
              <w:t> 级管理人员增持公司股票。股价稳定措施的实施顺序如下：</w:t>
            </w:r>
            <w:r>
              <w:rPr>
                <w:rFonts w:ascii="Times New Roman" w:hAnsi="Times New Roman" w:cs="Times New Roman" w:eastAsia="Times New Roman" w:hint="default"/>
                <w:sz w:val="18"/>
                <w:szCs w:val="18"/>
              </w:rPr>
              <w:t>1</w:t>
            </w:r>
            <w:r>
              <w:rPr>
                <w:rFonts w:ascii="宋体" w:hAnsi="宋体" w:cs="宋体" w:eastAsia="宋体" w:hint="default"/>
                <w:sz w:val="18"/>
                <w:szCs w:val="18"/>
              </w:rPr>
              <w:t>、第一选择 为公司回购股票，但如公司回购股票将导致公司不满足法定上市条件，则 第一选择为控股股东增持公司股票。公司为稳定股价之目的回购股份，应 </w:t>
            </w:r>
            <w:r>
              <w:rPr>
                <w:rFonts w:ascii="宋体" w:hAnsi="宋体" w:cs="宋体" w:eastAsia="宋体" w:hint="default"/>
                <w:spacing w:val="-3"/>
                <w:sz w:val="18"/>
                <w:szCs w:val="18"/>
              </w:rPr>
              <w:t>符合《上市公司回购社会公众股份管理办法（试行）》等相关法律、法规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的规定。公司以要约方式回购股份的，回购股份价格区间参考公司上一会</w:t>
            </w:r>
            <w:r>
              <w:rPr>
                <w:rFonts w:ascii="宋体" w:hAnsi="宋体" w:cs="宋体" w:eastAsia="宋体" w:hint="default"/>
                <w:sz w:val="18"/>
                <w:szCs w:val="18"/>
              </w:rPr>
              <w:t> 计年度末经审计的每股净资产并结合公司当时的财务状况和经营状况决 定。公司实施稳定股价议案时，拟用于回购资金应为自筹资金。单次回购 的公司股份数量不超过公司总股本的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。并且，公司单次回购总金额不 少于人民币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万元，但如果单次回购总金额不少于人民币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 的要求将导致单次回购的公司股份数量超过公司总股本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的，则可以少 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、第二选择为控股股东增持公司股票。在下列情形之一出 </w:t>
            </w:r>
            <w:r>
              <w:rPr>
                <w:rFonts w:ascii="宋体" w:hAnsi="宋体" w:cs="宋体" w:eastAsia="宋体" w:hint="default"/>
                <w:spacing w:val="-3"/>
                <w:sz w:val="18"/>
                <w:szCs w:val="18"/>
              </w:rPr>
              <w:t>现时将启动第二选择：（</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）公司无法实施回购股票或回购股票议案未获得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w w:val="100"/>
                <w:sz w:val="18"/>
                <w:szCs w:val="18"/>
              </w:rPr>
              <w:t>公司股东大会批准；（</w:t>
            </w:r>
            <w:r>
              <w:rPr>
                <w:rFonts w:ascii="Times New Roman" w:hAnsi="Times New Roman" w:cs="Times New Roman" w:eastAsia="Times New Roman" w:hint="default"/>
                <w:spacing w:val="-6"/>
                <w:w w:val="100"/>
                <w:sz w:val="18"/>
                <w:szCs w:val="18"/>
              </w:rPr>
              <w:t>2</w:t>
            </w:r>
            <w:r>
              <w:rPr>
                <w:rFonts w:ascii="宋体" w:hAnsi="宋体" w:cs="宋体" w:eastAsia="宋体" w:hint="default"/>
                <w:spacing w:val="-6"/>
                <w:w w:val="100"/>
                <w:sz w:val="18"/>
                <w:szCs w:val="18"/>
              </w:rPr>
              <w:t>）公司虽实施股票回购计划但仍未满足</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公司股票连</w:t>
            </w:r>
            <w:r>
              <w:rPr>
                <w:rFonts w:ascii="宋体" w:hAnsi="宋体" w:cs="宋体" w:eastAsia="宋体" w:hint="default"/>
                <w:spacing w:val="-62"/>
                <w:w w:val="100"/>
                <w:sz w:val="18"/>
                <w:szCs w:val="18"/>
              </w:rPr>
              <w:t> </w:t>
            </w: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个交易日的收盘价均已高于公司最近一年经审计的每股净资产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之条 件。控股股东为稳定股价之目的增持股份，应符合《上市公司收购管理办 法》等相关法律、法规的规定。控股股东单次用于增持股份的资金金额不 低于自公司上市后累计从公司所获得现金分红金额的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；单一年度用于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7-18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4"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r>
        <w:rPr/>
        <w:pict>
          <v:shape style="position:absolute;margin-left:395.713013pt;margin-top:72.475983pt;width:79pt;height:686.5pt;mso-position-horizontal-relative:page;mso-position-vertical-relative:page;z-index:-1021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0"/>
                      <w:szCs w:val="20"/>
                    </w:rPr>
                  </w:pPr>
                </w:p>
                <w:p>
                  <w:pPr>
                    <w:pStyle w:val="BodyText"/>
                    <w:spacing w:line="240" w:lineRule="auto"/>
                    <w:ind w:left="0" w:right="0"/>
                    <w:jc w:val="left"/>
                  </w:pPr>
                  <w:r>
                    <w:rPr/>
                    <w:t>动决策程序，</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707"/>
        <w:gridCol w:w="710"/>
        <w:gridCol w:w="566"/>
        <w:gridCol w:w="5814"/>
        <w:gridCol w:w="566"/>
        <w:gridCol w:w="566"/>
        <w:gridCol w:w="636"/>
      </w:tblGrid>
      <w:tr>
        <w:trPr>
          <w:trHeight w:val="317" w:hRule="exact"/>
        </w:trPr>
        <w:tc>
          <w:tcPr>
            <w:tcW w:w="707" w:type="dxa"/>
            <w:vMerge w:val="restart"/>
            <w:tcBorders>
              <w:top w:val="single" w:sz="4" w:space="0" w:color="000000"/>
              <w:left w:val="single" w:sz="4" w:space="0" w:color="000000"/>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8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增持股份的资金不超过自公司上市后累计从公司所获得现金分红金额的</w:t>
            </w:r>
          </w:p>
        </w:tc>
        <w:tc>
          <w:tcPr>
            <w:tcW w:w="566"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27.85pt;height:686.5pt;mso-position-horizontal-relative:char;mso-position-vertical-relative:line" coordorigin="0,0" coordsize="557,13730">
                  <v:group style="position:absolute;left:0;top:0;width:557;height:13730" coordorigin="0,0" coordsize="557,13730">
                    <v:shape style="position:absolute;left:0;top:0;width:557;height:13730" coordorigin="0,0" coordsize="557,13730" path="m0,13730l557,13730,557,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566"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。超过上述标准的，有关稳定股价措施在当年度不再继续实施，但下</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一年度继续出现需要启动稳定股价措施的情形时，将继续按照上述原则执</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3</w:t>
            </w:r>
            <w:r>
              <w:rPr>
                <w:rFonts w:ascii="宋体" w:hAnsi="宋体" w:cs="宋体" w:eastAsia="宋体" w:hint="default"/>
                <w:sz w:val="18"/>
                <w:szCs w:val="18"/>
              </w:rPr>
              <w:t>、第三选择为董事（不含独立董事，下同）和高级管理人员增持公</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司股票。启动该选择的条件为：控股股东增持股票方案实施完成后，如公</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司股票仍未满足</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公司股票连续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个交易日的收盘价均已高于公司最近一</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年经审计的每股净资产</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之条件</w:t>
            </w:r>
            <w:r>
              <w:rPr>
                <w:rFonts w:ascii="宋体" w:hAnsi="宋体" w:cs="宋体" w:eastAsia="宋体" w:hint="default"/>
                <w:spacing w:val="-85"/>
                <w:sz w:val="18"/>
                <w:szCs w:val="18"/>
              </w:rPr>
              <w:t>，</w:t>
            </w:r>
            <w:r>
              <w:rPr>
                <w:rFonts w:ascii="宋体" w:hAnsi="宋体" w:cs="宋体" w:eastAsia="宋体" w:hint="default"/>
                <w:sz w:val="18"/>
                <w:szCs w:val="18"/>
              </w:rPr>
              <w:t>并且董事和高级管理人员增持公司股票不</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会致使公司将不满足法定上市条件。公司董事及高级管理人员为稳定股价</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之目的增持股份，应符合《上市公司收购管理办法》等相关法律、法规的</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规定。公司董事及高级管理人员实施稳定股价议案时，用于增持股份的货</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币资金不少于董事和高级管理人员上年度薪酬总和的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，但不超过</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100</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w w:val="99"/>
                <w:sz w:val="18"/>
                <w:szCs w:val="18"/>
              </w:rPr>
              <w:t>。</w:t>
            </w:r>
            <w:r>
              <w:rPr>
                <w:rFonts w:ascii="宋体" w:hAnsi="宋体" w:cs="宋体" w:eastAsia="宋体" w:hint="default"/>
                <w:w w:val="99"/>
                <w:sz w:val="18"/>
                <w:szCs w:val="18"/>
              </w:rPr>
              <w:t>（三）稳定股价措施实施的具体程序</w:t>
            </w:r>
            <w:r>
              <w:rPr>
                <w:rFonts w:ascii="宋体" w:hAnsi="宋体" w:cs="宋体" w:eastAsia="宋体" w:hint="default"/>
                <w:spacing w:val="-44"/>
                <w:w w:val="99"/>
                <w:sz w:val="18"/>
                <w:szCs w:val="18"/>
              </w:rPr>
              <w:t> </w:t>
            </w:r>
            <w:r>
              <w:rPr>
                <w:rFonts w:ascii="Times New Roman" w:hAnsi="Times New Roman" w:cs="Times New Roman" w:eastAsia="Times New Roman" w:hint="default"/>
                <w:spacing w:val="1"/>
                <w:w w:val="99"/>
                <w:sz w:val="18"/>
                <w:szCs w:val="18"/>
              </w:rPr>
              <w:t>1</w:t>
            </w:r>
            <w:r>
              <w:rPr>
                <w:rFonts w:ascii="宋体" w:hAnsi="宋体" w:cs="宋体" w:eastAsia="宋体" w:hint="default"/>
                <w:w w:val="99"/>
                <w:sz w:val="18"/>
                <w:szCs w:val="18"/>
              </w:rPr>
              <w:t>、公司回购</w:t>
            </w:r>
            <w:r>
              <w:rPr>
                <w:rFonts w:ascii="宋体" w:hAnsi="宋体" w:cs="宋体" w:eastAsia="宋体" w:hint="default"/>
                <w:spacing w:val="-3"/>
                <w:w w:val="99"/>
                <w:sz w:val="18"/>
                <w:szCs w:val="18"/>
              </w:rPr>
              <w:t>在</w:t>
            </w:r>
            <w:r>
              <w:rPr>
                <w:rFonts w:ascii="宋体" w:hAnsi="宋体" w:cs="宋体" w:eastAsia="宋体" w:hint="default"/>
                <w:w w:val="99"/>
                <w:sz w:val="18"/>
                <w:szCs w:val="18"/>
              </w:rPr>
              <w:t>公司出现应启</w:t>
            </w:r>
            <w:r>
              <w:rPr>
                <w:rFonts w:ascii="宋体" w:hAnsi="宋体" w:cs="宋体" w:eastAsia="宋体" w:hint="default"/>
                <w:sz w:val="18"/>
                <w:szCs w:val="18"/>
              </w:rPr>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动稳定股价预案情形</w:t>
            </w:r>
            <w:r>
              <w:rPr>
                <w:rFonts w:ascii="宋体" w:hAnsi="宋体" w:cs="宋体" w:eastAsia="宋体" w:hint="default"/>
                <w:spacing w:val="-92"/>
                <w:sz w:val="18"/>
                <w:szCs w:val="18"/>
              </w:rPr>
              <w:t>，</w:t>
            </w:r>
            <w:r>
              <w:rPr>
                <w:rFonts w:ascii="宋体" w:hAnsi="宋体" w:cs="宋体" w:eastAsia="宋体" w:hint="default"/>
                <w:sz w:val="18"/>
                <w:szCs w:val="18"/>
              </w:rPr>
              <w:t>本公司</w:t>
            </w:r>
            <w:r>
              <w:rPr>
                <w:rFonts w:ascii="宋体" w:hAnsi="宋体" w:cs="宋体" w:eastAsia="宋体" w:hint="default"/>
                <w:spacing w:val="2"/>
                <w:sz w:val="18"/>
                <w:szCs w:val="18"/>
              </w:rPr>
              <w:t>应</w:t>
            </w:r>
            <w:r>
              <w:rPr>
                <w:rFonts w:ascii="宋体" w:hAnsi="宋体" w:cs="宋体" w:eastAsia="宋体" w:hint="default"/>
                <w:sz w:val="18"/>
                <w:szCs w:val="18"/>
              </w:rPr>
              <w:t>在收到通知后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个工作日内启</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经股东大会决议通过后，依法通知债权人和履行备案程序。公司将采取深</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圳证券交易所集中竞价交易方式、要约等方式回购股份。回购方案实施完</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毕后，公司应在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个工作日内公告公司股份变动报告，并在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日内依法</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注销所回购的股份，办理工商变更登记手续。公司回购股份议案需经董事</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会、股东大会决议通过，其中股东大会须经出席会议的股东所持表决权的</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三分之二以上通过。公司董事承诺就该等回购事宜在董事会中投赞成票；</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控股股东承诺就该等回购事宜在股东大会中投赞成票。</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、控股股东增持</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在公司出现应启动预案情形时，公司控股股东应在收到通知后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个工作日</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内启动内部决策程序，就其是否有增持公司股票的具体计划书面通知公司</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并由公司进行公告，公告应披露拟增持的数量范围、价格区间、总金额、</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完成时间等信息。增持方案实施完毕后，公司应在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个工作日内公告公司</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股份变动报告。</w:t>
            </w:r>
            <w:r>
              <w:rPr>
                <w:rFonts w:ascii="Times New Roman" w:hAnsi="Times New Roman" w:cs="Times New Roman" w:eastAsia="Times New Roman" w:hint="default"/>
                <w:sz w:val="18"/>
                <w:szCs w:val="18"/>
              </w:rPr>
              <w:t>3</w:t>
            </w:r>
            <w:r>
              <w:rPr>
                <w:rFonts w:ascii="宋体" w:hAnsi="宋体" w:cs="宋体" w:eastAsia="宋体" w:hint="default"/>
                <w:sz w:val="18"/>
                <w:szCs w:val="18"/>
              </w:rPr>
              <w:t>、董事及高级管理人员增持在公司出现应启动预案情形</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时，公司董事及高级管理人员应在收到通知后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个工作日内，就其是否有</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增持公司股票的具体计划书面通知公司并由公司进行公告，公告应披露拟</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增持的数量范围、价格区间、总金额、完成时间等信息。增持方案实施完</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毕后，公司应在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个工作日内公告公司股份变动报告。公司董事及高级管</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理人员应根据预案的规定签署相关承诺。公司上市后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年内拟新聘任董事</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和高级管理人员时，公司将促使该新聘任的董事和高级管理人员根据预案</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的规定签署相关承诺</w:t>
            </w:r>
            <w:r>
              <w:rPr>
                <w:rFonts w:ascii="宋体" w:hAnsi="宋体" w:cs="宋体" w:eastAsia="宋体" w:hint="default"/>
                <w:spacing w:val="-108"/>
                <w:sz w:val="18"/>
                <w:szCs w:val="18"/>
              </w:rPr>
              <w:t>。</w:t>
            </w:r>
            <w:r>
              <w:rPr>
                <w:rFonts w:ascii="宋体" w:hAnsi="宋体" w:cs="宋体" w:eastAsia="宋体" w:hint="default"/>
                <w:sz w:val="18"/>
                <w:szCs w:val="18"/>
              </w:rPr>
              <w:t>（四</w:t>
            </w:r>
            <w:r>
              <w:rPr>
                <w:rFonts w:ascii="宋体" w:hAnsi="宋体" w:cs="宋体" w:eastAsia="宋体" w:hint="default"/>
                <w:spacing w:val="-17"/>
                <w:sz w:val="18"/>
                <w:szCs w:val="18"/>
              </w:rPr>
              <w:t>）</w:t>
            </w:r>
            <w:r>
              <w:rPr>
                <w:rFonts w:ascii="宋体" w:hAnsi="宋体" w:cs="宋体" w:eastAsia="宋体" w:hint="default"/>
                <w:spacing w:val="2"/>
                <w:sz w:val="18"/>
                <w:szCs w:val="18"/>
              </w:rPr>
              <w:t>股</w:t>
            </w:r>
            <w:r>
              <w:rPr>
                <w:rFonts w:ascii="宋体" w:hAnsi="宋体" w:cs="宋体" w:eastAsia="宋体" w:hint="default"/>
                <w:sz w:val="18"/>
                <w:szCs w:val="18"/>
              </w:rPr>
              <w:t>价稳定预案未实施的约束机制</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7"/>
                <w:sz w:val="18"/>
                <w:szCs w:val="18"/>
              </w:rPr>
              <w:t>、</w:t>
            </w:r>
            <w:r>
              <w:rPr>
                <w:rFonts w:ascii="宋体" w:hAnsi="宋体" w:cs="宋体" w:eastAsia="宋体" w:hint="default"/>
                <w:sz w:val="18"/>
                <w:szCs w:val="18"/>
              </w:rPr>
              <w:t>本公司自</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愿接受主管机关对其上述股价稳定措施的制定、实施等进行监督，并承担</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、如公司控股股东违反预案及相关承诺函所述义务的，公司</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有权将控股股东应履行其增持义务相等金额的应付控股股东现金分红予</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以截留，直至控股股东履行其增持义务；如已经连续两次以上存在上述情</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形时，则公司可将与控股股东履行其增持义务相等金额的应付控股股东现</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金分红予以截留用于股份回购计划，控股股东丧失对相应金额现金分红的</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追索权。对于应当截留应付控股股东的现金分红，公司董事（包括独立董</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92"/>
                <w:sz w:val="18"/>
                <w:szCs w:val="18"/>
              </w:rPr>
              <w:t>）</w:t>
            </w:r>
            <w:r>
              <w:rPr>
                <w:rFonts w:ascii="宋体" w:hAnsi="宋体" w:cs="宋体" w:eastAsia="宋体" w:hint="default"/>
                <w:sz w:val="18"/>
                <w:szCs w:val="18"/>
              </w:rPr>
              <w:t>、高级管理人员应当敦促</w:t>
            </w:r>
            <w:r>
              <w:rPr>
                <w:rFonts w:ascii="宋体" w:hAnsi="宋体" w:cs="宋体" w:eastAsia="宋体" w:hint="default"/>
                <w:spacing w:val="2"/>
                <w:sz w:val="18"/>
                <w:szCs w:val="18"/>
              </w:rPr>
              <w:t>公</w:t>
            </w:r>
            <w:r>
              <w:rPr>
                <w:rFonts w:ascii="宋体" w:hAnsi="宋体" w:cs="宋体" w:eastAsia="宋体" w:hint="default"/>
                <w:sz w:val="18"/>
                <w:szCs w:val="18"/>
              </w:rPr>
              <w:t>司按时足额截留，未履行敦促义务的董事</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（包括独立董事</w:t>
            </w:r>
            <w:r>
              <w:rPr>
                <w:rFonts w:ascii="宋体" w:hAnsi="宋体" w:cs="宋体" w:eastAsia="宋体" w:hint="default"/>
                <w:spacing w:val="-92"/>
                <w:sz w:val="18"/>
                <w:szCs w:val="18"/>
              </w:rPr>
              <w:t>）</w:t>
            </w:r>
            <w:r>
              <w:rPr>
                <w:rFonts w:ascii="宋体" w:hAnsi="宋体" w:cs="宋体" w:eastAsia="宋体" w:hint="default"/>
                <w:sz w:val="18"/>
                <w:szCs w:val="18"/>
              </w:rPr>
              <w:t>、高级管理</w:t>
            </w:r>
            <w:r>
              <w:rPr>
                <w:rFonts w:ascii="宋体" w:hAnsi="宋体" w:cs="宋体" w:eastAsia="宋体" w:hint="default"/>
                <w:spacing w:val="2"/>
                <w:sz w:val="18"/>
                <w:szCs w:val="18"/>
              </w:rPr>
              <w:t>人</w:t>
            </w:r>
            <w:r>
              <w:rPr>
                <w:rFonts w:ascii="宋体" w:hAnsi="宋体" w:cs="宋体" w:eastAsia="宋体" w:hint="default"/>
                <w:sz w:val="18"/>
                <w:szCs w:val="18"/>
              </w:rPr>
              <w:t>员应当向中小股东承担赔偿责任，中小股</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东有权向人民法院提起诉讼；</w:t>
            </w:r>
            <w:r>
              <w:rPr>
                <w:rFonts w:ascii="Times New Roman" w:hAnsi="Times New Roman" w:cs="Times New Roman" w:eastAsia="Times New Roman" w:hint="default"/>
                <w:sz w:val="18"/>
                <w:szCs w:val="18"/>
              </w:rPr>
              <w:t>3</w:t>
            </w:r>
            <w:r>
              <w:rPr>
                <w:rFonts w:ascii="宋体" w:hAnsi="宋体" w:cs="宋体" w:eastAsia="宋体" w:hint="default"/>
                <w:sz w:val="18"/>
                <w:szCs w:val="18"/>
              </w:rPr>
              <w:t>、如公司董事、高级管理人员违反预案及</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相关承诺函所述义务的公司有权将其履行增持义务相等金额的工资薪酬</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（仅包括其在公司领取的工资薪酬扣除当地最低工资标准后的部分）代其</w:t>
            </w: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bl>
    <w:p>
      <w:pPr>
        <w:spacing w:after="0"/>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r>
        <w:rPr/>
        <w:pict>
          <v:shape style="position:absolute;margin-left:422.589996pt;margin-top:344.685974pt;width:52.15pt;height:423.3pt;mso-position-horizontal-relative:page;mso-position-vertical-relative:page;z-index:-1021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pStyle w:val="BodyText"/>
                    <w:spacing w:line="240" w:lineRule="auto"/>
                    <w:ind w:left="0" w:right="0"/>
                    <w:jc w:val="left"/>
                  </w:pPr>
                  <w:r>
                    <w:rPr/>
                    <w:t>办公、</w:t>
                  </w:r>
                </w:p>
              </w:txbxContent>
            </v:textbox>
            <w10:wrap type="none"/>
          </v:shape>
        </w:pict>
      </w:r>
      <w:r>
        <w:rPr/>
        <w:pict>
          <v:group style="position:absolute;margin-left:446.859985pt;margin-top:121.829987pt;width:27.85pt;height:646.15pt;mso-position-horizontal-relative:page;mso-position-vertical-relative:page;z-index:-1021624" coordorigin="8937,2437" coordsize="557,12923">
            <v:group style="position:absolute;left:8937;top:2437;width:557;height:4448" coordorigin="8937,2437" coordsize="557,4448">
              <v:shape style="position:absolute;left:8937;top:2437;width:557;height:4448" coordorigin="8937,2437" coordsize="557,4448" path="m8937,6884l9494,6884,9494,2437,8937,2437,8937,6884xe" filled="true" fillcolor="#ffffff" stroked="false">
                <v:path arrowok="t"/>
                <v:fill type="solid"/>
              </v:shape>
            </v:group>
            <v:group style="position:absolute;left:8961;top:3996;width:512;height:353" coordorigin="8961,3996" coordsize="512,353">
              <v:shape style="position:absolute;left:8961;top:3996;width:512;height:353" coordorigin="8961,3996" coordsize="512,353" path="m8961,4349l9472,4349,9472,3996,8961,3996,8961,4349xe" filled="true" fillcolor="#ffffff" stroked="false">
                <v:path arrowok="t"/>
                <v:fill type="solid"/>
              </v:shape>
            </v:group>
            <v:group style="position:absolute;left:8961;top:4349;width:512;height:312" coordorigin="8961,4349" coordsize="512,312">
              <v:shape style="position:absolute;left:8961;top:4349;width:512;height:312" coordorigin="8961,4349" coordsize="512,312" path="m8961,4661l9472,4661,9472,4349,8961,4349,8961,4661xe" filled="true" fillcolor="#ffffff" stroked="false">
                <v:path arrowok="t"/>
                <v:fill type="solid"/>
              </v:shape>
            </v:group>
            <v:group style="position:absolute;left:8961;top:4661;width:512;height:312" coordorigin="8961,4661" coordsize="512,312">
              <v:shape style="position:absolute;left:8961;top:4661;width:512;height:312" coordorigin="8961,4661" coordsize="512,312" path="m8961,4973l9472,4973,9472,4661,8961,4661,8961,4973xe" filled="true" fillcolor="#ffffff" stroked="false">
                <v:path arrowok="t"/>
                <v:fill type="solid"/>
              </v:shape>
            </v:group>
            <v:group style="position:absolute;left:8961;top:4973;width:512;height:351" coordorigin="8961,4973" coordsize="512,351">
              <v:shape style="position:absolute;left:8961;top:4973;width:512;height:351" coordorigin="8961,4973" coordsize="512,351" path="m8961,5324l9472,5324,9472,4973,8961,4973,8961,5324xe" filled="true" fillcolor="#ffffff" stroked="false">
                <v:path arrowok="t"/>
                <v:fill type="solid"/>
              </v:shape>
            </v:group>
            <v:group style="position:absolute;left:8937;top:6894;width:557;height:8466" coordorigin="8937,6894" coordsize="557,8466">
              <v:shape style="position:absolute;left:8937;top:6894;width:557;height:8466" coordorigin="8937,6894" coordsize="557,8466" path="m8937,15360l9494,15360,9494,6894,8937,6894,8937,15360xe" filled="true" fillcolor="#ffffff" stroked="false">
                <v:path arrowok="t"/>
                <v:fill type="solid"/>
              </v:shape>
            </v:group>
            <v:group style="position:absolute;left:8961;top:10463;width:512;height:353" coordorigin="8961,10463" coordsize="512,353">
              <v:shape style="position:absolute;left:8961;top:10463;width:512;height:353" coordorigin="8961,10463" coordsize="512,353" path="m8961,10816l9472,10816,9472,10463,8961,10463,8961,10816xe" filled="true" fillcolor="#ffffff" stroked="false">
                <v:path arrowok="t"/>
                <v:fill type="solid"/>
              </v:shape>
            </v:group>
            <v:group style="position:absolute;left:8961;top:10816;width:512;height:312" coordorigin="8961,10816" coordsize="512,312">
              <v:shape style="position:absolute;left:8961;top:10816;width:512;height:312" coordorigin="8961,10816" coordsize="512,312" path="m8961,11128l9472,11128,9472,10816,8961,10816,8961,11128xe" filled="true" fillcolor="#ffffff" stroked="false">
                <v:path arrowok="t"/>
                <v:fill type="solid"/>
              </v:shape>
            </v:group>
            <v:group style="position:absolute;left:8961;top:11128;width:512;height:312" coordorigin="8961,11128" coordsize="512,312">
              <v:shape style="position:absolute;left:8961;top:11128;width:512;height:312" coordorigin="8961,11128" coordsize="512,312" path="m8961,11440l9472,11440,9472,11128,8961,11128,8961,11440xe" filled="true" fillcolor="#ffffff" stroked="false">
                <v:path arrowok="t"/>
                <v:fill type="solid"/>
              </v:shape>
            </v:group>
            <v:group style="position:absolute;left:8961;top:11440;width:512;height:351" coordorigin="8961,11440" coordsize="512,351">
              <v:shape style="position:absolute;left:8961;top:11440;width:512;height:351" coordorigin="8961,11440" coordsize="512,351" path="m8961,11790l9472,11790,9472,11440,8961,11440,8961,1179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707"/>
        <w:gridCol w:w="710"/>
        <w:gridCol w:w="566"/>
        <w:gridCol w:w="5814"/>
        <w:gridCol w:w="566"/>
        <w:gridCol w:w="566"/>
        <w:gridCol w:w="636"/>
      </w:tblGrid>
      <w:tr>
        <w:trPr>
          <w:trHeight w:val="987" w:hRule="exact"/>
        </w:trPr>
        <w:tc>
          <w:tcPr>
            <w:tcW w:w="707" w:type="dxa"/>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履行增持义务；如个人在任职期间连续两次以上未能主动履行其增持义 务，由控股股东或董事会、监事会、半数以上的独立董事提请股东大会同 意更换相关董事，由公司董事会解聘相关高级管理人员。</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707" w:type="dxa"/>
            <w:vMerge/>
            <w:tcBorders>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9"/>
              <w:jc w:val="left"/>
              <w:rPr>
                <w:rFonts w:ascii="宋体" w:hAnsi="宋体" w:cs="宋体" w:eastAsia="宋体" w:hint="default"/>
                <w:sz w:val="18"/>
                <w:szCs w:val="18"/>
              </w:rPr>
            </w:pPr>
            <w:r>
              <w:rPr>
                <w:rFonts w:ascii="宋体" w:hAnsi="宋体" w:cs="宋体" w:eastAsia="宋体" w:hint="default"/>
                <w:sz w:val="18"/>
                <w:szCs w:val="18"/>
              </w:rPr>
              <w:t>北京德 恒律师 事务所</w:t>
            </w:r>
            <w:r>
              <w:rPr>
                <w:rFonts w:ascii="Times New Roman" w:hAnsi="Times New Roman" w:cs="Times New Roman" w:eastAsia="Times New Roman" w:hint="default"/>
                <w:sz w:val="18"/>
                <w:szCs w:val="18"/>
              </w:rPr>
              <w:t>; </w:t>
            </w:r>
            <w:r>
              <w:rPr>
                <w:rFonts w:ascii="宋体" w:hAnsi="宋体" w:cs="宋体" w:eastAsia="宋体" w:hint="default"/>
                <w:sz w:val="18"/>
                <w:szCs w:val="18"/>
              </w:rPr>
              <w:t>立信会 计师事 </w:t>
            </w:r>
            <w:r>
              <w:rPr>
                <w:rFonts w:ascii="宋体" w:hAnsi="宋体" w:cs="宋体" w:eastAsia="宋体" w:hint="default"/>
                <w:spacing w:val="-17"/>
                <w:sz w:val="18"/>
                <w:szCs w:val="18"/>
              </w:rPr>
              <w:t>务所（特</w:t>
            </w:r>
            <w:r>
              <w:rPr>
                <w:rFonts w:ascii="宋体" w:hAnsi="宋体" w:cs="宋体" w:eastAsia="宋体" w:hint="default"/>
                <w:sz w:val="18"/>
                <w:szCs w:val="18"/>
              </w:rPr>
              <w:t> 殊普通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申万宏 源证券 承销保 荐有限 责任公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18"/>
              <w:jc w:val="left"/>
              <w:rPr>
                <w:rFonts w:ascii="宋体" w:hAnsi="宋体" w:cs="宋体" w:eastAsia="宋体" w:hint="default"/>
                <w:sz w:val="18"/>
                <w:szCs w:val="18"/>
              </w:rPr>
            </w:pP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保荐机构申万宏源承诺：因发行人招股说明书及其他信息披露资料有虚假</w:t>
            </w:r>
            <w:r>
              <w:rPr>
                <w:rFonts w:ascii="宋体" w:hAnsi="宋体" w:cs="宋体" w:eastAsia="宋体" w:hint="default"/>
                <w:spacing w:val="-70"/>
                <w:w w:val="99"/>
                <w:sz w:val="18"/>
                <w:szCs w:val="18"/>
              </w:rPr>
              <w:t> </w:t>
            </w:r>
            <w:r>
              <w:rPr>
                <w:rFonts w:ascii="宋体" w:hAnsi="宋体" w:cs="宋体" w:eastAsia="宋体" w:hint="default"/>
                <w:spacing w:val="-70"/>
                <w:w w:val="99"/>
                <w:sz w:val="18"/>
                <w:szCs w:val="18"/>
              </w:rPr>
            </w:r>
            <w:r>
              <w:rPr>
                <w:rFonts w:ascii="宋体" w:hAnsi="宋体" w:cs="宋体" w:eastAsia="宋体" w:hint="default"/>
                <w:sz w:val="18"/>
                <w:szCs w:val="18"/>
              </w:rPr>
              <w:t>记载、误导性陈述或者重大遗漏，致使投资者在证券发行和交易中遭受损</w:t>
            </w:r>
            <w:r>
              <w:rPr>
                <w:rFonts w:ascii="宋体" w:hAnsi="宋体" w:cs="宋体" w:eastAsia="宋体" w:hint="default"/>
                <w:sz w:val="18"/>
                <w:szCs w:val="18"/>
              </w:rPr>
              <w:t> 失的，将先行赔偿投资者损失。因本机构为发行人首次公开发行制作、出 具的文件有虚假记载、误导性陈述或者重大遗漏，给投资者造成损失的， 将先行赔偿投资者损失。律师事务所德恒律师承诺：由于本所为发行人首 次公开发行制作、出具的文件有虚假记载、误导性陈述或者重大遗漏，给 投资者造成损失的，本所将依法赔偿投资者损失。</w:t>
            </w:r>
            <w:r>
              <w:rPr>
                <w:rFonts w:ascii="宋体" w:hAnsi="宋体" w:cs="宋体" w:eastAsia="宋体" w:hint="default"/>
                <w:spacing w:val="2"/>
                <w:sz w:val="18"/>
                <w:szCs w:val="18"/>
              </w:rPr>
              <w:t> </w:t>
            </w:r>
            <w:r>
              <w:rPr>
                <w:rFonts w:ascii="宋体" w:hAnsi="宋体" w:cs="宋体" w:eastAsia="宋体" w:hint="default"/>
                <w:sz w:val="18"/>
                <w:szCs w:val="18"/>
              </w:rPr>
              <w:t>会计师事务所立信会</w:t>
            </w:r>
            <w:r>
              <w:rPr>
                <w:rFonts w:ascii="宋体" w:hAnsi="宋体" w:cs="宋体" w:eastAsia="宋体" w:hint="default"/>
                <w:sz w:val="18"/>
                <w:szCs w:val="18"/>
              </w:rPr>
              <w:t> 计师承诺：因本所为发行人首次公开发行制作、出具的文件有虚假记载、 </w:t>
            </w:r>
            <w:r>
              <w:rPr>
                <w:rFonts w:ascii="宋体" w:hAnsi="宋体" w:cs="宋体" w:eastAsia="宋体" w:hint="default"/>
                <w:spacing w:val="-4"/>
                <w:sz w:val="18"/>
                <w:szCs w:val="18"/>
              </w:rPr>
              <w:t>误导性陈述或者重大遗漏，给投资者造成损失的，将依法赔偿投资者损失</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2-31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8475" w:hRule="exact"/>
        </w:trPr>
        <w:tc>
          <w:tcPr>
            <w:tcW w:w="707"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6" w:lineRule="auto"/>
              <w:ind w:left="26" w:right="132"/>
              <w:jc w:val="both"/>
              <w:rPr>
                <w:rFonts w:ascii="宋体" w:hAnsi="宋体" w:cs="宋体" w:eastAsia="宋体" w:hint="default"/>
                <w:sz w:val="18"/>
                <w:szCs w:val="18"/>
              </w:rPr>
            </w:pPr>
            <w:r>
              <w:rPr>
                <w:rFonts w:ascii="宋体" w:hAnsi="宋体" w:cs="宋体" w:eastAsia="宋体" w:hint="default"/>
                <w:sz w:val="18"/>
                <w:szCs w:val="18"/>
              </w:rPr>
              <w:t>深圳市 建筑科 学研究 院股份 有限公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tabs>
                <w:tab w:pos="4527" w:val="left" w:leader="none"/>
              </w:tabs>
              <w:spacing w:line="314" w:lineRule="auto" w:before="51"/>
              <w:ind w:left="24" w:right="18"/>
              <w:jc w:val="left"/>
              <w:rPr>
                <w:rFonts w:ascii="宋体" w:hAnsi="宋体" w:cs="宋体" w:eastAsia="宋体" w:hint="default"/>
                <w:sz w:val="18"/>
                <w:szCs w:val="18"/>
              </w:rPr>
            </w:pPr>
            <w:r>
              <w:rPr>
                <w:rFonts w:ascii="宋体" w:hAnsi="宋体" w:cs="宋体" w:eastAsia="宋体" w:hint="default"/>
                <w:sz w:val="18"/>
                <w:szCs w:val="18"/>
              </w:rPr>
              <w:t>关于填补本次发行股票被摊薄即期回报的措施与承诺</w:t>
              <w:tab/>
              <w:t>为降低本次公 开发行股票对公司即期回报摊薄的风险，公司拟通过大力发展主营业务、 加强募集资金管理、加快募投项目投资进度、加大市场开拓力度、加强内 部控制、强化投资者回报机制等措施，提高公司整体市场竞争力和盈利能 </w:t>
            </w:r>
            <w:r>
              <w:rPr>
                <w:rFonts w:ascii="宋体" w:hAnsi="宋体" w:cs="宋体" w:eastAsia="宋体" w:hint="default"/>
                <w:spacing w:val="-3"/>
                <w:sz w:val="18"/>
                <w:szCs w:val="18"/>
              </w:rPr>
              <w:t>力，以填补被摊薄即期回报。（一）公司现有业务板块运营状况、发展态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势，面临的主要风险及改进措施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pacing w:val="-5"/>
                <w:sz w:val="18"/>
                <w:szCs w:val="18"/>
              </w:rPr>
              <w:t>公司现有业务板块运营状况、发展态</w:t>
            </w:r>
            <w:r>
              <w:rPr>
                <w:rFonts w:ascii="宋体" w:hAnsi="宋体" w:cs="宋体" w:eastAsia="宋体" w:hint="default"/>
                <w:sz w:val="18"/>
                <w:szCs w:val="18"/>
              </w:rPr>
              <w:t> 势</w:t>
            </w:r>
            <w:r>
              <w:rPr>
                <w:rFonts w:ascii="宋体" w:hAnsi="宋体" w:cs="宋体" w:eastAsia="宋体" w:hint="default"/>
                <w:spacing w:val="83"/>
                <w:sz w:val="18"/>
                <w:szCs w:val="18"/>
              </w:rPr>
              <w:t> </w:t>
            </w:r>
            <w:r>
              <w:rPr>
                <w:rFonts w:ascii="宋体" w:hAnsi="宋体" w:cs="宋体" w:eastAsia="宋体" w:hint="default"/>
                <w:sz w:val="18"/>
                <w:szCs w:val="18"/>
              </w:rPr>
              <w:t>公司是国内生态城市建设运营的综合服务商，报告期城市规划、建筑</w:t>
            </w:r>
            <w:r>
              <w:rPr>
                <w:rFonts w:ascii="宋体" w:hAnsi="宋体" w:cs="宋体" w:eastAsia="宋体" w:hint="default"/>
                <w:sz w:val="18"/>
                <w:szCs w:val="18"/>
              </w:rPr>
              <w:t> 设计、建筑咨询和公信服务等业务发展良好。随着公司业务模式的升级提 升、技术研究进一步创新、以及运营管理水平的进一步提升，公司营业规 模将进一步扩张。同时，随着新型城镇化和生态文明建设进一步深入，公 司业绩将会呈现健康、可持续的发展。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公司现有业务板块面临的主要 风险及改进措施</w:t>
            </w:r>
            <w:r>
              <w:rPr>
                <w:rFonts w:ascii="宋体" w:hAnsi="宋体" w:cs="宋体" w:eastAsia="宋体" w:hint="default"/>
                <w:spacing w:val="85"/>
                <w:sz w:val="18"/>
                <w:szCs w:val="18"/>
              </w:rPr>
              <w:t> </w:t>
            </w:r>
            <w:r>
              <w:rPr>
                <w:rFonts w:ascii="宋体" w:hAnsi="宋体" w:cs="宋体" w:eastAsia="宋体" w:hint="default"/>
                <w:sz w:val="18"/>
                <w:szCs w:val="18"/>
              </w:rPr>
              <w:t>目前，公司现有业务板块面临的主要风险包括业务创新</w:t>
            </w:r>
            <w:r>
              <w:rPr>
                <w:rFonts w:ascii="宋体" w:hAnsi="宋体" w:cs="宋体" w:eastAsia="宋体" w:hint="default"/>
                <w:sz w:val="18"/>
                <w:szCs w:val="18"/>
              </w:rPr>
              <w:t> 和产能扩展不能快速响应市场需求、应收账款较大等方面，针对上述风险 </w:t>
            </w:r>
            <w:r>
              <w:rPr>
                <w:rFonts w:ascii="宋体" w:hAnsi="宋体" w:cs="宋体" w:eastAsia="宋体" w:hint="default"/>
                <w:spacing w:val="-3"/>
                <w:sz w:val="18"/>
                <w:szCs w:val="18"/>
              </w:rPr>
              <w:t>公司制定的改进措施如下：（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）业务创新和产能扩展不能快速响应市场需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求的风险的应对措施；一是持续提升公司绿色技术服务业务。公司继续通</w:t>
            </w:r>
            <w:r>
              <w:rPr>
                <w:rFonts w:ascii="宋体" w:hAnsi="宋体" w:cs="宋体" w:eastAsia="宋体" w:hint="default"/>
                <w:sz w:val="18"/>
                <w:szCs w:val="18"/>
              </w:rPr>
              <w:t> 过技术提升（如</w:t>
            </w:r>
            <w:r>
              <w:rPr>
                <w:rFonts w:ascii="宋体" w:hAnsi="宋体" w:cs="宋体" w:eastAsia="宋体" w:hint="default"/>
                <w:spacing w:val="-43"/>
                <w:sz w:val="18"/>
                <w:szCs w:val="18"/>
              </w:rPr>
              <w:t> </w:t>
            </w:r>
            <w:r>
              <w:rPr>
                <w:rFonts w:ascii="Times New Roman" w:hAnsi="Times New Roman" w:cs="Times New Roman" w:eastAsia="Times New Roman" w:hint="default"/>
                <w:spacing w:val="-1"/>
                <w:w w:val="99"/>
                <w:sz w:val="18"/>
                <w:szCs w:val="18"/>
              </w:rPr>
              <w:t>GIS</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BIM</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5"/>
                <w:sz w:val="18"/>
                <w:szCs w:val="18"/>
              </w:rPr>
              <w:t>技术应用研究）、推进信息化项目管理平台和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知识管理库的建设加强现有生态规划和绿色设计、咨询业务的生产效率和</w:t>
            </w:r>
            <w:r>
              <w:rPr>
                <w:rFonts w:ascii="宋体" w:hAnsi="宋体" w:cs="宋体" w:eastAsia="宋体" w:hint="default"/>
                <w:sz w:val="18"/>
                <w:szCs w:val="18"/>
              </w:rPr>
              <w:t> </w:t>
            </w:r>
            <w:r>
              <w:rPr>
                <w:rFonts w:ascii="宋体" w:hAnsi="宋体" w:cs="宋体" w:eastAsia="宋体" w:hint="default"/>
                <w:spacing w:val="-1"/>
                <w:w w:val="99"/>
                <w:sz w:val="18"/>
                <w:szCs w:val="18"/>
              </w:rPr>
              <w:t>产能增长。二是积极孵化绿色综合运营服务业务（</w:t>
            </w:r>
            <w:r>
              <w:rPr>
                <w:rFonts w:ascii="Times New Roman" w:hAnsi="Times New Roman" w:cs="Times New Roman" w:eastAsia="Times New Roman" w:hint="default"/>
                <w:spacing w:val="-1"/>
                <w:w w:val="99"/>
                <w:sz w:val="18"/>
                <w:szCs w:val="18"/>
              </w:rPr>
              <w:t>DOT</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15"/>
                <w:w w:val="99"/>
                <w:sz w:val="18"/>
                <w:szCs w:val="18"/>
              </w:rPr>
              <w:t>业务）。</w:t>
            </w:r>
            <w:r>
              <w:rPr>
                <w:rFonts w:ascii="Times New Roman" w:hAnsi="Times New Roman" w:cs="Times New Roman" w:eastAsia="Times New Roman" w:hint="default"/>
                <w:spacing w:val="-15"/>
                <w:w w:val="99"/>
                <w:sz w:val="18"/>
                <w:szCs w:val="18"/>
              </w:rPr>
              <w:t>DOT</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业务</w:t>
            </w:r>
            <w:r>
              <w:rPr>
                <w:rFonts w:ascii="宋体" w:hAnsi="宋体" w:cs="宋体" w:eastAsia="宋体" w:hint="default"/>
                <w:spacing w:val="-88"/>
                <w:sz w:val="18"/>
                <w:szCs w:val="18"/>
              </w:rPr>
              <w:t> </w:t>
            </w:r>
            <w:r>
              <w:rPr>
                <w:rFonts w:ascii="宋体" w:hAnsi="宋体" w:cs="宋体" w:eastAsia="宋体" w:hint="default"/>
                <w:sz w:val="18"/>
                <w:szCs w:val="18"/>
              </w:rPr>
              <w:t>是公司探索针对绿色建筑、绿色园区、绿色社区等全方位创新性业务。由</w:t>
            </w:r>
            <w:r>
              <w:rPr>
                <w:rFonts w:ascii="宋体" w:hAnsi="宋体" w:cs="宋体" w:eastAsia="宋体" w:hint="default"/>
                <w:sz w:val="18"/>
                <w:szCs w:val="18"/>
              </w:rPr>
              <w:t> 于绿色建筑的</w:t>
            </w:r>
            <w:r>
              <w:rPr>
                <w:rFonts w:ascii="Times New Roman" w:hAnsi="Times New Roman" w:cs="Times New Roman" w:eastAsia="Times New Roman" w:hint="default"/>
                <w:sz w:val="18"/>
                <w:szCs w:val="18"/>
              </w:rPr>
              <w:t>“</w:t>
            </w:r>
            <w:r>
              <w:rPr>
                <w:rFonts w:ascii="宋体" w:hAnsi="宋体" w:cs="宋体" w:eastAsia="宋体" w:hint="default"/>
                <w:sz w:val="18"/>
                <w:szCs w:val="18"/>
              </w:rPr>
              <w:t>绿色</w:t>
            </w:r>
            <w:r>
              <w:rPr>
                <w:rFonts w:ascii="Times New Roman" w:hAnsi="Times New Roman" w:cs="Times New Roman" w:eastAsia="Times New Roman" w:hint="default"/>
                <w:sz w:val="18"/>
                <w:szCs w:val="18"/>
              </w:rPr>
              <w:t>”</w:t>
            </w:r>
            <w:r>
              <w:rPr>
                <w:rFonts w:ascii="宋体" w:hAnsi="宋体" w:cs="宋体" w:eastAsia="宋体" w:hint="default"/>
                <w:sz w:val="18"/>
                <w:szCs w:val="18"/>
              </w:rPr>
              <w:t>不但体现在设计阶段，更重要体现在运营阶段。公司 利用自身在绿色技术服务的积累为客户提供绿色建筑、绿色园区、绿色社 区园设计、运营一体化服务，实现技术服务和收益的延伸，同时以绿色技 </w:t>
            </w:r>
            <w:r>
              <w:rPr>
                <w:rFonts w:ascii="宋体" w:hAnsi="宋体" w:cs="宋体" w:eastAsia="宋体" w:hint="default"/>
                <w:spacing w:val="-4"/>
                <w:sz w:val="18"/>
                <w:szCs w:val="18"/>
              </w:rPr>
              <w:t>术平台为核心，开展面对产业的技术孵化服务和产业聚集服务（绿色</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实验平台、数据中心的租赁和服务，行业交流和交易推广服务，技术和产</w:t>
            </w:r>
            <w:r>
              <w:rPr>
                <w:rFonts w:ascii="宋体" w:hAnsi="宋体" w:cs="宋体" w:eastAsia="宋体" w:hint="default"/>
                <w:sz w:val="18"/>
                <w:szCs w:val="18"/>
              </w:rPr>
              <w:t> </w:t>
            </w:r>
            <w:r>
              <w:rPr>
                <w:rFonts w:ascii="宋体" w:hAnsi="宋体" w:cs="宋体" w:eastAsia="宋体" w:hint="default"/>
                <w:spacing w:val="-3"/>
                <w:sz w:val="18"/>
                <w:szCs w:val="18"/>
              </w:rPr>
              <w:t>品的技术认证和测评服务，项目或企业的综合孵化服务等），实现跨界服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务和收益多元性。</w:t>
            </w:r>
            <w:r>
              <w:rPr>
                <w:rFonts w:ascii="Times New Roman" w:hAnsi="Times New Roman" w:cs="Times New Roman" w:eastAsia="Times New Roman" w:hint="default"/>
                <w:spacing w:val="-2"/>
                <w:sz w:val="18"/>
                <w:szCs w:val="18"/>
              </w:rPr>
              <w:t>DOT</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业务主要分为项目启动立项、策划规划、设计总包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管理、建设管理、园区运营和移交等阶段。公司将在上海钢琴厂低碳化升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2-31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6"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r>
        <w:rPr/>
        <w:pict>
          <v:shape style="position:absolute;margin-left:278.641998pt;margin-top:72.475983pt;width:196.1pt;height:686.5pt;mso-position-horizontal-relative:page;mso-position-vertical-relative:page;z-index:-1021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5"/>
                    <w:ind w:left="0" w:right="0"/>
                    <w:jc w:val="left"/>
                  </w:pPr>
                  <w:r>
                    <w:rPr/>
                    <w:t>众客户提供具有第三方公信力的技术服务，</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1798" w:right="0"/>
                    <w:jc w:val="left"/>
                  </w:pPr>
                  <w:r>
                    <w:rPr/>
                    <w:t>做好相关决策工作，</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7"/>
                      <w:szCs w:val="17"/>
                    </w:rPr>
                  </w:pPr>
                </w:p>
                <w:p>
                  <w:pPr>
                    <w:pStyle w:val="BodyText"/>
                    <w:spacing w:line="240" w:lineRule="auto"/>
                    <w:ind w:left="0" w:right="0" w:firstLine="3241"/>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6"/>
                      <w:szCs w:val="26"/>
                    </w:rPr>
                  </w:pPr>
                </w:p>
                <w:p>
                  <w:pPr>
                    <w:pStyle w:val="BodyText"/>
                    <w:spacing w:line="240" w:lineRule="auto"/>
                    <w:ind w:left="0" w:right="0"/>
                    <w:jc w:val="left"/>
                  </w:pPr>
                  <w:r>
                    <w:rPr/>
                    <w:t>股东依法享有的现金分红等资产收益权利，</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707"/>
        <w:gridCol w:w="710"/>
        <w:gridCol w:w="566"/>
        <w:gridCol w:w="5814"/>
        <w:gridCol w:w="566"/>
        <w:gridCol w:w="566"/>
        <w:gridCol w:w="636"/>
      </w:tblGrid>
      <w:tr>
        <w:trPr>
          <w:trHeight w:val="322" w:hRule="exact"/>
        </w:trPr>
        <w:tc>
          <w:tcPr>
            <w:tcW w:w="707" w:type="dxa"/>
            <w:vMerge w:val="restart"/>
            <w:tcBorders>
              <w:top w:val="single" w:sz="4" w:space="0" w:color="000000"/>
              <w:left w:val="single" w:sz="4" w:space="0" w:color="000000"/>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8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级改造及运营（</w:t>
            </w:r>
            <w:r>
              <w:rPr>
                <w:rFonts w:ascii="Times New Roman" w:hAnsi="Times New Roman" w:cs="Times New Roman" w:eastAsia="Times New Roman" w:hint="default"/>
                <w:sz w:val="18"/>
                <w:szCs w:val="18"/>
              </w:rPr>
              <w:t>DOT</w:t>
            </w:r>
            <w:r>
              <w:rPr>
                <w:rFonts w:ascii="宋体" w:hAnsi="宋体" w:cs="宋体" w:eastAsia="宋体" w:hint="default"/>
                <w:sz w:val="18"/>
                <w:szCs w:val="18"/>
              </w:rPr>
              <w:t>）项目、深圳国际低碳城会展中心绿色运营项目等试</w:t>
            </w:r>
          </w:p>
        </w:tc>
        <w:tc>
          <w:tcPr>
            <w:tcW w:w="566"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27.85pt;height:686.5pt;mso-position-horizontal-relative:char;mso-position-vertical-relative:line" coordorigin="0,0" coordsize="557,13730">
                  <v:group style="position:absolute;left:0;top:0;width:557;height:13730" coordorigin="0,0" coordsize="557,13730">
                    <v:shape style="position:absolute;left:0;top:0;width:557;height:13730" coordorigin="0,0" coordsize="557,13730" path="m0,13730l557,13730,557,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566"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点项目的实践和研究基础上，加快</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DOT</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业务模式的探索和扩展，在全国</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大重点地区实现项目落地。三是加快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B2C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模式的绿色技术服务业务的拓</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展。公信服务业务是基于绿色环保理念的服务模式，针对公众客户开展绿</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色人居环境技术服务的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B2B2C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模式，基于第三方测评和技术顾问，把健</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康、环保、优质的产品和服务推荐给最需要的客户和消费者。公司将以技</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术平台、实验平台、行业资源平台为支撑，建设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B2B2C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业务运营平台和</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7"/>
                <w:sz w:val="18"/>
                <w:szCs w:val="18"/>
              </w:rPr>
              <w:t>渠道，建立网络门户平台，为公</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形成新的业务增长点</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）应收账款的风险及改进措施</w:t>
            </w:r>
            <w:r>
              <w:rPr>
                <w:rFonts w:ascii="宋体" w:hAnsi="宋体" w:cs="宋体" w:eastAsia="宋体" w:hint="default"/>
                <w:spacing w:val="1"/>
                <w:sz w:val="18"/>
                <w:szCs w:val="18"/>
              </w:rPr>
              <w:t> </w:t>
            </w:r>
            <w:r>
              <w:rPr>
                <w:rFonts w:ascii="宋体" w:hAnsi="宋体" w:cs="宋体" w:eastAsia="宋体" w:hint="default"/>
                <w:sz w:val="18"/>
                <w:szCs w:val="18"/>
              </w:rPr>
              <w:t>报告期各期末，</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公司应收账款账面价值较大。未来随着公司销售规模的扩大，应收账款可</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能继续增加，将给公司带来较大的营运资金压力和一定的经营风险。</w:t>
            </w:r>
            <w:r>
              <w:rPr>
                <w:rFonts w:ascii="宋体" w:hAnsi="宋体" w:cs="宋体" w:eastAsia="宋体" w:hint="default"/>
                <w:spacing w:val="2"/>
                <w:sz w:val="18"/>
                <w:szCs w:val="18"/>
              </w:rPr>
              <w:t> </w:t>
            </w:r>
            <w:r>
              <w:rPr>
                <w:rFonts w:ascii="宋体" w:hAnsi="宋体" w:cs="宋体" w:eastAsia="宋体" w:hint="default"/>
                <w:sz w:val="18"/>
                <w:szCs w:val="18"/>
              </w:rPr>
              <w:t>为</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了应对上述风险，公司拟紧密关注外部环境变化趋势，</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加强客户信用和财务风险评估，加大应收账款控制力度，保障资产安全；</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充分利用财务政策，加速货款回笼</w:t>
            </w:r>
            <w:r>
              <w:rPr>
                <w:rFonts w:ascii="宋体" w:hAnsi="宋体" w:cs="宋体" w:eastAsia="宋体" w:hint="default"/>
                <w:spacing w:val="-92"/>
                <w:sz w:val="18"/>
                <w:szCs w:val="18"/>
              </w:rPr>
              <w:t>。</w:t>
            </w:r>
            <w:r>
              <w:rPr>
                <w:rFonts w:ascii="宋体" w:hAnsi="宋体" w:cs="宋体" w:eastAsia="宋体" w:hint="default"/>
                <w:sz w:val="18"/>
                <w:szCs w:val="18"/>
              </w:rPr>
              <w:t>（二）加快公司募投项</w:t>
            </w:r>
            <w:r>
              <w:rPr>
                <w:rFonts w:ascii="宋体" w:hAnsi="宋体" w:cs="宋体" w:eastAsia="宋体" w:hint="default"/>
                <w:spacing w:val="2"/>
                <w:sz w:val="18"/>
                <w:szCs w:val="18"/>
              </w:rPr>
              <w:t>目</w:t>
            </w:r>
            <w:r>
              <w:rPr>
                <w:rFonts w:ascii="宋体" w:hAnsi="宋体" w:cs="宋体" w:eastAsia="宋体" w:hint="default"/>
                <w:sz w:val="18"/>
                <w:szCs w:val="18"/>
              </w:rPr>
              <w:t>建设，提高</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tabs>
                <w:tab w:pos="5485" w:val="left" w:leader="none"/>
              </w:tabs>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日常运营效率，降低公司运营成本，提升公司经营业绩的措施</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tab/>
            </w:r>
            <w:r>
              <w:rPr>
                <w:rFonts w:ascii="宋体" w:hAnsi="宋体" w:cs="宋体" w:eastAsia="宋体" w:hint="default"/>
                <w:sz w:val="18"/>
                <w:szCs w:val="18"/>
              </w:rPr>
              <w:t>加</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强募集资金管理，加快募投项目投资进度；公司制定了《募集资金使用管</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理办法</w:t>
            </w:r>
            <w:r>
              <w:rPr>
                <w:rFonts w:ascii="宋体" w:hAnsi="宋体" w:cs="宋体" w:eastAsia="宋体" w:hint="default"/>
                <w:spacing w:val="-92"/>
                <w:sz w:val="18"/>
                <w:szCs w:val="18"/>
              </w:rPr>
              <w:t>》</w:t>
            </w:r>
            <w:r>
              <w:rPr>
                <w:rFonts w:ascii="宋体" w:hAnsi="宋体" w:cs="宋体" w:eastAsia="宋体" w:hint="default"/>
                <w:sz w:val="18"/>
                <w:szCs w:val="18"/>
              </w:rPr>
              <w:t>，实行募集资金专户</w:t>
            </w:r>
            <w:r>
              <w:rPr>
                <w:rFonts w:ascii="宋体" w:hAnsi="宋体" w:cs="宋体" w:eastAsia="宋体" w:hint="default"/>
                <w:spacing w:val="2"/>
                <w:sz w:val="18"/>
                <w:szCs w:val="18"/>
              </w:rPr>
              <w:t>存</w:t>
            </w:r>
            <w:r>
              <w:rPr>
                <w:rFonts w:ascii="宋体" w:hAnsi="宋体" w:cs="宋体" w:eastAsia="宋体" w:hint="default"/>
                <w:sz w:val="18"/>
                <w:szCs w:val="18"/>
              </w:rPr>
              <w:t>储制度，公司募集资金存放于董事会决定</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的专项账户集中管理，保证募集资金的安全性和专用性，做到专款专用。</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本次发行募集资金到位后，公司将加快推进募集资金投资项目建设，争取</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募投项目早日达产并实现预期效益。募集资金到位前，为把握市场机会以</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及满足生产经营需要，公司将通过多种渠道积极筹措资金，先行投入建设</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募集资金投资项目，争取尽早实现项目预期收益，增强股东回报。</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加</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大市场开拓力度</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）公司继续深化营销体系改革，强化大客户和区域营</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销机制</w:t>
            </w:r>
            <w:r>
              <w:rPr>
                <w:rFonts w:ascii="宋体" w:hAnsi="宋体" w:cs="宋体" w:eastAsia="宋体" w:hint="default"/>
                <w:spacing w:val="-32"/>
                <w:sz w:val="18"/>
                <w:szCs w:val="18"/>
              </w:rPr>
              <w:t>，</w:t>
            </w:r>
            <w:r>
              <w:rPr>
                <w:rFonts w:ascii="宋体" w:hAnsi="宋体" w:cs="宋体" w:eastAsia="宋体" w:hint="default"/>
                <w:sz w:val="18"/>
                <w:szCs w:val="18"/>
              </w:rPr>
              <w:t>加大经营授权</w:t>
            </w:r>
            <w:r>
              <w:rPr>
                <w:rFonts w:ascii="宋体" w:hAnsi="宋体" w:cs="宋体" w:eastAsia="宋体" w:hint="default"/>
                <w:spacing w:val="-32"/>
                <w:sz w:val="18"/>
                <w:szCs w:val="18"/>
              </w:rPr>
              <w:t>，</w:t>
            </w:r>
            <w:r>
              <w:rPr>
                <w:rFonts w:ascii="宋体" w:hAnsi="宋体" w:cs="宋体" w:eastAsia="宋体" w:hint="default"/>
                <w:sz w:val="18"/>
                <w:szCs w:val="18"/>
              </w:rPr>
              <w:t>逐步推行针对产品和特定客户的事业部机制</w:t>
            </w:r>
            <w:r>
              <w:rPr>
                <w:rFonts w:ascii="宋体" w:hAnsi="宋体" w:cs="宋体" w:eastAsia="宋体" w:hint="default"/>
                <w:spacing w:val="-123"/>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结合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DOT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业务的拓展和公信检测基地建设，完成全国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大区域市场营销</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和营运平台建设，提高区域市场属地化生产服务。</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12"/>
                <w:sz w:val="18"/>
                <w:szCs w:val="18"/>
              </w:rPr>
              <w:t>.</w:t>
            </w:r>
            <w:r>
              <w:rPr>
                <w:rFonts w:ascii="宋体" w:hAnsi="宋体" w:cs="宋体" w:eastAsia="宋体" w:hint="default"/>
                <w:sz w:val="18"/>
                <w:szCs w:val="18"/>
              </w:rPr>
              <w:t>加强内部控制</w:t>
            </w:r>
            <w:r>
              <w:rPr>
                <w:rFonts w:ascii="宋体" w:hAnsi="宋体" w:cs="宋体" w:eastAsia="宋体" w:hint="default"/>
                <w:spacing w:val="-65"/>
                <w:sz w:val="18"/>
                <w:szCs w:val="18"/>
              </w:rPr>
              <w:t>，</w:t>
            </w:r>
            <w:r>
              <w:rPr>
                <w:rFonts w:ascii="宋体" w:hAnsi="宋体" w:cs="宋体" w:eastAsia="宋体" w:hint="default"/>
                <w:sz w:val="18"/>
                <w:szCs w:val="18"/>
              </w:rPr>
              <w:t>提升</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运营效率和盈利能力</w:t>
            </w:r>
            <w:r>
              <w:rPr>
                <w:rFonts w:ascii="宋体" w:hAnsi="宋体" w:cs="宋体" w:eastAsia="宋体" w:hint="default"/>
                <w:spacing w:val="1"/>
                <w:sz w:val="18"/>
                <w:szCs w:val="18"/>
              </w:rPr>
              <w:t> </w:t>
            </w:r>
            <w:r>
              <w:rPr>
                <w:rFonts w:ascii="宋体" w:hAnsi="宋体" w:cs="宋体" w:eastAsia="宋体" w:hint="default"/>
                <w:sz w:val="18"/>
                <w:szCs w:val="18"/>
              </w:rPr>
              <w:t>公司将全面推行</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乐活工社</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75"/>
                <w:sz w:val="18"/>
                <w:szCs w:val="18"/>
              </w:rPr>
              <w:t>，</w:t>
            </w:r>
            <w:r>
              <w:rPr>
                <w:rFonts w:ascii="宋体" w:hAnsi="宋体" w:cs="宋体" w:eastAsia="宋体" w:hint="default"/>
                <w:sz w:val="18"/>
                <w:szCs w:val="18"/>
              </w:rPr>
              <w:t>在平台上</w:t>
            </w:r>
            <w:r>
              <w:rPr>
                <w:rFonts w:ascii="宋体" w:hAnsi="宋体" w:cs="宋体" w:eastAsia="宋体" w:hint="default"/>
                <w:spacing w:val="2"/>
                <w:sz w:val="18"/>
                <w:szCs w:val="18"/>
              </w:rPr>
              <w:t>实</w:t>
            </w:r>
            <w:r>
              <w:rPr>
                <w:rFonts w:ascii="宋体" w:hAnsi="宋体" w:cs="宋体" w:eastAsia="宋体" w:hint="default"/>
                <w:sz w:val="18"/>
                <w:szCs w:val="18"/>
              </w:rPr>
              <w:t>现项目全过</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程管理，对项目实行工作任务分解。员工在乐活平台上公开竞包，自我管</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理工作时间和薪酬兑现，激励员工工作积极性。同时通过</w:t>
            </w:r>
            <w:r>
              <w:rPr>
                <w:rFonts w:ascii="Times New Roman" w:hAnsi="Times New Roman" w:cs="Times New Roman" w:eastAsia="Times New Roman" w:hint="default"/>
                <w:sz w:val="18"/>
                <w:szCs w:val="18"/>
              </w:rPr>
              <w:t>“</w:t>
            </w:r>
            <w:r>
              <w:rPr>
                <w:rFonts w:ascii="宋体" w:hAnsi="宋体" w:cs="宋体" w:eastAsia="宋体" w:hint="default"/>
                <w:sz w:val="18"/>
                <w:szCs w:val="18"/>
              </w:rPr>
              <w:t>乐活工社</w:t>
            </w:r>
            <w:r>
              <w:rPr>
                <w:rFonts w:ascii="Times New Roman" w:hAnsi="Times New Roman" w:cs="Times New Roman" w:eastAsia="Times New Roman" w:hint="default"/>
                <w:sz w:val="18"/>
                <w:szCs w:val="18"/>
              </w:rPr>
              <w:t>”</w:t>
            </w:r>
            <w:r>
              <w:rPr>
                <w:rFonts w:ascii="宋体" w:hAnsi="宋体" w:cs="宋体" w:eastAsia="宋体" w:hint="default"/>
                <w:sz w:val="18"/>
                <w:szCs w:val="18"/>
              </w:rPr>
              <w:t>平台</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实现对员工的工作贡献的量化评价，推行基于员工贡献值的特别激励制</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tabs>
                <w:tab w:pos="864" w:val="left" w:leader="none"/>
              </w:tabs>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4.</w:t>
              <w:tab/>
            </w:r>
            <w:r>
              <w:rPr>
                <w:rFonts w:ascii="宋体" w:hAnsi="宋体" w:cs="宋体" w:eastAsia="宋体" w:hint="default"/>
                <w:sz w:val="18"/>
                <w:szCs w:val="18"/>
              </w:rPr>
              <w:t>完善利润分配制度，强化投资者回报机制</w:t>
            </w:r>
            <w:r>
              <w:rPr>
                <w:rFonts w:ascii="宋体" w:hAnsi="宋体" w:cs="宋体" w:eastAsia="宋体" w:hint="default"/>
                <w:spacing w:val="-33"/>
                <w:sz w:val="18"/>
                <w:szCs w:val="18"/>
              </w:rPr>
              <w:t> </w:t>
            </w:r>
            <w:r>
              <w:rPr>
                <w:rFonts w:ascii="宋体" w:hAnsi="宋体" w:cs="宋体" w:eastAsia="宋体" w:hint="default"/>
                <w:sz w:val="18"/>
                <w:szCs w:val="18"/>
              </w:rPr>
              <w:t>公司已根据中国证监</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会发布的《关于进一步落实上市公司现金分红有关事项的通知</w:t>
            </w:r>
            <w:r>
              <w:rPr>
                <w:rFonts w:ascii="宋体" w:hAnsi="宋体" w:cs="宋体" w:eastAsia="宋体" w:hint="default"/>
                <w:spacing w:val="-92"/>
                <w:sz w:val="18"/>
                <w:szCs w:val="18"/>
              </w:rPr>
              <w:t>》</w:t>
            </w:r>
            <w:r>
              <w:rPr>
                <w:rFonts w:ascii="宋体" w:hAnsi="宋体" w:cs="宋体" w:eastAsia="宋体" w:hint="default"/>
                <w:sz w:val="18"/>
                <w:szCs w:val="18"/>
              </w:rPr>
              <w:t>（证监发</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37  </w:t>
            </w:r>
            <w:r>
              <w:rPr>
                <w:rFonts w:ascii="宋体" w:hAnsi="宋体" w:cs="宋体" w:eastAsia="宋体" w:hint="default"/>
                <w:sz w:val="18"/>
                <w:szCs w:val="18"/>
              </w:rPr>
              <w:t>号）及《上市公司监管指引第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等项规定，制订了上市后适用的《深圳市建筑科学研究院股份有限公司章</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程</w:t>
            </w: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就利润分配政</w:t>
            </w:r>
            <w:r>
              <w:rPr>
                <w:rFonts w:ascii="宋体" w:hAnsi="宋体" w:cs="宋体" w:eastAsia="宋体" w:hint="default"/>
                <w:spacing w:val="2"/>
                <w:sz w:val="18"/>
                <w:szCs w:val="18"/>
              </w:rPr>
              <w:t>策</w:t>
            </w:r>
            <w:r>
              <w:rPr>
                <w:rFonts w:ascii="宋体" w:hAnsi="宋体" w:cs="宋体" w:eastAsia="宋体" w:hint="default"/>
                <w:sz w:val="18"/>
                <w:szCs w:val="18"/>
              </w:rPr>
              <w:t>尤其是现金分红政策的相关事项进行了明确</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规定，并制定了《深圳市建筑科学研究院股份有限公司长期分红回报规</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划</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充分维护上市后公司全体</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tabs>
                <w:tab w:pos="2544" w:val="left" w:leader="none"/>
              </w:tabs>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提升公司未来回报能力。</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w:t>
              <w:tab/>
            </w:r>
            <w:r>
              <w:rPr>
                <w:rFonts w:ascii="宋体" w:hAnsi="宋体" w:cs="宋体" w:eastAsia="宋体" w:hint="default"/>
                <w:sz w:val="18"/>
                <w:szCs w:val="18"/>
              </w:rPr>
              <w:t>公司承诺将根据中国证监会、深圳证券交</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易所后续出台的实施细则，持续完善填补被摊薄即期回报的各项措施。</w:t>
            </w:r>
            <w:r>
              <w:rPr>
                <w:rFonts w:ascii="宋体" w:hAnsi="宋体" w:cs="宋体" w:eastAsia="宋体" w:hint="default"/>
                <w:spacing w:val="-33"/>
                <w:sz w:val="18"/>
                <w:szCs w:val="18"/>
              </w:rPr>
              <w:t> </w:t>
            </w:r>
            <w:r>
              <w:rPr>
                <w:rFonts w:ascii="宋体" w:hAnsi="宋体" w:cs="宋体" w:eastAsia="宋体" w:hint="default"/>
                <w:sz w:val="18"/>
                <w:szCs w:val="18"/>
              </w:rPr>
              <w:t>上</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述填补回报措施不等于对公司未来利润做出保证。</w:t>
            </w:r>
            <w:r>
              <w:rPr>
                <w:rFonts w:ascii="宋体" w:hAnsi="宋体" w:cs="宋体" w:eastAsia="宋体" w:hint="default"/>
                <w:spacing w:val="2"/>
                <w:sz w:val="18"/>
                <w:szCs w:val="18"/>
              </w:rPr>
              <w:t> </w:t>
            </w:r>
            <w:r>
              <w:rPr>
                <w:rFonts w:ascii="宋体" w:hAnsi="宋体" w:cs="宋体" w:eastAsia="宋体" w:hint="default"/>
                <w:sz w:val="18"/>
                <w:szCs w:val="18"/>
              </w:rPr>
              <w:t>就填补回报措施，公</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司控股股东作出如下承诺：</w:t>
            </w:r>
            <w:r>
              <w:rPr>
                <w:rFonts w:ascii="宋体" w:hAnsi="宋体" w:cs="宋体" w:eastAsia="宋体" w:hint="default"/>
                <w:spacing w:val="-20"/>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）本公司承诺不得越权干预公司经营管理</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活动，不得侵占公司利益；</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）在中国证监会、深圳证券交易所另行发</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布摊薄即期填补回报措施及其承诺的相关意见及实施细则后，如果公司的</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相关规定及本公司承诺与该等规定不符时，本公司承诺将立即按照中国证</w:t>
            </w: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bl>
    <w:p>
      <w:pPr>
        <w:spacing w:after="0"/>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r>
        <w:rPr/>
        <w:pict>
          <v:shape style="position:absolute;margin-left:377.713013pt;margin-top:72.47998pt;width:97pt;height:438.95pt;mso-position-horizontal-relative:page;mso-position-vertical-relative:page;z-index:-1021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0"/>
                    <w:jc w:val="left"/>
                  </w:pPr>
                  <w:r>
                    <w:rPr/>
                    <w:t>本公司承诺全面、</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707"/>
        <w:gridCol w:w="710"/>
        <w:gridCol w:w="566"/>
        <w:gridCol w:w="5814"/>
        <w:gridCol w:w="566"/>
        <w:gridCol w:w="566"/>
        <w:gridCol w:w="636"/>
      </w:tblGrid>
      <w:tr>
        <w:trPr>
          <w:trHeight w:val="317" w:hRule="exact"/>
        </w:trPr>
        <w:tc>
          <w:tcPr>
            <w:tcW w:w="707" w:type="dxa"/>
            <w:vMerge w:val="restart"/>
            <w:tcBorders>
              <w:top w:val="single" w:sz="4" w:space="0" w:color="000000"/>
              <w:left w:val="single" w:sz="4" w:space="0" w:color="000000"/>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8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监会及深圳证券交易所的规定出具补充承诺，并积极推进公司作出新的规</w:t>
            </w:r>
          </w:p>
        </w:tc>
        <w:tc>
          <w:tcPr>
            <w:tcW w:w="566" w:type="dxa"/>
            <w:vMerge w:val="restart"/>
            <w:tcBorders>
              <w:top w:val="single" w:sz="4" w:space="0" w:color="000000"/>
              <w:left w:val="single" w:sz="4" w:space="0" w:color="000000"/>
              <w:right w:val="single" w:sz="4" w:space="0" w:color="000000"/>
            </w:tcBorders>
          </w:tcPr>
          <w:p>
            <w:pPr>
              <w:pStyle w:val="TableParagraph"/>
              <w:spacing w:line="877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5"/>
                <w:sz w:val="20"/>
                <w:szCs w:val="20"/>
              </w:rPr>
              <w:pict>
                <v:group style="width:27.85pt;height:438.95pt;mso-position-horizontal-relative:char;mso-position-vertical-relative:line" coordorigin="0,0" coordsize="557,8779">
                  <v:group style="position:absolute;left:0;top:0;width:557;height:8779" coordorigin="0,0" coordsize="557,8779">
                    <v:shape style="position:absolute;left:0;top:0;width:557;height:8779" coordorigin="0,0" coordsize="557,8779" path="m0,8778l557,8778,557,0,0,0,0,8778xe" filled="true" fillcolor="#ffffff" stroked="false">
                      <v:path arrowok="t"/>
                      <v:fill type="solid"/>
                    </v:shape>
                  </v:group>
                </v:group>
              </w:pict>
            </w:r>
            <w:r>
              <w:rPr>
                <w:rFonts w:ascii="Times New Roman" w:hAnsi="Times New Roman" w:cs="Times New Roman" w:eastAsia="Times New Roman" w:hint="default"/>
                <w:position w:val="-175"/>
                <w:sz w:val="20"/>
                <w:szCs w:val="20"/>
              </w:rPr>
            </w:r>
          </w:p>
        </w:tc>
        <w:tc>
          <w:tcPr>
            <w:tcW w:w="566"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定，以符合中国证监会及深圳证券交易所的要求；</w:t>
            </w:r>
            <w:r>
              <w:rPr>
                <w:rFonts w:ascii="宋体" w:hAnsi="宋体" w:cs="宋体" w:eastAsia="宋体" w:hint="default"/>
                <w:spacing w:val="-6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完整、及时履行公司制定的有关填补回报措施以及本公司对此作出的任何</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有关填补回报措施的承诺。若本公司违反该等承诺，给公司或者其他股东</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造成损失的，本公司愿意：</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）在股东大会及中国证监会指定报刊公开作</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出解释并道歉；</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）依法承担对公司和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或其他股东的补偿责任；</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）无条件</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接受中国证监会和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或深圳证券交易所等证券监管机构按照其制定或发布</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的有关规定、规则，对本公司作出的处罚或采取的相关监管措施。</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全体董事、高级管理人员作出如下承诺：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）承诺不得无偿或以不公</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平条件向其他单位或者个人输送利益，也不得采用其他方式损害公司利</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）承诺对本人的职务消费行为进行约束，必要的职务消费行为应</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低于平均水平</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3"/>
                <w:sz w:val="18"/>
                <w:szCs w:val="18"/>
              </w:rPr>
              <w:t>）</w:t>
            </w:r>
            <w:r>
              <w:rPr>
                <w:rFonts w:ascii="宋体" w:hAnsi="宋体" w:cs="宋体" w:eastAsia="宋体" w:hint="default"/>
                <w:sz w:val="18"/>
                <w:szCs w:val="18"/>
              </w:rPr>
              <w:t>承诺不得动用公司资产从事与本人履行职责无关的投</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资、消费活动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）承诺积</w:t>
            </w:r>
            <w:r>
              <w:rPr>
                <w:rFonts w:ascii="宋体" w:hAnsi="宋体" w:cs="宋体" w:eastAsia="宋体" w:hint="default"/>
                <w:spacing w:val="-3"/>
                <w:sz w:val="18"/>
                <w:szCs w:val="18"/>
              </w:rPr>
              <w:t>极</w:t>
            </w:r>
            <w:r>
              <w:rPr>
                <w:rFonts w:ascii="宋体" w:hAnsi="宋体" w:cs="宋体" w:eastAsia="宋体" w:hint="default"/>
                <w:sz w:val="18"/>
                <w:szCs w:val="18"/>
              </w:rPr>
              <w:t>推动公司薪酬制度的完善，使之更符合摊薄</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即期填补回报的要求；支持公司董事会或薪酬与考核委员会在制订、修改</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补充公司的薪酬制度时与公司填补回报措施的执行情况相挂钩，并在董事</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会上对相关议案投赞成票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）承诺在推动公司股权激励</w:t>
            </w:r>
            <w:r>
              <w:rPr>
                <w:rFonts w:ascii="宋体" w:hAnsi="宋体" w:cs="宋体" w:eastAsia="宋体" w:hint="default"/>
                <w:spacing w:val="-3"/>
                <w:sz w:val="18"/>
                <w:szCs w:val="18"/>
              </w:rPr>
              <w:t>（</w:t>
            </w:r>
            <w:r>
              <w:rPr>
                <w:rFonts w:ascii="宋体" w:hAnsi="宋体" w:cs="宋体" w:eastAsia="宋体" w:hint="default"/>
                <w:sz w:val="18"/>
                <w:szCs w:val="18"/>
              </w:rPr>
              <w:t>如有）时，应</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使股权激励行权条件与公司填补回报措施的执行情况相挂钩，并在董事会</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上对相关议案投赞成票</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）在中国证监会</w:t>
            </w:r>
            <w:r>
              <w:rPr>
                <w:rFonts w:ascii="宋体" w:hAnsi="宋体" w:cs="宋体" w:eastAsia="宋体" w:hint="default"/>
                <w:spacing w:val="-3"/>
                <w:sz w:val="18"/>
                <w:szCs w:val="18"/>
              </w:rPr>
              <w:t>、</w:t>
            </w:r>
            <w:r>
              <w:rPr>
                <w:rFonts w:ascii="宋体" w:hAnsi="宋体" w:cs="宋体" w:eastAsia="宋体" w:hint="default"/>
                <w:sz w:val="18"/>
                <w:szCs w:val="18"/>
              </w:rPr>
              <w:t>深圳证券交</w:t>
            </w:r>
            <w:r>
              <w:rPr>
                <w:rFonts w:ascii="宋体" w:hAnsi="宋体" w:cs="宋体" w:eastAsia="宋体" w:hint="default"/>
                <w:spacing w:val="2"/>
                <w:sz w:val="18"/>
                <w:szCs w:val="18"/>
              </w:rPr>
              <w:t>易</w:t>
            </w:r>
            <w:r>
              <w:rPr>
                <w:rFonts w:ascii="宋体" w:hAnsi="宋体" w:cs="宋体" w:eastAsia="宋体" w:hint="default"/>
                <w:sz w:val="18"/>
                <w:szCs w:val="18"/>
              </w:rPr>
              <w:t>所另行发布摊</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薄即期填补回报措施及其承诺的相关意见及实施细则后，如果公司的相关</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规定及本人承诺与该等规定不符时，本人承诺将立即按照中国证监会及深</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圳证券交易所的规定出具补充承诺，并积极推进公司作出新的规定，以符</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合中国证监会及深圳证券交易所的要求</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）本人承诺全</w:t>
            </w:r>
            <w:r>
              <w:rPr>
                <w:rFonts w:ascii="宋体" w:hAnsi="宋体" w:cs="宋体" w:eastAsia="宋体" w:hint="default"/>
                <w:spacing w:val="-3"/>
                <w:sz w:val="18"/>
                <w:szCs w:val="18"/>
              </w:rPr>
              <w:t>面</w:t>
            </w:r>
            <w:r>
              <w:rPr>
                <w:rFonts w:ascii="宋体" w:hAnsi="宋体" w:cs="宋体" w:eastAsia="宋体" w:hint="default"/>
                <w:sz w:val="18"/>
                <w:szCs w:val="18"/>
              </w:rPr>
              <w:t>、完整、及时</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履行公司制定的有关填补回报措施以及本人对此作出的任何有关填补回</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报措施的承诺。若本人违反该等承诺，给公司或者股东造成损失的，本人</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愿意：</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）在股东大会及中国证监会指定报刊公开作出解释并道歉；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）依</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法承担对公司和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或股东的补偿责任；</w:t>
            </w:r>
            <w:r>
              <w:rPr>
                <w:rFonts w:ascii="Times New Roman" w:hAnsi="Times New Roman" w:cs="Times New Roman" w:eastAsia="Times New Roman" w:hint="default"/>
                <w:sz w:val="18"/>
                <w:szCs w:val="18"/>
              </w:rPr>
              <w:t>3</w:t>
            </w:r>
            <w:r>
              <w:rPr>
                <w:rFonts w:ascii="宋体" w:hAnsi="宋体" w:cs="宋体" w:eastAsia="宋体" w:hint="default"/>
                <w:sz w:val="18"/>
                <w:szCs w:val="18"/>
              </w:rPr>
              <w:t>）无条件接受中国证监会和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或深圳</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证券交易所等证券监管机构按照其制定或发布的有关规定、规则，对本人</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57"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作出的处罚或采取的相关监管措施。</w:t>
            </w:r>
            <w:r>
              <w:rPr>
                <w:rFonts w:ascii="Times New Roman" w:hAnsi="Times New Roman" w:cs="Times New Roman" w:eastAsia="Times New Roman" w:hint="default"/>
                <w:sz w:val="18"/>
                <w:szCs w:val="18"/>
              </w:rPr>
              <w:t>”</w:t>
            </w: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58" w:hRule="exact"/>
        </w:trPr>
        <w:tc>
          <w:tcPr>
            <w:tcW w:w="707" w:type="dxa"/>
            <w:vMerge/>
            <w:tcBorders>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8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若本公司招股说明书有虚假记载、误导性陈述或者重大遗漏，对判断本公</w:t>
            </w: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566" w:type="dxa"/>
            <w:tcBorders>
              <w:top w:val="nil" w:sz="6" w:space="0" w:color="auto"/>
              <w:left w:val="single" w:sz="4" w:space="0" w:color="000000"/>
              <w:bottom w:val="nil" w:sz="6" w:space="0" w:color="auto"/>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司是否符合法律规定的发行条件构成重大、实质影响的，公司将依法回购</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0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建筑科</w:t>
            </w:r>
          </w:p>
        </w:tc>
        <w:tc>
          <w:tcPr>
            <w:tcW w:w="566" w:type="dxa"/>
            <w:tcBorders>
              <w:top w:val="nil" w:sz="6" w:space="0" w:color="auto"/>
              <w:left w:val="single" w:sz="4" w:space="0" w:color="000000"/>
              <w:bottom w:val="nil" w:sz="6" w:space="0" w:color="auto"/>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首次公开发行的全部新股，回购价格不低于公司首次公开发行股份的发行</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学研究</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价，期间公司如有派发股利、送股、转增股本等除权除息事项，上述价格</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t>9999-1</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正常履</w:t>
            </w: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院股份</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相应调整，并在有权部门作出行政处罚或人民法院作出相关判决之日起启</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t>2-31</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行中</w:t>
            </w: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566" w:type="dxa"/>
            <w:tcBorders>
              <w:top w:val="nil" w:sz="6" w:space="0" w:color="auto"/>
              <w:left w:val="single" w:sz="4" w:space="0" w:color="000000"/>
              <w:bottom w:val="nil" w:sz="6" w:space="0" w:color="auto"/>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动回购决策程序，在公司股东大会决议做出之日起次日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个交易日内实</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0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66" w:type="dxa"/>
            <w:tcBorders>
              <w:top w:val="nil" w:sz="6" w:space="0" w:color="auto"/>
              <w:left w:val="single" w:sz="4" w:space="0" w:color="000000"/>
              <w:bottom w:val="nil" w:sz="6" w:space="0" w:color="auto"/>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施完毕。若本公司招股说明书有虚假记载、误导性陈述或者重大遗漏，致</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70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使投资者在证券交易中遭受损失的，本公司将依法赔偿投资者损失。</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07" w:type="dxa"/>
            <w:vMerge/>
            <w:tcBorders>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8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公司实际控制人深圳市国资委承诺：远致投资作为发行人的控股股东，已</w:t>
            </w: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297" w:hRule="exact"/>
        </w:trPr>
        <w:tc>
          <w:tcPr>
            <w:tcW w:w="70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就发行人上市招股说明书事宜作出公开承诺。如经中国证监会等有权监管</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566" w:type="dxa"/>
            <w:tcBorders>
              <w:top w:val="nil" w:sz="6" w:space="0" w:color="auto"/>
              <w:left w:val="single" w:sz="4" w:space="0" w:color="000000"/>
              <w:bottom w:val="nil" w:sz="6" w:space="0" w:color="auto"/>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机构或司法机构认定，发行人上市的招股说明书有虚假记载、误导性陈述</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sz w:val="18"/>
              </w:rPr>
              <w:t>2017</w:t>
            </w: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远致投</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或者重大遗漏，导致对判断发行人是否符合法律规定的发行条件构成实质</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4" w:right="0"/>
              <w:jc w:val="left"/>
              <w:rPr>
                <w:rFonts w:ascii="Times New Roman" w:hAnsi="Times New Roman" w:cs="Times New Roman" w:eastAsia="Times New Roman" w:hint="default"/>
                <w:sz w:val="18"/>
                <w:szCs w:val="18"/>
              </w:rPr>
            </w:pPr>
            <w:r>
              <w:rPr>
                <w:rFonts w:ascii="Times New Roman"/>
                <w:sz w:val="18"/>
              </w:rPr>
              <w:t>9999-1</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正常履</w:t>
            </w: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资有限</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影响的，或者致使投资者在证券交易中遭受损失并因此触发发行人回购首</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4" w:right="0"/>
              <w:jc w:val="left"/>
              <w:rPr>
                <w:rFonts w:ascii="Times New Roman" w:hAnsi="Times New Roman" w:cs="Times New Roman" w:eastAsia="Times New Roman" w:hint="default"/>
                <w:sz w:val="18"/>
                <w:szCs w:val="18"/>
              </w:rPr>
            </w:pPr>
            <w:r>
              <w:rPr>
                <w:rFonts w:ascii="Times New Roman"/>
                <w:sz w:val="18"/>
              </w:rPr>
              <w:t>2-31</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行中</w:t>
            </w:r>
          </w:p>
        </w:tc>
      </w:tr>
      <w:tr>
        <w:trPr>
          <w:trHeight w:val="322" w:hRule="exact"/>
        </w:trPr>
        <w:tc>
          <w:tcPr>
            <w:tcW w:w="70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66" w:type="dxa"/>
            <w:tcBorders>
              <w:top w:val="nil" w:sz="6" w:space="0" w:color="auto"/>
              <w:left w:val="single" w:sz="4" w:space="0" w:color="000000"/>
              <w:bottom w:val="nil" w:sz="6" w:space="0" w:color="auto"/>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次公开发行的全部新股责任的，或者触发发行人控股股东、董事、监事和</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0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高级管理人员的赔偿责任的，我委将依法督促发行人及远致公司履行相关</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07"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义务并承担相关责任。公司控股股东远致投资承诺：因发行人招股说明书</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07"/>
        <w:gridCol w:w="710"/>
        <w:gridCol w:w="566"/>
        <w:gridCol w:w="5814"/>
        <w:gridCol w:w="566"/>
        <w:gridCol w:w="566"/>
        <w:gridCol w:w="636"/>
      </w:tblGrid>
      <w:tr>
        <w:trPr>
          <w:trHeight w:val="2547" w:hRule="exact"/>
        </w:trPr>
        <w:tc>
          <w:tcPr>
            <w:tcW w:w="707" w:type="dxa"/>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有虚假记载、误导性陈述或者重大遗漏，致使投资者在证券交易中遭受损 失的，本公司将依法赔偿投资者损失。因发行人招股说明书有虚假记载、 误导性陈述或重大遗漏，对判断发行人是否符合法律规定的发行条件构成 重大、实质影响，并已由有权部门作出行政处罚或人民法院作出相关判决 的，本公司利用发行人控股股东地位，促使发行人依法回购首次公开发行 的全部新股，同时本公司将按照二级市场的价格依法购回已转让的原限售 </w:t>
            </w:r>
            <w:r>
              <w:rPr>
                <w:rFonts w:ascii="宋体" w:hAnsi="宋体" w:cs="宋体" w:eastAsia="宋体" w:hint="default"/>
                <w:spacing w:val="-9"/>
                <w:sz w:val="18"/>
                <w:szCs w:val="18"/>
              </w:rPr>
              <w:t>股份。本公司购回股票时将依照《公司法》、《证券法》、中国证监会和深</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圳证券交易所的相关规定以及《公司章程》执行。</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707"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6" w:right="33"/>
              <w:jc w:val="both"/>
              <w:rPr>
                <w:rFonts w:ascii="宋体" w:hAnsi="宋体" w:cs="宋体" w:eastAsia="宋体" w:hint="default"/>
                <w:sz w:val="18"/>
                <w:szCs w:val="18"/>
              </w:rPr>
            </w:pPr>
            <w:r>
              <w:rPr>
                <w:rFonts w:ascii="宋体" w:hAnsi="宋体" w:cs="宋体" w:eastAsia="宋体" w:hint="default"/>
                <w:sz w:val="18"/>
                <w:szCs w:val="18"/>
              </w:rPr>
              <w:t>曹翔</w:t>
            </w:r>
            <w:r>
              <w:rPr>
                <w:rFonts w:ascii="Times New Roman" w:hAnsi="Times New Roman" w:cs="Times New Roman" w:eastAsia="Times New Roman" w:hint="default"/>
                <w:sz w:val="18"/>
                <w:szCs w:val="18"/>
              </w:rPr>
              <w:t>;</w:t>
            </w:r>
            <w:r>
              <w:rPr>
                <w:rFonts w:ascii="宋体" w:hAnsi="宋体" w:cs="宋体" w:eastAsia="宋体" w:hint="default"/>
                <w:sz w:val="18"/>
                <w:szCs w:val="18"/>
              </w:rPr>
              <w:t>陈 泽广</w:t>
            </w:r>
            <w:r>
              <w:rPr>
                <w:rFonts w:ascii="Times New Roman" w:hAnsi="Times New Roman" w:cs="Times New Roman" w:eastAsia="Times New Roman" w:hint="default"/>
                <w:sz w:val="18"/>
                <w:szCs w:val="18"/>
              </w:rPr>
              <w:t>;</w:t>
            </w:r>
            <w:r>
              <w:rPr>
                <w:rFonts w:ascii="宋体" w:hAnsi="宋体" w:cs="宋体" w:eastAsia="宋体" w:hint="default"/>
                <w:sz w:val="18"/>
                <w:szCs w:val="18"/>
              </w:rPr>
              <w:t>蓝 虹</w:t>
            </w:r>
            <w:r>
              <w:rPr>
                <w:rFonts w:ascii="Times New Roman" w:hAnsi="Times New Roman" w:cs="Times New Roman" w:eastAsia="Times New Roman" w:hint="default"/>
                <w:sz w:val="18"/>
                <w:szCs w:val="18"/>
              </w:rPr>
              <w:t>;</w:t>
            </w:r>
            <w:r>
              <w:rPr>
                <w:rFonts w:ascii="宋体" w:hAnsi="宋体" w:cs="宋体" w:eastAsia="宋体" w:hint="default"/>
                <w:sz w:val="18"/>
                <w:szCs w:val="18"/>
              </w:rPr>
              <w:t>林晓 春</w:t>
            </w:r>
            <w:r>
              <w:rPr>
                <w:rFonts w:ascii="Times New Roman" w:hAnsi="Times New Roman" w:cs="Times New Roman" w:eastAsia="Times New Roman" w:hint="default"/>
                <w:sz w:val="18"/>
                <w:szCs w:val="18"/>
              </w:rPr>
              <w:t>;</w:t>
            </w:r>
            <w:r>
              <w:rPr>
                <w:rFonts w:ascii="宋体" w:hAnsi="宋体" w:cs="宋体" w:eastAsia="宋体" w:hint="default"/>
                <w:sz w:val="18"/>
                <w:szCs w:val="18"/>
              </w:rPr>
              <w:t>刘俊 跃</w:t>
            </w:r>
            <w:r>
              <w:rPr>
                <w:rFonts w:ascii="Times New Roman" w:hAnsi="Times New Roman" w:cs="Times New Roman" w:eastAsia="Times New Roman" w:hint="default"/>
                <w:sz w:val="18"/>
                <w:szCs w:val="18"/>
              </w:rPr>
              <w:t>;</w:t>
            </w:r>
            <w:r>
              <w:rPr>
                <w:rFonts w:ascii="宋体" w:hAnsi="宋体" w:cs="宋体" w:eastAsia="宋体" w:hint="default"/>
                <w:sz w:val="18"/>
                <w:szCs w:val="18"/>
              </w:rPr>
              <w:t>刘丽</w:t>
            </w:r>
            <w:r>
              <w:rPr>
                <w:rFonts w:ascii="Times New Roman" w:hAnsi="Times New Roman" w:cs="Times New Roman" w:eastAsia="Times New Roman" w:hint="default"/>
                <w:sz w:val="18"/>
                <w:szCs w:val="18"/>
              </w:rPr>
              <w:t>; </w:t>
            </w:r>
            <w:r>
              <w:rPr>
                <w:rFonts w:ascii="宋体" w:hAnsi="宋体" w:cs="宋体" w:eastAsia="宋体" w:hint="default"/>
                <w:sz w:val="18"/>
                <w:szCs w:val="18"/>
              </w:rPr>
              <w:t>毛洪伟</w:t>
            </w:r>
            <w:r>
              <w:rPr>
                <w:rFonts w:ascii="Times New Roman" w:hAnsi="Times New Roman" w:cs="Times New Roman" w:eastAsia="Times New Roman" w:hint="default"/>
                <w:sz w:val="18"/>
                <w:szCs w:val="18"/>
              </w:rPr>
              <w:t>; </w:t>
            </w:r>
            <w:r>
              <w:rPr>
                <w:rFonts w:ascii="宋体" w:hAnsi="宋体" w:cs="宋体" w:eastAsia="宋体" w:hint="default"/>
                <w:sz w:val="18"/>
                <w:szCs w:val="18"/>
              </w:rPr>
              <w:t>莫福光</w:t>
            </w:r>
            <w:r>
              <w:rPr>
                <w:rFonts w:ascii="Times New Roman" w:hAnsi="Times New Roman" w:cs="Times New Roman" w:eastAsia="Times New Roman" w:hint="default"/>
                <w:sz w:val="18"/>
                <w:szCs w:val="18"/>
              </w:rPr>
              <w:t>; </w:t>
            </w:r>
            <w:r>
              <w:rPr>
                <w:rFonts w:ascii="宋体" w:hAnsi="宋体" w:cs="宋体" w:eastAsia="宋体" w:hint="default"/>
                <w:sz w:val="18"/>
                <w:szCs w:val="18"/>
              </w:rPr>
              <w:t>邵顺昌</w:t>
            </w:r>
            <w:r>
              <w:rPr>
                <w:rFonts w:ascii="Times New Roman" w:hAnsi="Times New Roman" w:cs="Times New Roman" w:eastAsia="Times New Roman" w:hint="default"/>
                <w:sz w:val="18"/>
                <w:szCs w:val="18"/>
              </w:rPr>
              <w:t>; </w:t>
            </w:r>
            <w:r>
              <w:rPr>
                <w:rFonts w:ascii="宋体" w:hAnsi="宋体" w:cs="宋体" w:eastAsia="宋体" w:hint="default"/>
                <w:sz w:val="18"/>
                <w:szCs w:val="18"/>
              </w:rPr>
              <w:t>沈武</w:t>
            </w:r>
            <w:r>
              <w:rPr>
                <w:rFonts w:ascii="Times New Roman" w:hAnsi="Times New Roman" w:cs="Times New Roman" w:eastAsia="Times New Roman" w:hint="default"/>
                <w:sz w:val="18"/>
                <w:szCs w:val="18"/>
              </w:rPr>
              <w:t>;</w:t>
            </w:r>
            <w:r>
              <w:rPr>
                <w:rFonts w:ascii="宋体" w:hAnsi="宋体" w:cs="宋体" w:eastAsia="宋体" w:hint="default"/>
                <w:sz w:val="18"/>
                <w:szCs w:val="18"/>
              </w:rPr>
              <w:t>吴 硕贤</w:t>
            </w:r>
            <w:r>
              <w:rPr>
                <w:rFonts w:ascii="Times New Roman" w:hAnsi="Times New Roman" w:cs="Times New Roman" w:eastAsia="Times New Roman" w:hint="default"/>
                <w:sz w:val="18"/>
                <w:szCs w:val="18"/>
              </w:rPr>
              <w:t>;</w:t>
            </w:r>
            <w:r>
              <w:rPr>
                <w:rFonts w:ascii="宋体" w:hAnsi="宋体" w:cs="宋体" w:eastAsia="宋体" w:hint="default"/>
                <w:sz w:val="18"/>
                <w:szCs w:val="18"/>
              </w:rPr>
              <w:t>姚 培</w:t>
            </w:r>
            <w:r>
              <w:rPr>
                <w:rFonts w:ascii="Times New Roman" w:hAnsi="Times New Roman" w:cs="Times New Roman" w:eastAsia="Times New Roman" w:hint="default"/>
                <w:sz w:val="18"/>
                <w:szCs w:val="18"/>
              </w:rPr>
              <w:t>;</w:t>
            </w:r>
            <w:r>
              <w:rPr>
                <w:rFonts w:ascii="宋体" w:hAnsi="宋体" w:cs="宋体" w:eastAsia="宋体" w:hint="default"/>
                <w:sz w:val="18"/>
                <w:szCs w:val="18"/>
              </w:rPr>
              <w:t>叶青</w:t>
            </w:r>
            <w:r>
              <w:rPr>
                <w:rFonts w:ascii="Times New Roman" w:hAnsi="Times New Roman" w:cs="Times New Roman" w:eastAsia="Times New Roman" w:hint="default"/>
                <w:sz w:val="18"/>
                <w:szCs w:val="18"/>
              </w:rPr>
              <w:t>; </w:t>
            </w:r>
            <w:r>
              <w:rPr>
                <w:rFonts w:ascii="宋体" w:hAnsi="宋体" w:cs="宋体" w:eastAsia="宋体" w:hint="default"/>
                <w:sz w:val="18"/>
                <w:szCs w:val="18"/>
              </w:rPr>
              <w:t>余庆</w:t>
            </w:r>
            <w:r>
              <w:rPr>
                <w:rFonts w:ascii="Times New Roman" w:hAnsi="Times New Roman" w:cs="Times New Roman" w:eastAsia="Times New Roman" w:hint="default"/>
                <w:sz w:val="18"/>
                <w:szCs w:val="18"/>
              </w:rPr>
              <w:t>;</w:t>
            </w:r>
            <w:r>
              <w:rPr>
                <w:rFonts w:ascii="宋体" w:hAnsi="宋体" w:cs="宋体" w:eastAsia="宋体" w:hint="default"/>
                <w:sz w:val="18"/>
                <w:szCs w:val="18"/>
              </w:rPr>
              <w:t>詹 辉轮</w:t>
            </w:r>
            <w:r>
              <w:rPr>
                <w:rFonts w:ascii="Times New Roman" w:hAnsi="Times New Roman" w:cs="Times New Roman" w:eastAsia="Times New Roman" w:hint="default"/>
                <w:sz w:val="18"/>
                <w:szCs w:val="18"/>
              </w:rPr>
              <w:t>;</w:t>
            </w:r>
            <w:r>
              <w:rPr>
                <w:rFonts w:ascii="宋体" w:hAnsi="宋体" w:cs="宋体" w:eastAsia="宋体" w:hint="default"/>
                <w:sz w:val="18"/>
                <w:szCs w:val="18"/>
              </w:rPr>
              <w:t>郑 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21"/>
              <w:jc w:val="both"/>
              <w:rPr>
                <w:rFonts w:ascii="宋体" w:hAnsi="宋体" w:cs="宋体" w:eastAsia="宋体" w:hint="default"/>
                <w:sz w:val="18"/>
                <w:szCs w:val="18"/>
              </w:rPr>
            </w:pPr>
            <w:r>
              <w:rPr>
                <w:rFonts w:ascii="宋体" w:hAnsi="宋体" w:cs="宋体" w:eastAsia="宋体" w:hint="default"/>
                <w:sz w:val="18"/>
                <w:szCs w:val="18"/>
              </w:rPr>
              <w:t>发行人招股说明书有虚假记载、误导性陈述或重大遗漏，致使投资者在证 券交易中遭受损失的，发行人董事、监事、高级管理人员将依法赔偿投资 者损失。</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2-31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股权激 励承诺</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其他对 公司中 小股东 所作承 诺</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7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承诺是 否按时 履行</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36" w:type="dxa"/>
            <w:vMerge w:val="restart"/>
            <w:tcBorders>
              <w:top w:val="single" w:sz="4" w:space="0" w:color="000000"/>
              <w:left w:val="single" w:sz="4" w:space="0" w:color="000000"/>
              <w:right w:val="single" w:sz="4" w:space="0" w:color="000000"/>
            </w:tcBorders>
            <w:shd w:val="clear" w:color="auto" w:fill="D2D2D2"/>
          </w:tcPr>
          <w:p>
            <w:pPr/>
          </w:p>
        </w:tc>
      </w:tr>
      <w:tr>
        <w:trPr>
          <w:trHeight w:val="394" w:hRule="exact"/>
        </w:trPr>
        <w:tc>
          <w:tcPr>
            <w:tcW w:w="70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shd w:val="clear" w:color="auto" w:fill="D2D2D2"/>
          </w:tcPr>
          <w:p>
            <w:pPr/>
          </w:p>
        </w:tc>
        <w:tc>
          <w:tcPr>
            <w:tcW w:w="5814" w:type="dxa"/>
            <w:tcBorders>
              <w:top w:val="nil" w:sz="6" w:space="0" w:color="auto"/>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r>
      <w:tr>
        <w:trPr>
          <w:trHeight w:val="317" w:hRule="exact"/>
        </w:trPr>
        <w:tc>
          <w:tcPr>
            <w:tcW w:w="707"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60"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
        <w:rPr>
          <w:rFonts w:ascii="Times New Roman" w:hAnsi="Times New Roman" w:cs="Times New Roman" w:eastAsia="Times New Roman" w:hint="default"/>
          <w:sz w:val="22"/>
          <w:szCs w:val="22"/>
        </w:rPr>
      </w:pPr>
    </w:p>
    <w:p>
      <w:pPr>
        <w:pStyle w:val="Heading3"/>
        <w:spacing w:line="316" w:lineRule="exact" w:before="28"/>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after="0" w:line="340" w:lineRule="auto"/>
        <w:jc w:val="left"/>
        <w:sectPr>
          <w:pgSz w:w="11910" w:h="16840"/>
          <w:pgMar w:header="852" w:footer="980" w:top="1320" w:bottom="1160" w:left="980" w:right="0"/>
        </w:sectPr>
      </w:pPr>
    </w:p>
    <w:p>
      <w:pPr>
        <w:pStyle w:val="Heading2"/>
        <w:spacing w:line="407" w:lineRule="exact"/>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58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本期公司新增合并单位</w:t>
      </w:r>
      <w:r>
        <w:rPr>
          <w:rFonts w:ascii="Times New Roman" w:hAnsi="Times New Roman" w:cs="Times New Roman" w:eastAsia="Times New Roman" w:hint="default"/>
        </w:rPr>
        <w:t>1</w:t>
      </w:r>
      <w:r>
        <w:rPr/>
        <w:t>家，为投资新设的合资公司建信筑和。</w:t>
      </w:r>
    </w:p>
    <w:p>
      <w:pPr>
        <w:pStyle w:val="Heading2"/>
        <w:spacing w:line="240" w:lineRule="auto" w:before="156"/>
        <w:ind w:right="0"/>
        <w:jc w:val="left"/>
        <w:rPr>
          <w:b w:val="0"/>
          <w:bCs w:val="0"/>
        </w:rPr>
      </w:pPr>
      <w:r>
        <w:rPr/>
        <w:t>八、聘任、解聘会计师事务所情况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丘运良、吴健东</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9"/>
        <w:ind w:right="0"/>
        <w:jc w:val="left"/>
      </w:pPr>
      <w:r>
        <w:rPr/>
        <w:t>是否改聘会计师事务所</w:t>
      </w:r>
    </w:p>
    <w:p>
      <w:pPr>
        <w:pStyle w:val="BodyText"/>
        <w:spacing w:line="340" w:lineRule="auto" w:before="117"/>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十、破产重整相关事项</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20" w:bottom="1160" w:left="980" w:right="0"/>
        </w:sectPr>
      </w:pPr>
    </w:p>
    <w:p>
      <w:pPr>
        <w:pStyle w:val="BodyText"/>
        <w:spacing w:line="240" w:lineRule="auto" w:before="111"/>
        <w:ind w:right="0"/>
        <w:jc w:val="left"/>
      </w:pPr>
      <w:r>
        <w:rPr/>
        <w:t>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799"/>
        <w:gridCol w:w="677"/>
        <w:gridCol w:w="677"/>
        <w:gridCol w:w="704"/>
        <w:gridCol w:w="682"/>
        <w:gridCol w:w="672"/>
        <w:gridCol w:w="674"/>
        <w:gridCol w:w="675"/>
        <w:gridCol w:w="674"/>
        <w:gridCol w:w="674"/>
        <w:gridCol w:w="675"/>
        <w:gridCol w:w="672"/>
        <w:gridCol w:w="672"/>
        <w:gridCol w:w="643"/>
      </w:tblGrid>
      <w:tr>
        <w:trPr>
          <w:trHeight w:val="1337"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1"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2"/>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59"/>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60"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7"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1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深圳市创 新投资集 团有限公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本公司 参股股 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128"/>
              <w:jc w:val="left"/>
              <w:rPr>
                <w:rFonts w:ascii="宋体" w:hAnsi="宋体" w:cs="宋体" w:eastAsia="宋体" w:hint="default"/>
                <w:sz w:val="18"/>
                <w:szCs w:val="18"/>
              </w:rPr>
            </w:pPr>
            <w:r>
              <w:rPr>
                <w:rFonts w:ascii="宋体" w:hAnsi="宋体" w:cs="宋体" w:eastAsia="宋体" w:hint="default"/>
                <w:sz w:val="18"/>
                <w:szCs w:val="18"/>
              </w:rPr>
              <w:t>建筑咨 询</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38" w:lineRule="auto" w:before="6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43"/>
              <w:jc w:val="both"/>
              <w:rPr>
                <w:rFonts w:ascii="宋体" w:hAnsi="宋体" w:cs="宋体" w:eastAsia="宋体" w:hint="default"/>
                <w:sz w:val="18"/>
                <w:szCs w:val="18"/>
              </w:rPr>
            </w:pPr>
            <w:r>
              <w:rPr>
                <w:rFonts w:ascii="宋体" w:hAnsi="宋体" w:cs="宋体" w:eastAsia="宋体" w:hint="default"/>
                <w:sz w:val="18"/>
                <w:szCs w:val="18"/>
              </w:rPr>
              <w:t>北京怀柔 科学城建 设发展有</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both"/>
              <w:rPr>
                <w:rFonts w:ascii="宋体" w:hAnsi="宋体" w:cs="宋体" w:eastAsia="宋体" w:hint="default"/>
                <w:sz w:val="18"/>
                <w:szCs w:val="18"/>
              </w:rPr>
            </w:pPr>
            <w:r>
              <w:rPr>
                <w:rFonts w:ascii="宋体" w:hAnsi="宋体" w:cs="宋体" w:eastAsia="宋体" w:hint="default"/>
                <w:sz w:val="18"/>
                <w:szCs w:val="18"/>
              </w:rPr>
              <w:t>参股股 东的控 股企业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建筑咨 询</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1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99"/>
        <w:gridCol w:w="677"/>
        <w:gridCol w:w="677"/>
        <w:gridCol w:w="704"/>
        <w:gridCol w:w="682"/>
        <w:gridCol w:w="672"/>
        <w:gridCol w:w="674"/>
        <w:gridCol w:w="675"/>
        <w:gridCol w:w="674"/>
        <w:gridCol w:w="674"/>
        <w:gridCol w:w="675"/>
        <w:gridCol w:w="672"/>
        <w:gridCol w:w="672"/>
        <w:gridCol w:w="643"/>
      </w:tblGrid>
      <w:tr>
        <w:trPr>
          <w:trHeight w:val="223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Times New Roman" w:hAnsi="Times New Roman" w:cs="Times New Roman" w:eastAsia="Times New Roman" w:hint="default"/>
                <w:sz w:val="18"/>
                <w:szCs w:val="18"/>
              </w:rPr>
            </w:pPr>
            <w:r>
              <w:rPr>
                <w:rFonts w:ascii="Times New Roman"/>
                <w:spacing w:val="-3"/>
                <w:sz w:val="18"/>
              </w:rPr>
              <w:t>/www.c</w:t>
            </w:r>
          </w:p>
          <w:p>
            <w:pPr>
              <w:pStyle w:val="TableParagraph"/>
              <w:spacing w:line="312" w:lineRule="auto" w:before="105"/>
              <w:ind w:left="23"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338" w:lineRule="auto" w:before="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both"/>
              <w:rPr>
                <w:rFonts w:ascii="Times New Roman" w:hAnsi="Times New Roman" w:cs="Times New Roman" w:eastAsia="Times New Roman" w:hint="default"/>
                <w:sz w:val="18"/>
                <w:szCs w:val="18"/>
              </w:rPr>
            </w:pPr>
            <w:r>
              <w:rPr>
                <w:rFonts w:ascii="Times New Roman"/>
                <w:sz w:val="18"/>
              </w:rPr>
              <w:t>33</w:t>
            </w:r>
          </w:p>
        </w:tc>
      </w:tr>
      <w:tr>
        <w:trPr>
          <w:trHeight w:val="352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4" w:right="43"/>
              <w:jc w:val="both"/>
              <w:rPr>
                <w:rFonts w:ascii="宋体" w:hAnsi="宋体" w:cs="宋体" w:eastAsia="宋体" w:hint="default"/>
                <w:sz w:val="18"/>
                <w:szCs w:val="18"/>
              </w:rPr>
            </w:pPr>
            <w:r>
              <w:rPr>
                <w:rFonts w:ascii="宋体" w:hAnsi="宋体" w:cs="宋体" w:eastAsia="宋体" w:hint="default"/>
                <w:sz w:val="18"/>
                <w:szCs w:val="18"/>
              </w:rPr>
              <w:t>北京中关 村京西建 设发展有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101"/>
              <w:jc w:val="both"/>
              <w:rPr>
                <w:rFonts w:ascii="宋体" w:hAnsi="宋体" w:cs="宋体" w:eastAsia="宋体" w:hint="default"/>
                <w:sz w:val="18"/>
                <w:szCs w:val="18"/>
              </w:rPr>
            </w:pPr>
            <w:r>
              <w:rPr>
                <w:rFonts w:ascii="宋体" w:hAnsi="宋体" w:cs="宋体" w:eastAsia="宋体" w:hint="default"/>
                <w:sz w:val="18"/>
                <w:szCs w:val="18"/>
              </w:rPr>
              <w:t>参股股 东的控 股企业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3" w:right="128"/>
              <w:jc w:val="left"/>
              <w:rPr>
                <w:rFonts w:ascii="宋体" w:hAnsi="宋体" w:cs="宋体" w:eastAsia="宋体" w:hint="default"/>
                <w:sz w:val="18"/>
                <w:szCs w:val="18"/>
              </w:rPr>
            </w:pPr>
            <w:r>
              <w:rPr>
                <w:rFonts w:ascii="宋体" w:hAnsi="宋体" w:cs="宋体" w:eastAsia="宋体" w:hint="default"/>
                <w:sz w:val="18"/>
                <w:szCs w:val="18"/>
              </w:rPr>
              <w:t>城市规 划</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both"/>
              <w:rPr>
                <w:rFonts w:ascii="Times New Roman" w:hAnsi="Times New Roman" w:cs="Times New Roman" w:eastAsia="Times New Roman" w:hint="default"/>
                <w:sz w:val="18"/>
                <w:szCs w:val="18"/>
              </w:rPr>
            </w:pPr>
            <w:r>
              <w:rPr>
                <w:rFonts w:ascii="Times New Roman"/>
                <w:sz w:val="18"/>
              </w:rPr>
              <w:t>2018-0</w:t>
            </w:r>
          </w:p>
          <w:p>
            <w:pPr>
              <w:pStyle w:val="TableParagraph"/>
              <w:spacing w:line="300" w:lineRule="auto" w:before="63"/>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巨潮 资讯</w:t>
            </w:r>
          </w:p>
          <w:p>
            <w:pPr>
              <w:pStyle w:val="TableParagraph"/>
              <w:spacing w:line="240" w:lineRule="auto" w:before="3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pacing w:val="-3"/>
                <w:sz w:val="18"/>
              </w:rPr>
              <w:t>/www.c</w:t>
            </w:r>
          </w:p>
          <w:p>
            <w:pPr>
              <w:pStyle w:val="TableParagraph"/>
              <w:spacing w:line="312" w:lineRule="auto" w:before="105"/>
              <w:ind w:left="23"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338" w:lineRule="auto" w:before="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both"/>
              <w:rPr>
                <w:rFonts w:ascii="Times New Roman" w:hAnsi="Times New Roman" w:cs="Times New Roman" w:eastAsia="Times New Roman" w:hint="default"/>
                <w:sz w:val="18"/>
                <w:szCs w:val="18"/>
              </w:rPr>
            </w:pPr>
            <w:r>
              <w:rPr>
                <w:rFonts w:ascii="Times New Roman"/>
                <w:sz w:val="18"/>
              </w:rPr>
              <w:t>33</w:t>
            </w:r>
          </w:p>
        </w:tc>
      </w:tr>
      <w:tr>
        <w:trPr>
          <w:trHeight w:val="321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4" w:right="43"/>
              <w:jc w:val="both"/>
              <w:rPr>
                <w:rFonts w:ascii="宋体" w:hAnsi="宋体" w:cs="宋体" w:eastAsia="宋体" w:hint="default"/>
                <w:sz w:val="18"/>
                <w:szCs w:val="18"/>
              </w:rPr>
            </w:pPr>
            <w:r>
              <w:rPr>
                <w:rFonts w:ascii="宋体" w:hAnsi="宋体" w:cs="宋体" w:eastAsia="宋体" w:hint="default"/>
                <w:sz w:val="18"/>
                <w:szCs w:val="18"/>
              </w:rPr>
              <w:t>北京中关 村前沿技 术产业发 展有限公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3" w:right="101"/>
              <w:jc w:val="both"/>
              <w:rPr>
                <w:rFonts w:ascii="宋体" w:hAnsi="宋体" w:cs="宋体" w:eastAsia="宋体" w:hint="default"/>
                <w:sz w:val="18"/>
                <w:szCs w:val="18"/>
              </w:rPr>
            </w:pPr>
            <w:r>
              <w:rPr>
                <w:rFonts w:ascii="宋体" w:hAnsi="宋体" w:cs="宋体" w:eastAsia="宋体" w:hint="default"/>
                <w:sz w:val="18"/>
                <w:szCs w:val="18"/>
              </w:rPr>
              <w:t>参股股 东的控 股企业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3" w:right="20"/>
              <w:jc w:val="left"/>
              <w:rPr>
                <w:rFonts w:ascii="宋体" w:hAnsi="宋体" w:cs="宋体" w:eastAsia="宋体" w:hint="default"/>
                <w:sz w:val="18"/>
                <w:szCs w:val="18"/>
              </w:rPr>
            </w:pPr>
            <w:r>
              <w:rPr>
                <w:rFonts w:ascii="宋体" w:hAnsi="宋体" w:cs="宋体" w:eastAsia="宋体" w:hint="default"/>
                <w:sz w:val="18"/>
                <w:szCs w:val="18"/>
              </w:rPr>
              <w:t>城市规 </w:t>
            </w:r>
            <w:r>
              <w:rPr>
                <w:rFonts w:ascii="宋体" w:hAnsi="宋体" w:cs="宋体" w:eastAsia="宋体" w:hint="default"/>
                <w:spacing w:val="-18"/>
                <w:sz w:val="18"/>
                <w:szCs w:val="18"/>
              </w:rPr>
              <w:t>划、建筑</w:t>
            </w:r>
            <w:r>
              <w:rPr>
                <w:rFonts w:ascii="宋体" w:hAnsi="宋体" w:cs="宋体" w:eastAsia="宋体" w:hint="default"/>
                <w:sz w:val="18"/>
                <w:szCs w:val="18"/>
              </w:rPr>
              <w:t> 设计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38" w:lineRule="auto" w:before="6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320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43"/>
              <w:jc w:val="both"/>
              <w:rPr>
                <w:rFonts w:ascii="宋体" w:hAnsi="宋体" w:cs="宋体" w:eastAsia="宋体" w:hint="default"/>
                <w:sz w:val="18"/>
                <w:szCs w:val="18"/>
              </w:rPr>
            </w:pPr>
            <w:r>
              <w:rPr>
                <w:rFonts w:ascii="宋体" w:hAnsi="宋体" w:cs="宋体" w:eastAsia="宋体" w:hint="default"/>
                <w:sz w:val="18"/>
                <w:szCs w:val="18"/>
              </w:rPr>
              <w:t>北京中关 村软件园 发展有限 责任公司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01"/>
              <w:jc w:val="both"/>
              <w:rPr>
                <w:rFonts w:ascii="宋体" w:hAnsi="宋体" w:cs="宋体" w:eastAsia="宋体" w:hint="default"/>
                <w:sz w:val="18"/>
                <w:szCs w:val="18"/>
              </w:rPr>
            </w:pPr>
            <w:r>
              <w:rPr>
                <w:rFonts w:ascii="宋体" w:hAnsi="宋体" w:cs="宋体" w:eastAsia="宋体" w:hint="default"/>
                <w:sz w:val="18"/>
                <w:szCs w:val="18"/>
              </w:rPr>
              <w:t>参股股 东的控 股企业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20"/>
              <w:jc w:val="left"/>
              <w:rPr>
                <w:rFonts w:ascii="宋体" w:hAnsi="宋体" w:cs="宋体" w:eastAsia="宋体" w:hint="default"/>
                <w:sz w:val="18"/>
                <w:szCs w:val="18"/>
              </w:rPr>
            </w:pPr>
            <w:r>
              <w:rPr>
                <w:rFonts w:ascii="宋体" w:hAnsi="宋体" w:cs="宋体" w:eastAsia="宋体" w:hint="default"/>
                <w:sz w:val="18"/>
                <w:szCs w:val="18"/>
              </w:rPr>
              <w:t>建筑咨 </w:t>
            </w:r>
            <w:r>
              <w:rPr>
                <w:rFonts w:ascii="宋体" w:hAnsi="宋体" w:cs="宋体" w:eastAsia="宋体" w:hint="default"/>
                <w:spacing w:val="-18"/>
                <w:sz w:val="18"/>
                <w:szCs w:val="18"/>
              </w:rPr>
              <w:t>询、建筑</w:t>
            </w:r>
            <w:r>
              <w:rPr>
                <w:rFonts w:ascii="宋体" w:hAnsi="宋体" w:cs="宋体" w:eastAsia="宋体" w:hint="default"/>
                <w:sz w:val="18"/>
                <w:szCs w:val="18"/>
              </w:rPr>
              <w:t> 设计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40" w:lineRule="auto" w:before="6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165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北京中关 村生命科 学园发展 有限责任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01"/>
              <w:jc w:val="both"/>
              <w:rPr>
                <w:rFonts w:ascii="宋体" w:hAnsi="宋体" w:cs="宋体" w:eastAsia="宋体" w:hint="default"/>
                <w:sz w:val="18"/>
                <w:szCs w:val="18"/>
              </w:rPr>
            </w:pPr>
            <w:r>
              <w:rPr>
                <w:rFonts w:ascii="宋体" w:hAnsi="宋体" w:cs="宋体" w:eastAsia="宋体" w:hint="default"/>
                <w:sz w:val="18"/>
                <w:szCs w:val="18"/>
              </w:rPr>
              <w:t>参股股 东的控 股企业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0"/>
              <w:jc w:val="left"/>
              <w:rPr>
                <w:rFonts w:ascii="宋体" w:hAnsi="宋体" w:cs="宋体" w:eastAsia="宋体" w:hint="default"/>
                <w:sz w:val="18"/>
                <w:szCs w:val="18"/>
              </w:rPr>
            </w:pPr>
            <w:r>
              <w:rPr>
                <w:rFonts w:ascii="宋体" w:hAnsi="宋体" w:cs="宋体" w:eastAsia="宋体" w:hint="default"/>
                <w:sz w:val="18"/>
                <w:szCs w:val="18"/>
              </w:rPr>
              <w:t>建筑咨 </w:t>
            </w:r>
            <w:r>
              <w:rPr>
                <w:rFonts w:ascii="宋体" w:hAnsi="宋体" w:cs="宋体" w:eastAsia="宋体" w:hint="default"/>
                <w:spacing w:val="-18"/>
                <w:sz w:val="18"/>
                <w:szCs w:val="18"/>
              </w:rPr>
              <w:t>询、建筑</w:t>
            </w:r>
            <w:r>
              <w:rPr>
                <w:rFonts w:ascii="宋体" w:hAnsi="宋体" w:cs="宋体" w:eastAsia="宋体" w:hint="default"/>
                <w:sz w:val="18"/>
                <w:szCs w:val="18"/>
              </w:rPr>
              <w:t> 设计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5"/>
              <w:ind w:left="23" w:right="55"/>
              <w:jc w:val="left"/>
              <w:rPr>
                <w:rFonts w:ascii="Times New Roman" w:hAnsi="Times New Roman" w:cs="Times New Roman" w:eastAsia="Times New Roman" w:hint="default"/>
                <w:sz w:val="18"/>
                <w:szCs w:val="18"/>
              </w:rPr>
            </w:pPr>
            <w:r>
              <w:rPr>
                <w:rFonts w:ascii="Times New Roman"/>
                <w:spacing w:val="-3"/>
                <w:sz w:val="18"/>
              </w:rPr>
              <w:t>/www.c</w:t>
            </w:r>
            <w:r>
              <w:rPr>
                <w:rFonts w:ascii="Times New Roman"/>
                <w:spacing w:val="-42"/>
                <w:sz w:val="18"/>
              </w:rPr>
              <w:t> </w:t>
            </w:r>
            <w:r>
              <w:rPr>
                <w:rFonts w:ascii="Times New Roman"/>
                <w:spacing w:val="-42"/>
                <w:sz w:val="18"/>
              </w:rPr>
            </w:r>
            <w:r>
              <w:rPr>
                <w:rFonts w:ascii="Times New Roman"/>
                <w:sz w:val="18"/>
              </w:rPr>
              <w:t>ninfo.c</w:t>
            </w:r>
          </w:p>
        </w:tc>
      </w:tr>
    </w:tbl>
    <w:p>
      <w:pPr>
        <w:spacing w:after="0" w:line="362" w:lineRule="auto"/>
        <w:jc w:val="lef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99"/>
        <w:gridCol w:w="677"/>
        <w:gridCol w:w="677"/>
        <w:gridCol w:w="704"/>
        <w:gridCol w:w="682"/>
        <w:gridCol w:w="672"/>
        <w:gridCol w:w="674"/>
        <w:gridCol w:w="675"/>
        <w:gridCol w:w="674"/>
        <w:gridCol w:w="674"/>
        <w:gridCol w:w="675"/>
        <w:gridCol w:w="672"/>
        <w:gridCol w:w="672"/>
        <w:gridCol w:w="643"/>
      </w:tblGrid>
      <w:tr>
        <w:trPr>
          <w:trHeight w:val="1611"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338" w:lineRule="auto" w:before="6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both"/>
              <w:rPr>
                <w:rFonts w:ascii="Times New Roman" w:hAnsi="Times New Roman" w:cs="Times New Roman" w:eastAsia="Times New Roman" w:hint="default"/>
                <w:sz w:val="18"/>
                <w:szCs w:val="18"/>
              </w:rPr>
            </w:pPr>
            <w:r>
              <w:rPr>
                <w:rFonts w:ascii="Times New Roman"/>
                <w:sz w:val="18"/>
              </w:rPr>
              <w:t>33</w:t>
            </w:r>
          </w:p>
        </w:tc>
      </w:tr>
      <w:tr>
        <w:trPr>
          <w:trHeight w:val="320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北京中关 村生物医 药产业投 资发展有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01"/>
              <w:jc w:val="both"/>
              <w:rPr>
                <w:rFonts w:ascii="宋体" w:hAnsi="宋体" w:cs="宋体" w:eastAsia="宋体" w:hint="default"/>
                <w:sz w:val="18"/>
                <w:szCs w:val="18"/>
              </w:rPr>
            </w:pPr>
            <w:r>
              <w:rPr>
                <w:rFonts w:ascii="宋体" w:hAnsi="宋体" w:cs="宋体" w:eastAsia="宋体" w:hint="default"/>
                <w:sz w:val="18"/>
                <w:szCs w:val="18"/>
              </w:rPr>
              <w:t>参股股 东的控 股企业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20"/>
              <w:jc w:val="left"/>
              <w:rPr>
                <w:rFonts w:ascii="宋体" w:hAnsi="宋体" w:cs="宋体" w:eastAsia="宋体" w:hint="default"/>
                <w:sz w:val="18"/>
                <w:szCs w:val="18"/>
              </w:rPr>
            </w:pPr>
            <w:r>
              <w:rPr>
                <w:rFonts w:ascii="宋体" w:hAnsi="宋体" w:cs="宋体" w:eastAsia="宋体" w:hint="default"/>
                <w:sz w:val="18"/>
                <w:szCs w:val="18"/>
              </w:rPr>
              <w:t>城市规 </w:t>
            </w:r>
            <w:r>
              <w:rPr>
                <w:rFonts w:ascii="宋体" w:hAnsi="宋体" w:cs="宋体" w:eastAsia="宋体" w:hint="default"/>
                <w:spacing w:val="-18"/>
                <w:sz w:val="18"/>
                <w:szCs w:val="18"/>
              </w:rPr>
              <w:t>划、建筑</w:t>
            </w:r>
            <w:r>
              <w:rPr>
                <w:rFonts w:ascii="宋体" w:hAnsi="宋体" w:cs="宋体" w:eastAsia="宋体" w:hint="default"/>
                <w:sz w:val="18"/>
                <w:szCs w:val="18"/>
              </w:rPr>
              <w:t> 设计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268.87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40" w:lineRule="auto" w:before="6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321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43"/>
              <w:jc w:val="both"/>
              <w:rPr>
                <w:rFonts w:ascii="宋体" w:hAnsi="宋体" w:cs="宋体" w:eastAsia="宋体" w:hint="default"/>
                <w:sz w:val="18"/>
                <w:szCs w:val="18"/>
              </w:rPr>
            </w:pPr>
            <w:r>
              <w:rPr>
                <w:rFonts w:ascii="宋体" w:hAnsi="宋体" w:cs="宋体" w:eastAsia="宋体" w:hint="default"/>
                <w:sz w:val="18"/>
                <w:szCs w:val="18"/>
              </w:rPr>
              <w:t>北京中关 村微纳能 源投资有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01"/>
              <w:jc w:val="both"/>
              <w:rPr>
                <w:rFonts w:ascii="宋体" w:hAnsi="宋体" w:cs="宋体" w:eastAsia="宋体" w:hint="default"/>
                <w:sz w:val="18"/>
                <w:szCs w:val="18"/>
              </w:rPr>
            </w:pPr>
            <w:r>
              <w:rPr>
                <w:rFonts w:ascii="宋体" w:hAnsi="宋体" w:cs="宋体" w:eastAsia="宋体" w:hint="default"/>
                <w:sz w:val="18"/>
                <w:szCs w:val="18"/>
              </w:rPr>
              <w:t>参股股 东的控 股企业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20"/>
              <w:jc w:val="left"/>
              <w:rPr>
                <w:rFonts w:ascii="宋体" w:hAnsi="宋体" w:cs="宋体" w:eastAsia="宋体" w:hint="default"/>
                <w:sz w:val="18"/>
                <w:szCs w:val="18"/>
              </w:rPr>
            </w:pPr>
            <w:r>
              <w:rPr>
                <w:rFonts w:ascii="宋体" w:hAnsi="宋体" w:cs="宋体" w:eastAsia="宋体" w:hint="default"/>
                <w:sz w:val="18"/>
                <w:szCs w:val="18"/>
              </w:rPr>
              <w:t>城市规 </w:t>
            </w:r>
            <w:r>
              <w:rPr>
                <w:rFonts w:ascii="宋体" w:hAnsi="宋体" w:cs="宋体" w:eastAsia="宋体" w:hint="default"/>
                <w:spacing w:val="-18"/>
                <w:sz w:val="18"/>
                <w:szCs w:val="18"/>
              </w:rPr>
              <w:t>划、建筑</w:t>
            </w:r>
            <w:r>
              <w:rPr>
                <w:rFonts w:ascii="宋体" w:hAnsi="宋体" w:cs="宋体" w:eastAsia="宋体" w:hint="default"/>
                <w:sz w:val="18"/>
                <w:szCs w:val="18"/>
              </w:rPr>
              <w:t> </w:t>
            </w:r>
            <w:r>
              <w:rPr>
                <w:rFonts w:ascii="宋体" w:hAnsi="宋体" w:cs="宋体" w:eastAsia="宋体" w:hint="default"/>
                <w:spacing w:val="-18"/>
                <w:sz w:val="18"/>
                <w:szCs w:val="18"/>
              </w:rPr>
              <w:t>设计、建</w:t>
            </w:r>
            <w:r>
              <w:rPr>
                <w:rFonts w:ascii="宋体" w:hAnsi="宋体" w:cs="宋体" w:eastAsia="宋体" w:hint="default"/>
                <w:sz w:val="18"/>
                <w:szCs w:val="18"/>
              </w:rPr>
              <w:t> 筑咨询</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38" w:lineRule="auto" w:before="6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320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43"/>
              <w:jc w:val="both"/>
              <w:rPr>
                <w:rFonts w:ascii="宋体" w:hAnsi="宋体" w:cs="宋体" w:eastAsia="宋体" w:hint="default"/>
                <w:sz w:val="18"/>
                <w:szCs w:val="18"/>
              </w:rPr>
            </w:pPr>
            <w:r>
              <w:rPr>
                <w:rFonts w:ascii="宋体" w:hAnsi="宋体" w:cs="宋体" w:eastAsia="宋体" w:hint="default"/>
                <w:sz w:val="18"/>
                <w:szCs w:val="18"/>
              </w:rPr>
              <w:t>北京中关 村延庆园 建设发展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01"/>
              <w:jc w:val="both"/>
              <w:rPr>
                <w:rFonts w:ascii="宋体" w:hAnsi="宋体" w:cs="宋体" w:eastAsia="宋体" w:hint="default"/>
                <w:sz w:val="18"/>
                <w:szCs w:val="18"/>
              </w:rPr>
            </w:pPr>
            <w:r>
              <w:rPr>
                <w:rFonts w:ascii="宋体" w:hAnsi="宋体" w:cs="宋体" w:eastAsia="宋体" w:hint="default"/>
                <w:sz w:val="18"/>
                <w:szCs w:val="18"/>
              </w:rPr>
              <w:t>参股股 东的控 股企业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建筑设 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38" w:lineRule="auto" w:before="6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254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中关村医 疗器械园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参股股 东的控 股企业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建筑咨 </w:t>
            </w:r>
            <w:r>
              <w:rPr>
                <w:rFonts w:ascii="宋体" w:hAnsi="宋体" w:cs="宋体" w:eastAsia="宋体" w:hint="default"/>
                <w:spacing w:val="-18"/>
                <w:sz w:val="18"/>
                <w:szCs w:val="18"/>
              </w:rPr>
              <w:t>询、建筑</w:t>
            </w:r>
            <w:r>
              <w:rPr>
                <w:rFonts w:ascii="宋体" w:hAnsi="宋体" w:cs="宋体" w:eastAsia="宋体" w:hint="default"/>
                <w:sz w:val="18"/>
                <w:szCs w:val="18"/>
              </w:rPr>
              <w:t> 设计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53.77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0.14%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16" w:lineRule="auto" w:before="63"/>
              <w:ind w:left="23" w:right="67"/>
              <w:jc w:val="left"/>
              <w:rPr>
                <w:rFonts w:ascii="宋体" w:hAnsi="宋体" w:cs="宋体" w:eastAsia="宋体" w:hint="default"/>
                <w:sz w:val="18"/>
                <w:szCs w:val="18"/>
              </w:rPr>
            </w:pPr>
            <w:r>
              <w:rPr>
                <w:rFonts w:ascii="宋体" w:hAnsi="宋体" w:cs="宋体" w:eastAsia="宋体" w:hint="default"/>
                <w:sz w:val="18"/>
                <w:szCs w:val="18"/>
              </w:rPr>
              <w:t>，公告 编号：</w:t>
            </w:r>
          </w:p>
        </w:tc>
      </w:tr>
    </w:tbl>
    <w:p>
      <w:pPr>
        <w:spacing w:after="0" w:line="316"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99"/>
        <w:gridCol w:w="677"/>
        <w:gridCol w:w="677"/>
        <w:gridCol w:w="704"/>
        <w:gridCol w:w="682"/>
        <w:gridCol w:w="672"/>
        <w:gridCol w:w="674"/>
        <w:gridCol w:w="675"/>
        <w:gridCol w:w="674"/>
        <w:gridCol w:w="674"/>
        <w:gridCol w:w="675"/>
        <w:gridCol w:w="672"/>
        <w:gridCol w:w="672"/>
        <w:gridCol w:w="643"/>
      </w:tblGrid>
      <w:tr>
        <w:trPr>
          <w:trHeight w:val="675"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320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43"/>
              <w:jc w:val="both"/>
              <w:rPr>
                <w:rFonts w:ascii="宋体" w:hAnsi="宋体" w:cs="宋体" w:eastAsia="宋体" w:hint="default"/>
                <w:sz w:val="18"/>
                <w:szCs w:val="18"/>
              </w:rPr>
            </w:pPr>
            <w:r>
              <w:rPr>
                <w:rFonts w:ascii="宋体" w:hAnsi="宋体" w:cs="宋体" w:eastAsia="宋体" w:hint="default"/>
                <w:sz w:val="18"/>
                <w:szCs w:val="18"/>
              </w:rPr>
              <w:t>北京海开 房地产集 团有限责 任公司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01"/>
              <w:jc w:val="both"/>
              <w:rPr>
                <w:rFonts w:ascii="宋体" w:hAnsi="宋体" w:cs="宋体" w:eastAsia="宋体" w:hint="default"/>
                <w:sz w:val="18"/>
                <w:szCs w:val="18"/>
              </w:rPr>
            </w:pPr>
            <w:r>
              <w:rPr>
                <w:rFonts w:ascii="宋体" w:hAnsi="宋体" w:cs="宋体" w:eastAsia="宋体" w:hint="default"/>
                <w:sz w:val="18"/>
                <w:szCs w:val="18"/>
              </w:rPr>
              <w:t>参股股 东的控 股企业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建筑设 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38" w:lineRule="auto" w:before="6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321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北京中关 村集成电 路设计园 发展有限 责任公司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01"/>
              <w:jc w:val="both"/>
              <w:rPr>
                <w:rFonts w:ascii="宋体" w:hAnsi="宋体" w:cs="宋体" w:eastAsia="宋体" w:hint="default"/>
                <w:sz w:val="18"/>
                <w:szCs w:val="18"/>
              </w:rPr>
            </w:pPr>
            <w:r>
              <w:rPr>
                <w:rFonts w:ascii="宋体" w:hAnsi="宋体" w:cs="宋体" w:eastAsia="宋体" w:hint="default"/>
                <w:sz w:val="18"/>
                <w:szCs w:val="18"/>
              </w:rPr>
              <w:t>参股股 东的控 股企业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建筑设 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38" w:lineRule="auto" w:before="6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320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北京中关 村生命科 学园生物 医药科技 孵化有限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01"/>
              <w:jc w:val="both"/>
              <w:rPr>
                <w:rFonts w:ascii="宋体" w:hAnsi="宋体" w:cs="宋体" w:eastAsia="宋体" w:hint="default"/>
                <w:sz w:val="18"/>
                <w:szCs w:val="18"/>
              </w:rPr>
            </w:pPr>
            <w:r>
              <w:rPr>
                <w:rFonts w:ascii="宋体" w:hAnsi="宋体" w:cs="宋体" w:eastAsia="宋体" w:hint="default"/>
                <w:sz w:val="18"/>
                <w:szCs w:val="18"/>
              </w:rPr>
              <w:t>参股股 东的控 股企业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建筑设 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38" w:lineRule="auto" w:before="6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321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43"/>
              <w:jc w:val="both"/>
              <w:rPr>
                <w:rFonts w:ascii="宋体" w:hAnsi="宋体" w:cs="宋体" w:eastAsia="宋体" w:hint="default"/>
                <w:sz w:val="18"/>
                <w:szCs w:val="18"/>
              </w:rPr>
            </w:pPr>
            <w:r>
              <w:rPr>
                <w:rFonts w:ascii="宋体" w:hAnsi="宋体" w:cs="宋体" w:eastAsia="宋体" w:hint="default"/>
                <w:sz w:val="18"/>
                <w:szCs w:val="18"/>
              </w:rPr>
              <w:t>前海科创 投控股有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01"/>
              <w:jc w:val="both"/>
              <w:rPr>
                <w:rFonts w:ascii="宋体" w:hAnsi="宋体" w:cs="宋体" w:eastAsia="宋体" w:hint="default"/>
                <w:sz w:val="18"/>
                <w:szCs w:val="18"/>
              </w:rPr>
            </w:pPr>
            <w:r>
              <w:rPr>
                <w:rFonts w:ascii="宋体" w:hAnsi="宋体" w:cs="宋体" w:eastAsia="宋体" w:hint="default"/>
                <w:sz w:val="18"/>
                <w:szCs w:val="18"/>
              </w:rPr>
              <w:t>叶青出 任董事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公信服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38" w:lineRule="auto" w:before="6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中关村发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房屋租</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租入办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市场定</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现金结</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bl>
    <w:p>
      <w:pPr>
        <w:spacing w:after="0" w:line="240"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99"/>
        <w:gridCol w:w="677"/>
        <w:gridCol w:w="677"/>
        <w:gridCol w:w="704"/>
        <w:gridCol w:w="682"/>
        <w:gridCol w:w="672"/>
        <w:gridCol w:w="674"/>
        <w:gridCol w:w="675"/>
        <w:gridCol w:w="674"/>
        <w:gridCol w:w="674"/>
        <w:gridCol w:w="675"/>
        <w:gridCol w:w="672"/>
        <w:gridCol w:w="672"/>
        <w:gridCol w:w="643"/>
      </w:tblGrid>
      <w:tr>
        <w:trPr>
          <w:trHeight w:val="285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43"/>
              <w:jc w:val="both"/>
              <w:rPr>
                <w:rFonts w:ascii="宋体" w:hAnsi="宋体" w:cs="宋体" w:eastAsia="宋体" w:hint="default"/>
                <w:sz w:val="18"/>
                <w:szCs w:val="18"/>
              </w:rPr>
            </w:pPr>
            <w:r>
              <w:rPr>
                <w:rFonts w:ascii="宋体" w:hAnsi="宋体" w:cs="宋体" w:eastAsia="宋体" w:hint="default"/>
                <w:sz w:val="18"/>
                <w:szCs w:val="18"/>
              </w:rPr>
              <w:t>展集团股 份有限公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1"/>
              <w:jc w:val="left"/>
              <w:rPr>
                <w:rFonts w:ascii="宋体" w:hAnsi="宋体" w:cs="宋体" w:eastAsia="宋体" w:hint="default"/>
                <w:sz w:val="18"/>
                <w:szCs w:val="18"/>
              </w:rPr>
            </w:pPr>
            <w:r>
              <w:rPr>
                <w:rFonts w:ascii="宋体" w:hAnsi="宋体" w:cs="宋体" w:eastAsia="宋体" w:hint="default"/>
                <w:sz w:val="18"/>
                <w:szCs w:val="18"/>
              </w:rPr>
              <w:t>参股股 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公楼</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w:t>
            </w: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38" w:lineRule="auto" w:before="6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320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43"/>
              <w:jc w:val="both"/>
              <w:rPr>
                <w:rFonts w:ascii="宋体" w:hAnsi="宋体" w:cs="宋体" w:eastAsia="宋体" w:hint="default"/>
                <w:sz w:val="18"/>
                <w:szCs w:val="18"/>
              </w:rPr>
            </w:pPr>
            <w:r>
              <w:rPr>
                <w:rFonts w:ascii="宋体" w:hAnsi="宋体" w:cs="宋体" w:eastAsia="宋体" w:hint="default"/>
                <w:sz w:val="18"/>
                <w:szCs w:val="18"/>
              </w:rPr>
              <w:t>万和证券 股份有限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01"/>
              <w:jc w:val="both"/>
              <w:rPr>
                <w:rFonts w:ascii="宋体" w:hAnsi="宋体" w:cs="宋体" w:eastAsia="宋体" w:hint="default"/>
                <w:sz w:val="18"/>
                <w:szCs w:val="18"/>
              </w:rPr>
            </w:pPr>
            <w:r>
              <w:rPr>
                <w:rFonts w:ascii="宋体" w:hAnsi="宋体" w:cs="宋体" w:eastAsia="宋体" w:hint="default"/>
                <w:sz w:val="18"/>
                <w:szCs w:val="18"/>
              </w:rPr>
              <w:t>股东控 制的企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接收服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咨询服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0.13%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38" w:lineRule="auto" w:before="63"/>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8"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公司报告期不存在关联债权债务往来。</w:t>
      </w:r>
    </w:p>
    <w:p>
      <w:pPr>
        <w:spacing w:after="0" w:line="340" w:lineRule="auto"/>
        <w:jc w:val="left"/>
        <w:sectPr>
          <w:pgSz w:w="11910" w:h="16840"/>
          <w:pgMar w:header="852" w:footer="980" w:top="1320" w:bottom="1160" w:left="980" w:right="0"/>
        </w:sectPr>
      </w:pPr>
    </w:p>
    <w:p>
      <w:pPr>
        <w:pStyle w:val="Heading3"/>
        <w:spacing w:line="240" w:lineRule="auto" w:before="24"/>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28"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深圳市建筑科学研究院股份有限公司与深圳市远致投资有限公司、中国雄安集团城市发展投资有限公司拟共同投资设立合资</w:t>
      </w:r>
      <w:r>
        <w:rPr>
          <w:spacing w:val="-64"/>
        </w:rPr>
        <w:t> </w:t>
      </w:r>
      <w:r>
        <w:rPr>
          <w:spacing w:val="-64"/>
        </w:rPr>
      </w:r>
      <w:r>
        <w:rPr/>
        <w:t>公司暨关联交易事项。</w:t>
      </w:r>
    </w:p>
    <w:p>
      <w:pPr>
        <w:pStyle w:val="BodyText"/>
        <w:spacing w:line="240" w:lineRule="auto" w:before="48"/>
        <w:ind w:right="0"/>
        <w:jc w:val="left"/>
      </w:pPr>
      <w:r>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关于对外投资设立有限公司暨关联交易的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http:</w:t>
            </w:r>
            <w:hyperlink r:id="rId14">
              <w:r>
                <w:rPr>
                  <w:rFonts w:ascii="Times New Roman"/>
                  <w:sz w:val="18"/>
                </w:rPr>
                <w:t>/www</w:t>
              </w:r>
            </w:hyperlink>
            <w:r>
              <w:rPr>
                <w:rFonts w:ascii="Times New Roman"/>
                <w:sz w:val="18"/>
              </w:rPr>
              <w:t>.</w:t>
            </w:r>
            <w:hyperlink r:id="rId14">
              <w:r>
                <w:rPr>
                  <w:rFonts w:ascii="Times New Roman"/>
                  <w:sz w:val="18"/>
                </w:rPr>
                <w:t>cninfo.com.cn</w:t>
              </w:r>
            </w:hyperlink>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十六、重大合同及其履行情况</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93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02" w:lineRule="auto" w:before="43"/>
        <w:ind w:right="1123"/>
        <w:jc w:val="left"/>
      </w:pPr>
      <w:r>
        <w:rPr/>
        <w:t>（一）报告期内，公司作为承租方的租赁事项主要有： </w:t>
      </w:r>
      <w:r>
        <w:rPr>
          <w:rFonts w:ascii="Times New Roman" w:hAnsi="Times New Roman" w:cs="Times New Roman" w:eastAsia="Times New Roman" w:hint="default"/>
          <w:spacing w:val="-2"/>
        </w:rPr>
        <w:t>1</w:t>
      </w:r>
      <w:r>
        <w:rPr>
          <w:spacing w:val="-2"/>
        </w:rPr>
        <w:t>、本公司与上海杨浦知识创新区投资发展有限公司签订房屋租赁合同，租赁其位于上海市杨浦区江浦路</w:t>
      </w:r>
      <w:r>
        <w:rPr>
          <w:rFonts w:ascii="Times New Roman" w:hAnsi="Times New Roman" w:cs="Times New Roman" w:eastAsia="Times New Roman" w:hint="default"/>
          <w:spacing w:val="-2"/>
        </w:rPr>
        <w:t>627</w:t>
      </w:r>
      <w:r>
        <w:rPr>
          <w:spacing w:val="-2"/>
        </w:rPr>
        <w:t>号的上海钢琴厂</w:t>
      </w:r>
      <w:r>
        <w:rPr>
          <w:spacing w:val="-61"/>
        </w:rPr>
        <w:t> </w:t>
      </w:r>
      <w:r>
        <w:rPr>
          <w:spacing w:val="-61"/>
        </w:rPr>
      </w:r>
      <w:r>
        <w:rPr/>
        <w:t>用于公司</w:t>
      </w:r>
      <w:r>
        <w:rPr>
          <w:rFonts w:ascii="Times New Roman" w:hAnsi="Times New Roman" w:cs="Times New Roman" w:eastAsia="Times New Roman" w:hint="default"/>
        </w:rPr>
        <w:t>E</w:t>
      </w:r>
      <w:r>
        <w:rPr/>
        <w:t>朋汇项目，租赁期限自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日。本租赁事项情况详见</w:t>
      </w:r>
      <w:r>
        <w:rPr>
          <w:rFonts w:ascii="Times New Roman" w:hAnsi="Times New Roman" w:cs="Times New Roman" w:eastAsia="Times New Roman" w:hint="default"/>
        </w:rPr>
        <w:t>“</w:t>
      </w:r>
      <w:r>
        <w:rPr/>
        <w:t>第十节</w:t>
      </w:r>
      <w:r>
        <w:rPr>
          <w:spacing w:val="-33"/>
        </w:rPr>
        <w:t> </w:t>
      </w:r>
      <w:r>
        <w:rPr/>
        <w:t>财务报告</w:t>
      </w:r>
      <w:r>
        <w:rPr>
          <w:spacing w:val="-33"/>
        </w:rPr>
        <w:t> </w:t>
      </w:r>
      <w:r>
        <w:rPr/>
        <w:t>第十四</w:t>
      </w:r>
      <w:r>
        <w:rPr>
          <w:spacing w:val="-33"/>
        </w:rPr>
        <w:t> </w:t>
      </w:r>
      <w:r>
        <w:rPr/>
        <w:t>承诺及</w:t>
      </w:r>
      <w:r>
        <w:rPr/>
        <w:t> 或有事项</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2"/>
        </w:rPr>
        <w:t>2</w:t>
      </w:r>
      <w:r>
        <w:rPr>
          <w:spacing w:val="-2"/>
        </w:rPr>
        <w:t>、本公司及北京艾科城共同与朔黄铁路发展有限公司签订房屋租赁合同，租赁其位于北京市海淀区彩和坊路</w:t>
      </w:r>
      <w:r>
        <w:rPr>
          <w:rFonts w:ascii="Times New Roman" w:hAnsi="Times New Roman" w:cs="Times New Roman" w:eastAsia="Times New Roman" w:hint="default"/>
          <w:spacing w:val="-2"/>
        </w:rPr>
        <w:t>6</w:t>
      </w:r>
      <w:r>
        <w:rPr>
          <w:spacing w:val="-2"/>
        </w:rPr>
        <w:t>号朔黄发展大</w:t>
      </w:r>
      <w:r>
        <w:rPr>
          <w:spacing w:val="-62"/>
        </w:rPr>
        <w:t> </w:t>
      </w:r>
      <w:r>
        <w:rPr/>
        <w:t>厦之部分写字楼作为办公场所，建筑面积</w:t>
      </w:r>
      <w:r>
        <w:rPr>
          <w:rFonts w:ascii="Times New Roman" w:hAnsi="Times New Roman" w:cs="Times New Roman" w:eastAsia="Times New Roman" w:hint="default"/>
        </w:rPr>
        <w:t>1,274.60</w:t>
      </w:r>
      <w:r>
        <w:rPr/>
        <w:t>平方米，租赁期为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spacing w:val="-2"/>
        </w:rPr>
        <w:t>3</w:t>
      </w:r>
      <w:r>
        <w:rPr>
          <w:spacing w:val="-2"/>
        </w:rPr>
        <w:t>、市政中心与深圳市新华财富资产管理有限公司签订房屋租赁合同，租赁期位于深圳市福田区振兴路</w:t>
      </w:r>
      <w:r>
        <w:rPr>
          <w:rFonts w:ascii="Times New Roman" w:hAnsi="Times New Roman" w:cs="Times New Roman" w:eastAsia="Times New Roman" w:hint="default"/>
          <w:spacing w:val="-2"/>
        </w:rPr>
        <w:t>3</w:t>
      </w:r>
      <w:r>
        <w:rPr>
          <w:spacing w:val="-2"/>
        </w:rPr>
        <w:t>号建艺大厦</w:t>
      </w:r>
      <w:r>
        <w:rPr>
          <w:rFonts w:ascii="Times New Roman" w:hAnsi="Times New Roman" w:cs="Times New Roman" w:eastAsia="Times New Roman" w:hint="default"/>
          <w:spacing w:val="-2"/>
        </w:rPr>
        <w:t>17</w:t>
      </w:r>
      <w:r>
        <w:rPr>
          <w:spacing w:val="-2"/>
        </w:rPr>
        <w:t>楼作为</w:t>
      </w:r>
      <w:r>
        <w:rPr>
          <w:spacing w:val="-61"/>
        </w:rPr>
        <w:t> </w:t>
      </w:r>
      <w:r>
        <w:rPr>
          <w:spacing w:val="-61"/>
        </w:rPr>
      </w:r>
      <w:r>
        <w:rPr/>
        <w:t>办公场所，建筑面积</w:t>
      </w:r>
      <w:r>
        <w:rPr>
          <w:rFonts w:ascii="Times New Roman" w:hAnsi="Times New Roman" w:cs="Times New Roman" w:eastAsia="Times New Roman" w:hint="default"/>
        </w:rPr>
        <w:t>1,909.07</w:t>
      </w:r>
      <w:r>
        <w:rPr/>
        <w:t>平方米，租赁期为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rPr>
        <w:t>4</w:t>
      </w:r>
      <w:r>
        <w:rPr/>
        <w:t>、本公司及子公司北京艾科城与中关村发展集团有限公司签订租赁合同，租赁其位于北京市海淀区西三环北路甲</w:t>
      </w:r>
      <w:r>
        <w:rPr>
          <w:rFonts w:ascii="Times New Roman" w:hAnsi="Times New Roman" w:cs="Times New Roman" w:eastAsia="Times New Roman" w:hint="default"/>
        </w:rPr>
        <w:t>2</w:t>
      </w:r>
      <w:r>
        <w:rPr/>
        <w:t>号院</w:t>
      </w:r>
      <w:r>
        <w:rPr>
          <w:rFonts w:ascii="Times New Roman" w:hAnsi="Times New Roman" w:cs="Times New Roman" w:eastAsia="Times New Roman" w:hint="default"/>
        </w:rPr>
        <w:t>7</w:t>
      </w:r>
      <w:r>
        <w:rPr/>
        <w:t>号 楼</w:t>
      </w:r>
      <w:r>
        <w:rPr>
          <w:rFonts w:ascii="Times New Roman" w:hAnsi="Times New Roman" w:cs="Times New Roman" w:eastAsia="Times New Roman" w:hint="default"/>
        </w:rPr>
        <w:t>BD</w:t>
      </w:r>
      <w:r>
        <w:rPr/>
        <w:t>连廊之部分写字楼作为办公场所，建筑面积</w:t>
      </w:r>
      <w:r>
        <w:rPr>
          <w:rFonts w:ascii="Times New Roman" w:hAnsi="Times New Roman" w:cs="Times New Roman" w:eastAsia="Times New Roman" w:hint="default"/>
        </w:rPr>
        <w:t>965.58</w:t>
      </w:r>
      <w:r>
        <w:rPr/>
        <w:t>平方米，租赁期为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p>
    <w:p>
      <w:pPr>
        <w:pStyle w:val="BodyText"/>
        <w:spacing w:line="309" w:lineRule="auto" w:before="11"/>
        <w:ind w:right="1119"/>
        <w:jc w:val="left"/>
      </w:pPr>
      <w:r>
        <w:rPr/>
        <w:t>（二）报告期内，公司作为出租方的租赁事项主要有： </w:t>
      </w:r>
      <w:r>
        <w:rPr>
          <w:rFonts w:ascii="Times New Roman" w:hAnsi="Times New Roman" w:cs="Times New Roman" w:eastAsia="Times New Roman" w:hint="default"/>
          <w:spacing w:val="-1"/>
        </w:rPr>
        <w:t>1</w:t>
      </w:r>
      <w:r>
        <w:rPr>
          <w:spacing w:val="-1"/>
        </w:rPr>
        <w:t>、上海爱轲将位于上海市杨浦区江浦路</w:t>
      </w:r>
      <w:r>
        <w:rPr>
          <w:rFonts w:ascii="Times New Roman" w:hAnsi="Times New Roman" w:cs="Times New Roman" w:eastAsia="Times New Roman" w:hint="default"/>
          <w:spacing w:val="-1"/>
        </w:rPr>
        <w:t>627</w:t>
      </w:r>
      <w:r>
        <w:rPr>
          <w:spacing w:val="-1"/>
        </w:rPr>
        <w:t>号上海</w:t>
      </w:r>
      <w:r>
        <w:rPr>
          <w:rFonts w:ascii="Times New Roman" w:hAnsi="Times New Roman" w:cs="Times New Roman" w:eastAsia="Times New Roman" w:hint="default"/>
          <w:spacing w:val="-1"/>
        </w:rPr>
        <w:t>E</w:t>
      </w:r>
      <w:r>
        <w:rPr>
          <w:spacing w:val="-1"/>
        </w:rPr>
        <w:t>朋汇绿色建筑产业园对外出租，报告期内共有租户</w:t>
      </w:r>
      <w:r>
        <w:rPr>
          <w:rFonts w:ascii="Times New Roman" w:hAnsi="Times New Roman" w:cs="Times New Roman" w:eastAsia="Times New Roman" w:hint="default"/>
          <w:spacing w:val="-1"/>
        </w:rPr>
        <w:t>37</w:t>
      </w:r>
      <w:r>
        <w:rPr>
          <w:spacing w:val="-1"/>
        </w:rPr>
        <w:t>家，其中主要的租</w:t>
      </w:r>
      <w:r>
        <w:rPr>
          <w:spacing w:val="-50"/>
        </w:rPr>
        <w:t> </w:t>
      </w:r>
      <w:r>
        <w:rPr>
          <w:spacing w:val="-50"/>
        </w:rPr>
      </w:r>
      <w:r>
        <w:rPr/>
        <w:t>赁合同有：</w:t>
      </w:r>
    </w:p>
    <w:p>
      <w:pPr>
        <w:pStyle w:val="BodyText"/>
        <w:spacing w:line="240" w:lineRule="auto" w:before="24"/>
        <w:ind w:left="369" w:right="0"/>
        <w:jc w:val="left"/>
      </w:pPr>
      <w:r>
        <w:rPr/>
        <w:t>①上海爱轲将上海</w:t>
      </w:r>
      <w:r>
        <w:rPr>
          <w:rFonts w:ascii="Times New Roman" w:hAnsi="Times New Roman" w:cs="Times New Roman" w:eastAsia="Times New Roman" w:hint="default"/>
        </w:rPr>
        <w:t>E</w:t>
      </w:r>
      <w:r>
        <w:rPr/>
        <w:t>朋汇之</w:t>
      </w:r>
      <w:r>
        <w:rPr>
          <w:rFonts w:ascii="Times New Roman" w:hAnsi="Times New Roman" w:cs="Times New Roman" w:eastAsia="Times New Roman" w:hint="default"/>
        </w:rPr>
        <w:t>31</w:t>
      </w:r>
      <w:r>
        <w:rPr/>
        <w:t>幢</w:t>
      </w:r>
      <w:r>
        <w:rPr>
          <w:rFonts w:ascii="Times New Roman" w:hAnsi="Times New Roman" w:cs="Times New Roman" w:eastAsia="Times New Roman" w:hint="default"/>
        </w:rPr>
        <w:t>401</w:t>
      </w:r>
      <w:r>
        <w:rPr/>
        <w:t>室的房屋出租给上海天强投资有限公司，建筑面积为</w:t>
      </w:r>
      <w:r>
        <w:rPr>
          <w:rFonts w:ascii="Times New Roman" w:hAnsi="Times New Roman" w:cs="Times New Roman" w:eastAsia="Times New Roman" w:hint="default"/>
        </w:rPr>
        <w:t>308.88</w:t>
      </w:r>
      <w:r>
        <w:rPr/>
        <w:t>平方米，租赁期为</w:t>
      </w:r>
      <w:r>
        <w:rPr>
          <w:rFonts w:ascii="Times New Roman" w:hAnsi="Times New Roman" w:cs="Times New Roman" w:eastAsia="Times New Roman" w:hint="default"/>
        </w:rPr>
        <w:t>2015</w:t>
      </w:r>
      <w:r>
        <w:rPr/>
        <w:t>年</w:t>
      </w:r>
    </w:p>
    <w:p>
      <w:pPr>
        <w:pStyle w:val="BodyText"/>
        <w:spacing w:line="240" w:lineRule="auto" w:before="62"/>
        <w:ind w:right="0"/>
        <w:jc w:val="left"/>
      </w:pP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w:t>
      </w:r>
    </w:p>
    <w:p>
      <w:pPr>
        <w:spacing w:after="0" w:line="240" w:lineRule="auto"/>
        <w:jc w:val="left"/>
        <w:sectPr>
          <w:pgSz w:w="11910" w:h="16840"/>
          <w:pgMar w:header="852" w:footer="980" w:top="1320" w:bottom="1160" w:left="980" w:right="0"/>
        </w:sectPr>
      </w:pPr>
    </w:p>
    <w:p>
      <w:pPr>
        <w:pStyle w:val="BodyText"/>
        <w:spacing w:line="300" w:lineRule="auto" w:before="111"/>
        <w:ind w:right="1248" w:firstLine="216"/>
        <w:jc w:val="left"/>
      </w:pPr>
      <w:r>
        <w:rPr/>
        <w:t>②上海爱轲将上海</w:t>
      </w:r>
      <w:r>
        <w:rPr>
          <w:rFonts w:ascii="Times New Roman" w:hAnsi="Times New Roman" w:cs="Times New Roman" w:eastAsia="Times New Roman" w:hint="default"/>
        </w:rPr>
        <w:t>E</w:t>
      </w:r>
      <w:r>
        <w:rPr/>
        <w:t>朋汇之</w:t>
      </w:r>
      <w:r>
        <w:rPr>
          <w:rFonts w:ascii="Times New Roman" w:hAnsi="Times New Roman" w:cs="Times New Roman" w:eastAsia="Times New Roman" w:hint="default"/>
        </w:rPr>
        <w:t>24</w:t>
      </w:r>
      <w:r>
        <w:rPr/>
        <w:t>幢</w:t>
      </w:r>
      <w:r>
        <w:rPr>
          <w:rFonts w:ascii="Times New Roman" w:hAnsi="Times New Roman" w:cs="Times New Roman" w:eastAsia="Times New Roman" w:hint="default"/>
        </w:rPr>
        <w:t>203</w:t>
      </w:r>
      <w:r>
        <w:rPr/>
        <w:t>室的房屋出租给深圳磊明科技有限公司，建筑面积为</w:t>
      </w:r>
      <w:r>
        <w:rPr>
          <w:rFonts w:ascii="Times New Roman" w:hAnsi="Times New Roman" w:cs="Times New Roman" w:eastAsia="Times New Roman" w:hint="default"/>
        </w:rPr>
        <w:t>563</w:t>
      </w:r>
      <w:r>
        <w:rPr/>
        <w:t>平方米，租赁期为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w:t>
      </w:r>
    </w:p>
    <w:p>
      <w:pPr>
        <w:pStyle w:val="BodyText"/>
        <w:spacing w:line="300" w:lineRule="auto" w:before="13"/>
        <w:ind w:right="1122" w:firstLine="216"/>
        <w:jc w:val="left"/>
      </w:pPr>
      <w:r>
        <w:rPr/>
        <w:t>③上海爱轲将上海</w:t>
      </w:r>
      <w:r>
        <w:rPr>
          <w:rFonts w:ascii="Times New Roman" w:hAnsi="Times New Roman" w:cs="Times New Roman" w:eastAsia="Times New Roman" w:hint="default"/>
        </w:rPr>
        <w:t>E</w:t>
      </w:r>
      <w:r>
        <w:rPr/>
        <w:t>朋汇之</w:t>
      </w:r>
      <w:r>
        <w:rPr>
          <w:rFonts w:ascii="Times New Roman" w:hAnsi="Times New Roman" w:cs="Times New Roman" w:eastAsia="Times New Roman" w:hint="default"/>
        </w:rPr>
        <w:t>31</w:t>
      </w:r>
      <w:r>
        <w:rPr/>
        <w:t>幢</w:t>
      </w:r>
      <w:r>
        <w:rPr>
          <w:rFonts w:ascii="Times New Roman" w:hAnsi="Times New Roman" w:cs="Times New Roman" w:eastAsia="Times New Roman" w:hint="default"/>
        </w:rPr>
        <w:t>201</w:t>
      </w:r>
      <w:r>
        <w:rPr/>
        <w:t>室的房屋出租给上海焱煜新材料科技有限公司</w:t>
      </w:r>
      <w:r>
        <w:rPr>
          <w:spacing w:val="-18"/>
        </w:rPr>
        <w:t> </w:t>
      </w:r>
      <w:r>
        <w:rPr>
          <w:spacing w:val="-6"/>
        </w:rPr>
        <w:t>，建筑面积为</w:t>
      </w:r>
      <w:r>
        <w:rPr>
          <w:rFonts w:ascii="Times New Roman" w:hAnsi="Times New Roman" w:cs="Times New Roman" w:eastAsia="Times New Roman" w:hint="default"/>
          <w:spacing w:val="-6"/>
        </w:rPr>
        <w:t>529</w:t>
      </w:r>
      <w:r>
        <w:rPr>
          <w:spacing w:val="-6"/>
        </w:rPr>
        <w:t>平方米，租赁期为</w:t>
      </w:r>
      <w:r>
        <w:rPr>
          <w:rFonts w:ascii="Times New Roman" w:hAnsi="Times New Roman" w:cs="Times New Roman" w:eastAsia="Times New Roman" w:hint="default"/>
          <w:spacing w:val="-6"/>
        </w:rPr>
        <w:t>2016</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w:t>
      </w:r>
    </w:p>
    <w:p>
      <w:pPr>
        <w:pStyle w:val="BodyText"/>
        <w:spacing w:line="300" w:lineRule="auto" w:before="13"/>
        <w:ind w:right="1119" w:firstLine="216"/>
        <w:jc w:val="left"/>
      </w:pPr>
      <w:r>
        <w:rPr>
          <w:spacing w:val="-3"/>
        </w:rPr>
        <w:t>④上海爱轲将上海</w:t>
      </w:r>
      <w:r>
        <w:rPr>
          <w:rFonts w:ascii="Times New Roman" w:hAnsi="Times New Roman" w:cs="Times New Roman" w:eastAsia="Times New Roman" w:hint="default"/>
          <w:spacing w:val="-3"/>
        </w:rPr>
        <w:t>E</w:t>
      </w:r>
      <w:r>
        <w:rPr>
          <w:spacing w:val="-3"/>
        </w:rPr>
        <w:t>朋汇之</w:t>
      </w:r>
      <w:r>
        <w:rPr>
          <w:rFonts w:ascii="Times New Roman" w:hAnsi="Times New Roman" w:cs="Times New Roman" w:eastAsia="Times New Roman" w:hint="default"/>
          <w:spacing w:val="-3"/>
        </w:rPr>
        <w:t>31</w:t>
      </w:r>
      <w:r>
        <w:rPr>
          <w:spacing w:val="-3"/>
        </w:rPr>
        <w:t>幢</w:t>
      </w:r>
      <w:r>
        <w:rPr>
          <w:rFonts w:ascii="Times New Roman" w:hAnsi="Times New Roman" w:cs="Times New Roman" w:eastAsia="Times New Roman" w:hint="default"/>
          <w:spacing w:val="-3"/>
        </w:rPr>
        <w:t>307</w:t>
      </w:r>
      <w:r>
        <w:rPr>
          <w:spacing w:val="-3"/>
        </w:rPr>
        <w:t>室的房屋出租给自然人李丽娟，建筑面积为</w:t>
      </w:r>
      <w:r>
        <w:rPr>
          <w:rFonts w:ascii="Times New Roman" w:hAnsi="Times New Roman" w:cs="Times New Roman" w:eastAsia="Times New Roman" w:hint="default"/>
          <w:spacing w:val="-3"/>
        </w:rPr>
        <w:t>729</w:t>
      </w:r>
      <w:r>
        <w:rPr>
          <w:spacing w:val="-3"/>
        </w:rPr>
        <w:t>平方米，租赁期为</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30</w:t>
      </w:r>
      <w:r>
        <w:rPr>
          <w:spacing w:val="-3"/>
        </w:rPr>
        <w:t>日至</w:t>
      </w:r>
      <w:r>
        <w:rPr>
          <w:rFonts w:ascii="Times New Roman" w:hAnsi="Times New Roman" w:cs="Times New Roman" w:eastAsia="Times New Roman" w:hint="default"/>
          <w:spacing w:val="-3"/>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w:t>
      </w:r>
    </w:p>
    <w:p>
      <w:pPr>
        <w:pStyle w:val="BodyText"/>
        <w:spacing w:line="240" w:lineRule="auto" w:before="13"/>
        <w:ind w:left="369" w:right="0"/>
        <w:jc w:val="left"/>
      </w:pPr>
      <w:r>
        <w:rPr/>
        <w:t>⑤上海爱轲将上海</w:t>
      </w:r>
      <w:r>
        <w:rPr>
          <w:rFonts w:ascii="Times New Roman" w:hAnsi="Times New Roman" w:cs="Times New Roman" w:eastAsia="Times New Roman" w:hint="default"/>
        </w:rPr>
        <w:t>E</w:t>
      </w:r>
      <w:r>
        <w:rPr/>
        <w:t>朋汇之</w:t>
      </w:r>
      <w:r>
        <w:rPr>
          <w:rFonts w:ascii="Times New Roman" w:hAnsi="Times New Roman" w:cs="Times New Roman" w:eastAsia="Times New Roman" w:hint="default"/>
        </w:rPr>
        <w:t>24</w:t>
      </w:r>
      <w:r>
        <w:rPr/>
        <w:t>幢</w:t>
      </w:r>
      <w:r>
        <w:rPr>
          <w:rFonts w:ascii="Times New Roman" w:hAnsi="Times New Roman" w:cs="Times New Roman" w:eastAsia="Times New Roman" w:hint="default"/>
        </w:rPr>
        <w:t>101</w:t>
      </w:r>
      <w:r>
        <w:rPr/>
        <w:t>室的房屋出租给上海统一星巴克咖啡有限公司，建筑面积为</w:t>
      </w:r>
      <w:r>
        <w:rPr>
          <w:rFonts w:ascii="Times New Roman" w:hAnsi="Times New Roman" w:cs="Times New Roman" w:eastAsia="Times New Roman" w:hint="default"/>
        </w:rPr>
        <w:t>259.8</w:t>
      </w:r>
      <w:r>
        <w:rPr/>
        <w:t>平方米，租赁期为</w:t>
      </w:r>
    </w:p>
    <w:p>
      <w:pPr>
        <w:pStyle w:val="BodyText"/>
        <w:spacing w:line="240" w:lineRule="auto" w:before="63"/>
        <w:ind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300" w:lineRule="auto" w:before="63"/>
        <w:ind w:right="1154"/>
        <w:jc w:val="left"/>
      </w:pPr>
      <w:r>
        <w:rPr>
          <w:rFonts w:ascii="Times New Roman" w:hAnsi="Times New Roman" w:cs="Times New Roman" w:eastAsia="Times New Roman" w:hint="default"/>
        </w:rPr>
        <w:t>2</w:t>
      </w:r>
      <w:r>
        <w:rPr/>
        <w:t>、公司将位于深圳市福田区上梅林梅坳三路</w:t>
      </w:r>
      <w:r>
        <w:rPr>
          <w:rFonts w:ascii="Times New Roman" w:hAnsi="Times New Roman" w:cs="Times New Roman" w:eastAsia="Times New Roman" w:hint="default"/>
        </w:rPr>
        <w:t>29</w:t>
      </w:r>
      <w:r>
        <w:rPr/>
        <w:t>号建科大楼</w:t>
      </w:r>
      <w:r>
        <w:rPr>
          <w:rFonts w:ascii="Times New Roman" w:hAnsi="Times New Roman" w:cs="Times New Roman" w:eastAsia="Times New Roman" w:hint="default"/>
        </w:rPr>
        <w:t>2-4</w:t>
      </w:r>
      <w:r>
        <w:rPr/>
        <w:t>层房屋对外出租，报告期共有租户</w:t>
      </w:r>
      <w:r>
        <w:rPr>
          <w:rFonts w:ascii="Times New Roman" w:hAnsi="Times New Roman" w:cs="Times New Roman" w:eastAsia="Times New Roman" w:hint="default"/>
        </w:rPr>
        <w:t>8</w:t>
      </w:r>
      <w:r>
        <w:rPr/>
        <w:t>家，其中主要的租赁合同 有：</w:t>
      </w:r>
    </w:p>
    <w:p>
      <w:pPr>
        <w:pStyle w:val="BodyText"/>
        <w:spacing w:line="300" w:lineRule="auto" w:before="31"/>
        <w:ind w:right="0" w:firstLine="216"/>
        <w:jc w:val="left"/>
      </w:pPr>
      <w:r>
        <w:rPr>
          <w:spacing w:val="-1"/>
        </w:rPr>
        <w:t>①公司将建科大楼之二层南、北区的房屋出租给深圳市红源旅游景观发展集团有限公司，建筑面积</w:t>
      </w:r>
      <w:r>
        <w:rPr>
          <w:rFonts w:ascii="Times New Roman" w:hAnsi="Times New Roman" w:cs="Times New Roman" w:eastAsia="Times New Roman" w:hint="default"/>
          <w:spacing w:val="-1"/>
        </w:rPr>
        <w:t>1,050.38</w:t>
      </w:r>
      <w:r>
        <w:rPr>
          <w:spacing w:val="-1"/>
        </w:rPr>
        <w:t>平方米，租赁</w:t>
      </w:r>
      <w:r>
        <w:rPr/>
        <w:t> 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w:t>
      </w:r>
    </w:p>
    <w:p>
      <w:pPr>
        <w:pStyle w:val="BodyText"/>
        <w:spacing w:line="240" w:lineRule="auto" w:before="13"/>
        <w:ind w:left="369" w:right="0"/>
        <w:jc w:val="left"/>
      </w:pPr>
      <w:r>
        <w:rPr/>
        <w:t>②公司将建科大楼之三层北区</w:t>
      </w:r>
      <w:r>
        <w:rPr>
          <w:rFonts w:ascii="Times New Roman" w:hAnsi="Times New Roman" w:cs="Times New Roman" w:eastAsia="Times New Roman" w:hint="default"/>
        </w:rPr>
        <w:t>3A</w:t>
      </w:r>
      <w:r>
        <w:rPr/>
        <w:t>出租给深圳市福田区机关事务管理局，建筑面积</w:t>
      </w:r>
      <w:r>
        <w:rPr>
          <w:rFonts w:ascii="Times New Roman" w:hAnsi="Times New Roman" w:cs="Times New Roman" w:eastAsia="Times New Roman" w:hint="default"/>
        </w:rPr>
        <w:t>253</w:t>
      </w:r>
      <w:r>
        <w:rPr/>
        <w:t>平方米，租赁期限为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p>
    <w:p>
      <w:pPr>
        <w:pStyle w:val="BodyText"/>
        <w:spacing w:line="240" w:lineRule="auto" w:before="63"/>
        <w:ind w:right="0"/>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w:t>
      </w:r>
    </w:p>
    <w:p>
      <w:pPr>
        <w:pStyle w:val="BodyText"/>
        <w:spacing w:line="300" w:lineRule="auto" w:before="63"/>
        <w:ind w:right="1178" w:firstLine="216"/>
        <w:jc w:val="left"/>
      </w:pPr>
      <w:r>
        <w:rPr/>
        <w:t>③公司将建科大楼之四层北区的房屋出租给深圳市海德伦工程咨询有限公司，建筑面积</w:t>
      </w:r>
      <w:r>
        <w:rPr>
          <w:rFonts w:ascii="Times New Roman" w:hAnsi="Times New Roman" w:cs="Times New Roman" w:eastAsia="Times New Roman" w:hint="default"/>
        </w:rPr>
        <w:t>438</w:t>
      </w:r>
      <w:r>
        <w:rPr/>
        <w:t>平方米，租赁期限为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w:t>
      </w:r>
    </w:p>
    <w:p>
      <w:pPr>
        <w:pStyle w:val="BodyText"/>
        <w:spacing w:line="300" w:lineRule="auto" w:before="13"/>
        <w:ind w:right="1238" w:firstLine="216"/>
        <w:jc w:val="left"/>
      </w:pPr>
      <w:r>
        <w:rPr/>
        <w:t>④公司将建科大楼之四层南区</w:t>
      </w:r>
      <w:r>
        <w:rPr>
          <w:rFonts w:ascii="Times New Roman" w:hAnsi="Times New Roman" w:cs="Times New Roman" w:eastAsia="Times New Roman" w:hint="default"/>
        </w:rPr>
        <w:t>4B</w:t>
      </w:r>
      <w:r>
        <w:rPr/>
        <w:t>的房屋出租给深圳市海德伦工程咨询有限公司，建筑面积</w:t>
      </w:r>
      <w:r>
        <w:rPr>
          <w:rFonts w:ascii="Times New Roman" w:hAnsi="Times New Roman" w:cs="Times New Roman" w:eastAsia="Times New Roman" w:hint="default"/>
        </w:rPr>
        <w:t>336</w:t>
      </w:r>
      <w:r>
        <w:rPr/>
        <w:t>平方米，租赁期限为</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w:t>
      </w:r>
    </w:p>
    <w:p>
      <w:pPr>
        <w:pStyle w:val="BodyText"/>
        <w:spacing w:line="240" w:lineRule="auto" w:before="51"/>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2"/>
        <w:gridCol w:w="869"/>
        <w:gridCol w:w="871"/>
        <w:gridCol w:w="867"/>
        <w:gridCol w:w="869"/>
        <w:gridCol w:w="869"/>
        <w:gridCol w:w="869"/>
        <w:gridCol w:w="871"/>
        <w:gridCol w:w="869"/>
      </w:tblGrid>
      <w:tr>
        <w:trPr>
          <w:trHeight w:val="1025"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1" w:right="71" w:hanging="272"/>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0" w:right="67" w:hanging="272"/>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70"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19"/>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0" w:right="71" w:hanging="272"/>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8" w:right="65" w:hanging="269"/>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2" w:right="67"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5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6"/>
              <w:jc w:val="both"/>
              <w:rPr>
                <w:rFonts w:ascii="宋体" w:hAnsi="宋体" w:cs="宋体" w:eastAsia="宋体" w:hint="default"/>
                <w:sz w:val="18"/>
                <w:szCs w:val="18"/>
              </w:rPr>
            </w:pPr>
            <w:r>
              <w:rPr>
                <w:rFonts w:ascii="宋体" w:hAnsi="宋体" w:cs="宋体" w:eastAsia="宋体" w:hint="default"/>
                <w:sz w:val="18"/>
                <w:szCs w:val="18"/>
              </w:rPr>
              <w:t>上海杨浦 知识创新 区投资发 展有限公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13"/>
              <w:jc w:val="both"/>
              <w:rPr>
                <w:rFonts w:ascii="宋体" w:hAnsi="宋体" w:cs="宋体" w:eastAsia="宋体" w:hint="default"/>
                <w:sz w:val="18"/>
                <w:szCs w:val="18"/>
              </w:rPr>
            </w:pPr>
            <w:r>
              <w:rPr>
                <w:rFonts w:ascii="宋体" w:hAnsi="宋体" w:cs="宋体" w:eastAsia="宋体" w:hint="default"/>
                <w:sz w:val="18"/>
                <w:szCs w:val="18"/>
              </w:rPr>
              <w:t>上海市杨 浦区江浦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627 </w:t>
            </w:r>
            <w:r>
              <w:rPr>
                <w:rFonts w:ascii="宋体" w:hAnsi="宋体" w:cs="宋体" w:eastAsia="宋体" w:hint="default"/>
                <w:sz w:val="18"/>
                <w:szCs w:val="18"/>
              </w:rPr>
              <w:t>号 上海钢琴 厂</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1,115.14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按合同约 定受益期 平均分摊 确认</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52" w:footer="980" w:top="132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280" w:bottom="1160" w:left="980" w:right="0"/>
          <w:cols w:num="2" w:equalWidth="0">
            <w:col w:w="1953" w:space="6787"/>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6"/>
        <w:gridCol w:w="1964"/>
        <w:gridCol w:w="1980"/>
        <w:gridCol w:w="1911"/>
        <w:gridCol w:w="1846"/>
      </w:tblGrid>
      <w:tr>
        <w:trPr>
          <w:trHeight w:val="402"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bl>
    <w:p>
      <w:pPr>
        <w:spacing w:after="0" w:line="240" w:lineRule="auto"/>
        <w:jc w:val="left"/>
        <w:rPr>
          <w:rFonts w:ascii="宋体" w:hAnsi="宋体" w:cs="宋体" w:eastAsia="宋体" w:hint="default"/>
          <w:sz w:val="18"/>
          <w:szCs w:val="18"/>
        </w:rPr>
        <w:sectPr>
          <w:type w:val="continuous"/>
          <w:pgSz w:w="11910" w:h="16840"/>
          <w:pgMar w:top="1280" w:bottom="1160" w:left="980" w:right="0"/>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单项金额重大或安全性较低、流动性较差、不保本的高风险委托理财具体情况</w:t>
      </w:r>
    </w:p>
    <w:p>
      <w:pPr>
        <w:pStyle w:val="BodyText"/>
        <w:spacing w:line="340" w:lineRule="auto" w:before="117"/>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9"/>
        <w:gridCol w:w="638"/>
        <w:gridCol w:w="641"/>
        <w:gridCol w:w="638"/>
        <w:gridCol w:w="639"/>
        <w:gridCol w:w="638"/>
        <w:gridCol w:w="636"/>
        <w:gridCol w:w="638"/>
        <w:gridCol w:w="639"/>
        <w:gridCol w:w="638"/>
        <w:gridCol w:w="638"/>
        <w:gridCol w:w="636"/>
      </w:tblGrid>
      <w:tr>
        <w:trPr>
          <w:trHeight w:val="227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23" w:right="23"/>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6"/>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5" w:right="41"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1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深圳市 建筑科 学研究 院股份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深圳市 广胜达 建设有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8"/>
              <w:jc w:val="both"/>
              <w:rPr>
                <w:rFonts w:ascii="宋体" w:hAnsi="宋体" w:cs="宋体" w:eastAsia="宋体" w:hint="default"/>
                <w:sz w:val="18"/>
                <w:szCs w:val="18"/>
              </w:rPr>
            </w:pPr>
            <w:r>
              <w:rPr>
                <w:rFonts w:ascii="宋体" w:hAnsi="宋体" w:cs="宋体" w:eastAsia="宋体" w:hint="default"/>
                <w:sz w:val="18"/>
                <w:szCs w:val="18"/>
              </w:rPr>
              <w:t>国际低 碳城产 业园区 配套住 房项目 </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总</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承包施 工协议 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34,957.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4" w:right="62"/>
              <w:jc w:val="left"/>
              <w:rPr>
                <w:rFonts w:ascii="宋体" w:hAnsi="宋体" w:cs="宋体" w:eastAsia="宋体" w:hint="default"/>
                <w:sz w:val="18"/>
                <w:szCs w:val="18"/>
              </w:rPr>
            </w:pPr>
            <w:r>
              <w:rPr>
                <w:rFonts w:ascii="宋体" w:hAnsi="宋体" w:cs="宋体" w:eastAsia="宋体" w:hint="default"/>
                <w:sz w:val="18"/>
                <w:szCs w:val="18"/>
              </w:rPr>
              <w:t>正常履 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3"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38" w:lineRule="auto" w:before="63"/>
              <w:ind w:left="23"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27</w:t>
            </w:r>
          </w:p>
        </w:tc>
      </w:tr>
    </w:tbl>
    <w:p>
      <w:pPr>
        <w:spacing w:line="240" w:lineRule="auto" w:before="4"/>
        <w:rPr>
          <w:rFonts w:ascii="宋体" w:hAnsi="宋体" w:cs="宋体" w:eastAsia="宋体" w:hint="default"/>
          <w:sz w:val="18"/>
          <w:szCs w:val="18"/>
        </w:rPr>
      </w:pPr>
    </w:p>
    <w:p>
      <w:pPr>
        <w:pStyle w:val="Heading2"/>
        <w:spacing w:line="367" w:lineRule="exact"/>
        <w:ind w:right="0"/>
        <w:jc w:val="left"/>
        <w:rPr>
          <w:b w:val="0"/>
          <w:bCs w:val="0"/>
        </w:rPr>
      </w:pPr>
      <w:r>
        <w:rPr/>
        <w:t>十七、社会责任情况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jc w:val="left"/>
      </w:pPr>
      <w:r>
        <w:rPr>
          <w:spacing w:val="-2"/>
        </w:rPr>
        <w:t>公司按照国家相关法律法规的规定，结合公司的实际情况，在安全管理、质量管理、环境保护、节能环保和员工权益保护等</w:t>
      </w:r>
      <w:r>
        <w:rPr>
          <w:spacing w:val="-67"/>
        </w:rPr>
        <w:t> </w:t>
      </w:r>
      <w:r>
        <w:rPr>
          <w:spacing w:val="-67"/>
        </w:rPr>
      </w:r>
      <w:r>
        <w:rPr/>
        <w:t>方面制定完善了相关的管理制度，有效履行各项社会责任，打造和提升企业形象。 </w:t>
      </w:r>
      <w:r>
        <w:rPr>
          <w:spacing w:val="-2"/>
        </w:rPr>
        <w:t>通过不断完善公司治理，保障股东的权益，公司严格按照《公司法》、《深圳证券交易所创业板股票上市规则》、《上市公</w:t>
      </w:r>
      <w:r>
        <w:rPr>
          <w:spacing w:val="-68"/>
        </w:rPr>
        <w:t> </w:t>
      </w:r>
      <w:r>
        <w:rPr>
          <w:spacing w:val="-68"/>
        </w:rPr>
      </w:r>
      <w:r>
        <w:rPr>
          <w:spacing w:val="-2"/>
        </w:rPr>
        <w:t>司信息披露管理办法》等相关法律法规的要求，及时、准确、真实、完整地进行信息披露，通过投资者电话、电子邮箱、公</w:t>
      </w:r>
    </w:p>
    <w:p>
      <w:pPr>
        <w:spacing w:after="0" w:line="316" w:lineRule="auto"/>
        <w:jc w:val="left"/>
        <w:sectPr>
          <w:pgSz w:w="11910" w:h="16840"/>
          <w:pgMar w:header="852" w:footer="980" w:top="1320" w:bottom="1160" w:left="980" w:right="0"/>
        </w:sectPr>
      </w:pPr>
    </w:p>
    <w:p>
      <w:pPr>
        <w:pStyle w:val="BodyText"/>
        <w:spacing w:line="312" w:lineRule="auto" w:before="111"/>
        <w:ind w:right="1042"/>
        <w:jc w:val="left"/>
      </w:pPr>
      <w:r>
        <w:rPr>
          <w:spacing w:val="-2"/>
        </w:rPr>
        <w:t>司网站和投资者关系互动平台等多种方式与投资者进行沟通交流，提高了公司的透明度和诚信度。公司非常重视对投资者的</w:t>
      </w:r>
      <w:r>
        <w:rPr>
          <w:spacing w:val="-63"/>
        </w:rPr>
        <w:t> </w:t>
      </w:r>
      <w:r>
        <w:rPr>
          <w:spacing w:val="-63"/>
        </w:rPr>
      </w:r>
      <w:r>
        <w:rPr/>
        <w:t>合理回报，制定了相对稳定的利润分配政策和分红方案以回报股东。 </w:t>
      </w:r>
      <w:r>
        <w:rPr>
          <w:rFonts w:ascii="Times New Roman" w:hAnsi="Times New Roman" w:cs="Times New Roman" w:eastAsia="Times New Roman" w:hint="default"/>
          <w:spacing w:val="-2"/>
        </w:rPr>
        <w:t>2018</w:t>
      </w:r>
      <w:r>
        <w:rPr>
          <w:spacing w:val="-2"/>
        </w:rPr>
        <w:t>年由我司主编的住建部行业标准《住宅建筑室内装修污染控制技术标准》</w:t>
      </w:r>
      <w:r>
        <w:rPr>
          <w:rFonts w:ascii="Times New Roman" w:hAnsi="Times New Roman" w:cs="Times New Roman" w:eastAsia="Times New Roman" w:hint="default"/>
          <w:spacing w:val="-2"/>
        </w:rPr>
        <w:t>JGJ/T436-2018</w:t>
      </w:r>
      <w:r>
        <w:rPr>
          <w:spacing w:val="-2"/>
        </w:rPr>
        <w:t>于</w:t>
      </w:r>
      <w:r>
        <w:rPr>
          <w:rFonts w:ascii="Times New Roman" w:hAnsi="Times New Roman" w:cs="Times New Roman" w:eastAsia="Times New Roman" w:hint="default"/>
          <w:spacing w:val="-2"/>
        </w:rPr>
        <w:t>9</w:t>
      </w:r>
      <w:r>
        <w:rPr>
          <w:spacing w:val="-2"/>
        </w:rPr>
        <w:t>月发布，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日实施。</w:t>
      </w:r>
      <w:r>
        <w:rPr>
          <w:spacing w:val="-88"/>
        </w:rPr>
        <w:t> </w:t>
      </w:r>
      <w:r>
        <w:rPr>
          <w:spacing w:val="-88"/>
        </w:rPr>
      </w:r>
      <w:r>
        <w:rPr>
          <w:spacing w:val="-4"/>
        </w:rPr>
        <w:t>现行标准建立了装修污染预评价模式，提出室内空气质量分级和装修材料环保分级，改变了目前对室内空气污染控制的方式。</w:t>
      </w:r>
      <w:r>
        <w:rPr>
          <w:spacing w:val="-44"/>
        </w:rPr>
        <w:t> </w:t>
      </w:r>
      <w:r>
        <w:rPr>
          <w:spacing w:val="-44"/>
        </w:rPr>
      </w:r>
      <w:r>
        <w:rPr/>
        <w:t>关注城市公共安全，主动服务社会。在应对</w:t>
      </w:r>
      <w:r>
        <w:rPr>
          <w:rFonts w:ascii="Times New Roman" w:hAnsi="Times New Roman" w:cs="Times New Roman" w:eastAsia="Times New Roman" w:hint="default"/>
        </w:rPr>
        <w:t>“</w:t>
      </w:r>
      <w:r>
        <w:rPr/>
        <w:t>山竹</w:t>
      </w:r>
      <w:r>
        <w:rPr>
          <w:rFonts w:ascii="Times New Roman" w:hAnsi="Times New Roman" w:cs="Times New Roman" w:eastAsia="Times New Roman" w:hint="default"/>
        </w:rPr>
        <w:t>”</w:t>
      </w:r>
      <w:r>
        <w:rPr/>
        <w:t>强台风过程中，我司迅速反映，成立了城市安全应急组并派出技术专家赴 深圳各区及珠海等地，主动了解需求，排除房屋安全次生灾害，积极为城市安全贡献力量。 </w:t>
      </w:r>
      <w:r>
        <w:rPr>
          <w:spacing w:val="-2"/>
        </w:rPr>
        <w:t>积极参与对口帮扶。积极响应号召，派出专职干部赴河源市龙川县麻布岗镇瑚径村担任驻村工作组成员，主要负责对口帮扶</w:t>
      </w:r>
      <w:r>
        <w:rPr>
          <w:spacing w:val="-63"/>
        </w:rPr>
        <w:t> </w:t>
      </w:r>
      <w:r>
        <w:rPr>
          <w:spacing w:val="-63"/>
        </w:rPr>
      </w:r>
      <w:r>
        <w:rPr/>
        <w:t>资金的资金管理、帮扶机制现场落地、对口帮扶基层党建等工作。</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3"/>
      </w:tblGrid>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852" w:footer="980" w:top="1320" w:bottom="1160" w:left="980" w:right="0"/>
        </w:sectPr>
      </w:pPr>
    </w:p>
    <w:p>
      <w:pPr>
        <w:pStyle w:val="Heading3"/>
        <w:spacing w:line="240" w:lineRule="auto" w:before="24"/>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5714"/>
        <w:jc w:val="left"/>
      </w:pPr>
      <w:r>
        <w:rPr/>
        <w:t>上市公司及其子公司是否属于环境保护部门公布的重点排污单位 不适用</w:t>
      </w:r>
    </w:p>
    <w:p>
      <w:pPr>
        <w:pStyle w:val="BodyText"/>
        <w:spacing w:line="240" w:lineRule="auto" w:before="29"/>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十八、其他重大事项的说明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2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456" w:lineRule="exact"/>
        <w:ind w:left="2964" w:right="0"/>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3"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75.00%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45.00%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52.50%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45.00%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22.50%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22.50%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25.00%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80,666,70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55.00%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36,666,70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25.00%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80,666,70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55.00%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146,666,7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146,666,7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340"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股份变动的批准情况</w:t>
      </w:r>
    </w:p>
    <w:p>
      <w:pPr>
        <w:pStyle w:val="BodyText"/>
        <w:spacing w:line="338" w:lineRule="auto" w:before="41"/>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43"/>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39"/>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spacing w:after="0" w:line="340" w:lineRule="auto"/>
        <w:jc w:val="left"/>
        <w:sectPr>
          <w:pgSz w:w="11910" w:h="16840"/>
          <w:pgMar w:header="852" w:footer="980" w:top="1320" w:bottom="1160" w:left="980" w:right="0"/>
        </w:sectPr>
      </w:pPr>
    </w:p>
    <w:p>
      <w:pPr>
        <w:pStyle w:val="BodyText"/>
        <w:spacing w:line="240" w:lineRule="auto" w:before="11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9"/>
              <w:jc w:val="left"/>
              <w:rPr>
                <w:rFonts w:ascii="宋体" w:hAnsi="宋体" w:cs="宋体" w:eastAsia="宋体" w:hint="default"/>
                <w:sz w:val="18"/>
                <w:szCs w:val="18"/>
              </w:rPr>
            </w:pPr>
            <w:r>
              <w:rPr>
                <w:rFonts w:ascii="宋体" w:hAnsi="宋体" w:cs="宋体" w:eastAsia="宋体" w:hint="default"/>
                <w:sz w:val="18"/>
                <w:szCs w:val="18"/>
              </w:rPr>
              <w:t>深圳市远致投资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62,857,143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62,857,143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深圳市建科投资 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9"/>
              <w:jc w:val="left"/>
              <w:rPr>
                <w:rFonts w:ascii="宋体" w:hAnsi="宋体" w:cs="宋体" w:eastAsia="宋体" w:hint="default"/>
                <w:sz w:val="18"/>
                <w:szCs w:val="18"/>
              </w:rPr>
            </w:pPr>
            <w:r>
              <w:rPr>
                <w:rFonts w:ascii="宋体" w:hAnsi="宋体" w:cs="宋体" w:eastAsia="宋体" w:hint="default"/>
                <w:sz w:val="18"/>
                <w:szCs w:val="18"/>
              </w:rPr>
              <w:t>中关村发展集团 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深圳市英龙建安</w:t>
            </w:r>
          </w:p>
          <w:p>
            <w:pPr>
              <w:pStyle w:val="TableParagraph"/>
              <w:spacing w:line="316" w:lineRule="auto" w:before="76"/>
              <w:ind w:left="24" w:right="69"/>
              <w:jc w:val="left"/>
              <w:rPr>
                <w:rFonts w:ascii="宋体" w:hAnsi="宋体" w:cs="宋体" w:eastAsia="宋体" w:hint="default"/>
                <w:sz w:val="18"/>
                <w:szCs w:val="18"/>
              </w:rPr>
            </w:pPr>
            <w:r>
              <w:rPr>
                <w:rFonts w:ascii="宋体" w:hAnsi="宋体" w:cs="宋体" w:eastAsia="宋体" w:hint="default"/>
                <w:sz w:val="18"/>
                <w:szCs w:val="18"/>
              </w:rPr>
              <w:t>（集团）有限公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9"/>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9"/>
              <w:jc w:val="both"/>
              <w:rPr>
                <w:rFonts w:ascii="宋体" w:hAnsi="宋体" w:cs="宋体" w:eastAsia="宋体" w:hint="default"/>
                <w:sz w:val="18"/>
                <w:szCs w:val="18"/>
              </w:rPr>
            </w:pPr>
            <w:r>
              <w:rPr>
                <w:rFonts w:ascii="宋体" w:hAnsi="宋体" w:cs="宋体" w:eastAsia="宋体" w:hint="default"/>
                <w:sz w:val="18"/>
                <w:szCs w:val="18"/>
              </w:rPr>
              <w:t>全国社会保障基 金理事会转持一 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3,142,857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3,142,857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66,000,000</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20" w:bottom="1160" w:left="980" w:right="0"/>
        </w:sectPr>
      </w:pPr>
    </w:p>
    <w:p>
      <w:pPr>
        <w:pStyle w:val="Heading2"/>
        <w:spacing w:line="407" w:lineRule="exact"/>
        <w:ind w:right="0"/>
        <w:jc w:val="left"/>
        <w:rPr>
          <w:b w:val="0"/>
          <w:bCs w:val="0"/>
        </w:rPr>
      </w:pPr>
      <w:r>
        <w:rPr/>
        <w:t>三、股东和实际控制人情况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pict>
          <v:shape style="position:absolute;margin-left:449.22699pt;margin-top:19.791697pt;width:85.75pt;height:82pt;mso-position-horizontal-relative:page;mso-position-vertical-relative:paragraph;z-index:-10215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5pt;margin-top:19.791697pt;width:52.45pt;height:82pt;mso-position-horizontal-relative:page;mso-position-vertical-relative:paragraph;z-index:-1021480" coordorigin="9650,396" coordsize="1049,1640">
            <v:group style="position:absolute;left:9650;top:396;width:1049;height:1640" coordorigin="9650,396" coordsize="1049,1640">
              <v:shape style="position:absolute;left:9650;top:396;width:1049;height:1640" coordorigin="9650,396" coordsize="1049,1640" path="m9650,2035l10699,2035,10699,396,9650,396,9650,2035xe" filled="true" fillcolor="#ffffff" stroked="false">
                <v:path arrowok="t"/>
                <v:fill type="solid"/>
              </v:shape>
            </v:group>
            <v:group style="position:absolute;left:9672;top:1020;width:1004;height:392" coordorigin="9672,1020" coordsize="1004,392">
              <v:shape style="position:absolute;left:9672;top:1020;width:1004;height:392" coordorigin="9672,1020" coordsize="1004,392" path="m9672,1411l10675,1411,10675,1020,9672,1020,9672,1411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49"/>
        <w:gridCol w:w="750"/>
        <w:gridCol w:w="824"/>
        <w:gridCol w:w="334"/>
        <w:gridCol w:w="456"/>
        <w:gridCol w:w="828"/>
        <w:gridCol w:w="797"/>
        <w:gridCol w:w="311"/>
        <w:gridCol w:w="1039"/>
        <w:gridCol w:w="290"/>
        <w:gridCol w:w="501"/>
        <w:gridCol w:w="557"/>
      </w:tblGrid>
      <w:tr>
        <w:trPr>
          <w:trHeight w:val="1654"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18,404</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2" w:right="0"/>
              <w:jc w:val="left"/>
              <w:rPr>
                <w:rFonts w:ascii="Times New Roman" w:hAnsi="Times New Roman" w:cs="Times New Roman" w:eastAsia="Times New Roman" w:hint="default"/>
                <w:sz w:val="18"/>
                <w:szCs w:val="18"/>
              </w:rPr>
            </w:pPr>
            <w:r>
              <w:rPr>
                <w:rFonts w:ascii="Times New Roman"/>
                <w:sz w:val="18"/>
              </w:rPr>
              <w:t>16,536</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1" w:type="dxa"/>
            <w:tcBorders>
              <w:top w:val="single" w:sz="4" w:space="0" w:color="000000"/>
              <w:left w:val="single" w:sz="4" w:space="0" w:color="000000"/>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深圳市远致投资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62,857,14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2"/>
              <w:jc w:val="right"/>
              <w:rPr>
                <w:rFonts w:ascii="Times New Roman" w:hAnsi="Times New Roman" w:cs="Times New Roman" w:eastAsia="Times New Roman" w:hint="default"/>
                <w:sz w:val="18"/>
                <w:szCs w:val="18"/>
              </w:rPr>
            </w:pPr>
            <w:r>
              <w:rPr>
                <w:rFonts w:ascii="Times New Roman"/>
                <w:spacing w:val="-1"/>
                <w:sz w:val="18"/>
              </w:rPr>
              <w:t>62,857,14</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深圳市建科投资 股份有限公司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中关村发展集团 股份有限公司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深圳市英龙建安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pacing w:val="-4"/>
                <w:sz w:val="18"/>
                <w:szCs w:val="18"/>
              </w:rPr>
              <w:t>（集团）有限公司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10,121,00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-879,000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10,121,00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5,192,000</w:t>
            </w: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全国社会保障基 金理事会转持一 户</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3,142,857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3,142,857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2,831,900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-2,668,10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2,831,900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董敏</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1,483,000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+1,483,00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1,483,000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王孟龙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470,200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+470,200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470,200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李永红</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429,600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+429,600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中粮信托有限责 任公司－中粮信 托</w:t>
            </w:r>
            <w:r>
              <w:rPr>
                <w:rFonts w:ascii="Times New Roman" w:hAnsi="Times New Roman" w:cs="Times New Roman" w:eastAsia="Times New Roman" w:hint="default"/>
                <w:sz w:val="18"/>
                <w:szCs w:val="18"/>
              </w:rPr>
              <w:t>·</w:t>
            </w:r>
            <w:r>
              <w:rPr>
                <w:rFonts w:ascii="宋体" w:hAnsi="宋体" w:cs="宋体" w:eastAsia="宋体" w:hint="default"/>
                <w:sz w:val="18"/>
                <w:szCs w:val="18"/>
              </w:rPr>
              <w:t>通合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号集合 资金信托计划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423,200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+423,200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423,200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名股东之间不存在关联关系，也不属于一致行动人。公司未知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名股东之 间是否存在关联关系，也未知是否属于一致行动人。</w:t>
            </w:r>
          </w:p>
        </w:tc>
      </w:tr>
    </w:tbl>
    <w:p>
      <w:pPr>
        <w:spacing w:after="0" w:line="300"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81"/>
        <w:gridCol w:w="3989"/>
        <w:gridCol w:w="1349"/>
        <w:gridCol w:w="1349"/>
      </w:tblGrid>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881" w:type="dxa"/>
            <w:vMerge/>
            <w:tcBorders>
              <w:left w:val="single" w:sz="4" w:space="0" w:color="000000"/>
              <w:bottom w:val="single" w:sz="4" w:space="0" w:color="000000"/>
              <w:right w:val="single" w:sz="4" w:space="0" w:color="000000"/>
            </w:tcBorders>
            <w:shd w:val="clear" w:color="auto" w:fill="D2D2D2"/>
          </w:tcPr>
          <w:p>
            <w:pPr/>
          </w:p>
        </w:tc>
        <w:tc>
          <w:tcPr>
            <w:tcW w:w="3989"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中关村发展集团股份有限公司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深圳市英龙建安（集团）有限公司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10,121,000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10,121,000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2,831,900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董敏</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1,483,000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王孟龙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470,200</w:t>
            </w:r>
          </w:p>
        </w:tc>
      </w:tr>
      <w:tr>
        <w:trPr>
          <w:trHeight w:val="40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李永红</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429,600</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25"/>
              <w:jc w:val="left"/>
              <w:rPr>
                <w:rFonts w:ascii="宋体" w:hAnsi="宋体" w:cs="宋体" w:eastAsia="宋体" w:hint="default"/>
                <w:sz w:val="18"/>
                <w:szCs w:val="18"/>
              </w:rPr>
            </w:pPr>
            <w:r>
              <w:rPr>
                <w:rFonts w:ascii="宋体" w:hAnsi="宋体" w:cs="宋体" w:eastAsia="宋体" w:hint="default"/>
                <w:sz w:val="18"/>
                <w:szCs w:val="18"/>
              </w:rPr>
              <w:t>中粮信托有限责任公司－中粮信 托</w:t>
            </w:r>
            <w:r>
              <w:rPr>
                <w:rFonts w:ascii="Times New Roman" w:hAnsi="Times New Roman" w:cs="Times New Roman" w:eastAsia="Times New Roman" w:hint="default"/>
                <w:sz w:val="18"/>
                <w:szCs w:val="18"/>
              </w:rPr>
              <w:t>·</w:t>
            </w:r>
            <w:r>
              <w:rPr>
                <w:rFonts w:ascii="宋体" w:hAnsi="宋体" w:cs="宋体" w:eastAsia="宋体" w:hint="default"/>
                <w:sz w:val="18"/>
                <w:szCs w:val="18"/>
              </w:rPr>
              <w:t>通合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号集合资金信托计划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423,200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25"/>
              <w:jc w:val="left"/>
              <w:rPr>
                <w:rFonts w:ascii="宋体" w:hAnsi="宋体" w:cs="宋体" w:eastAsia="宋体" w:hint="default"/>
                <w:sz w:val="18"/>
                <w:szCs w:val="18"/>
              </w:rPr>
            </w:pPr>
            <w:r>
              <w:rPr>
                <w:rFonts w:ascii="宋体" w:hAnsi="宋体" w:cs="宋体" w:eastAsia="宋体" w:hint="default"/>
                <w:sz w:val="18"/>
                <w:szCs w:val="18"/>
              </w:rPr>
              <w:t>中粮信托有限责任公司－中粮信 托</w:t>
            </w:r>
            <w:r>
              <w:rPr>
                <w:rFonts w:ascii="Times New Roman" w:hAnsi="Times New Roman" w:cs="Times New Roman" w:eastAsia="Times New Roman" w:hint="default"/>
                <w:sz w:val="18"/>
                <w:szCs w:val="18"/>
              </w:rPr>
              <w:t>·</w:t>
            </w:r>
            <w:r>
              <w:rPr>
                <w:rFonts w:ascii="宋体" w:hAnsi="宋体" w:cs="宋体" w:eastAsia="宋体" w:hint="default"/>
                <w:sz w:val="18"/>
                <w:szCs w:val="18"/>
              </w:rPr>
              <w:t>通合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号集合资金信托计划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332,700</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中国农业银行股份有限公司－大成 产业升级股票型证券投资基金</w:t>
            </w:r>
            <w:r>
              <w:rPr>
                <w:rFonts w:ascii="Times New Roman" w:hAnsi="Times New Roman" w:cs="Times New Roman" w:eastAsia="Times New Roman" w:hint="default"/>
                <w:sz w:val="18"/>
                <w:szCs w:val="18"/>
              </w:rPr>
              <w:t>(LOF)</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279,500</w:t>
            </w:r>
          </w:p>
        </w:tc>
      </w:tr>
      <w:tr>
        <w:trPr>
          <w:trHeight w:val="133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30"/>
              <w:ind w:left="23" w:right="8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名无限售流通股股东之间是否存在关联关系，也未知是否属于一致行 动人。</w:t>
            </w:r>
          </w:p>
        </w:tc>
      </w:tr>
      <w:tr>
        <w:trPr>
          <w:trHeight w:val="1340"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公司股东董敏除通过普通证券账户持有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w:t>
            </w:r>
            <w:r>
              <w:rPr>
                <w:rFonts w:ascii="宋体" w:hAnsi="宋体" w:cs="宋体" w:eastAsia="宋体" w:hint="default"/>
                <w:spacing w:val="-75"/>
                <w:sz w:val="18"/>
                <w:szCs w:val="18"/>
              </w:rPr>
              <w:t>，</w:t>
            </w:r>
            <w:r>
              <w:rPr>
                <w:rFonts w:ascii="宋体" w:hAnsi="宋体" w:cs="宋体" w:eastAsia="宋体" w:hint="default"/>
                <w:sz w:val="18"/>
                <w:szCs w:val="18"/>
              </w:rPr>
              <w:t>还通</w:t>
            </w:r>
            <w:r>
              <w:rPr>
                <w:rFonts w:ascii="宋体" w:hAnsi="宋体" w:cs="宋体" w:eastAsia="宋体" w:hint="default"/>
                <w:spacing w:val="-3"/>
                <w:sz w:val="18"/>
                <w:szCs w:val="18"/>
              </w:rPr>
              <w:t>过</w:t>
            </w:r>
            <w:r>
              <w:rPr>
                <w:rFonts w:ascii="宋体" w:hAnsi="宋体" w:cs="宋体" w:eastAsia="宋体" w:hint="default"/>
                <w:sz w:val="18"/>
                <w:szCs w:val="18"/>
              </w:rPr>
              <w:t>国信证券股份有限公司客</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1,467,000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股，实际合计持有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1,483,000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股；公司股东王</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孟龙通过财达证券股份有限公司客户信用交易担保证券账户持有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470,200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470,200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8414"/>
        <w:jc w:val="left"/>
      </w:pPr>
      <w:r>
        <w:rPr/>
        <w:t>控股股东性质：地方国有控股 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5"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深圳市远致投资有限公司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陈志升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2"/>
              <w:jc w:val="center"/>
              <w:rPr>
                <w:rFonts w:ascii="Times New Roman" w:hAnsi="Times New Roman" w:cs="Times New Roman" w:eastAsia="Times New Roman" w:hint="default"/>
                <w:sz w:val="18"/>
                <w:szCs w:val="18"/>
              </w:rPr>
            </w:pPr>
            <w:r>
              <w:rPr>
                <w:rFonts w:ascii="Times New Roman"/>
                <w:sz w:val="18"/>
              </w:rPr>
              <w:t>91440300664187170P</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投资兴办各类实业（具体项 </w:t>
            </w:r>
            <w:r>
              <w:rPr>
                <w:rFonts w:ascii="宋体" w:hAnsi="宋体" w:cs="宋体" w:eastAsia="宋体" w:hint="default"/>
                <w:spacing w:val="-14"/>
                <w:sz w:val="18"/>
                <w:szCs w:val="18"/>
              </w:rPr>
              <w:t>目另行申报）；投资业务；投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资管理；资产管理。</w:t>
            </w:r>
          </w:p>
        </w:tc>
      </w:tr>
      <w:tr>
        <w:trPr>
          <w:trHeight w:val="674"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3"/>
              <w:jc w:val="left"/>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3"/>
              <w:jc w:val="left"/>
              <w:rPr>
                <w:rFonts w:ascii="宋体" w:hAnsi="宋体" w:cs="宋体" w:eastAsia="宋体" w:hint="default"/>
                <w:sz w:val="18"/>
                <w:szCs w:val="18"/>
              </w:rPr>
            </w:pPr>
            <w:r>
              <w:rPr>
                <w:rFonts w:ascii="宋体" w:hAnsi="宋体" w:cs="宋体" w:eastAsia="宋体" w:hint="default"/>
                <w:spacing w:val="-2"/>
                <w:sz w:val="18"/>
                <w:szCs w:val="18"/>
              </w:rPr>
              <w:t>截至本年度报告披露日，公司未收到控股股东报告期内控股和参股的其他境内外上市公司的股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权情况，仅从公开信息查询其投资境内外上市公司情况：中洲控股（证券代码：</w:t>
            </w:r>
            <w:r>
              <w:rPr>
                <w:rFonts w:ascii="Times New Roman" w:hAnsi="Times New Roman" w:cs="Times New Roman" w:eastAsia="Times New Roman" w:hint="default"/>
                <w:spacing w:val="-3"/>
                <w:sz w:val="18"/>
                <w:szCs w:val="18"/>
              </w:rPr>
              <w:t>000042</w:t>
            </w:r>
            <w:r>
              <w:rPr>
                <w:rFonts w:ascii="宋体" w:hAnsi="宋体" w:cs="宋体" w:eastAsia="宋体" w:hint="default"/>
                <w:spacing w:val="-3"/>
                <w:sz w:val="18"/>
                <w:szCs w:val="18"/>
              </w:rPr>
              <w:t>）；深</w:t>
            </w:r>
          </w:p>
        </w:tc>
      </w:tr>
    </w:tbl>
    <w:p>
      <w:pPr>
        <w:spacing w:after="0" w:line="314"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8"/>
        <w:gridCol w:w="7372"/>
      </w:tblGrid>
      <w:tr>
        <w:trPr>
          <w:trHeight w:val="675" w:hRule="exact"/>
        </w:trPr>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司的股权情况</w:t>
            </w:r>
          </w:p>
        </w:tc>
        <w:tc>
          <w:tcPr>
            <w:tcW w:w="7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振业</w:t>
            </w:r>
            <w:r>
              <w:rPr>
                <w:rFonts w:ascii="宋体" w:hAnsi="宋体" w:cs="宋体" w:eastAsia="宋体" w:hint="default"/>
                <w:spacing w:val="-44"/>
                <w:sz w:val="18"/>
                <w:szCs w:val="18"/>
              </w:rPr>
              <w:t> </w:t>
            </w:r>
            <w:r>
              <w:rPr>
                <w:rFonts w:ascii="Times New Roman" w:hAnsi="Times New Roman" w:cs="Times New Roman" w:eastAsia="Times New Roman" w:hint="default"/>
                <w:spacing w:val="-22"/>
                <w:w w:val="99"/>
                <w:sz w:val="18"/>
                <w:szCs w:val="18"/>
              </w:rPr>
              <w:t>A</w:t>
            </w:r>
            <w:r>
              <w:rPr>
                <w:rFonts w:ascii="宋体" w:hAnsi="宋体" w:cs="宋体" w:eastAsia="宋体" w:hint="default"/>
                <w:sz w:val="18"/>
                <w:szCs w:val="18"/>
              </w:rPr>
              <w:t>（证券代码</w:t>
            </w:r>
            <w:r>
              <w:rPr>
                <w:rFonts w:ascii="宋体" w:hAnsi="宋体" w:cs="宋体" w:eastAsia="宋体" w:hint="default"/>
                <w:spacing w:val="-20"/>
                <w:sz w:val="18"/>
                <w:szCs w:val="18"/>
              </w:rPr>
              <w:t>：</w:t>
            </w:r>
            <w:r>
              <w:rPr>
                <w:rFonts w:ascii="Times New Roman" w:hAnsi="Times New Roman" w:cs="Times New Roman" w:eastAsia="Times New Roman" w:hint="default"/>
                <w:spacing w:val="1"/>
                <w:sz w:val="18"/>
                <w:szCs w:val="18"/>
              </w:rPr>
              <w:t>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天健集</w:t>
            </w:r>
            <w:r>
              <w:rPr>
                <w:rFonts w:ascii="宋体" w:hAnsi="宋体" w:cs="宋体" w:eastAsia="宋体" w:hint="default"/>
                <w:spacing w:val="-20"/>
                <w:sz w:val="18"/>
                <w:szCs w:val="18"/>
              </w:rPr>
              <w:t>团</w:t>
            </w:r>
            <w:r>
              <w:rPr>
                <w:rFonts w:ascii="宋体" w:hAnsi="宋体" w:cs="宋体" w:eastAsia="宋体" w:hint="default"/>
                <w:sz w:val="18"/>
                <w:szCs w:val="18"/>
              </w:rPr>
              <w:t>（证券代码</w:t>
            </w:r>
            <w:r>
              <w:rPr>
                <w:rFonts w:ascii="宋体" w:hAnsi="宋体" w:cs="宋体" w:eastAsia="宋体" w:hint="default"/>
                <w:spacing w:val="-19"/>
                <w:sz w:val="18"/>
                <w:szCs w:val="18"/>
              </w:rPr>
              <w:t>：</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w:t>
            </w:r>
            <w:r>
              <w:rPr>
                <w:rFonts w:ascii="宋体" w:hAnsi="宋体" w:cs="宋体" w:eastAsia="宋体" w:hint="default"/>
                <w:spacing w:val="-20"/>
                <w:sz w:val="18"/>
                <w:szCs w:val="18"/>
              </w:rPr>
              <w:t>）</w:t>
            </w:r>
            <w:r>
              <w:rPr>
                <w:rFonts w:ascii="宋体" w:hAnsi="宋体" w:cs="宋体" w:eastAsia="宋体" w:hint="default"/>
                <w:sz w:val="18"/>
                <w:szCs w:val="18"/>
              </w:rPr>
              <w:t>国投资</w:t>
            </w:r>
            <w:r>
              <w:rPr>
                <w:rFonts w:ascii="宋体" w:hAnsi="宋体" w:cs="宋体" w:eastAsia="宋体" w:hint="default"/>
                <w:spacing w:val="-20"/>
                <w:sz w:val="18"/>
                <w:szCs w:val="18"/>
              </w:rPr>
              <w:t>本</w:t>
            </w:r>
            <w:r>
              <w:rPr>
                <w:rFonts w:ascii="宋体" w:hAnsi="宋体" w:cs="宋体" w:eastAsia="宋体" w:hint="default"/>
                <w:sz w:val="18"/>
                <w:szCs w:val="18"/>
              </w:rPr>
              <w:t>（证券代码</w:t>
            </w:r>
            <w:r>
              <w:rPr>
                <w:rFonts w:ascii="宋体" w:hAnsi="宋体" w:cs="宋体" w:eastAsia="宋体" w:hint="default"/>
                <w:spacing w:val="-19"/>
                <w:sz w:val="18"/>
                <w:szCs w:val="18"/>
              </w:rPr>
              <w:t>：</w:t>
            </w:r>
            <w:r>
              <w:rPr>
                <w:rFonts w:ascii="Times New Roman" w:hAnsi="Times New Roman" w:cs="Times New Roman" w:eastAsia="Times New Roman" w:hint="default"/>
                <w:spacing w:val="1"/>
                <w:sz w:val="18"/>
                <w:szCs w:val="18"/>
              </w:rPr>
              <w:t>60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 </w:t>
            </w:r>
            <w:r>
              <w:rPr>
                <w:rFonts w:ascii="宋体" w:hAnsi="宋体" w:cs="宋体" w:eastAsia="宋体" w:hint="default"/>
                <w:sz w:val="18"/>
                <w:szCs w:val="18"/>
              </w:rPr>
              <w:t>科陆电子（证券代码：</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r>
          </w:p>
        </w:tc>
      </w:tr>
    </w:tbl>
    <w:p>
      <w:pPr>
        <w:pStyle w:val="BodyText"/>
        <w:spacing w:line="240" w:lineRule="auto" w:before="49"/>
        <w:ind w:right="0"/>
        <w:jc w:val="left"/>
      </w:pPr>
      <w:r>
        <w:rPr/>
        <w:t>控股股东报告期内变更</w:t>
      </w:r>
    </w:p>
    <w:p>
      <w:pPr>
        <w:pStyle w:val="BodyText"/>
        <w:spacing w:line="340" w:lineRule="auto" w:before="117"/>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874"/>
        <w:jc w:val="left"/>
      </w:pPr>
      <w:r>
        <w:rPr/>
        <w:t>实际控制人性质：地方国资管理机构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433"/>
        <w:gridCol w:w="1594"/>
        <w:gridCol w:w="2552"/>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83"/>
              <w:jc w:val="left"/>
              <w:rPr>
                <w:rFonts w:ascii="宋体" w:hAnsi="宋体" w:cs="宋体" w:eastAsia="宋体" w:hint="default"/>
                <w:sz w:val="18"/>
                <w:szCs w:val="18"/>
              </w:rPr>
            </w:pPr>
            <w:r>
              <w:rPr>
                <w:rFonts w:ascii="宋体" w:hAnsi="宋体" w:cs="宋体" w:eastAsia="宋体" w:hint="default"/>
                <w:sz w:val="18"/>
                <w:szCs w:val="18"/>
              </w:rPr>
              <w:t>深圳市人民政府国有资产 监督管理委员会</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余钢</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K31728067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both"/>
              <w:rPr>
                <w:rFonts w:ascii="宋体" w:hAnsi="宋体" w:cs="宋体" w:eastAsia="宋体" w:hint="default"/>
                <w:sz w:val="18"/>
                <w:szCs w:val="18"/>
              </w:rPr>
            </w:pPr>
            <w:r>
              <w:rPr>
                <w:rFonts w:ascii="宋体" w:hAnsi="宋体" w:cs="宋体" w:eastAsia="宋体" w:hint="default"/>
                <w:spacing w:val="-2"/>
                <w:sz w:val="18"/>
                <w:szCs w:val="18"/>
              </w:rPr>
              <w:t>根据市政府授权，依照法律规履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行出资人职责，依法维护国有资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产出人权益等。</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深圳机场、盐田港、能源集团、深振业</w:t>
            </w:r>
            <w:r>
              <w:rPr>
                <w:rFonts w:ascii="宋体" w:hAnsi="宋体" w:cs="宋体" w:eastAsia="宋体" w:hint="default"/>
                <w:spacing w:val="-32"/>
                <w:sz w:val="18"/>
                <w:szCs w:val="18"/>
              </w:rPr>
              <w:t> </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、天健集团、农产品、特发信息、沙河股份等上市公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r>
    </w:tbl>
    <w:p>
      <w:pPr>
        <w:pStyle w:val="BodyText"/>
        <w:spacing w:line="240" w:lineRule="auto" w:before="67"/>
        <w:ind w:right="0"/>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3"/>
        <w:rPr>
          <w:rFonts w:ascii="宋体" w:hAnsi="宋体" w:cs="宋体" w:eastAsia="宋体" w:hint="default"/>
          <w:sz w:val="24"/>
          <w:szCs w:val="24"/>
        </w:rPr>
      </w:pPr>
    </w:p>
    <w:p>
      <w:pPr>
        <w:spacing w:line="4710" w:lineRule="exact"/>
        <w:ind w:left="1355"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592614" cy="29908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592614" cy="299085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0"/>
        <w:rPr>
          <w:rFonts w:ascii="宋体" w:hAnsi="宋体" w:cs="宋体" w:eastAsia="宋体" w:hint="default"/>
          <w:sz w:val="20"/>
          <w:szCs w:val="20"/>
        </w:rPr>
      </w:pPr>
    </w:p>
    <w:p>
      <w:pPr>
        <w:spacing w:before="192"/>
        <w:ind w:left="152" w:right="0" w:firstLine="0"/>
        <w:jc w:val="left"/>
        <w:rPr>
          <w:rFonts w:ascii="等线" w:hAnsi="等线" w:cs="等线" w:eastAsia="等线" w:hint="default"/>
          <w:sz w:val="24"/>
          <w:szCs w:val="24"/>
        </w:rPr>
      </w:pPr>
      <w:r>
        <w:rPr>
          <w:rFonts w:ascii="等线" w:hAnsi="等线" w:cs="等线" w:eastAsia="等线" w:hint="default"/>
          <w:sz w:val="24"/>
          <w:szCs w:val="24"/>
        </w:rPr>
        <w:t>实际控制人通过信托或其他资产管理方式控制公司</w:t>
      </w:r>
    </w:p>
    <w:p>
      <w:pPr>
        <w:spacing w:after="0"/>
        <w:jc w:val="left"/>
        <w:rPr>
          <w:rFonts w:ascii="等线" w:hAnsi="等线" w:cs="等线" w:eastAsia="等线" w:hint="default"/>
          <w:sz w:val="24"/>
          <w:szCs w:val="24"/>
        </w:rPr>
        <w:sectPr>
          <w:pgSz w:w="11910" w:h="16840"/>
          <w:pgMar w:header="852" w:footer="980" w:top="1320" w:bottom="1160" w:left="980" w:right="0"/>
        </w:sectPr>
      </w:pPr>
    </w:p>
    <w:p>
      <w:pPr>
        <w:pStyle w:val="BodyText"/>
        <w:spacing w:line="240" w:lineRule="auto" w:before="11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81"/>
        <w:gridCol w:w="1814"/>
        <w:gridCol w:w="1414"/>
        <w:gridCol w:w="1634"/>
        <w:gridCol w:w="2127"/>
      </w:tblGrid>
      <w:tr>
        <w:trPr>
          <w:trHeight w:val="715" w:hRule="exact"/>
        </w:trPr>
        <w:tc>
          <w:tcPr>
            <w:tcW w:w="2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3" w:right="6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刘俊跃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5824.11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股权投资。</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2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456" w:lineRule="exact"/>
        <w:ind w:left="3285" w:right="0"/>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52" w:footer="980" w:top="132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456" w:lineRule="exact"/>
        <w:ind w:left="1679" w:right="0"/>
        <w:jc w:val="left"/>
        <w:rPr>
          <w:b w:val="0"/>
          <w:bCs w:val="0"/>
        </w:rPr>
      </w:pPr>
      <w:bookmarkStart w:name="_bookmark7" w:id="8"/>
      <w:bookmarkEnd w:id="8"/>
      <w:r>
        <w:rPr>
          <w:b w:val="0"/>
          <w:bCs w:val="0"/>
        </w:rPr>
      </w:r>
      <w:r>
        <w:rPr/>
        <w:t>第八节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pict>
          <v:shape style="position:absolute;margin-left:471.583008pt;margin-top:36.673626pt;width:63.6pt;height:50.9pt;mso-position-horizontal-relative:page;mso-position-vertical-relative:paragraph;z-index:-10214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7"/>
        <w:gridCol w:w="797"/>
        <w:gridCol w:w="797"/>
        <w:gridCol w:w="800"/>
        <w:gridCol w:w="797"/>
        <w:gridCol w:w="799"/>
        <w:gridCol w:w="797"/>
        <w:gridCol w:w="799"/>
        <w:gridCol w:w="797"/>
      </w:tblGrid>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1"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曹翔</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退休</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詹轮辉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蓝虹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退休</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三、任职情况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right="3734"/>
        <w:jc w:val="left"/>
      </w:pPr>
      <w:r>
        <w:rPr/>
        <w:t>公司现任董事、监事、高级管理人员专业背景、主要工作经历以及目前在公司的主要职责 一、董事会成员</w:t>
      </w:r>
    </w:p>
    <w:p>
      <w:pPr>
        <w:pStyle w:val="BodyText"/>
        <w:spacing w:line="237" w:lineRule="exact"/>
        <w:ind w:right="0"/>
        <w:jc w:val="left"/>
      </w:pPr>
      <w:r>
        <w:rPr>
          <w:rFonts w:ascii="Times New Roman" w:hAnsi="Times New Roman" w:cs="Times New Roman" w:eastAsia="Times New Roman" w:hint="default"/>
        </w:rPr>
        <w:t>1</w:t>
      </w:r>
      <w:r>
        <w:rPr/>
        <w:t>、叶青，女，</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10</w:t>
      </w:r>
      <w:r>
        <w:rPr/>
        <w:t>月出生，建筑学专业研究生学历，中国国籍，无境外永久居留权，教授级高级工程师。</w:t>
      </w:r>
      <w:r>
        <w:rPr>
          <w:rFonts w:ascii="Times New Roman" w:hAnsi="Times New Roman" w:cs="Times New Roman" w:eastAsia="Times New Roman" w:hint="default"/>
        </w:rPr>
        <w:t>1993</w:t>
      </w:r>
      <w:r>
        <w:rPr/>
        <w:t>年毕业</w:t>
      </w:r>
    </w:p>
    <w:p>
      <w:pPr>
        <w:pStyle w:val="BodyText"/>
        <w:spacing w:line="307" w:lineRule="auto" w:before="63"/>
        <w:ind w:right="1124"/>
        <w:jc w:val="left"/>
      </w:pPr>
      <w:r>
        <w:rPr>
          <w:spacing w:val="-2"/>
        </w:rPr>
        <w:t>于浙江大学建筑学专业。</w:t>
      </w:r>
      <w:r>
        <w:rPr>
          <w:rFonts w:ascii="Times New Roman" w:hAnsi="Times New Roman" w:cs="Times New Roman" w:eastAsia="Times New Roman" w:hint="default"/>
          <w:spacing w:val="-2"/>
        </w:rPr>
        <w:t>2007</w:t>
      </w:r>
      <w:r>
        <w:rPr>
          <w:spacing w:val="-2"/>
        </w:rPr>
        <w:t>年起任深圳建总院副院长、执行总建筑师，兼任建科院有限董事、董事长；</w:t>
      </w:r>
      <w:r>
        <w:rPr>
          <w:rFonts w:ascii="Times New Roman" w:hAnsi="Times New Roman" w:cs="Times New Roman" w:eastAsia="Times New Roman" w:hint="default"/>
          <w:spacing w:val="-2"/>
        </w:rPr>
        <w:t>2008</w:t>
      </w:r>
      <w:r>
        <w:rPr>
          <w:spacing w:val="-2"/>
        </w:rPr>
        <w:t>年起任建科院</w:t>
      </w:r>
      <w:r>
        <w:rPr>
          <w:spacing w:val="-61"/>
        </w:rPr>
        <w:t> </w:t>
      </w:r>
      <w:r>
        <w:rPr>
          <w:spacing w:val="-61"/>
        </w:rPr>
      </w:r>
      <w:r>
        <w:rPr/>
        <w:t>有限董事长，中共建科院有限党委书记；现任本公司董事长、中共深圳建科院党委书记，深圳市人大常委会常委。 </w:t>
      </w:r>
      <w:r>
        <w:rPr>
          <w:rFonts w:ascii="Times New Roman" w:hAnsi="Times New Roman" w:cs="Times New Roman" w:eastAsia="Times New Roman" w:hint="default"/>
          <w:spacing w:val="-2"/>
        </w:rPr>
        <w:t>2</w:t>
      </w:r>
      <w:r>
        <w:rPr>
          <w:spacing w:val="-2"/>
        </w:rPr>
        <w:t>、陈泽广，男，</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4</w:t>
      </w:r>
      <w:r>
        <w:rPr>
          <w:spacing w:val="-2"/>
        </w:rPr>
        <w:t>月出生，结构工程专业研究生学历，中国国籍，无境外永久居留权。</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2008</w:t>
      </w:r>
      <w:r>
        <w:rPr>
          <w:spacing w:val="-2"/>
        </w:rPr>
        <w:t>年于深圳市建筑</w:t>
      </w:r>
      <w:r>
        <w:rPr>
          <w:spacing w:val="-62"/>
        </w:rPr>
        <w:t> </w:t>
      </w:r>
      <w:r>
        <w:rPr>
          <w:spacing w:val="-62"/>
        </w:rPr>
      </w:r>
      <w:r>
        <w:rPr/>
        <w:t>科学研究院担任院总工程师、副院长；</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2013</w:t>
      </w:r>
      <w:r>
        <w:rPr/>
        <w:t>年于建科院有限担任董事、总经理。现任本公司董事、总经理。 </w:t>
      </w:r>
      <w:r>
        <w:rPr>
          <w:rFonts w:ascii="Times New Roman" w:hAnsi="Times New Roman" w:cs="Times New Roman" w:eastAsia="Times New Roman" w:hint="default"/>
        </w:rPr>
        <w:t>3</w:t>
      </w:r>
      <w:r>
        <w:rPr/>
        <w:t>、莫福光，男，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10</w:t>
      </w:r>
      <w:r>
        <w:rPr/>
        <w:t>月出生，政治经济学专业研究生学历，中国国籍，无境外永久居留权。</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2008</w:t>
      </w:r>
      <w:r>
        <w:rPr/>
        <w:t>年于深圳市 </w:t>
      </w:r>
      <w:r>
        <w:rPr>
          <w:spacing w:val="-2"/>
        </w:rPr>
        <w:t>国资委企业二处工作；</w:t>
      </w:r>
      <w:r>
        <w:rPr>
          <w:rFonts w:ascii="Times New Roman" w:hAnsi="Times New Roman" w:cs="Times New Roman" w:eastAsia="Times New Roman" w:hint="default"/>
          <w:spacing w:val="-2"/>
        </w:rPr>
        <w:t>2008</w:t>
      </w:r>
      <w:r>
        <w:rPr>
          <w:spacing w:val="-2"/>
        </w:rPr>
        <w:t>年至今于建科院有限工作任董事、党委副书记、纪委书记。现任本公司董事、党委副书记、纪委</w:t>
      </w:r>
      <w:r>
        <w:rPr>
          <w:spacing w:val="-65"/>
        </w:rPr>
        <w:t> </w:t>
      </w:r>
      <w:r>
        <w:rPr>
          <w:spacing w:val="-65"/>
        </w:rPr>
      </w:r>
      <w:r>
        <w:rPr/>
        <w:t>书记，兼任建科投资监事。 </w:t>
      </w:r>
      <w:r>
        <w:rPr>
          <w:rFonts w:ascii="Times New Roman" w:hAnsi="Times New Roman" w:cs="Times New Roman" w:eastAsia="Times New Roman" w:hint="default"/>
        </w:rPr>
        <w:t>4</w:t>
      </w:r>
      <w:r>
        <w:rPr/>
        <w:t>、黄庆，男，</w:t>
      </w:r>
      <w:r>
        <w:rPr>
          <w:rFonts w:ascii="Times New Roman" w:hAnsi="Times New Roman" w:cs="Times New Roman" w:eastAsia="Times New Roman" w:hint="default"/>
        </w:rPr>
        <w:t>1971</w:t>
      </w:r>
      <w:r>
        <w:rPr/>
        <w:t>年出生，中共党员，武汉大学投资经济专业毕业，研究生学历，管理学硕士。现任深圳市远致投资有限 </w:t>
      </w:r>
      <w:r>
        <w:rPr>
          <w:spacing w:val="-2"/>
        </w:rPr>
        <w:t>公司副总经理，历任山西省政府驻广州办事处党组成员、副主任，山西省政府办公厅、国家文化部、湖南省政府办公厅、深</w:t>
      </w:r>
      <w:r>
        <w:rPr>
          <w:spacing w:val="-69"/>
        </w:rPr>
        <w:t> </w:t>
      </w:r>
      <w:r>
        <w:rPr>
          <w:spacing w:val="-69"/>
        </w:rPr>
      </w:r>
      <w:r>
        <w:rPr/>
        <w:t>圳市政府办公厅处级干部。 </w:t>
      </w:r>
      <w:r>
        <w:rPr>
          <w:rFonts w:ascii="Times New Roman" w:hAnsi="Times New Roman" w:cs="Times New Roman" w:eastAsia="Times New Roman" w:hint="default"/>
          <w:spacing w:val="-2"/>
        </w:rPr>
        <w:t>5</w:t>
      </w:r>
      <w:r>
        <w:rPr>
          <w:spacing w:val="-2"/>
        </w:rPr>
        <w:t>、邵顺昌，男，</w:t>
      </w:r>
      <w:r>
        <w:rPr>
          <w:rFonts w:ascii="Times New Roman" w:hAnsi="Times New Roman" w:cs="Times New Roman" w:eastAsia="Times New Roman" w:hint="default"/>
          <w:spacing w:val="-2"/>
        </w:rPr>
        <w:t>1959</w:t>
      </w:r>
      <w:r>
        <w:rPr>
          <w:spacing w:val="-2"/>
        </w:rPr>
        <w:t>年</w:t>
      </w:r>
      <w:r>
        <w:rPr>
          <w:rFonts w:ascii="Times New Roman" w:hAnsi="Times New Roman" w:cs="Times New Roman" w:eastAsia="Times New Roman" w:hint="default"/>
          <w:spacing w:val="-2"/>
        </w:rPr>
        <w:t>5</w:t>
      </w:r>
      <w:r>
        <w:rPr>
          <w:spacing w:val="-2"/>
        </w:rPr>
        <w:t>月出生，电子工程专业研究生学历，中国国籍，无境外永久居留权。</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2009</w:t>
      </w:r>
      <w:r>
        <w:rPr>
          <w:spacing w:val="-2"/>
        </w:rPr>
        <w:t>年任中关村科技</w:t>
      </w:r>
      <w:r>
        <w:rPr>
          <w:spacing w:val="-62"/>
        </w:rPr>
        <w:t> </w:t>
      </w:r>
      <w:r>
        <w:rPr>
          <w:spacing w:val="-62"/>
        </w:rPr>
      </w:r>
      <w:r>
        <w:rPr>
          <w:spacing w:val="-2"/>
        </w:rPr>
        <w:t>园区管委会投融资促进处处长；</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年任中关村科技园区管委会国际交流合作处处长。现任本公司董事，兼任北京</w:t>
      </w:r>
      <w:r>
        <w:rPr>
          <w:spacing w:val="-60"/>
        </w:rPr>
        <w:t> </w:t>
      </w:r>
      <w:r>
        <w:rPr>
          <w:spacing w:val="-60"/>
        </w:rPr>
      </w:r>
      <w:r>
        <w:rPr/>
        <w:t>知识产权运营管理有限公司董事长、总经理，中关村发展集团有限公司董事、总经理助理。</w:t>
      </w:r>
    </w:p>
    <w:p>
      <w:pPr>
        <w:spacing w:after="0" w:line="307" w:lineRule="auto"/>
        <w:jc w:val="left"/>
        <w:sectPr>
          <w:pgSz w:w="11910" w:h="16840"/>
          <w:pgMar w:header="852" w:footer="980" w:top="1320" w:bottom="1160" w:left="980" w:right="0"/>
        </w:sectPr>
      </w:pPr>
    </w:p>
    <w:p>
      <w:pPr>
        <w:pStyle w:val="BodyText"/>
        <w:spacing w:line="312" w:lineRule="auto" w:before="111"/>
        <w:ind w:right="1124"/>
        <w:jc w:val="left"/>
      </w:pPr>
      <w:r>
        <w:rPr>
          <w:rFonts w:ascii="Times New Roman" w:hAnsi="Times New Roman" w:cs="Times New Roman" w:eastAsia="Times New Roman" w:hint="default"/>
        </w:rPr>
        <w:t>6</w:t>
      </w:r>
      <w:r>
        <w:rPr/>
        <w:t>、刘丽，女，</w:t>
      </w:r>
      <w:r>
        <w:rPr>
          <w:rFonts w:ascii="Times New Roman" w:hAnsi="Times New Roman" w:cs="Times New Roman" w:eastAsia="Times New Roman" w:hint="default"/>
        </w:rPr>
        <w:t>1973</w:t>
      </w:r>
      <w:r>
        <w:rPr/>
        <w:t>年出生，工商管理研究生学历，中国国籍，无境外永久居留权，高级会计师、注册会计师、英国特许公 </w:t>
      </w:r>
      <w:r>
        <w:rPr>
          <w:spacing w:val="-2"/>
        </w:rPr>
        <w:t>认会计师。历任深圳燃气集团股份有限公司预算经理、深圳华安液化石油气有限公司财务总监兼财务经理、深圳市远致投资</w:t>
      </w:r>
      <w:r>
        <w:rPr>
          <w:spacing w:val="-63"/>
        </w:rPr>
        <w:t> </w:t>
      </w:r>
      <w:r>
        <w:rPr>
          <w:spacing w:val="-63"/>
        </w:rPr>
      </w:r>
      <w:r>
        <w:rPr/>
        <w:t>有限公司财务部副部长等职务。现任本公司董事、财务负责人兼财务总监。 </w:t>
      </w:r>
      <w:r>
        <w:rPr>
          <w:rFonts w:ascii="Times New Roman" w:hAnsi="Times New Roman" w:cs="Times New Roman" w:eastAsia="Times New Roman" w:hint="default"/>
        </w:rPr>
        <w:t>7</w:t>
      </w:r>
      <w:r>
        <w:rPr/>
        <w:t>、林晓春，女，</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2</w:t>
      </w:r>
      <w:r>
        <w:rPr/>
        <w:t>月出生，法学专业研究生学历，中国国籍，无境外永久居留权。自</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月以来至今担任广东信 </w:t>
      </w:r>
      <w:r>
        <w:rPr>
          <w:spacing w:val="-2"/>
        </w:rPr>
        <w:t>达律师事务所律师、高级合伙人。现任本公司独立董事，兼任广东信达律师事务所高级合伙人、深圳市君和睿通科技股份有</w:t>
      </w:r>
      <w:r>
        <w:rPr>
          <w:spacing w:val="-64"/>
        </w:rPr>
        <w:t> </w:t>
      </w:r>
      <w:r>
        <w:rPr>
          <w:spacing w:val="-64"/>
        </w:rPr>
      </w:r>
      <w:r>
        <w:rPr/>
        <w:t>限公司董事等。 </w:t>
      </w:r>
      <w:r>
        <w:rPr>
          <w:rFonts w:ascii="Times New Roman" w:hAnsi="Times New Roman" w:cs="Times New Roman" w:eastAsia="Times New Roman" w:hint="default"/>
        </w:rPr>
        <w:t>8</w:t>
      </w:r>
      <w:r>
        <w:rPr/>
        <w:t>、郑学定，男，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6</w:t>
      </w:r>
      <w:r>
        <w:rPr/>
        <w:t>月出生，会计专业研究生学历，中国国籍，无境外永久居留权。注册会计师、高级会计师。</w:t>
      </w:r>
      <w:r>
        <w:rPr>
          <w:rFonts w:ascii="Times New Roman" w:hAnsi="Times New Roman" w:cs="Times New Roman" w:eastAsia="Times New Roman" w:hint="default"/>
        </w:rPr>
        <w:t>2006 </w:t>
      </w:r>
      <w:r>
        <w:rPr>
          <w:spacing w:val="-2"/>
        </w:rPr>
        <w:t>年至今历任天健会计师事务所深圳分所合伙人、大华会计师事务所深圳分所合伙人。现任职本公司独立董事，兼任深圳市银</w:t>
      </w:r>
      <w:r>
        <w:rPr>
          <w:spacing w:val="-63"/>
        </w:rPr>
        <w:t> </w:t>
      </w:r>
      <w:r>
        <w:rPr>
          <w:spacing w:val="-63"/>
        </w:rPr>
      </w:r>
      <w:r>
        <w:rPr/>
        <w:t>之杰科技股份有限公司独立董事、国银金融租赁股份有限公司独立董事、国信证券股份有限公司独立董事。 </w:t>
      </w:r>
      <w:r>
        <w:rPr>
          <w:rFonts w:ascii="Times New Roman" w:hAnsi="Times New Roman" w:cs="Times New Roman" w:eastAsia="Times New Roman" w:hint="default"/>
          <w:spacing w:val="-2"/>
        </w:rPr>
        <w:t>9</w:t>
      </w:r>
      <w:r>
        <w:rPr>
          <w:spacing w:val="-2"/>
        </w:rPr>
        <w:t>、吴硕贤，男，</w:t>
      </w:r>
      <w:r>
        <w:rPr>
          <w:rFonts w:ascii="Times New Roman" w:hAnsi="Times New Roman" w:cs="Times New Roman" w:eastAsia="Times New Roman" w:hint="default"/>
          <w:spacing w:val="-2"/>
        </w:rPr>
        <w:t>1947</w:t>
      </w:r>
      <w:r>
        <w:rPr>
          <w:spacing w:val="-2"/>
        </w:rPr>
        <w:t>年</w:t>
      </w:r>
      <w:r>
        <w:rPr>
          <w:rFonts w:ascii="Times New Roman" w:hAnsi="Times New Roman" w:cs="Times New Roman" w:eastAsia="Times New Roman" w:hint="default"/>
          <w:spacing w:val="-2"/>
        </w:rPr>
        <w:t>5</w:t>
      </w:r>
      <w:r>
        <w:rPr>
          <w:spacing w:val="-2"/>
        </w:rPr>
        <w:t>月出生，城市规划与设计专业博士学历，中国国籍，无境外永久居留权。</w:t>
      </w:r>
      <w:r>
        <w:rPr>
          <w:rFonts w:ascii="Times New Roman" w:hAnsi="Times New Roman" w:cs="Times New Roman" w:eastAsia="Times New Roman" w:hint="default"/>
          <w:spacing w:val="-2"/>
        </w:rPr>
        <w:t>2005</w:t>
      </w:r>
      <w:r>
        <w:rPr>
          <w:spacing w:val="-2"/>
        </w:rPr>
        <w:t>年当选为中国科学院</w:t>
      </w:r>
      <w:r>
        <w:rPr>
          <w:spacing w:val="-65"/>
        </w:rPr>
        <w:t> </w:t>
      </w:r>
      <w:r>
        <w:rPr>
          <w:spacing w:val="-65"/>
        </w:rPr>
      </w:r>
      <w:r>
        <w:rPr/>
        <w:t>院士；</w:t>
      </w:r>
      <w:r>
        <w:rPr>
          <w:rFonts w:ascii="Times New Roman" w:hAnsi="Times New Roman" w:cs="Times New Roman" w:eastAsia="Times New Roman" w:hint="default"/>
        </w:rPr>
        <w:t>2007</w:t>
      </w:r>
      <w:r>
        <w:rPr/>
        <w:t>年至今，任职本公司独立董事，兼任中国声学学会理事，中国科学院技术科学部副主任等。</w:t>
      </w:r>
    </w:p>
    <w:p>
      <w:pPr>
        <w:pStyle w:val="BodyText"/>
        <w:spacing w:line="312" w:lineRule="auto" w:before="3"/>
        <w:ind w:right="1034"/>
        <w:jc w:val="left"/>
      </w:pPr>
      <w:r>
        <w:rPr/>
        <w:t>二、监事会成员 </w:t>
      </w:r>
      <w:r>
        <w:rPr>
          <w:rFonts w:ascii="Times New Roman" w:hAnsi="Times New Roman" w:cs="Times New Roman" w:eastAsia="Times New Roman" w:hint="default"/>
          <w:spacing w:val="-2"/>
        </w:rPr>
        <w:t>1</w:t>
      </w:r>
      <w:r>
        <w:rPr>
          <w:spacing w:val="-2"/>
        </w:rPr>
        <w:t>、蔡素娟，女，</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8</w:t>
      </w:r>
      <w:r>
        <w:rPr>
          <w:spacing w:val="-2"/>
        </w:rPr>
        <w:t>月生，广东五华人，汉族，毕业于中国石油大学会计学专业，本科学历，会计师。现任深圳市建筑</w:t>
      </w:r>
      <w:r>
        <w:rPr>
          <w:spacing w:val="-63"/>
        </w:rPr>
        <w:t> </w:t>
      </w:r>
      <w:r>
        <w:rPr>
          <w:spacing w:val="-63"/>
        </w:rPr>
      </w:r>
      <w:r>
        <w:rPr>
          <w:spacing w:val="-2"/>
        </w:rPr>
        <w:t>科学研究院股份有限公司监事会主席，历任深圳市远致投资有限公司财务部高级经理，深圳市投资控股有限公司企业改革部</w:t>
      </w:r>
      <w:r>
        <w:rPr>
          <w:spacing w:val="-64"/>
        </w:rPr>
        <w:t> </w:t>
      </w:r>
      <w:r>
        <w:rPr>
          <w:spacing w:val="-64"/>
        </w:rPr>
      </w:r>
      <w:r>
        <w:rPr>
          <w:spacing w:val="-4"/>
        </w:rPr>
        <w:t>副经理，期间借调至深圳市国有资产监督管理委员会统计评价处工作，深圳市商贸投资控股公司审计部、企管发展部副科长，</w:t>
      </w:r>
      <w:r>
        <w:rPr>
          <w:spacing w:val="-44"/>
        </w:rPr>
        <w:t> </w:t>
      </w:r>
      <w:r>
        <w:rPr>
          <w:spacing w:val="-44"/>
        </w:rPr>
      </w:r>
      <w:r>
        <w:rPr/>
        <w:t>期间派驻至深圳市放小办，深圳外贸报关公司财务部副经理等职务。 </w:t>
      </w:r>
      <w:r>
        <w:rPr>
          <w:rFonts w:ascii="Times New Roman" w:hAnsi="Times New Roman" w:cs="Times New Roman" w:eastAsia="Times New Roman" w:hint="default"/>
        </w:rPr>
        <w:t>2</w:t>
      </w:r>
      <w:r>
        <w:rPr/>
        <w:t>、吴曦东，</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10</w:t>
      </w:r>
      <w:r>
        <w:rPr/>
        <w:t>月，男，美国加州大学圣地亚哥分校经济管理</w:t>
      </w:r>
      <w:r>
        <w:rPr>
          <w:rFonts w:ascii="Times New Roman" w:hAnsi="Times New Roman" w:cs="Times New Roman" w:eastAsia="Times New Roman" w:hint="default"/>
        </w:rPr>
        <w:t>/</w:t>
      </w:r>
      <w:r>
        <w:rPr/>
        <w:t>会计专业毕业，本科学历；美国南加州大学经济专业毕 业，硕士学历。现任深圳市英龙投资控股有限公司董事长助理兼财务中心主任。 </w:t>
      </w:r>
      <w:r>
        <w:rPr>
          <w:rFonts w:ascii="Times New Roman" w:hAnsi="Times New Roman" w:cs="Times New Roman" w:eastAsia="Times New Roman" w:hint="default"/>
          <w:spacing w:val="-2"/>
        </w:rPr>
        <w:t>3</w:t>
      </w:r>
      <w:r>
        <w:rPr>
          <w:spacing w:val="-2"/>
        </w:rPr>
        <w:t>、余庆，男，</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9</w:t>
      </w:r>
      <w:r>
        <w:rPr>
          <w:spacing w:val="-2"/>
        </w:rPr>
        <w:t>月出生，金融专业研究生学历，中国国籍，无境外永久居留权。</w:t>
      </w:r>
      <w:r>
        <w:rPr>
          <w:rFonts w:ascii="Times New Roman" w:hAnsi="Times New Roman" w:cs="Times New Roman" w:eastAsia="Times New Roman" w:hint="default"/>
          <w:spacing w:val="-2"/>
        </w:rPr>
        <w:t>1999</w:t>
      </w:r>
      <w:r>
        <w:rPr>
          <w:spacing w:val="-2"/>
        </w:rPr>
        <w:t>年至今历任深圳创新投资集团福</w:t>
      </w:r>
      <w:r>
        <w:rPr>
          <w:spacing w:val="-62"/>
        </w:rPr>
        <w:t> </w:t>
      </w:r>
      <w:r>
        <w:rPr/>
        <w:t>建片区负责人、基金管理部副部长、资产经营部副部长。现任本公司监事，兼任圣元环保股份有限公司董事。 </w:t>
      </w:r>
      <w:r>
        <w:rPr>
          <w:rFonts w:ascii="Times New Roman" w:hAnsi="Times New Roman" w:cs="Times New Roman" w:eastAsia="Times New Roman" w:hint="default"/>
          <w:spacing w:val="-2"/>
        </w:rPr>
        <w:t>4</w:t>
      </w:r>
      <w:r>
        <w:rPr>
          <w:spacing w:val="-2"/>
        </w:rPr>
        <w:t>、姚培，女，</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7</w:t>
      </w:r>
      <w:r>
        <w:rPr>
          <w:spacing w:val="-2"/>
        </w:rPr>
        <w:t>月出生，项目管理工程专业研究生学历，中国国籍，无境外永久居留权。</w:t>
      </w:r>
      <w:r>
        <w:rPr>
          <w:rFonts w:ascii="Times New Roman" w:hAnsi="Times New Roman" w:cs="Times New Roman" w:eastAsia="Times New Roman" w:hint="default"/>
          <w:spacing w:val="-2"/>
        </w:rPr>
        <w:t>2008</w:t>
      </w:r>
      <w:r>
        <w:rPr>
          <w:spacing w:val="-2"/>
        </w:rPr>
        <w:t>年至今，历任建科院有</w:t>
      </w:r>
      <w:r>
        <w:rPr>
          <w:spacing w:val="-59"/>
        </w:rPr>
        <w:t> </w:t>
      </w:r>
      <w:r>
        <w:rPr>
          <w:spacing w:val="-59"/>
        </w:rPr>
      </w:r>
      <w:r>
        <w:rPr>
          <w:spacing w:val="-2"/>
        </w:rPr>
        <w:t>限北京分公司总经理、华北区营销总监、北京艾科城公司总经理。现任本公司职工代表监事，雄安事业部总经理、综合管理</w:t>
      </w:r>
      <w:r>
        <w:rPr>
          <w:spacing w:val="-67"/>
        </w:rPr>
        <w:t> </w:t>
      </w:r>
      <w:r>
        <w:rPr>
          <w:spacing w:val="-67"/>
        </w:rPr>
      </w:r>
      <w:r>
        <w:rPr>
          <w:spacing w:val="-2"/>
        </w:rPr>
        <w:t>办公室主任，兼任雄安绿研智库有限公司监事，河北雄安绿研检验认证有限公司监事，河北雄安玖壹生态科技有限公司执行</w:t>
      </w:r>
      <w:r>
        <w:rPr>
          <w:spacing w:val="-62"/>
        </w:rPr>
        <w:t> </w:t>
      </w:r>
      <w:r>
        <w:rPr>
          <w:spacing w:val="-62"/>
        </w:rPr>
      </w:r>
      <w:r>
        <w:rPr/>
        <w:t>董事、总经理等。 </w:t>
      </w:r>
      <w:r>
        <w:rPr>
          <w:rFonts w:ascii="Times New Roman" w:hAnsi="Times New Roman" w:cs="Times New Roman" w:eastAsia="Times New Roman" w:hint="default"/>
        </w:rPr>
        <w:t>5</w:t>
      </w:r>
      <w:r>
        <w:rPr/>
        <w:t>、陈友莲，女，</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6</w:t>
      </w:r>
      <w:r>
        <w:rPr/>
        <w:t>月出生，中国国籍，无永久境外居留权，中共党员，硕士研究生学历，注册会计师，注册税务师。</w:t>
      </w:r>
    </w:p>
    <w:p>
      <w:pPr>
        <w:pStyle w:val="BodyText"/>
        <w:spacing w:line="240" w:lineRule="auto" w:before="3"/>
        <w:ind w:right="0"/>
        <w:jc w:val="left"/>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spacing w:val="49"/>
        </w:rPr>
        <w:t> </w:t>
      </w:r>
      <w:r>
        <w:rPr/>
        <w:t>任深圳市勘察测绘院有限公司财务部主任会计师兼下属深圳市深勘基础工程有限公司财务总监；</w:t>
      </w:r>
    </w:p>
    <w:p>
      <w:pPr>
        <w:pStyle w:val="BodyText"/>
        <w:spacing w:line="300" w:lineRule="auto" w:before="63"/>
        <w:ind w:right="1131"/>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月任深圳市勘察测绘院有限公司财务部部长；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spacing w:val="45"/>
        </w:rPr>
        <w:t> </w:t>
      </w:r>
      <w:r>
        <w:rPr/>
        <w:t>任深圳市建筑科学研究院股份有限</w:t>
      </w:r>
      <w:r>
        <w:rPr/>
        <w:t> </w:t>
      </w:r>
      <w:r>
        <w:rPr>
          <w:spacing w:val="-4"/>
        </w:rPr>
        <w:t>公司财务部主管会计；</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w:t>
      </w:r>
      <w:r>
        <w:rPr>
          <w:spacing w:val="75"/>
        </w:rPr>
        <w:t> </w:t>
      </w:r>
      <w:r>
        <w:rPr>
          <w:spacing w:val="-3"/>
        </w:rPr>
        <w:t>任深圳市建筑科学研究院股份有限公司财务部助理经理；</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月至今</w:t>
      </w:r>
      <w:r>
        <w:rPr>
          <w:spacing w:val="71"/>
        </w:rPr>
        <w:t> </w:t>
      </w:r>
      <w:r>
        <w:rPr/>
        <w:t>任</w:t>
      </w:r>
      <w:r>
        <w:rPr>
          <w:spacing w:val="-88"/>
        </w:rPr>
        <w:t> </w:t>
      </w:r>
      <w:r>
        <w:rPr>
          <w:spacing w:val="-88"/>
        </w:rPr>
      </w:r>
      <w:r>
        <w:rPr/>
        <w:t>深圳市建筑科学研究院股份有限公司财务部副经理。</w:t>
      </w:r>
    </w:p>
    <w:p>
      <w:pPr>
        <w:pStyle w:val="BodyText"/>
        <w:spacing w:line="307" w:lineRule="auto" w:before="31"/>
        <w:ind w:right="1031"/>
        <w:jc w:val="left"/>
      </w:pPr>
      <w:r>
        <w:rPr/>
        <w:t>三、高级管理人员 </w:t>
      </w:r>
      <w:r>
        <w:rPr>
          <w:rFonts w:ascii="Times New Roman" w:hAnsi="Times New Roman" w:cs="Times New Roman" w:eastAsia="Times New Roman" w:hint="default"/>
          <w:spacing w:val="-2"/>
        </w:rPr>
        <w:t>1</w:t>
      </w:r>
      <w:r>
        <w:rPr>
          <w:spacing w:val="-2"/>
        </w:rPr>
        <w:t>、刘俊跃，男，</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8</w:t>
      </w:r>
      <w:r>
        <w:rPr>
          <w:spacing w:val="-2"/>
        </w:rPr>
        <w:t>月出生，供热通风与空调工程专业本科学历，中国国籍，无境外永久居留权，</w:t>
      </w:r>
      <w:r>
        <w:rPr>
          <w:rFonts w:ascii="Times New Roman" w:hAnsi="Times New Roman" w:cs="Times New Roman" w:eastAsia="Times New Roman" w:hint="default"/>
          <w:spacing w:val="-2"/>
        </w:rPr>
        <w:t>1990</w:t>
      </w:r>
      <w:r>
        <w:rPr>
          <w:spacing w:val="-2"/>
        </w:rPr>
        <w:t>年毕业于重庆建</w:t>
      </w:r>
      <w:r>
        <w:rPr>
          <w:spacing w:val="-65"/>
        </w:rPr>
        <w:t> </w:t>
      </w:r>
      <w:r>
        <w:rPr>
          <w:spacing w:val="-65"/>
        </w:rPr>
      </w:r>
      <w:r>
        <w:rPr>
          <w:spacing w:val="-3"/>
        </w:rPr>
        <w:t>筑工程学院（现重庆大学）供热通风与空调工程专业。</w:t>
      </w:r>
      <w:r>
        <w:rPr>
          <w:rFonts w:ascii="Times New Roman" w:hAnsi="Times New Roman" w:cs="Times New Roman" w:eastAsia="Times New Roman" w:hint="default"/>
          <w:spacing w:val="-3"/>
        </w:rPr>
        <w:t>1990</w:t>
      </w:r>
      <w:r>
        <w:rPr>
          <w:spacing w:val="-3"/>
        </w:rPr>
        <w:t>年至</w:t>
      </w:r>
      <w:r>
        <w:rPr>
          <w:rFonts w:ascii="Times New Roman" w:hAnsi="Times New Roman" w:cs="Times New Roman" w:eastAsia="Times New Roman" w:hint="default"/>
          <w:spacing w:val="-3"/>
        </w:rPr>
        <w:t>1994</w:t>
      </w:r>
      <w:r>
        <w:rPr>
          <w:spacing w:val="-3"/>
        </w:rPr>
        <w:t>年于中国有色总公司贵阳铝镁设计研究院任助理工程师；</w:t>
      </w:r>
      <w:r>
        <w:rPr/>
        <w:t> </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2007</w:t>
      </w:r>
      <w:r>
        <w:rPr>
          <w:spacing w:val="-2"/>
        </w:rPr>
        <w:t>年于深圳市建筑设计研究总院、深圳市建筑科学研究院任工程师、主任工程师、中心副总经理；</w:t>
      </w:r>
      <w:r>
        <w:rPr>
          <w:rFonts w:ascii="Times New Roman" w:hAnsi="Times New Roman" w:cs="Times New Roman" w:eastAsia="Times New Roman" w:hint="default"/>
          <w:spacing w:val="-2"/>
        </w:rPr>
        <w:t>2007</w:t>
      </w:r>
      <w:r>
        <w:rPr>
          <w:spacing w:val="-2"/>
        </w:rPr>
        <w:t>年至今历</w:t>
      </w:r>
      <w:r>
        <w:rPr>
          <w:spacing w:val="-55"/>
        </w:rPr>
        <w:t> </w:t>
      </w:r>
      <w:r>
        <w:rPr>
          <w:spacing w:val="-55"/>
        </w:rPr>
      </w:r>
      <w:r>
        <w:rPr/>
        <w:t>任深圳建总院、本公司副总工程师、副总经理，兼任建科投资董事长、总经理，荆门玖伊园科技有限公司董事长、总经理。</w:t>
      </w:r>
      <w:r>
        <w:rPr/>
        <w:t> </w:t>
      </w:r>
      <w:r>
        <w:rPr>
          <w:rFonts w:ascii="Times New Roman" w:hAnsi="Times New Roman" w:cs="Times New Roman" w:eastAsia="Times New Roman" w:hint="default"/>
        </w:rPr>
        <w:t>2</w:t>
      </w:r>
      <w:r>
        <w:rPr/>
        <w:t>、毛洪伟，男，</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w:t>
      </w:r>
      <w:r>
        <w:rPr/>
        <w:t>月出生，供热、供燃气、通风及空调工程专业研究生学历，中国国籍，无境外永久居留权，</w:t>
      </w:r>
      <w:r>
        <w:rPr>
          <w:rFonts w:ascii="Times New Roman" w:hAnsi="Times New Roman" w:cs="Times New Roman" w:eastAsia="Times New Roman" w:hint="default"/>
        </w:rPr>
        <w:t>2005 </w:t>
      </w:r>
      <w:r>
        <w:rPr>
          <w:spacing w:val="-2"/>
        </w:rPr>
        <w:t>年至今历任本公司研发中心助理工程师、资源中心咨询部负责人、质控中心负责人、董办主任、研发中心总监、价值中心总</w:t>
      </w:r>
      <w:r>
        <w:rPr>
          <w:spacing w:val="-67"/>
        </w:rPr>
        <w:t> </w:t>
      </w:r>
      <w:r>
        <w:rPr>
          <w:spacing w:val="-67"/>
        </w:rPr>
      </w:r>
      <w:r>
        <w:rPr/>
        <w:t>监、质量管理中心总监、董事会秘书、副总经理，兼任建科投资董事、艾科筑业董事长、总经理。</w:t>
      </w:r>
    </w:p>
    <w:p>
      <w:pPr>
        <w:pStyle w:val="BodyText"/>
        <w:spacing w:line="240" w:lineRule="auto" w:before="64"/>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深圳市远致投资有限公司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邵顺昌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中关村发展集团有限公司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莫福光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刘俊跃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79"/>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在其他单位任职情况</w:t>
      </w:r>
    </w:p>
    <w:p>
      <w:pPr>
        <w:pStyle w:val="BodyText"/>
        <w:spacing w:line="240" w:lineRule="auto" w:before="11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前海科创投控股有限公司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深圳市高新投集团有限公司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深业投资发展有限公司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深圳市亿鑫投资有限公司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邵顺昌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北京知识产权运营管理有限公司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林晓春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广东信达律师事务所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林晓春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深圳市君和睿通科技股份有限公司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大华会计师事务所深圳分所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国银金融租赁股份有限公司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圣元环保股份有限公司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河北雄安玖壹生态科技有限公司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河北雄安绿研检验认证有限公司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深圳玖伊绿色运营管理有限公司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刘俊跃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荆门玖伊园科技有限公司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毛洪伟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深圳艾科筑业工程技术有限公司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董事、监事、高级管理人员报酬的决策程序、确定依据、实际支付情况</w:t>
      </w:r>
    </w:p>
    <w:p>
      <w:pPr>
        <w:pStyle w:val="BodyText"/>
        <w:spacing w:line="300" w:lineRule="auto" w:before="115"/>
        <w:ind w:right="0"/>
        <w:jc w:val="left"/>
      </w:pPr>
      <w:r>
        <w:rPr>
          <w:spacing w:val="-2"/>
        </w:rPr>
        <w:t>在公司履职的董事、监事和高级管理人员按具体职务领取薪酬。公司独立董事的薪酬按照公司</w:t>
      </w:r>
      <w:r>
        <w:rPr>
          <w:rFonts w:ascii="Times New Roman" w:hAnsi="Times New Roman" w:cs="Times New Roman" w:eastAsia="Times New Roman" w:hint="default"/>
          <w:spacing w:val="-2"/>
        </w:rPr>
        <w:t>2017</w:t>
      </w:r>
      <w:r>
        <w:rPr>
          <w:spacing w:val="-2"/>
        </w:rPr>
        <w:t>年第二次临时股东大会审</w:t>
      </w:r>
      <w:r>
        <w:rPr>
          <w:spacing w:val="-60"/>
        </w:rPr>
        <w:t> </w:t>
      </w:r>
      <w:r>
        <w:rPr>
          <w:spacing w:val="-60"/>
        </w:rPr>
      </w:r>
      <w:r>
        <w:rPr>
          <w:spacing w:val="-2"/>
        </w:rPr>
        <w:t>议通过的《关于审议独立董事津贴标准的议案》核定发放；公司内部董事的薪酬按</w:t>
      </w:r>
      <w:r>
        <w:rPr>
          <w:rFonts w:ascii="Times New Roman" w:hAnsi="Times New Roman" w:cs="Times New Roman" w:eastAsia="Times New Roman" w:hint="default"/>
          <w:spacing w:val="-2"/>
        </w:rPr>
        <w:t>2018</w:t>
      </w:r>
      <w:r>
        <w:rPr>
          <w:spacing w:val="-2"/>
        </w:rPr>
        <w:t>年第二次临时股东大会审议通过的考</w:t>
      </w:r>
      <w:r>
        <w:rPr>
          <w:spacing w:val="-62"/>
        </w:rPr>
        <w:t> </w:t>
      </w:r>
      <w:r>
        <w:rPr>
          <w:spacing w:val="-62"/>
        </w:rPr>
      </w:r>
      <w:r>
        <w:rPr/>
        <w:t>核方案；公司监事不从公司领取薪酬和津贴，职工监事按其在公司任职的岗位领取报酬；高级管理人员的薪酬按照其</w:t>
      </w:r>
      <w:r>
        <w:rPr>
          <w:rFonts w:ascii="Times New Roman" w:hAnsi="Times New Roman" w:cs="Times New Roman" w:eastAsia="Times New Roman" w:hint="default"/>
        </w:rPr>
        <w:t>2018 </w:t>
      </w:r>
      <w:r>
        <w:rPr/>
        <w:t>年薪酬考核方案发放。</w:t>
      </w:r>
    </w:p>
    <w:p>
      <w:pPr>
        <w:pStyle w:val="BodyText"/>
        <w:spacing w:line="240" w:lineRule="auto" w:before="70"/>
        <w:ind w:right="0"/>
        <w:jc w:val="left"/>
      </w:pPr>
      <w:r>
        <w:rPr/>
        <w:t>公司报告期内董事、监事和高级管理人员报酬情况</w:t>
      </w:r>
    </w:p>
    <w:p>
      <w:pPr>
        <w:pStyle w:val="BodyText"/>
        <w:spacing w:line="240" w:lineRule="auto" w:before="119"/>
        <w:ind w:left="0" w:right="1131"/>
        <w:jc w:val="right"/>
      </w:pPr>
      <w:r>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陈泽广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莫福光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邵顺昌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吴硕贤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林晓春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蔡素娟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詹辉轮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吴曦东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陈友莲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刘俊跃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毛洪伟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6" w:right="20"/>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 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491.33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14"/>
        <w:rPr>
          <w:rFonts w:ascii="Microsoft JhengHei" w:hAnsi="Microsoft JhengHei" w:cs="Microsoft JhengHei" w:eastAsia="Microsoft JhengHei" w:hint="default"/>
          <w:b/>
          <w:bCs/>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681</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7" w:lineRule="auto"/>
        <w:ind w:right="1034"/>
        <w:jc w:val="left"/>
      </w:pPr>
      <w:r>
        <w:rPr>
          <w:rFonts w:ascii="Times New Roman" w:hAnsi="Times New Roman" w:cs="Times New Roman" w:eastAsia="Times New Roman" w:hint="default"/>
        </w:rPr>
        <w:t>2018</w:t>
      </w:r>
      <w:r>
        <w:rPr/>
        <w:t>年公司综合</w:t>
      </w:r>
      <w:r>
        <w:rPr>
          <w:rFonts w:ascii="Times New Roman" w:hAnsi="Times New Roman" w:cs="Times New Roman" w:eastAsia="Times New Roman" w:hint="default"/>
        </w:rPr>
        <w:t>CPI</w:t>
      </w:r>
      <w:r>
        <w:rPr/>
        <w:t>变化、劳动力市场价位和企业经济效益等综合因素编制年度薪酬预算，薪酬资源重点向研发创新人才、</w:t>
      </w:r>
      <w:r>
        <w:rPr>
          <w:w w:val="99"/>
        </w:rPr>
        <w:t> </w:t>
      </w:r>
      <w:r>
        <w:rPr/>
        <w:t>创新项目和新业务拓展倾斜，支撑公司战略落地和新市场的开拓。员工薪酬主要由工资、绩效奖金、津贴补贴、社会保险、</w:t>
      </w:r>
      <w:r>
        <w:rPr>
          <w:w w:val="99"/>
        </w:rPr>
        <w:t> </w:t>
      </w:r>
      <w:r>
        <w:rPr/>
        <w:t>住房公积金、工会费和职工教育费等组成，绩效奖金与企业经营状况、员工个人工作绩效相挂钩，通过</w:t>
      </w:r>
      <w:r>
        <w:rPr>
          <w:rFonts w:ascii="Times New Roman" w:hAnsi="Times New Roman" w:cs="Times New Roman" w:eastAsia="Times New Roman" w:hint="default"/>
        </w:rPr>
        <w:t>“</w:t>
      </w:r>
      <w:r>
        <w:rPr/>
        <w:t>乐活工社</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推行基 于员工贡献值的激励制度，继续完善</w:t>
      </w:r>
      <w:r>
        <w:rPr>
          <w:rFonts w:ascii="Times New Roman" w:hAnsi="Times New Roman" w:cs="Times New Roman" w:eastAsia="Times New Roman" w:hint="default"/>
        </w:rPr>
        <w:t>“</w:t>
      </w:r>
      <w:r>
        <w:rPr/>
        <w:t>乐豆</w:t>
      </w:r>
      <w:r>
        <w:rPr>
          <w:rFonts w:ascii="Times New Roman" w:hAnsi="Times New Roman" w:cs="Times New Roman" w:eastAsia="Times New Roman" w:hint="default"/>
        </w:rPr>
        <w:t>”</w:t>
      </w:r>
      <w:r>
        <w:rPr/>
        <w:t>体系建设，深化公司整体薪酬体系变革，建立具有公司特色的考核激励机制。</w:t>
      </w: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2" w:lineRule="auto"/>
        <w:ind w:right="1131"/>
        <w:jc w:val="both"/>
      </w:pPr>
      <w:r>
        <w:rPr>
          <w:spacing w:val="-2"/>
        </w:rPr>
        <w:t>根据公司发展战略、人才提升需要，</w:t>
      </w:r>
      <w:r>
        <w:rPr>
          <w:rFonts w:ascii="Times New Roman" w:hAnsi="Times New Roman" w:cs="Times New Roman" w:eastAsia="Times New Roman" w:hint="default"/>
          <w:spacing w:val="-2"/>
        </w:rPr>
        <w:t>2018</w:t>
      </w:r>
      <w:r>
        <w:rPr>
          <w:spacing w:val="-2"/>
        </w:rPr>
        <w:t>年公司继续加大培训投入，紧贴新业务能力、管理变革和团队建设，开展了工程项</w:t>
      </w:r>
      <w:r>
        <w:rPr>
          <w:spacing w:val="-64"/>
        </w:rPr>
        <w:t> </w:t>
      </w:r>
      <w:r>
        <w:rPr>
          <w:spacing w:val="-64"/>
        </w:rPr>
      </w:r>
      <w:r>
        <w:rPr>
          <w:spacing w:val="-2"/>
        </w:rPr>
        <w:t>目管理、星火种子培训营、新员工绿野仙踪培训营、建科大讲堂、读书分享会、健康讲座、蜂潮荟等覆盖员工专业技能、职</w:t>
      </w:r>
      <w:r>
        <w:rPr>
          <w:spacing w:val="-71"/>
        </w:rPr>
        <w:t> </w:t>
      </w:r>
      <w:r>
        <w:rPr>
          <w:spacing w:val="-71"/>
        </w:rPr>
      </w:r>
      <w:r>
        <w:rPr>
          <w:spacing w:val="-2"/>
        </w:rPr>
        <w:t>业化素养、管理提升诸多方面的系列培训课程，聚焦提升员工专业技能、职业化水平和综合素质，继续强化公司人才梯队的</w:t>
      </w:r>
      <w:r>
        <w:rPr>
          <w:spacing w:val="-65"/>
        </w:rPr>
        <w:t> </w:t>
      </w:r>
      <w:r>
        <w:rPr>
          <w:spacing w:val="-65"/>
        </w:rPr>
      </w:r>
      <w:r>
        <w:rPr/>
        <w:t>技能、能力和综合素质的提升和培养。</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2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456" w:lineRule="exact"/>
        <w:ind w:right="3047"/>
        <w:jc w:val="center"/>
        <w:rPr>
          <w:b w:val="0"/>
          <w:bCs w:val="0"/>
        </w:rPr>
      </w:pPr>
      <w:bookmarkStart w:name="_bookmark8" w:id="9"/>
      <w:bookmarkEnd w:id="9"/>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6" w:lineRule="auto"/>
        <w:ind w:right="1129"/>
        <w:jc w:val="left"/>
      </w:pPr>
      <w:r>
        <w:rPr>
          <w:spacing w:val="-5"/>
        </w:rPr>
        <w:t>报告期内，公司建立了规范的公司治理结构，股东大会、董事会及专门委员会、监事会、管理层均能严格按照《公司法》《证</w:t>
      </w:r>
      <w:r>
        <w:rPr>
          <w:spacing w:val="-83"/>
        </w:rPr>
        <w:t> </w:t>
      </w:r>
      <w:r>
        <w:rPr>
          <w:spacing w:val="-83"/>
        </w:rPr>
      </w:r>
      <w:r>
        <w:rPr>
          <w:spacing w:val="-2"/>
        </w:rPr>
        <w:t>券法》《上市公司治理准则》《深圳证券交易所创业板股票上市规则》《深圳证券交易所创业板上市公司规范运作指引》和</w:t>
      </w:r>
      <w:r>
        <w:rPr>
          <w:spacing w:val="-66"/>
        </w:rPr>
        <w:t> </w:t>
      </w:r>
      <w:r>
        <w:rPr>
          <w:spacing w:val="-66"/>
        </w:rPr>
      </w:r>
      <w:r>
        <w:rPr>
          <w:spacing w:val="-2"/>
        </w:rPr>
        <w:t>中国证监会有关法律法规等要求，履行各自的权利和义务。截至报告期末，上述机构和人员依法运作，未出现违法、违规现</w:t>
      </w:r>
      <w:r>
        <w:rPr>
          <w:spacing w:val="-67"/>
        </w:rPr>
        <w:t> </w:t>
      </w:r>
      <w:r>
        <w:rPr>
          <w:spacing w:val="-67"/>
        </w:rPr>
      </w:r>
      <w:r>
        <w:rPr>
          <w:spacing w:val="-2"/>
        </w:rPr>
        <w:t>象，能够切实履行应尽的职责和义务，公司治理的实际状况符合《上市公司治理准则》和《深圳证券交易所创业板上市公司</w:t>
      </w:r>
      <w:r>
        <w:rPr>
          <w:spacing w:val="-67"/>
        </w:rPr>
        <w:t> </w:t>
      </w:r>
      <w:r>
        <w:rPr>
          <w:spacing w:val="-67"/>
        </w:rPr>
      </w:r>
      <w:r>
        <w:rPr/>
        <w:t>规范运作指引》的要求。 </w:t>
      </w:r>
      <w:r>
        <w:rPr>
          <w:spacing w:val="-2"/>
        </w:rPr>
        <w:t>公司依据监管部门和公司实际情况在治理方面制定了各项规章制度，主要有《公司章程》《股东大会议事规则》《董事会议</w:t>
      </w:r>
      <w:r>
        <w:rPr>
          <w:spacing w:val="-66"/>
        </w:rPr>
        <w:t> </w:t>
      </w:r>
      <w:r>
        <w:rPr>
          <w:spacing w:val="-66"/>
        </w:rPr>
      </w:r>
      <w:r>
        <w:rPr>
          <w:spacing w:val="-2"/>
        </w:rPr>
        <w:t>事规则》《监事会议事规则》《独立董事工作管理办法》《战略委员会议事规则》《审计委员会议事规则》《提名委员会议</w:t>
      </w:r>
      <w:r>
        <w:rPr>
          <w:spacing w:val="-68"/>
        </w:rPr>
        <w:t> </w:t>
      </w:r>
      <w:r>
        <w:rPr>
          <w:spacing w:val="-68"/>
        </w:rPr>
      </w:r>
      <w:r>
        <w:rPr>
          <w:spacing w:val="-2"/>
        </w:rPr>
        <w:t>事规则》《薪酬与考核委员会议事规则》《总经理工作细则》《董事会秘书工作制度》《对外投资管理办法》《对外担保管</w:t>
      </w:r>
      <w:r>
        <w:rPr>
          <w:spacing w:val="-71"/>
        </w:rPr>
        <w:t> </w:t>
      </w:r>
      <w:r>
        <w:rPr>
          <w:spacing w:val="-71"/>
        </w:rPr>
      </w:r>
      <w:r>
        <w:rPr>
          <w:spacing w:val="-2"/>
        </w:rPr>
        <w:t>理办法》《募集资金使用管理办法》《内部审计制度》等规章制度。通过一系列制度的制定，搭建了较为完善的公司法人治</w:t>
      </w:r>
      <w:r>
        <w:rPr>
          <w:spacing w:val="-69"/>
        </w:rPr>
        <w:t> </w:t>
      </w:r>
      <w:r>
        <w:rPr>
          <w:spacing w:val="-69"/>
        </w:rPr>
      </w:r>
      <w:r>
        <w:rPr>
          <w:spacing w:val="-2"/>
        </w:rPr>
        <w:t>理结构的制度平台，从制度上明确了股东大会、董事会、监事会及管理层各自应履行的职责和议事规程，从而为公司的规范</w:t>
      </w:r>
      <w:r>
        <w:rPr>
          <w:spacing w:val="-64"/>
        </w:rPr>
        <w:t> </w:t>
      </w:r>
      <w:r>
        <w:rPr>
          <w:spacing w:val="-64"/>
        </w:rPr>
      </w:r>
      <w:r>
        <w:rPr/>
        <w:t>运作提供了制度保障。</w:t>
      </w:r>
    </w:p>
    <w:p>
      <w:pPr>
        <w:pStyle w:val="BodyText"/>
        <w:spacing w:line="312" w:lineRule="auto" w:before="19"/>
        <w:ind w:right="1034"/>
        <w:jc w:val="left"/>
      </w:pPr>
      <w:r>
        <w:rPr>
          <w:rFonts w:ascii="Times New Roman" w:hAnsi="Times New Roman" w:cs="Times New Roman" w:eastAsia="Times New Roman" w:hint="default"/>
        </w:rPr>
        <w:t>1</w:t>
      </w:r>
      <w:r>
        <w:rPr/>
        <w:t>、关于股东和股东大会 </w:t>
      </w:r>
      <w:r>
        <w:rPr>
          <w:spacing w:val="-4"/>
        </w:rPr>
        <w:t>公司严格按照《公司法》、《公司章程》和《股东大会议事规则》等法律、法规要求，规范股东大会召集、召开、表决程序，</w:t>
      </w:r>
      <w:r>
        <w:rPr>
          <w:spacing w:val="-45"/>
        </w:rPr>
        <w:t> </w:t>
      </w:r>
      <w:r>
        <w:rPr>
          <w:spacing w:val="-45"/>
        </w:rPr>
      </w:r>
      <w:r>
        <w:rPr/>
        <w:t>同时公司聘请专业律师见证股东大会，确保所有股东享有平等地位、平等权利，充分行使自己的权利，并承担相应的义务。</w:t>
      </w:r>
      <w:r>
        <w:rPr/>
        <w:t> 报告期内，公司共召开了</w:t>
      </w:r>
      <w:r>
        <w:rPr>
          <w:rFonts w:ascii="Times New Roman" w:hAnsi="Times New Roman" w:cs="Times New Roman" w:eastAsia="Times New Roman" w:hint="default"/>
        </w:rPr>
        <w:t>1</w:t>
      </w:r>
      <w:r>
        <w:rPr/>
        <w:t>次年度股东大会和</w:t>
      </w:r>
      <w:r>
        <w:rPr>
          <w:rFonts w:ascii="Times New Roman" w:hAnsi="Times New Roman" w:cs="Times New Roman" w:eastAsia="Times New Roman" w:hint="default"/>
        </w:rPr>
        <w:t>2</w:t>
      </w:r>
      <w:r>
        <w:rPr/>
        <w:t>次临时股东大会，会议由董事会召集、召开。</w:t>
      </w:r>
    </w:p>
    <w:p>
      <w:pPr>
        <w:pStyle w:val="BodyText"/>
        <w:spacing w:line="309" w:lineRule="auto" w:before="3"/>
        <w:ind w:right="1124"/>
        <w:jc w:val="left"/>
      </w:pPr>
      <w:r>
        <w:rPr>
          <w:rFonts w:ascii="Times New Roman" w:hAnsi="Times New Roman" w:cs="Times New Roman" w:eastAsia="Times New Roman" w:hint="default"/>
        </w:rPr>
        <w:t>2</w:t>
      </w:r>
      <w:r>
        <w:rPr/>
        <w:t>、关于董事和董事会 </w:t>
      </w:r>
      <w:r>
        <w:rPr>
          <w:spacing w:val="-2"/>
        </w:rPr>
        <w:t>报告期内，公司董事会设董事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名，董事会人数及人员构成符合法律、法规和《公司章程》的要求。各位</w:t>
      </w:r>
      <w:r>
        <w:rPr>
          <w:spacing w:val="-69"/>
        </w:rPr>
        <w:t> </w:t>
      </w:r>
      <w:r>
        <w:rPr>
          <w:spacing w:val="-69"/>
        </w:rPr>
      </w:r>
      <w:r>
        <w:rPr>
          <w:spacing w:val="-2"/>
        </w:rPr>
        <w:t>董事能够依据《深圳证券交易所创业板上市公司规范运作指引》、《董事会议事规则》和《独立董事工作管理办法》等开展</w:t>
      </w:r>
      <w:r>
        <w:rPr>
          <w:spacing w:val="-68"/>
        </w:rPr>
        <w:t> </w:t>
      </w:r>
      <w:r>
        <w:rPr>
          <w:spacing w:val="-68"/>
        </w:rPr>
      </w:r>
      <w:r>
        <w:rPr/>
        <w:t>工作，诚信、勤勉地履行职责和义务，同时积极参加有关培训，熟悉有关法律法规。报告期内共召开了</w:t>
      </w:r>
      <w:r>
        <w:rPr>
          <w:rFonts w:ascii="Times New Roman" w:hAnsi="Times New Roman" w:cs="Times New Roman" w:eastAsia="Times New Roman" w:hint="default"/>
        </w:rPr>
        <w:t>9</w:t>
      </w:r>
      <w:r>
        <w:rPr/>
        <w:t>次董事会，均由董</w:t>
      </w:r>
      <w:r>
        <w:rPr>
          <w:spacing w:val="-87"/>
        </w:rPr>
        <w:t> </w:t>
      </w:r>
      <w:r>
        <w:rPr>
          <w:spacing w:val="-2"/>
        </w:rPr>
        <w:t>事长召集、主持。公司董事会下设有战略委员会、提名委员会、审计委员会、薪酬与考核委员会等四个专门委员会，专门委</w:t>
      </w:r>
      <w:r>
        <w:rPr>
          <w:spacing w:val="-68"/>
        </w:rPr>
        <w:t> </w:t>
      </w:r>
      <w:r>
        <w:rPr>
          <w:spacing w:val="-68"/>
        </w:rPr>
      </w:r>
      <w:r>
        <w:rPr>
          <w:spacing w:val="-2"/>
        </w:rPr>
        <w:t>员会成员全部由董事组成，除战略委员会由董事长担任召集人以外，其他专门委员会均有独立董事担任召集人，为董事会的</w:t>
      </w:r>
      <w:r>
        <w:rPr>
          <w:spacing w:val="-63"/>
        </w:rPr>
        <w:t> </w:t>
      </w:r>
      <w:r>
        <w:rPr>
          <w:spacing w:val="-63"/>
        </w:rPr>
      </w:r>
      <w:r>
        <w:rPr/>
        <w:t>决策提供了科学和专业的意见。</w:t>
      </w:r>
    </w:p>
    <w:p>
      <w:pPr>
        <w:pStyle w:val="BodyText"/>
        <w:spacing w:line="300" w:lineRule="auto" w:before="24"/>
        <w:ind w:right="1034"/>
        <w:jc w:val="left"/>
      </w:pPr>
      <w:r>
        <w:rPr>
          <w:rFonts w:ascii="Times New Roman" w:hAnsi="Times New Roman" w:cs="Times New Roman" w:eastAsia="Times New Roman" w:hint="default"/>
        </w:rPr>
        <w:t>3</w:t>
      </w:r>
      <w:r>
        <w:rPr/>
        <w:t>、关于监事和监事会 公司监事会设监事</w:t>
      </w:r>
      <w:r>
        <w:rPr>
          <w:rFonts w:ascii="Times New Roman" w:hAnsi="Times New Roman" w:cs="Times New Roman" w:eastAsia="Times New Roman" w:hint="default"/>
        </w:rPr>
        <w:t>5</w:t>
      </w:r>
      <w:r>
        <w:rPr/>
        <w:t>名，其中职工代表监事</w:t>
      </w:r>
      <w:r>
        <w:rPr>
          <w:rFonts w:ascii="Times New Roman" w:hAnsi="Times New Roman" w:cs="Times New Roman" w:eastAsia="Times New Roman" w:hint="default"/>
        </w:rPr>
        <w:t>2</w:t>
      </w:r>
      <w:r>
        <w:rPr/>
        <w:t>名，监事会的人数和构成符合法律、法规的要求。各位监事严格按照《公司法》</w:t>
      </w:r>
    </w:p>
    <w:p>
      <w:pPr>
        <w:pStyle w:val="BodyText"/>
        <w:spacing w:line="309" w:lineRule="auto" w:before="13"/>
        <w:ind w:right="1133"/>
        <w:jc w:val="both"/>
      </w:pPr>
      <w:r>
        <w:rPr>
          <w:spacing w:val="-2"/>
        </w:rPr>
        <w:t>《公司章程》和《监事会议事规则》的有关规定认真履行职责，对公司财务状况、重大事项、关联交易以及公司董事及高级</w:t>
      </w:r>
      <w:r>
        <w:rPr>
          <w:spacing w:val="-68"/>
        </w:rPr>
        <w:t> </w:t>
      </w:r>
      <w:r>
        <w:rPr>
          <w:spacing w:val="-68"/>
        </w:rPr>
      </w:r>
      <w:r>
        <w:rPr/>
        <w:t>管理人员履行职责的合法合规性进行监督，维护公司及股东的合法权益。报告期内共召开了</w:t>
      </w:r>
      <w:r>
        <w:rPr>
          <w:rFonts w:ascii="Times New Roman" w:hAnsi="Times New Roman" w:cs="Times New Roman" w:eastAsia="Times New Roman" w:hint="default"/>
        </w:rPr>
        <w:t>7</w:t>
      </w:r>
      <w:r>
        <w:rPr/>
        <w:t>次监事会，会议均由监事会主 席召集、主持。</w:t>
      </w:r>
    </w:p>
    <w:p>
      <w:pPr>
        <w:pStyle w:val="BodyText"/>
        <w:spacing w:line="314" w:lineRule="auto" w:before="24"/>
        <w:ind w:right="0"/>
        <w:jc w:val="left"/>
      </w:pPr>
      <w:r>
        <w:rPr>
          <w:rFonts w:ascii="Times New Roman" w:hAnsi="Times New Roman" w:cs="Times New Roman" w:eastAsia="Times New Roman" w:hint="default"/>
        </w:rPr>
        <w:t>4</w:t>
      </w:r>
      <w:r>
        <w:rPr/>
        <w:t>、关于公司控股股东 </w:t>
      </w:r>
      <w:r>
        <w:rPr>
          <w:spacing w:val="-2"/>
        </w:rPr>
        <w:t>公司具有独立的业务经营能力及完备的运营体系，在业务、人员、资产、财务上均独立于控股股东。公司董事会、监事会和</w:t>
      </w:r>
      <w:r>
        <w:rPr>
          <w:spacing w:val="-66"/>
        </w:rPr>
        <w:t> </w:t>
      </w:r>
      <w:r>
        <w:rPr>
          <w:spacing w:val="-66"/>
        </w:rPr>
      </w:r>
      <w:r>
        <w:rPr>
          <w:spacing w:val="-2"/>
        </w:rPr>
        <w:t>内部机构根据其议事规则或公司制度独立运作。公司控股股东能严格规范自己的行为，通过股东大会依法行使其权利并承担</w:t>
      </w:r>
      <w:r>
        <w:rPr>
          <w:spacing w:val="-64"/>
        </w:rPr>
        <w:t> </w:t>
      </w:r>
      <w:r>
        <w:rPr>
          <w:spacing w:val="-64"/>
        </w:rPr>
      </w:r>
      <w:r>
        <w:rPr>
          <w:spacing w:val="-2"/>
        </w:rPr>
        <w:t>义务，没有超越股东大会直接或间接干预公司经营活动。报告期内，公司没有为控股股东提供担保，亦不存在控股股东非经</w:t>
      </w:r>
      <w:r>
        <w:rPr>
          <w:spacing w:val="-65"/>
        </w:rPr>
        <w:t> </w:t>
      </w:r>
      <w:r>
        <w:rPr>
          <w:spacing w:val="-65"/>
        </w:rPr>
      </w:r>
      <w:r>
        <w:rPr/>
        <w:t>营性占用公司资金的行为。</w:t>
      </w:r>
    </w:p>
    <w:p>
      <w:pPr>
        <w:pStyle w:val="BodyText"/>
        <w:spacing w:line="312" w:lineRule="auto" w:before="20"/>
        <w:ind w:right="1034"/>
        <w:jc w:val="left"/>
      </w:pPr>
      <w:r>
        <w:rPr>
          <w:rFonts w:ascii="Times New Roman" w:hAnsi="Times New Roman" w:cs="Times New Roman" w:eastAsia="Times New Roman" w:hint="default"/>
        </w:rPr>
        <w:t>5</w:t>
      </w:r>
      <w:r>
        <w:rPr/>
        <w:t>、关于独立董事制度运行情况 </w:t>
      </w:r>
      <w:r>
        <w:rPr>
          <w:spacing w:val="-2"/>
        </w:rPr>
        <w:t>报告期内，公司独立董事严格按照有关法律、法规、《公司章程》等制度履行职责，对独立董事需发表意见的事项发布了独</w:t>
      </w:r>
      <w:r>
        <w:rPr>
          <w:spacing w:val="-67"/>
        </w:rPr>
        <w:t> </w:t>
      </w:r>
      <w:r>
        <w:rPr>
          <w:spacing w:val="-67"/>
        </w:rPr>
      </w:r>
      <w:r>
        <w:rPr/>
        <w:t>立意见，对公司内部控制制度及发展提出了许多意见和建议，对公司完善治理结构和规范运作发挥了积极作用。 </w:t>
      </w:r>
      <w:r>
        <w:rPr>
          <w:rFonts w:ascii="Times New Roman" w:hAnsi="Times New Roman" w:cs="Times New Roman" w:eastAsia="Times New Roman" w:hint="default"/>
        </w:rPr>
        <w:t>6</w:t>
      </w:r>
      <w:r>
        <w:rPr/>
        <w:t>、关于信息披露与透明度 公司严格按照《信息披露管理办法》《投资者关系管理办法》《内幕信息知情人登记管理办法》的有关规定，及时、准确、 完整地披露公司重要经营信息，确保公司全体股东和投资者能够公平获得信息，持续提高公司透明度。</w:t>
      </w:r>
    </w:p>
    <w:p>
      <w:pPr>
        <w:spacing w:after="0" w:line="312" w:lineRule="auto"/>
        <w:jc w:val="left"/>
        <w:sectPr>
          <w:pgSz w:w="11910" w:h="16840"/>
          <w:pgMar w:header="852" w:footer="980" w:top="1320" w:bottom="1160" w:left="980" w:right="0"/>
        </w:sectPr>
      </w:pPr>
    </w:p>
    <w:p>
      <w:pPr>
        <w:pStyle w:val="BodyText"/>
        <w:spacing w:line="240" w:lineRule="auto" w:before="109"/>
        <w:ind w:right="0"/>
        <w:jc w:val="left"/>
      </w:pPr>
      <w:r>
        <w:rPr/>
        <w:t>公司治理的实际状况与中国证监会发布的有关上市公司治理的规范性文件是否存在重大差异</w:t>
      </w:r>
    </w:p>
    <w:p>
      <w:pPr>
        <w:pStyle w:val="BodyText"/>
        <w:spacing w:line="338" w:lineRule="auto" w:before="120"/>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9" w:lineRule="auto"/>
        <w:ind w:right="1124"/>
        <w:jc w:val="left"/>
      </w:pPr>
      <w:r>
        <w:rPr/>
        <w:t>公司严格按照《公司法》《证券法》等有关法律、法规和《公司章程》的要求规范运作</w:t>
      </w:r>
      <w:r>
        <w:rPr>
          <w:rFonts w:ascii="Times New Roman" w:hAnsi="Times New Roman" w:cs="Times New Roman" w:eastAsia="Times New Roman" w:hint="default"/>
        </w:rPr>
        <w:t>,</w:t>
      </w:r>
      <w:r>
        <w:rPr/>
        <w:t>与控股股东在业务、人员、资产、 机构、财务等方面完全分开，具有独立完整的业务及自主经营能力。 </w:t>
      </w:r>
      <w:r>
        <w:rPr>
          <w:rFonts w:ascii="Times New Roman" w:hAnsi="Times New Roman" w:cs="Times New Roman" w:eastAsia="Times New Roman" w:hint="default"/>
        </w:rPr>
        <w:t>1</w:t>
      </w:r>
      <w:r>
        <w:rPr/>
        <w:t>、业务方面：公司业务结构完整，自主独立经营，与控股股东之间无同业竞争，控股股东未曾利用控股股东地位干涉公司 决策和生产经营活动； </w:t>
      </w:r>
      <w:r>
        <w:rPr>
          <w:rFonts w:ascii="Times New Roman" w:hAnsi="Times New Roman" w:cs="Times New Roman" w:eastAsia="Times New Roman" w:hint="default"/>
        </w:rPr>
        <w:t>2</w:t>
      </w:r>
      <w:r>
        <w:rPr/>
        <w:t>、人员方面：公司在劳动、人事及工资管理等各方面均独立于控股股东。高级管理人员均在公司领取报酬；</w:t>
      </w:r>
    </w:p>
    <w:p>
      <w:pPr>
        <w:pStyle w:val="BodyText"/>
        <w:spacing w:line="240" w:lineRule="auto" w:before="5"/>
        <w:ind w:right="0"/>
        <w:jc w:val="left"/>
      </w:pPr>
      <w:r>
        <w:rPr>
          <w:rFonts w:ascii="Times New Roman" w:hAnsi="Times New Roman" w:cs="Times New Roman" w:eastAsia="Times New Roman" w:hint="default"/>
        </w:rPr>
        <w:t>3</w:t>
      </w:r>
      <w:r>
        <w:rPr/>
        <w:t>、资产方面：公司生产经营场所及土地使用权情况、商标注册及使用情况独立，各发起人投入股份公司的资产权属明确；</w:t>
      </w:r>
    </w:p>
    <w:p>
      <w:pPr>
        <w:pStyle w:val="BodyText"/>
        <w:spacing w:line="240" w:lineRule="auto" w:before="63"/>
        <w:ind w:right="0"/>
        <w:jc w:val="left"/>
      </w:pPr>
      <w:r>
        <w:rPr>
          <w:rFonts w:ascii="Times New Roman" w:hAnsi="Times New Roman" w:cs="Times New Roman" w:eastAsia="Times New Roman" w:hint="default"/>
        </w:rPr>
        <w:t>4</w:t>
      </w:r>
      <w:r>
        <w:rPr/>
        <w:t>、机构方面：公司组织体系健全，董事会、监事会、管理层及部门动作独立，不存在与控股股东之间的从属关系；</w:t>
      </w:r>
    </w:p>
    <w:p>
      <w:pPr>
        <w:pStyle w:val="BodyText"/>
        <w:spacing w:line="240" w:lineRule="auto" w:before="63"/>
        <w:ind w:right="0"/>
        <w:jc w:val="left"/>
      </w:pPr>
      <w:r>
        <w:rPr>
          <w:rFonts w:ascii="Times New Roman" w:hAnsi="Times New Roman" w:cs="Times New Roman" w:eastAsia="Times New Roman" w:hint="default"/>
        </w:rPr>
        <w:t>5</w:t>
      </w:r>
      <w:r>
        <w:rPr/>
        <w:t>、财务方面：设有独立的财务部门，并建立了独立的会计核算体系和财务管理制度，独立在银行开户、并依法独立纳税。</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三、同业竞争情况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4"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.com.cn</w:t>
            </w:r>
            <w:r>
              <w:rPr>
                <w:rFonts w:ascii="宋体" w:hAnsi="宋体" w:cs="宋体" w:eastAsia="宋体" w:hint="default"/>
                <w:spacing w:val="-10"/>
                <w:sz w:val="18"/>
                <w:szCs w:val="18"/>
              </w:rPr>
              <w:t>），公告编号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2018-013</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69.11%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4"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.com.cn</w:t>
            </w:r>
            <w:r>
              <w:rPr>
                <w:rFonts w:ascii="宋体" w:hAnsi="宋体" w:cs="宋体" w:eastAsia="宋体" w:hint="default"/>
                <w:spacing w:val="-10"/>
                <w:sz w:val="18"/>
                <w:szCs w:val="18"/>
              </w:rPr>
              <w:t>），公告编号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2018-045</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4"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.com.cn</w:t>
            </w:r>
            <w:r>
              <w:rPr>
                <w:rFonts w:ascii="宋体" w:hAnsi="宋体" w:cs="宋体" w:eastAsia="宋体" w:hint="default"/>
                <w:spacing w:val="-10"/>
                <w:sz w:val="18"/>
                <w:szCs w:val="18"/>
              </w:rPr>
              <w:t>），公告编号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2018-094</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20" w:bottom="1160" w:left="980" w:right="0"/>
        </w:sectPr>
      </w:pPr>
    </w:p>
    <w:p>
      <w:pPr>
        <w:pStyle w:val="Heading2"/>
        <w:spacing w:line="407" w:lineRule="exact"/>
        <w:ind w:right="0"/>
        <w:jc w:val="left"/>
        <w:rPr>
          <w:b w:val="0"/>
          <w:bCs w:val="0"/>
        </w:rPr>
      </w:pPr>
      <w:r>
        <w:rPr/>
        <w:t>五、报告期内独立董事履行职责的情况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吴硕贤</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林晓春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连续两次未亲自出席董事会的说明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独立董事对公司有关事项是否提出异议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独立董事提出异议的事项</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异议的内容</w:t>
            </w:r>
          </w:p>
        </w:tc>
      </w:tr>
      <w:tr>
        <w:trPr>
          <w:trHeight w:val="258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第二届董事会第十二次临时会议相关议 </w:t>
            </w:r>
            <w:r>
              <w:rPr>
                <w:rFonts w:ascii="宋体" w:hAnsi="宋体" w:cs="宋体" w:eastAsia="宋体" w:hint="default"/>
                <w:spacing w:val="-14"/>
                <w:sz w:val="18"/>
                <w:szCs w:val="18"/>
              </w:rPr>
              <w:t>案：《叶青女士</w:t>
            </w:r>
            <w:r>
              <w:rPr>
                <w:rFonts w:ascii="宋体" w:hAnsi="宋体" w:cs="宋体" w:eastAsia="宋体" w:hint="default"/>
                <w:sz w:val="18"/>
                <w:szCs w:val="18"/>
              </w:rPr>
              <w:t> </w:t>
            </w: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年薪酬与考核方</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108"/>
                <w:sz w:val="18"/>
                <w:szCs w:val="18"/>
              </w:rPr>
              <w:t>》</w:t>
            </w:r>
            <w:r>
              <w:rPr>
                <w:rFonts w:ascii="宋体" w:hAnsi="宋体" w:cs="宋体" w:eastAsia="宋体" w:hint="default"/>
                <w:sz w:val="18"/>
                <w:szCs w:val="18"/>
              </w:rPr>
              <w:t>《陈泽广先生</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年薪</w:t>
            </w:r>
            <w:r>
              <w:rPr>
                <w:rFonts w:ascii="宋体" w:hAnsi="宋体" w:cs="宋体" w:eastAsia="宋体" w:hint="default"/>
                <w:spacing w:val="-3"/>
                <w:sz w:val="18"/>
                <w:szCs w:val="18"/>
              </w:rPr>
              <w:t>酬</w:t>
            </w:r>
            <w:r>
              <w:rPr>
                <w:rFonts w:ascii="宋体" w:hAnsi="宋体" w:cs="宋体" w:eastAsia="宋体" w:hint="default"/>
                <w:sz w:val="18"/>
                <w:szCs w:val="18"/>
              </w:rPr>
              <w:t>与考核方</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108"/>
                <w:sz w:val="18"/>
                <w:szCs w:val="18"/>
              </w:rPr>
              <w:t>》</w:t>
            </w:r>
            <w:r>
              <w:rPr>
                <w:rFonts w:ascii="宋体" w:hAnsi="宋体" w:cs="宋体" w:eastAsia="宋体" w:hint="default"/>
                <w:sz w:val="18"/>
                <w:szCs w:val="18"/>
              </w:rPr>
              <w:t>《莫福光先生</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年薪</w:t>
            </w:r>
            <w:r>
              <w:rPr>
                <w:rFonts w:ascii="宋体" w:hAnsi="宋体" w:cs="宋体" w:eastAsia="宋体" w:hint="default"/>
                <w:spacing w:val="-3"/>
                <w:sz w:val="18"/>
                <w:szCs w:val="18"/>
              </w:rPr>
              <w:t>酬</w:t>
            </w:r>
            <w:r>
              <w:rPr>
                <w:rFonts w:ascii="宋体" w:hAnsi="宋体" w:cs="宋体" w:eastAsia="宋体" w:hint="default"/>
                <w:sz w:val="18"/>
                <w:szCs w:val="18"/>
              </w:rPr>
              <w:t>与考核方</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《刘丽女士</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年薪酬</w:t>
            </w:r>
            <w:r>
              <w:rPr>
                <w:rFonts w:ascii="宋体" w:hAnsi="宋体" w:cs="宋体" w:eastAsia="宋体" w:hint="default"/>
                <w:spacing w:val="-3"/>
                <w:sz w:val="18"/>
                <w:szCs w:val="18"/>
              </w:rPr>
              <w:t>与</w:t>
            </w:r>
            <w:r>
              <w:rPr>
                <w:rFonts w:ascii="宋体" w:hAnsi="宋体" w:cs="宋体" w:eastAsia="宋体" w:hint="default"/>
                <w:sz w:val="18"/>
                <w:szCs w:val="18"/>
              </w:rPr>
              <w:t>考核方</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108"/>
                <w:sz w:val="18"/>
                <w:szCs w:val="18"/>
              </w:rPr>
              <w:t>》</w:t>
            </w:r>
            <w:r>
              <w:rPr>
                <w:rFonts w:ascii="宋体" w:hAnsi="宋体" w:cs="宋体" w:eastAsia="宋体" w:hint="default"/>
                <w:sz w:val="18"/>
                <w:szCs w:val="18"/>
              </w:rPr>
              <w:t>《刘俊跃先生</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年薪</w:t>
            </w:r>
            <w:r>
              <w:rPr>
                <w:rFonts w:ascii="宋体" w:hAnsi="宋体" w:cs="宋体" w:eastAsia="宋体" w:hint="default"/>
                <w:spacing w:val="-3"/>
                <w:sz w:val="18"/>
                <w:szCs w:val="18"/>
              </w:rPr>
              <w:t>酬</w:t>
            </w:r>
            <w:r>
              <w:rPr>
                <w:rFonts w:ascii="宋体" w:hAnsi="宋体" w:cs="宋体" w:eastAsia="宋体" w:hint="default"/>
                <w:sz w:val="18"/>
                <w:szCs w:val="18"/>
              </w:rPr>
              <w:t>与考核方</w:t>
            </w:r>
          </w:p>
          <w:p>
            <w:pPr>
              <w:pStyle w:val="TableParagraph"/>
              <w:spacing w:line="300"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案》《毛洪伟先生</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年薪酬与考核方</w:t>
            </w:r>
            <w:r>
              <w:rPr>
                <w:rFonts w:ascii="宋体" w:hAnsi="宋体" w:cs="宋体" w:eastAsia="宋体" w:hint="default"/>
                <w:sz w:val="18"/>
                <w:szCs w:val="18"/>
              </w:rPr>
              <w:t> 案》</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均投弃权票</w:t>
            </w:r>
          </w:p>
        </w:tc>
      </w:tr>
      <w:tr>
        <w:trPr>
          <w:trHeight w:val="165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独立董事对公司有关事项提出异议的说 明</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独立董事郑学定认</w:t>
            </w:r>
            <w:r>
              <w:rPr>
                <w:rFonts w:ascii="宋体" w:hAnsi="宋体" w:cs="宋体" w:eastAsia="宋体" w:hint="default"/>
                <w:spacing w:val="-34"/>
                <w:sz w:val="18"/>
                <w:szCs w:val="18"/>
              </w:rPr>
              <w:t>为</w:t>
            </w:r>
            <w:r>
              <w:rPr>
                <w:rFonts w:ascii="宋体" w:hAnsi="宋体" w:cs="宋体" w:eastAsia="宋体" w:hint="default"/>
                <w:sz w:val="18"/>
                <w:szCs w:val="18"/>
              </w:rPr>
              <w:t>《叶青女士</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  </w:t>
            </w:r>
            <w:r>
              <w:rPr>
                <w:rFonts w:ascii="宋体" w:hAnsi="宋体" w:cs="宋体" w:eastAsia="宋体" w:hint="default"/>
                <w:sz w:val="18"/>
                <w:szCs w:val="18"/>
              </w:rPr>
              <w:t>年薪酬与考核方案</w:t>
            </w:r>
            <w:r>
              <w:rPr>
                <w:rFonts w:ascii="宋体" w:hAnsi="宋体" w:cs="宋体" w:eastAsia="宋体" w:hint="default"/>
                <w:spacing w:val="-125"/>
                <w:sz w:val="18"/>
                <w:szCs w:val="18"/>
              </w:rPr>
              <w:t>》</w:t>
            </w:r>
            <w:r>
              <w:rPr>
                <w:rFonts w:ascii="宋体" w:hAnsi="宋体" w:cs="宋体" w:eastAsia="宋体" w:hint="default"/>
                <w:sz w:val="18"/>
                <w:szCs w:val="18"/>
              </w:rPr>
              <w:t>《陈泽广先生</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  </w:t>
            </w:r>
            <w:r>
              <w:rPr>
                <w:rFonts w:ascii="宋体" w:hAnsi="宋体" w:cs="宋体" w:eastAsia="宋体" w:hint="default"/>
                <w:sz w:val="18"/>
                <w:szCs w:val="18"/>
              </w:rPr>
              <w:t>年</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薪酬与考核方案</w:t>
            </w:r>
            <w:r>
              <w:rPr>
                <w:rFonts w:ascii="宋体" w:hAnsi="宋体" w:cs="宋体" w:eastAsia="宋体" w:hint="default"/>
                <w:spacing w:val="-92"/>
                <w:sz w:val="18"/>
                <w:szCs w:val="18"/>
              </w:rPr>
              <w:t>》</w:t>
            </w:r>
            <w:r>
              <w:rPr>
                <w:rFonts w:ascii="宋体" w:hAnsi="宋体" w:cs="宋体" w:eastAsia="宋体" w:hint="default"/>
                <w:sz w:val="18"/>
                <w:szCs w:val="18"/>
              </w:rPr>
              <w:t>《莫福光先生</w:t>
            </w:r>
            <w:r>
              <w:rPr>
                <w:rFonts w:ascii="宋体" w:hAnsi="宋体" w:cs="宋体" w:eastAsia="宋体" w:hint="default"/>
                <w:spacing w:val="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  </w:t>
            </w:r>
            <w:r>
              <w:rPr>
                <w:rFonts w:ascii="宋体" w:hAnsi="宋体" w:cs="宋体" w:eastAsia="宋体" w:hint="default"/>
                <w:sz w:val="18"/>
                <w:szCs w:val="18"/>
              </w:rPr>
              <w:t>年薪酬与考核方案</w:t>
            </w:r>
            <w:r>
              <w:rPr>
                <w:rFonts w:ascii="宋体" w:hAnsi="宋体" w:cs="宋体" w:eastAsia="宋体" w:hint="default"/>
                <w:spacing w:val="-92"/>
                <w:sz w:val="18"/>
                <w:szCs w:val="18"/>
              </w:rPr>
              <w:t>》</w:t>
            </w:r>
            <w:r>
              <w:rPr>
                <w:rFonts w:ascii="宋体" w:hAnsi="宋体" w:cs="宋体" w:eastAsia="宋体" w:hint="default"/>
                <w:sz w:val="18"/>
                <w:szCs w:val="18"/>
              </w:rPr>
              <w:t>《刘丽女士</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  </w:t>
            </w:r>
            <w:r>
              <w:rPr>
                <w:rFonts w:ascii="宋体" w:hAnsi="宋体" w:cs="宋体" w:eastAsia="宋体" w:hint="default"/>
                <w:sz w:val="18"/>
                <w:szCs w:val="18"/>
              </w:rPr>
              <w:t>年薪</w:t>
            </w:r>
          </w:p>
          <w:p>
            <w:pPr>
              <w:pStyle w:val="TableParagraph"/>
              <w:spacing w:line="309" w:lineRule="auto" w:before="63"/>
              <w:ind w:left="23" w:right="38"/>
              <w:jc w:val="both"/>
              <w:rPr>
                <w:rFonts w:ascii="宋体" w:hAnsi="宋体" w:cs="宋体" w:eastAsia="宋体" w:hint="default"/>
                <w:sz w:val="18"/>
                <w:szCs w:val="18"/>
              </w:rPr>
            </w:pPr>
            <w:r>
              <w:rPr>
                <w:rFonts w:ascii="宋体" w:hAnsi="宋体" w:cs="宋体" w:eastAsia="宋体" w:hint="default"/>
                <w:spacing w:val="-8"/>
                <w:sz w:val="18"/>
                <w:szCs w:val="18"/>
              </w:rPr>
              <w:t>酬与考核方案》《刘俊跃先生</w:t>
            </w:r>
            <w:r>
              <w:rPr>
                <w:rFonts w:ascii="宋体" w:hAnsi="宋体" w:cs="宋体" w:eastAsia="宋体" w:hint="default"/>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7"/>
                <w:sz w:val="18"/>
                <w:szCs w:val="18"/>
              </w:rPr>
              <w:t>年薪酬与考核方案》《毛洪伟先生</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年薪 酬与考核方案》薪酬总额与同类上市公司相比偏低，无法起到对董事及高级管理 人员的激励作用，对公司的发展不利。</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39"/>
        <w:ind w:right="0"/>
        <w:jc w:val="left"/>
      </w:pPr>
      <w:r>
        <w:rPr>
          <w:spacing w:val="-4"/>
        </w:rPr>
        <w:t>报告期内，独立董事勤勉尽责，严格按照中国证监会的相关规定及《公司章程》《董事会议事规则》和《独立董事工作制度》</w:t>
      </w:r>
      <w:r>
        <w:rPr>
          <w:spacing w:val="-42"/>
        </w:rPr>
        <w:t> </w:t>
      </w:r>
      <w:r>
        <w:rPr>
          <w:spacing w:val="-42"/>
        </w:rPr>
      </w:r>
      <w:r>
        <w:rPr>
          <w:spacing w:val="-2"/>
        </w:rPr>
        <w:t>等法律法规的规定，关注公司运作的规范性，独立履行职责，对公司的制度完善和日常经营决策等方面提出了许多宝贵的专</w:t>
      </w:r>
      <w:r>
        <w:rPr>
          <w:spacing w:val="-63"/>
        </w:rPr>
        <w:t> </w:t>
      </w:r>
      <w:r>
        <w:rPr>
          <w:spacing w:val="-63"/>
        </w:rPr>
      </w:r>
      <w:r>
        <w:rPr/>
        <w:t>业性意见，为完善公司监督制度、维护公司和全体股东的合法权益发挥了应有的作用。</w:t>
      </w:r>
    </w:p>
    <w:p>
      <w:pPr>
        <w:spacing w:after="0" w:line="316" w:lineRule="auto"/>
        <w:jc w:val="left"/>
        <w:sectPr>
          <w:pgSz w:w="11910" w:h="16840"/>
          <w:pgMar w:header="852" w:footer="980" w:top="1320" w:bottom="1160" w:left="980" w:right="0"/>
        </w:sectPr>
      </w:pPr>
    </w:p>
    <w:p>
      <w:pPr>
        <w:pStyle w:val="Heading2"/>
        <w:spacing w:line="407" w:lineRule="exact"/>
        <w:ind w:right="0"/>
        <w:jc w:val="left"/>
        <w:rPr>
          <w:b w:val="0"/>
          <w:bCs w:val="0"/>
        </w:rPr>
      </w:pPr>
      <w:r>
        <w:rPr/>
        <w:t>六、董事会下设专门委员会在报告期内履行职责情况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4" w:lineRule="auto"/>
        <w:ind w:right="0"/>
        <w:jc w:val="left"/>
      </w:pPr>
      <w:r>
        <w:rPr>
          <w:spacing w:val="-2"/>
        </w:rPr>
        <w:t>公司董事会下设战略委员会、提名委员会、审计委员会和薪酬与考核委员会共四个专门委员会。在报告期内，公司各专门委</w:t>
      </w:r>
      <w:r>
        <w:rPr>
          <w:spacing w:val="-62"/>
        </w:rPr>
        <w:t> </w:t>
      </w:r>
      <w:r>
        <w:rPr>
          <w:spacing w:val="-62"/>
        </w:rPr>
      </w:r>
      <w:r>
        <w:rPr>
          <w:spacing w:val="-2"/>
        </w:rPr>
        <w:t>员会根据相关规章制度，在工作中尽职尽责，严格按照《公司章程》和各专门委员会议事规则的有关规定开展工作，切实履</w:t>
      </w:r>
      <w:r>
        <w:rPr>
          <w:spacing w:val="-67"/>
        </w:rPr>
        <w:t> </w:t>
      </w:r>
      <w:r>
        <w:rPr>
          <w:spacing w:val="-67"/>
        </w:rPr>
      </w:r>
      <w:r>
        <w:rPr/>
        <w:t>行了其职责和义务。 </w:t>
      </w:r>
      <w:r>
        <w:rPr>
          <w:spacing w:val="-2"/>
        </w:rPr>
        <w:t>董事会下设战略委员会、薪酬与考核委员会、审计委员会、提名委员会。审计委员会是公司内部控制监督机构，审计委员会</w:t>
      </w:r>
      <w:r>
        <w:rPr>
          <w:spacing w:val="-67"/>
        </w:rPr>
        <w:t> </w:t>
      </w:r>
      <w:r>
        <w:rPr>
          <w:spacing w:val="-67"/>
        </w:rPr>
      </w:r>
      <w:r>
        <w:rPr>
          <w:spacing w:val="-2"/>
        </w:rPr>
        <w:t>由三名董事组成，其中独立董事占多数，独立董事中至少有一名是会计专业人士。审计委员会负责审查并监督公司的内部控</w:t>
      </w:r>
      <w:r>
        <w:rPr>
          <w:spacing w:val="-63"/>
        </w:rPr>
        <w:t> </w:t>
      </w:r>
      <w:r>
        <w:rPr>
          <w:spacing w:val="-63"/>
        </w:rPr>
      </w:r>
      <w:r>
        <w:rPr>
          <w:spacing w:val="-2"/>
        </w:rPr>
        <w:t>制制度和风险管理体系的有效运行，监督内部审计制度及其实施，审核公司财务信息及其披露以及其他相关事宜。</w:t>
      </w:r>
      <w:r>
        <w:rPr>
          <w:rFonts w:ascii="Times New Roman" w:hAnsi="Times New Roman" w:cs="Times New Roman" w:eastAsia="Times New Roman" w:hint="default"/>
          <w:spacing w:val="-2"/>
        </w:rPr>
        <w:t>2018</w:t>
      </w:r>
      <w:r>
        <w:rPr>
          <w:spacing w:val="-2"/>
        </w:rPr>
        <w:t>年度</w:t>
      </w:r>
      <w:r>
        <w:rPr>
          <w:spacing w:val="-58"/>
        </w:rPr>
        <w:t> </w:t>
      </w:r>
      <w:r>
        <w:rPr/>
        <w:t>召开董事会会议</w:t>
      </w:r>
      <w:r>
        <w:rPr>
          <w:rFonts w:ascii="Times New Roman" w:hAnsi="Times New Roman" w:cs="Times New Roman" w:eastAsia="Times New Roman" w:hint="default"/>
        </w:rPr>
        <w:t>9</w:t>
      </w:r>
      <w:r>
        <w:rPr/>
        <w:t>次，审议议题共计</w:t>
      </w:r>
      <w:r>
        <w:rPr>
          <w:rFonts w:ascii="Times New Roman" w:hAnsi="Times New Roman" w:cs="Times New Roman" w:eastAsia="Times New Roman" w:hint="default"/>
        </w:rPr>
        <w:t>42</w:t>
      </w:r>
      <w:r>
        <w:rPr/>
        <w:t>项。</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七、监事会工作情况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240" w:lineRule="auto"/>
        <w:ind w:right="0"/>
        <w:jc w:val="left"/>
      </w:pPr>
      <w:r>
        <w:rPr/>
        <w:t>监事会在报告期内的监督活动中发现公司是否存在风险</w:t>
      </w:r>
    </w:p>
    <w:p>
      <w:pPr>
        <w:pStyle w:val="BodyText"/>
        <w:spacing w:line="338"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4" w:lineRule="auto"/>
        <w:ind w:right="1132"/>
        <w:jc w:val="both"/>
      </w:pPr>
      <w:r>
        <w:rPr>
          <w:spacing w:val="-2"/>
        </w:rPr>
        <w:t>为进一步完善公司激励与约束机制，促进公司战略规划的实施，公司建立了高级管理人员的薪酬与公司业绩挂钩的绩效考核</w:t>
      </w:r>
      <w:r>
        <w:rPr>
          <w:spacing w:val="-64"/>
        </w:rPr>
        <w:t> </w:t>
      </w:r>
      <w:r>
        <w:rPr>
          <w:spacing w:val="-64"/>
        </w:rPr>
      </w:r>
      <w:r>
        <w:rPr>
          <w:spacing w:val="-2"/>
        </w:rPr>
        <w:t>与激励约束机制。公司董事会薪酬与考核委员会负责拟订公司内部董事及高级管理人员薪酬与考核方案，并报董事会审批后</w:t>
      </w:r>
      <w:r>
        <w:rPr>
          <w:spacing w:val="-64"/>
        </w:rPr>
        <w:t> </w:t>
      </w:r>
      <w:r>
        <w:rPr>
          <w:spacing w:val="-64"/>
        </w:rPr>
      </w:r>
      <w:r>
        <w:rPr>
          <w:spacing w:val="-2"/>
        </w:rPr>
        <w:t>实施。董事会依据会计师审计报告和董事会审计委员会审计情况对内部董事及高级管理人员进行年度经营业绩考核，并监督</w:t>
      </w:r>
      <w:r>
        <w:rPr>
          <w:spacing w:val="-64"/>
        </w:rPr>
        <w:t> </w:t>
      </w:r>
      <w:r>
        <w:rPr>
          <w:spacing w:val="-64"/>
        </w:rPr>
      </w:r>
      <w:r>
        <w:rPr>
          <w:spacing w:val="-2"/>
        </w:rPr>
        <w:t>薪酬制度执行情况。</w:t>
      </w:r>
      <w:r>
        <w:rPr>
          <w:rFonts w:ascii="Times New Roman" w:hAnsi="Times New Roman" w:cs="Times New Roman" w:eastAsia="Times New Roman" w:hint="default"/>
          <w:spacing w:val="-2"/>
        </w:rPr>
        <w:t>2018</w:t>
      </w:r>
      <w:r>
        <w:rPr>
          <w:spacing w:val="-2"/>
        </w:rPr>
        <w:t>年度公司制定了相关的薪酬与考核方案，公司高级管理人员实行基本年薪和绩效年薪相结合的薪酬</w:t>
      </w:r>
      <w:r>
        <w:rPr>
          <w:spacing w:val="-62"/>
        </w:rPr>
        <w:t> </w:t>
      </w:r>
      <w:r>
        <w:rPr>
          <w:spacing w:val="-62"/>
        </w:rPr>
      </w:r>
      <w:r>
        <w:rPr/>
        <w:t>制度，绩效年薪根据年度经营业绩考核结果发放。</w:t>
      </w:r>
    </w:p>
    <w:p>
      <w:pPr>
        <w:spacing w:line="240" w:lineRule="auto" w:before="2"/>
        <w:rPr>
          <w:rFonts w:ascii="宋体" w:hAnsi="宋体" w:cs="宋体" w:eastAsia="宋体" w:hint="default"/>
          <w:sz w:val="15"/>
          <w:szCs w:val="15"/>
        </w:rPr>
      </w:pPr>
    </w:p>
    <w:p>
      <w:pPr>
        <w:pStyle w:val="Heading2"/>
        <w:spacing w:line="240" w:lineRule="auto"/>
        <w:ind w:right="0"/>
        <w:jc w:val="left"/>
        <w:rPr>
          <w:b w:val="0"/>
          <w:bCs w:val="0"/>
        </w:rPr>
      </w:pPr>
      <w:r>
        <w:rPr/>
        <w:t>九、内部控制评价报告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4">
              <w:r>
                <w:rPr>
                  <w:rFonts w:ascii="Times New Roman" w:hAnsi="Times New Roman" w:cs="Times New Roman" w:eastAsia="Times New Roman" w:hint="default"/>
                  <w:sz w:val="18"/>
                  <w:szCs w:val="18"/>
                </w:rPr>
                <w:t>http://www.cninfo.com.cn</w:t>
              </w:r>
            </w:hyperlink>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
              <w:jc w:val="center"/>
              <w:rPr>
                <w:rFonts w:ascii="宋体" w:hAnsi="宋体" w:cs="宋体" w:eastAsia="宋体" w:hint="default"/>
                <w:sz w:val="18"/>
                <w:szCs w:val="18"/>
              </w:rPr>
            </w:pPr>
            <w:r>
              <w:rPr>
                <w:rFonts w:ascii="宋体" w:hAnsi="宋体" w:cs="宋体" w:eastAsia="宋体" w:hint="default"/>
                <w:sz w:val="18"/>
                <w:szCs w:val="18"/>
              </w:rPr>
              <w:t>财务报告缺陷认定主要以缺陷造成财务报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9"/>
              <w:jc w:val="center"/>
              <w:rPr>
                <w:rFonts w:ascii="宋体" w:hAnsi="宋体" w:cs="宋体" w:eastAsia="宋体" w:hint="default"/>
                <w:sz w:val="18"/>
                <w:szCs w:val="18"/>
              </w:rPr>
            </w:pPr>
            <w:r>
              <w:rPr>
                <w:rFonts w:ascii="宋体" w:hAnsi="宋体" w:cs="宋体" w:eastAsia="宋体" w:hint="default"/>
                <w:sz w:val="18"/>
                <w:szCs w:val="18"/>
              </w:rPr>
              <w:t>非财务报告缺陷认定主要以缺陷对业</w:t>
            </w:r>
          </w:p>
        </w:tc>
      </w:tr>
    </w:tbl>
    <w:p>
      <w:pPr>
        <w:spacing w:after="0" w:line="240" w:lineRule="auto"/>
        <w:jc w:val="center"/>
        <w:rPr>
          <w:rFonts w:ascii="宋体" w:hAnsi="宋体" w:cs="宋体" w:eastAsia="宋体" w:hint="default"/>
          <w:sz w:val="18"/>
          <w:szCs w:val="18"/>
        </w:rPr>
        <w:sectPr>
          <w:pgSz w:w="11910" w:h="16840"/>
          <w:pgMar w:header="852" w:footer="980" w:top="1320" w:bottom="1160" w:left="980" w:right="0"/>
        </w:sectPr>
      </w:pPr>
    </w:p>
    <w:p>
      <w:pPr>
        <w:spacing w:line="240" w:lineRule="auto" w:before="0"/>
        <w:rPr>
          <w:rFonts w:ascii="Microsoft JhengHei" w:hAnsi="Microsoft JhengHei" w:cs="Microsoft JhengHei" w:eastAsia="Microsoft JhengHei" w:hint="default"/>
          <w:b/>
          <w:bCs/>
          <w:sz w:val="20"/>
          <w:szCs w:val="20"/>
        </w:rPr>
      </w:pPr>
      <w:r>
        <w:rPr/>
        <w:pict>
          <v:shape style="position:absolute;margin-left:295.72699pt;margin-top:72.47998pt;width:239.25pt;height:142.5pt;mso-position-horizontal-relative:page;mso-position-vertical-relative:page;z-index:-1021384" type="#_x0000_t202" filled="false" stroked="false">
            <v:textbox inset="0,0,0,0">
              <w:txbxContent>
                <w:p>
                  <w:pPr>
                    <w:pStyle w:val="BodyText"/>
                    <w:spacing w:line="240" w:lineRule="auto" w:before="10"/>
                    <w:ind w:left="360" w:right="0" w:hanging="361"/>
                    <w:jc w:val="left"/>
                  </w:pPr>
                  <w:r>
                    <w:rPr/>
                    <w:t>发生的可能性作判定。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left="360" w:right="0"/>
                    <w:jc w:val="left"/>
                  </w:pPr>
                  <w:r>
                    <w:rPr/>
                    <w:t>是指除重大缺陷、</w:t>
                  </w:r>
                </w:p>
              </w:txbxContent>
            </v:textbox>
            <w10:wrap type="none"/>
          </v:shape>
        </w:pict>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0"/>
          <w:szCs w:val="10"/>
        </w:rPr>
      </w:pPr>
    </w:p>
    <w:p>
      <w:pPr>
        <w:spacing w:line="1560" w:lineRule="exact"/>
        <w:ind w:left="6677"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30"/>
          <w:sz w:val="20"/>
          <w:szCs w:val="20"/>
        </w:rPr>
        <w:pict>
          <v:group style="width:152.1pt;height:78.05pt;mso-position-horizontal-relative:char;mso-position-vertical-relative:line" coordorigin="0,0" coordsize="3042,1561">
            <v:group style="position:absolute;left:0;top:0;width:3042;height:1561" coordorigin="0,0" coordsize="3042,1561">
              <v:shape style="position:absolute;left:0;top:0;width:3042;height:1561" coordorigin="0,0" coordsize="3042,1561" path="m0,1561l3041,1561,3041,0,0,0,0,1561xe" filled="true" fillcolor="#ffffff" stroked="false">
                <v:path arrowok="t"/>
                <v:fill type="solid"/>
              </v:shape>
            </v:group>
          </v:group>
        </w:pict>
      </w:r>
      <w:r>
        <w:rPr>
          <w:rFonts w:ascii="Microsoft JhengHei" w:hAnsi="Microsoft JhengHei" w:cs="Microsoft JhengHei" w:eastAsia="Microsoft JhengHei" w:hint="default"/>
          <w:position w:val="-30"/>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2"/>
          <w:szCs w:val="12"/>
        </w:rPr>
      </w:pPr>
    </w:p>
    <w:p>
      <w:pPr>
        <w:pStyle w:val="BodyText"/>
        <w:spacing w:line="240" w:lineRule="auto" w:before="44"/>
        <w:ind w:left="0" w:right="1136"/>
        <w:jc w:val="right"/>
      </w:pPr>
      <w:r>
        <w:rPr/>
        <w:pict>
          <v:shape style="position:absolute;margin-left:295.735992pt;margin-top:-140.798294pt;width:239.2pt;height:253.65pt;mso-position-horizontal-relative:page;mso-position-vertical-relative:paragraph;z-index:-102136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重要程度的定量标准。</w:t>
                  </w:r>
                </w:p>
              </w:txbxContent>
            </v:textbox>
            <w10:wrap type="none"/>
          </v:shape>
        </w:pict>
      </w:r>
      <w:r>
        <w:rPr/>
        <w:pict>
          <v:shape style="position:absolute;margin-left:56.459999pt;margin-top:-284.218292pt;width:479.95pt;height:477.9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28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10"/>
                          <w:ind w:left="24" w:right="39"/>
                          <w:jc w:val="left"/>
                          <w:rPr>
                            <w:rFonts w:ascii="宋体" w:hAnsi="宋体" w:cs="宋体" w:eastAsia="宋体" w:hint="default"/>
                            <w:sz w:val="18"/>
                            <w:szCs w:val="18"/>
                          </w:rPr>
                        </w:pPr>
                        <w:r>
                          <w:rPr>
                            <w:rFonts w:ascii="宋体" w:hAnsi="宋体" w:cs="宋体" w:eastAsia="宋体" w:hint="default"/>
                            <w:sz w:val="18"/>
                            <w:szCs w:val="18"/>
                          </w:rPr>
                          <w:t>告错报的影响程度、 重大缺陷：内部控制中存在的、可能导致 不能及时防止或发现并纠正财务报表重大 错报的一个或多个内部控制缺陷的组合； 重要缺陷：内部控制中存在的、其严重程 度不如重大缺陷，但仍足以引起企业财务 报告监督人员关注的一个或多个内部控制 </w:t>
                        </w:r>
                        <w:r>
                          <w:rPr>
                            <w:rFonts w:ascii="宋体" w:hAnsi="宋体" w:cs="宋体" w:eastAsia="宋体" w:hint="default"/>
                            <w:spacing w:val="-3"/>
                            <w:sz w:val="18"/>
                            <w:szCs w:val="18"/>
                          </w:rPr>
                          <w:t>缺陷的组合；一般缺陷：</w:t>
                        </w:r>
                        <w:r>
                          <w:rPr>
                            <w:rFonts w:ascii="宋体" w:hAnsi="宋体" w:cs="宋体" w:eastAsia="宋体" w:hint="default"/>
                            <w:sz w:val="18"/>
                            <w:szCs w:val="18"/>
                          </w:rPr>
                          <w:t> 重要缺陷之外的其他缺陷。</w:t>
                        </w:r>
                      </w:p>
                    </w:tc>
                    <w:tc>
                      <w:tcPr>
                        <w:tcW w:w="3053" w:type="dxa"/>
                        <w:tcBorders>
                          <w:top w:val="single" w:sz="4" w:space="0" w:color="000000"/>
                          <w:left w:val="single" w:sz="10" w:space="0" w:color="FFFFFF"/>
                          <w:bottom w:val="single" w:sz="4" w:space="0" w:color="000000"/>
                          <w:right w:val="single" w:sz="10" w:space="0" w:color="FFFFFF"/>
                        </w:tcBorders>
                      </w:tcPr>
                      <w:p>
                        <w:pPr>
                          <w:pStyle w:val="TableParagraph"/>
                          <w:spacing w:line="316" w:lineRule="auto" w:before="10"/>
                          <w:ind w:left="19" w:right="14"/>
                          <w:jc w:val="left"/>
                          <w:rPr>
                            <w:rFonts w:ascii="宋体" w:hAnsi="宋体" w:cs="宋体" w:eastAsia="宋体" w:hint="default"/>
                            <w:sz w:val="18"/>
                            <w:szCs w:val="18"/>
                          </w:rPr>
                        </w:pP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性作判定。重大缺陷：是指一个或多个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内部控制缺陷的组合，可能导致公司严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重偏离整体控制目标的情形；重要缺 </w:t>
                        </w:r>
                        <w:r>
                          <w:rPr>
                            <w:rFonts w:ascii="宋体" w:hAnsi="宋体" w:cs="宋体" w:eastAsia="宋体" w:hint="default"/>
                            <w:spacing w:val="-4"/>
                            <w:sz w:val="18"/>
                            <w:szCs w:val="18"/>
                          </w:rPr>
                          <w:t>陷：是指一个或多个内部控制缺陷的组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合，其严重程度和经济后果低于重大缺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陷，但仍有可能导致公司偏离控制目 </w:t>
                        </w:r>
                        <w:r>
                          <w:rPr>
                            <w:rFonts w:ascii="宋体" w:hAnsi="宋体" w:cs="宋体" w:eastAsia="宋体" w:hint="default"/>
                            <w:spacing w:val="-4"/>
                            <w:sz w:val="18"/>
                            <w:szCs w:val="18"/>
                          </w:rPr>
                          <w:t>标；一般缺陷：是指除重大缺陷、重要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缺陷之外的其他缺陷。</w:t>
                        </w:r>
                      </w:p>
                    </w:tc>
                  </w:tr>
                  <w:tr>
                    <w:trPr>
                      <w:trHeight w:val="508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以合并报表数据为基准，确定公司合并报 </w:t>
                        </w:r>
                        <w:r>
                          <w:rPr>
                            <w:rFonts w:ascii="宋体" w:hAnsi="宋体" w:cs="宋体" w:eastAsia="宋体" w:hint="default"/>
                            <w:spacing w:val="-4"/>
                            <w:sz w:val="18"/>
                            <w:szCs w:val="18"/>
                          </w:rPr>
                          <w:t>表错报（包括漏报）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重大缺陷：资产总额潜在错漏大于资产总 额的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或</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800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万元（含）；收入潜在错漏</w:t>
                        </w:r>
                        <w:r>
                          <w:rPr>
                            <w:rFonts w:ascii="宋体" w:hAnsi="宋体" w:cs="宋体" w:eastAsia="宋体" w:hint="default"/>
                            <w:sz w:val="18"/>
                            <w:szCs w:val="18"/>
                          </w:rPr>
                          <w:t> 大于收入总额的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或</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600</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万元（含）；利</w:t>
                        </w:r>
                        <w:r>
                          <w:rPr>
                            <w:rFonts w:ascii="宋体" w:hAnsi="宋体" w:cs="宋体" w:eastAsia="宋体" w:hint="default"/>
                            <w:sz w:val="18"/>
                            <w:szCs w:val="18"/>
                          </w:rPr>
                          <w:t> 润总额潜在错漏大于利润总额的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9"/>
                            <w:sz w:val="18"/>
                            <w:szCs w:val="18"/>
                          </w:rPr>
                          <w:t>万元（含）。重要缺陷：资产总额潜在错漏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大于资产总额的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万元（含）且小</w:t>
                        </w:r>
                        <w:r>
                          <w:rPr>
                            <w:rFonts w:ascii="宋体" w:hAnsi="宋体" w:cs="宋体" w:eastAsia="宋体" w:hint="default"/>
                            <w:sz w:val="18"/>
                            <w:szCs w:val="18"/>
                          </w:rPr>
                          <w:t> 于</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或</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800</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万元；收入潜在错漏大于收入</w:t>
                        </w:r>
                        <w:r>
                          <w:rPr>
                            <w:rFonts w:ascii="宋体" w:hAnsi="宋体" w:cs="宋体" w:eastAsia="宋体" w:hint="default"/>
                            <w:sz w:val="18"/>
                            <w:szCs w:val="18"/>
                          </w:rPr>
                          <w:t>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pacing w:val="-18"/>
                            <w:sz w:val="18"/>
                            <w:szCs w:val="18"/>
                          </w:rPr>
                          <w:t>万元（含）且小于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万元；利润总额潜在错漏大于利润总额的 </w:t>
                        </w:r>
                        <w:r>
                          <w:rPr>
                            <w:rFonts w:ascii="Times New Roman" w:hAnsi="Times New Roman" w:cs="Times New Roman" w:eastAsia="Times New Roman" w:hint="default"/>
                            <w:sz w:val="18"/>
                            <w:szCs w:val="18"/>
                          </w:rPr>
                          <w:t>1.5%</w:t>
                        </w:r>
                        <w:r>
                          <w:rPr>
                            <w:rFonts w:ascii="宋体" w:hAnsi="宋体" w:cs="宋体" w:eastAsia="宋体" w:hint="default"/>
                            <w:sz w:val="18"/>
                            <w:szCs w:val="18"/>
                          </w:rPr>
                          <w:t>或</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万元（含）且小于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元。一般缺陷：资产总额潜在错漏小于资 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或</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400</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万元；收入潜在错漏小</w:t>
                        </w:r>
                        <w:r>
                          <w:rPr>
                            <w:rFonts w:ascii="宋体" w:hAnsi="宋体" w:cs="宋体" w:eastAsia="宋体" w:hint="default"/>
                            <w:sz w:val="18"/>
                            <w:szCs w:val="18"/>
                          </w:rPr>
                          <w:t> 于收入总额</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或</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300</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万元；利润总额潜在</w:t>
                        </w:r>
                        <w:r>
                          <w:rPr>
                            <w:rFonts w:ascii="宋体" w:hAnsi="宋体" w:cs="宋体" w:eastAsia="宋体" w:hint="default"/>
                            <w:sz w:val="18"/>
                            <w:szCs w:val="18"/>
                          </w:rPr>
                          <w:t> 错漏小于利润总额的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以给公司造成的直接损失金额及重大 </w:t>
                        </w:r>
                        <w:r>
                          <w:rPr>
                            <w:rFonts w:ascii="宋体" w:hAnsi="宋体" w:cs="宋体" w:eastAsia="宋体" w:hint="default"/>
                            <w:spacing w:val="-4"/>
                            <w:sz w:val="18"/>
                            <w:szCs w:val="18"/>
                          </w:rPr>
                          <w:t>影响程度为基准，确定公司缺陷重要程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度的定量标准。重大缺陷：直接财产损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万元（含）以上；重要缺陷：直</w:t>
                        </w:r>
                        <w:r>
                          <w:rPr>
                            <w:rFonts w:ascii="宋体" w:hAnsi="宋体" w:cs="宋体" w:eastAsia="宋体" w:hint="default"/>
                            <w:sz w:val="18"/>
                            <w:szCs w:val="18"/>
                          </w:rPr>
                        </w:r>
                      </w:p>
                      <w:p>
                        <w:pPr>
                          <w:pStyle w:val="TableParagraph"/>
                          <w:spacing w:line="248" w:lineRule="exact"/>
                          <w:ind w:left="26" w:right="0"/>
                          <w:jc w:val="left"/>
                          <w:rPr>
                            <w:rFonts w:ascii="宋体" w:hAnsi="宋体" w:cs="宋体" w:eastAsia="宋体" w:hint="default"/>
                            <w:sz w:val="18"/>
                            <w:szCs w:val="18"/>
                          </w:rPr>
                        </w:pPr>
                        <w:r>
                          <w:rPr>
                            <w:rFonts w:ascii="宋体" w:hAnsi="宋体" w:cs="宋体" w:eastAsia="宋体" w:hint="default"/>
                            <w:sz w:val="18"/>
                            <w:szCs w:val="18"/>
                          </w:rPr>
                          <w:t>接财产损失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万元（含）至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pacing w:val="-6"/>
                            <w:sz w:val="18"/>
                            <w:szCs w:val="18"/>
                          </w:rPr>
                          <w:t>一般缺陷：直接财产损失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pStyle w:val="BodyText"/>
        <w:spacing w:line="240" w:lineRule="auto" w:before="76"/>
        <w:ind w:left="0" w:right="1138"/>
        <w:jc w:val="right"/>
      </w:pPr>
      <w:r>
        <w:rPr/>
        <w:t>。</w:t>
      </w:r>
    </w:p>
    <w:p>
      <w:pPr>
        <w:spacing w:line="240" w:lineRule="auto" w:before="13"/>
        <w:rPr>
          <w:rFonts w:ascii="宋体" w:hAnsi="宋体" w:cs="宋体" w:eastAsia="宋体" w:hint="default"/>
          <w:sz w:val="7"/>
          <w:szCs w:val="7"/>
        </w:rPr>
      </w:pPr>
    </w:p>
    <w:p>
      <w:pPr>
        <w:spacing w:line="1560" w:lineRule="exact"/>
        <w:ind w:left="6677" w:right="0" w:firstLine="0"/>
        <w:rPr>
          <w:rFonts w:ascii="宋体" w:hAnsi="宋体" w:cs="宋体" w:eastAsia="宋体" w:hint="default"/>
          <w:sz w:val="20"/>
          <w:szCs w:val="20"/>
        </w:rPr>
      </w:pPr>
      <w:r>
        <w:rPr>
          <w:rFonts w:ascii="宋体" w:hAnsi="宋体" w:cs="宋体" w:eastAsia="宋体" w:hint="default"/>
          <w:position w:val="-30"/>
          <w:sz w:val="20"/>
          <w:szCs w:val="20"/>
        </w:rPr>
        <w:pict>
          <v:group style="width:152.1pt;height:78.05pt;mso-position-horizontal-relative:char;mso-position-vertical-relative:line" coordorigin="0,0" coordsize="3042,1561">
            <v:group style="position:absolute;left:0;top:0;width:3042;height:1561" coordorigin="0,0" coordsize="3042,1561">
              <v:shape style="position:absolute;left:0;top:0;width:3042;height:1561" coordorigin="0,0" coordsize="3042,1561" path="m0,1560l3041,1560,3041,0,0,0,0,1560xe" filled="true" fillcolor="#ffffff" stroked="false">
                <v:path arrowok="t"/>
                <v:fill type="solid"/>
              </v:shape>
            </v:group>
          </v:group>
        </w:pict>
      </w:r>
      <w:r>
        <w:rPr>
          <w:rFonts w:ascii="宋体" w:hAnsi="宋体" w:cs="宋体" w:eastAsia="宋体" w:hint="default"/>
          <w:position w:val="-3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不适用</w:t>
      </w:r>
    </w:p>
    <w:p>
      <w:pPr>
        <w:spacing w:after="0" w:line="240" w:lineRule="auto"/>
        <w:jc w:val="left"/>
        <w:sectPr>
          <w:pgSz w:w="11910" w:h="16840"/>
          <w:pgMar w:header="852" w:footer="980" w:top="132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456" w:lineRule="exact"/>
        <w:ind w:left="3125" w:right="0"/>
        <w:jc w:val="left"/>
        <w:rPr>
          <w:b w:val="0"/>
          <w:bCs w:val="0"/>
        </w:rPr>
      </w:pPr>
      <w:bookmarkStart w:name="_bookmark9" w:id="10"/>
      <w:bookmarkEnd w:id="10"/>
      <w:r>
        <w:rPr>
          <w:b w:val="0"/>
          <w:bCs w:val="0"/>
        </w:rPr>
      </w:r>
      <w:r>
        <w:rPr/>
        <w:t>第十节 </w:t>
      </w:r>
      <w:r>
        <w:rPr>
          <w:spacing w:val="10"/>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52" w:footer="980" w:top="132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456" w:lineRule="exact"/>
        <w:ind w:left="3607" w:right="0"/>
        <w:jc w:val="left"/>
        <w:rPr>
          <w:b w:val="0"/>
          <w:bCs w:val="0"/>
        </w:rPr>
      </w:pPr>
      <w:bookmarkStart w:name="_bookmark10" w:id="11"/>
      <w:bookmarkEnd w:id="11"/>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ZI10080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丘运良、吴健东</w:t>
            </w:r>
          </w:p>
        </w:tc>
      </w:tr>
    </w:tbl>
    <w:p>
      <w:pPr>
        <w:pStyle w:val="BodyText"/>
        <w:spacing w:line="240" w:lineRule="auto" w:before="49"/>
        <w:ind w:left="2071" w:right="3049"/>
        <w:jc w:val="center"/>
      </w:pPr>
      <w:r>
        <w:rPr/>
        <w:t>审计报告正文</w:t>
      </w:r>
    </w:p>
    <w:p>
      <w:pPr>
        <w:pStyle w:val="BodyText"/>
        <w:spacing w:line="240" w:lineRule="auto" w:before="117"/>
        <w:ind w:left="0" w:right="1971"/>
        <w:jc w:val="right"/>
      </w:pPr>
      <w:r>
        <w:rPr/>
        <w:t>审计报告</w:t>
      </w:r>
    </w:p>
    <w:p>
      <w:pPr>
        <w:spacing w:line="240" w:lineRule="auto" w:before="4"/>
        <w:rPr>
          <w:rFonts w:ascii="宋体" w:hAnsi="宋体" w:cs="宋体" w:eastAsia="宋体" w:hint="default"/>
          <w:sz w:val="26"/>
          <w:szCs w:val="26"/>
        </w:rPr>
      </w:pPr>
    </w:p>
    <w:p>
      <w:pPr>
        <w:pStyle w:val="BodyText"/>
        <w:spacing w:line="309" w:lineRule="auto" w:before="44"/>
        <w:ind w:right="6974"/>
        <w:jc w:val="left"/>
      </w:pPr>
      <w:r>
        <w:rPr/>
        <w:t>信会师报字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ZI10080</w:t>
      </w:r>
      <w:r>
        <w:rPr/>
        <w:t>号 深圳市建筑科学研究院股份有限公司全体股东： 一、审计意见</w:t>
      </w:r>
    </w:p>
    <w:p>
      <w:pPr>
        <w:pStyle w:val="BodyText"/>
        <w:spacing w:line="300" w:lineRule="auto" w:before="24"/>
        <w:ind w:right="0"/>
        <w:jc w:val="left"/>
      </w:pPr>
      <w:r>
        <w:rPr/>
        <w:t>我们审计了深圳市建筑科学研究院股份有限公司（以下简称</w:t>
      </w:r>
      <w:r>
        <w:rPr>
          <w:rFonts w:ascii="Times New Roman" w:hAnsi="Times New Roman" w:cs="Times New Roman" w:eastAsia="Times New Roman" w:hint="default"/>
        </w:rPr>
        <w:t>“</w:t>
      </w:r>
      <w:r>
        <w:rPr/>
        <w:t>建科院</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 </w:t>
      </w:r>
      <w:r>
        <w:rPr>
          <w:spacing w:val="-4"/>
        </w:rPr>
        <w:t>负债表，</w:t>
      </w:r>
      <w:r>
        <w:rPr>
          <w:rFonts w:ascii="Times New Roman" w:hAnsi="Times New Roman" w:cs="Times New Roman" w:eastAsia="Times New Roman" w:hint="default"/>
          <w:spacing w:val="-4"/>
        </w:rPr>
        <w:t>2018</w:t>
      </w:r>
      <w:r>
        <w:rPr>
          <w:spacing w:val="-4"/>
        </w:rPr>
        <w:t>年度的合并及母公司利润表、合并及母公司现金流量表、合并及母公司股东权益变动表以及相关财务报表附注。</w:t>
      </w:r>
      <w:r>
        <w:rPr>
          <w:spacing w:val="-38"/>
        </w:rPr>
        <w:t> </w:t>
      </w:r>
      <w:r>
        <w:rPr>
          <w:spacing w:val="-38"/>
        </w:rPr>
      </w:r>
      <w:r>
        <w:rPr>
          <w:spacing w:val="-2"/>
        </w:rPr>
        <w:t>我们认为，后附的财务报表在所有重大方面按照企业会计准则的规定编制，公允反映了建科院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w:t>
      </w:r>
      <w:r>
        <w:rPr>
          <w:spacing w:val="-58"/>
        </w:rPr>
        <w:t> </w:t>
      </w:r>
      <w:r>
        <w:rPr>
          <w:spacing w:val="-58"/>
        </w:rPr>
      </w:r>
      <w:r>
        <w:rPr/>
        <w:t>司财务状况以及</w:t>
      </w:r>
      <w:r>
        <w:rPr>
          <w:rFonts w:ascii="Times New Roman" w:hAnsi="Times New Roman" w:cs="Times New Roman" w:eastAsia="Times New Roman" w:hint="default"/>
        </w:rPr>
        <w:t>2018</w:t>
      </w:r>
      <w:r>
        <w:rPr/>
        <w:t>年度的合并及母公司经营成果和现金流量。</w:t>
      </w:r>
    </w:p>
    <w:p>
      <w:pPr>
        <w:pStyle w:val="BodyText"/>
        <w:spacing w:line="312" w:lineRule="auto" w:before="13"/>
        <w:ind w:right="1034"/>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部分进一步阐述</w:t>
      </w:r>
      <w:r>
        <w:rPr>
          <w:spacing w:val="-44"/>
        </w:rPr>
        <w:t> </w:t>
      </w:r>
      <w:r>
        <w:rPr/>
        <w:t>了我们在这些准则下的责任。按照中国注册会计师职业道德守则，我们独立于建科院，并履行了职业道德方面的其他责任。 我们相信，我们获取的审计证据是充分、适当的，为发表审计意见提供了基础。</w:t>
      </w:r>
    </w:p>
    <w:p>
      <w:pPr>
        <w:pStyle w:val="BodyText"/>
        <w:spacing w:line="316" w:lineRule="auto" w:before="22"/>
        <w:ind w:right="0"/>
        <w:jc w:val="left"/>
      </w:pPr>
      <w:r>
        <w:rPr/>
        <w:t>三、关键审计事项 </w:t>
      </w:r>
      <w:r>
        <w:rPr>
          <w:spacing w:val="-2"/>
        </w:rPr>
        <w:t>关键审计事项是我们根据职业判断，认为对本期财务报表审计最为重要的事项。这些事项的应对以对财务报表整体进行审计</w:t>
      </w:r>
      <w:r>
        <w:rPr>
          <w:spacing w:val="-63"/>
        </w:rPr>
        <w:t> </w:t>
      </w:r>
      <w:r>
        <w:rPr>
          <w:spacing w:val="-63"/>
        </w:rPr>
      </w:r>
      <w:r>
        <w:rPr/>
        <w:t>并形成审计意见为背景，我们不对这些事项单独发表意见。</w:t>
      </w:r>
    </w:p>
    <w:p>
      <w:pPr>
        <w:pStyle w:val="BodyText"/>
        <w:spacing w:line="240" w:lineRule="auto" w:before="19"/>
        <w:ind w:right="0"/>
        <w:jc w:val="left"/>
      </w:pPr>
      <w:r>
        <w:rPr/>
        <w:t>我们确定下列事项是需要在审计报告中沟通的关键审计事项。</w:t>
      </w:r>
    </w:p>
    <w:p>
      <w:pPr>
        <w:pStyle w:val="BodyText"/>
        <w:spacing w:line="309" w:lineRule="auto" w:before="76"/>
        <w:ind w:right="1120"/>
        <w:jc w:val="left"/>
      </w:pPr>
      <w:r>
        <w:rPr/>
        <w:t>（一）应收账款坏账准备 请参阅合并财务报表附注</w:t>
      </w:r>
      <w:r>
        <w:rPr>
          <w:rFonts w:ascii="Times New Roman" w:hAnsi="Times New Roman" w:cs="Times New Roman" w:eastAsia="Times New Roman" w:hint="default"/>
        </w:rPr>
        <w:t>“</w:t>
      </w:r>
      <w:r>
        <w:rPr/>
        <w:t>三、（十一）应收款项</w:t>
      </w:r>
      <w:r>
        <w:rPr>
          <w:rFonts w:ascii="Times New Roman" w:hAnsi="Times New Roman" w:cs="Times New Roman" w:eastAsia="Times New Roman" w:hint="default"/>
        </w:rPr>
        <w:t>”</w:t>
      </w:r>
      <w:r>
        <w:rPr/>
        <w:t>所述的会计政策及</w:t>
      </w:r>
      <w:r>
        <w:rPr>
          <w:rFonts w:ascii="Times New Roman" w:hAnsi="Times New Roman" w:cs="Times New Roman" w:eastAsia="Times New Roman" w:hint="default"/>
        </w:rPr>
        <w:t>“</w:t>
      </w:r>
      <w:r>
        <w:rPr/>
        <w:t>五、（三）应收票据及应收账款、</w:t>
      </w:r>
      <w:r>
        <w:rPr>
          <w:rFonts w:ascii="Times New Roman" w:hAnsi="Times New Roman" w:cs="Times New Roman" w:eastAsia="Times New Roman" w:hint="default"/>
        </w:rPr>
        <w:t>2</w:t>
      </w:r>
      <w:r>
        <w:rPr/>
        <w:t>、应收账款</w:t>
      </w:r>
      <w:r>
        <w:rPr>
          <w:rFonts w:ascii="Times New Roman" w:hAnsi="Times New Roman" w:cs="Times New Roman" w:eastAsia="Times New Roman" w:hint="default"/>
        </w:rPr>
        <w:t>”</w:t>
      </w:r>
      <w:r>
        <w:rPr/>
        <w:t>。截 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日，建科院应收账款账面余额</w:t>
      </w:r>
      <w:r>
        <w:rPr>
          <w:rFonts w:ascii="Times New Roman" w:hAnsi="Times New Roman" w:cs="Times New Roman" w:eastAsia="Times New Roman" w:hint="default"/>
        </w:rPr>
        <w:t>296,961,896.75</w:t>
      </w:r>
      <w:r>
        <w:rPr>
          <w:rFonts w:ascii="Times New Roman" w:hAnsi="Times New Roman" w:cs="Times New Roman" w:eastAsia="Times New Roman" w:hint="default"/>
          <w:spacing w:val="4"/>
        </w:rPr>
        <w:t> </w:t>
      </w:r>
      <w:r>
        <w:rPr/>
        <w:t>元，坏账准备为</w:t>
      </w:r>
      <w:r>
        <w:rPr>
          <w:rFonts w:ascii="Times New Roman" w:hAnsi="Times New Roman" w:cs="Times New Roman" w:eastAsia="Times New Roman" w:hint="default"/>
        </w:rPr>
        <w:t>58,846,357.14</w:t>
      </w:r>
      <w:r>
        <w:rPr/>
        <w:t>元。由于管理层在确定应收账款 </w:t>
      </w:r>
      <w:r>
        <w:rPr>
          <w:spacing w:val="-2"/>
        </w:rPr>
        <w:t>预计可收回金额时需要运用重大会计估计和判断，且若应收账款不能按时收回或者无法收回对财务报表的影响较为重大，因</w:t>
      </w:r>
      <w:r>
        <w:rPr>
          <w:spacing w:val="-62"/>
        </w:rPr>
        <w:t> </w:t>
      </w:r>
      <w:r>
        <w:rPr>
          <w:spacing w:val="-62"/>
        </w:rPr>
      </w:r>
      <w:r>
        <w:rPr/>
        <w:t>此我们将应收账款坏账准备识别为关键审计事项。</w:t>
      </w:r>
    </w:p>
    <w:p>
      <w:pPr>
        <w:pStyle w:val="BodyText"/>
        <w:spacing w:line="240" w:lineRule="auto" w:before="25"/>
        <w:ind w:right="0"/>
        <w:jc w:val="left"/>
      </w:pPr>
      <w:r>
        <w:rPr/>
        <w:t>我们针对应收账款坏账准备执行的审计程序主要有：</w:t>
      </w:r>
    </w:p>
    <w:p>
      <w:pPr>
        <w:pStyle w:val="BodyText"/>
        <w:spacing w:line="240" w:lineRule="auto" w:before="76"/>
        <w:ind w:right="0"/>
        <w:jc w:val="left"/>
      </w:pPr>
      <w:r>
        <w:rPr/>
        <w:t>（</w:t>
      </w:r>
      <w:r>
        <w:rPr>
          <w:rFonts w:ascii="Times New Roman" w:hAnsi="Times New Roman" w:cs="Times New Roman" w:eastAsia="Times New Roman" w:hint="default"/>
        </w:rPr>
        <w:t>1</w:t>
      </w:r>
      <w:r>
        <w:rPr/>
        <w:t>）复核管理层对应收账款可收回性进行评估的相关考虑及客观证据；</w:t>
      </w:r>
    </w:p>
    <w:p>
      <w:pPr>
        <w:pStyle w:val="BodyText"/>
        <w:spacing w:line="240" w:lineRule="auto" w:before="63"/>
        <w:ind w:right="0"/>
        <w:jc w:val="left"/>
      </w:pPr>
      <w:r>
        <w:rPr/>
        <w:t>（</w:t>
      </w:r>
      <w:r>
        <w:rPr>
          <w:rFonts w:ascii="Times New Roman" w:hAnsi="Times New Roman" w:cs="Times New Roman" w:eastAsia="Times New Roman" w:hint="default"/>
        </w:rPr>
        <w:t>2</w:t>
      </w:r>
      <w:r>
        <w:rPr/>
        <w:t>）对比同行业上市公司会计政策，分析贵公司坏账准备会计政策的合理性；</w:t>
      </w:r>
    </w:p>
    <w:p>
      <w:pPr>
        <w:pStyle w:val="BodyText"/>
        <w:spacing w:line="240" w:lineRule="auto" w:before="63"/>
        <w:ind w:right="0"/>
        <w:jc w:val="left"/>
      </w:pPr>
      <w:r>
        <w:rPr/>
        <w:t>（</w:t>
      </w:r>
      <w:r>
        <w:rPr>
          <w:rFonts w:ascii="Times New Roman" w:hAnsi="Times New Roman" w:cs="Times New Roman" w:eastAsia="Times New Roman" w:hint="default"/>
        </w:rPr>
        <w:t>3</w:t>
      </w:r>
      <w:r>
        <w:rPr/>
        <w:t>）对于单项金额重大的应收账款，选取样本复核管理层对预计未来可获得的现金流量做出评估的依据；</w:t>
      </w:r>
    </w:p>
    <w:p>
      <w:pPr>
        <w:pStyle w:val="BodyText"/>
        <w:spacing w:line="300" w:lineRule="auto" w:before="63"/>
        <w:ind w:right="1124"/>
        <w:jc w:val="left"/>
      </w:pPr>
      <w:r>
        <w:rPr/>
        <w:t>（</w:t>
      </w:r>
      <w:r>
        <w:rPr>
          <w:rFonts w:ascii="Times New Roman" w:hAnsi="Times New Roman" w:cs="Times New Roman" w:eastAsia="Times New Roman" w:hint="default"/>
        </w:rPr>
        <w:t>4</w:t>
      </w:r>
      <w:r>
        <w:rPr/>
        <w:t>）对于管理层按照信用风险特征组合计提坏账准备的应收账款，结合信用风险特征及账龄分析，评价管理层坏账准备计 提的合理性；</w:t>
      </w:r>
    </w:p>
    <w:p>
      <w:pPr>
        <w:pStyle w:val="BodyText"/>
        <w:spacing w:line="240" w:lineRule="auto" w:before="31"/>
        <w:ind w:right="0"/>
        <w:jc w:val="left"/>
      </w:pPr>
      <w:r>
        <w:rPr/>
        <w:t>（</w:t>
      </w:r>
      <w:r>
        <w:rPr>
          <w:rFonts w:ascii="Times New Roman" w:hAnsi="Times New Roman" w:cs="Times New Roman" w:eastAsia="Times New Roman" w:hint="default"/>
        </w:rPr>
        <w:t>5</w:t>
      </w:r>
      <w:r>
        <w:rPr/>
        <w:t>）结合期后回款情况检查，评价管理层对坏账准备计提的合理性；</w:t>
      </w:r>
    </w:p>
    <w:p>
      <w:pPr>
        <w:pStyle w:val="BodyText"/>
        <w:spacing w:line="240" w:lineRule="auto" w:before="62"/>
        <w:ind w:right="0"/>
        <w:jc w:val="left"/>
      </w:pPr>
      <w:r>
        <w:rPr/>
        <w:t>（</w:t>
      </w:r>
      <w:r>
        <w:rPr>
          <w:rFonts w:ascii="Times New Roman" w:hAnsi="Times New Roman" w:cs="Times New Roman" w:eastAsia="Times New Roman" w:hint="default"/>
        </w:rPr>
        <w:t>6</w:t>
      </w:r>
      <w:r>
        <w:rPr/>
        <w:t>）结合建科院以前年度坏账损失的发生情况，分析公司依据其会计政策计提的坏账准备的充分性。</w:t>
      </w:r>
    </w:p>
    <w:p>
      <w:pPr>
        <w:spacing w:after="0" w:line="240" w:lineRule="auto"/>
        <w:jc w:val="left"/>
        <w:sectPr>
          <w:pgSz w:w="11910" w:h="16840"/>
          <w:pgMar w:header="852" w:footer="980" w:top="1320" w:bottom="1160" w:left="980" w:right="0"/>
        </w:sectPr>
      </w:pPr>
    </w:p>
    <w:p>
      <w:pPr>
        <w:pStyle w:val="BodyText"/>
        <w:spacing w:line="309" w:lineRule="auto" w:before="111"/>
        <w:ind w:right="1119"/>
        <w:jc w:val="left"/>
      </w:pPr>
      <w:r>
        <w:rPr/>
        <w:t>（二）收入确认 公司主营业务主要分为：建筑设计、绿色建筑咨询、生态城市规划及公信业务等服务，如合并财务报表附注</w:t>
      </w:r>
      <w:r>
        <w:rPr>
          <w:rFonts w:ascii="Times New Roman" w:hAnsi="Times New Roman" w:cs="Times New Roman" w:eastAsia="Times New Roman" w:hint="default"/>
        </w:rPr>
        <w:t>“</w:t>
      </w:r>
      <w:r>
        <w:rPr/>
        <w:t>（二十九）营 业收入和营业成本</w:t>
      </w:r>
      <w:r>
        <w:rPr>
          <w:rFonts w:ascii="Times New Roman" w:hAnsi="Times New Roman" w:cs="Times New Roman" w:eastAsia="Times New Roman" w:hint="default"/>
        </w:rPr>
        <w:t>”</w:t>
      </w:r>
      <w:r>
        <w:rPr/>
        <w:t>所述，</w:t>
      </w:r>
      <w:r>
        <w:rPr>
          <w:rFonts w:ascii="Times New Roman" w:hAnsi="Times New Roman" w:cs="Times New Roman" w:eastAsia="Times New Roman" w:hint="default"/>
        </w:rPr>
        <w:t>2018</w:t>
      </w:r>
      <w:r>
        <w:rPr/>
        <w:t>年度合并报表营业收入</w:t>
      </w:r>
      <w:r>
        <w:rPr>
          <w:rFonts w:ascii="Times New Roman" w:hAnsi="Times New Roman" w:cs="Times New Roman" w:eastAsia="Times New Roman" w:hint="default"/>
        </w:rPr>
        <w:t>485,287,424.88</w:t>
      </w:r>
      <w:r>
        <w:rPr/>
        <w:t>元。 </w:t>
      </w:r>
      <w:r>
        <w:rPr>
          <w:spacing w:val="-2"/>
        </w:rPr>
        <w:t>根据会计政策合并财务报表附注</w:t>
      </w:r>
      <w:r>
        <w:rPr>
          <w:rFonts w:ascii="Times New Roman" w:hAnsi="Times New Roman" w:cs="Times New Roman" w:eastAsia="Times New Roman" w:hint="default"/>
          <w:spacing w:val="-2"/>
        </w:rPr>
        <w:t>“</w:t>
      </w:r>
      <w:r>
        <w:rPr>
          <w:spacing w:val="-2"/>
        </w:rPr>
        <w:t>三、（二十四）</w:t>
      </w:r>
      <w:r>
        <w:rPr>
          <w:rFonts w:ascii="Times New Roman" w:hAnsi="Times New Roman" w:cs="Times New Roman" w:eastAsia="Times New Roman" w:hint="default"/>
          <w:spacing w:val="-2"/>
        </w:rPr>
        <w:t>”</w:t>
      </w:r>
      <w:r>
        <w:rPr>
          <w:spacing w:val="-2"/>
        </w:rPr>
        <w:t>确认相关收入，在建科院完成各阶段的工作要求，且其工作成果得到客户</w:t>
      </w:r>
      <w:r>
        <w:rPr>
          <w:spacing w:val="-44"/>
        </w:rPr>
        <w:t> </w:t>
      </w:r>
      <w:r>
        <w:rPr>
          <w:spacing w:val="-44"/>
        </w:rPr>
      </w:r>
      <w:r>
        <w:rPr>
          <w:spacing w:val="-2"/>
        </w:rPr>
        <w:t>的确认或相关第三方的批准，相关经济利益很可能流入时，根据合同约定的结算款项分阶段确认收入。由于建科院可能存在</w:t>
      </w:r>
      <w:r>
        <w:rPr>
          <w:spacing w:val="-62"/>
        </w:rPr>
        <w:t> </w:t>
      </w:r>
      <w:r>
        <w:rPr>
          <w:spacing w:val="-62"/>
        </w:rPr>
      </w:r>
      <w:r>
        <w:rPr>
          <w:spacing w:val="-2"/>
        </w:rPr>
        <w:t>客户提前或者延后确认交付成果从而使得收入存在未在恰当期间确认的风险。所以我们将建科院的收入确认识别为关键审计</w:t>
      </w:r>
      <w:r>
        <w:rPr>
          <w:spacing w:val="-64"/>
        </w:rPr>
        <w:t> </w:t>
      </w:r>
      <w:r>
        <w:rPr>
          <w:spacing w:val="-64"/>
        </w:rPr>
      </w:r>
      <w:r>
        <w:rPr/>
        <w:t>事项。</w:t>
      </w:r>
    </w:p>
    <w:p>
      <w:pPr>
        <w:pStyle w:val="BodyText"/>
        <w:spacing w:line="240" w:lineRule="auto" w:before="24"/>
        <w:ind w:right="0"/>
        <w:jc w:val="left"/>
      </w:pPr>
      <w:r>
        <w:rPr/>
        <w:t>我们针对收入确认执行的审计程序主要有：</w:t>
      </w:r>
    </w:p>
    <w:p>
      <w:pPr>
        <w:pStyle w:val="BodyText"/>
        <w:spacing w:line="240" w:lineRule="auto" w:before="76"/>
        <w:ind w:right="0"/>
        <w:jc w:val="left"/>
      </w:pPr>
      <w:r>
        <w:rPr>
          <w:rFonts w:ascii="Times New Roman" w:hAnsi="Times New Roman" w:cs="Times New Roman" w:eastAsia="Times New Roman" w:hint="default"/>
        </w:rPr>
        <w:t>1</w:t>
      </w:r>
      <w:r>
        <w:rPr/>
        <w:t>、了解、评估建科院销售与收款循环相关的内控控制，并执行控制测试。</w:t>
      </w:r>
    </w:p>
    <w:p>
      <w:pPr>
        <w:pStyle w:val="BodyText"/>
        <w:spacing w:line="240" w:lineRule="auto" w:before="63"/>
        <w:ind w:right="0"/>
        <w:jc w:val="left"/>
      </w:pPr>
      <w:r>
        <w:rPr>
          <w:rFonts w:ascii="Times New Roman" w:hAnsi="Times New Roman" w:cs="Times New Roman" w:eastAsia="Times New Roman" w:hint="default"/>
        </w:rPr>
        <w:t>2</w:t>
      </w:r>
      <w:r>
        <w:rPr/>
        <w:t>、执行足够的实质性程序：</w:t>
      </w:r>
    </w:p>
    <w:p>
      <w:pPr>
        <w:pStyle w:val="BodyText"/>
        <w:spacing w:line="240" w:lineRule="auto" w:before="63"/>
        <w:ind w:right="0"/>
        <w:jc w:val="left"/>
      </w:pPr>
      <w:r>
        <w:rPr/>
        <w:t>（</w:t>
      </w:r>
      <w:r>
        <w:rPr>
          <w:rFonts w:ascii="Times New Roman" w:hAnsi="Times New Roman" w:cs="Times New Roman" w:eastAsia="Times New Roman" w:hint="default"/>
        </w:rPr>
        <w:t>1</w:t>
      </w:r>
      <w:r>
        <w:rPr/>
        <w:t>）了解建科院的经营模式，检查与主要客户签订的合同，评价建科院收入确认是否符合会计准则的要求；</w:t>
      </w:r>
    </w:p>
    <w:p>
      <w:pPr>
        <w:pStyle w:val="BodyText"/>
        <w:spacing w:line="300" w:lineRule="auto" w:before="63"/>
        <w:ind w:right="1124"/>
        <w:jc w:val="left"/>
      </w:pPr>
      <w:r>
        <w:rPr/>
        <w:t>（</w:t>
      </w:r>
      <w:r>
        <w:rPr>
          <w:rFonts w:ascii="Times New Roman" w:hAnsi="Times New Roman" w:cs="Times New Roman" w:eastAsia="Times New Roman" w:hint="default"/>
        </w:rPr>
        <w:t>2</w:t>
      </w:r>
      <w:r>
        <w:rPr/>
        <w:t>）抽查合同、建科院向委托方提交阶段项目成果的确认单据、政府有关部门的批复文件、结算单等相关证据，对建科院 确认收入的计算过程执行重新计算；</w:t>
      </w:r>
    </w:p>
    <w:p>
      <w:pPr>
        <w:pStyle w:val="BodyText"/>
        <w:spacing w:line="240" w:lineRule="auto" w:before="32"/>
        <w:ind w:right="0"/>
        <w:jc w:val="left"/>
      </w:pPr>
      <w:r>
        <w:rPr/>
        <w:t>（</w:t>
      </w:r>
      <w:r>
        <w:rPr>
          <w:rFonts w:ascii="Times New Roman" w:hAnsi="Times New Roman" w:cs="Times New Roman" w:eastAsia="Times New Roman" w:hint="default"/>
        </w:rPr>
        <w:t>3</w:t>
      </w:r>
      <w:r>
        <w:rPr/>
        <w:t>）对重要的收入执行函证程序，取得委托方对项目阶段完成情况的确认；</w:t>
      </w:r>
    </w:p>
    <w:p>
      <w:pPr>
        <w:pStyle w:val="BodyText"/>
        <w:spacing w:line="300" w:lineRule="auto" w:before="63"/>
        <w:ind w:right="4724"/>
        <w:jc w:val="left"/>
      </w:pPr>
      <w:r>
        <w:rPr/>
        <w:t>（</w:t>
      </w:r>
      <w:r>
        <w:rPr>
          <w:rFonts w:ascii="Times New Roman" w:hAnsi="Times New Roman" w:cs="Times New Roman" w:eastAsia="Times New Roman" w:hint="default"/>
        </w:rPr>
        <w:t>4</w:t>
      </w:r>
      <w:r>
        <w:rPr/>
        <w:t>）对营业收入执行截止测试，确认收入确认是否记录在正确的会计期间。 四、其他信息</w:t>
      </w:r>
    </w:p>
    <w:p>
      <w:pPr>
        <w:pStyle w:val="BodyText"/>
        <w:spacing w:line="300" w:lineRule="auto" w:before="31"/>
        <w:ind w:right="0"/>
        <w:jc w:val="left"/>
      </w:pPr>
      <w:r>
        <w:rPr>
          <w:spacing w:val="-2"/>
        </w:rPr>
        <w:t>建科院管理层（以下简称管理层）对其他信息负责。其他信息包括建科院</w:t>
      </w:r>
      <w:r>
        <w:rPr>
          <w:rFonts w:ascii="Times New Roman" w:hAnsi="Times New Roman" w:cs="Times New Roman" w:eastAsia="Times New Roman" w:hint="default"/>
          <w:spacing w:val="-2"/>
        </w:rPr>
        <w:t>2018</w:t>
      </w:r>
      <w:r>
        <w:rPr>
          <w:spacing w:val="-2"/>
        </w:rPr>
        <w:t>年年度报告中涵盖的信息，但不包括财务报表</w:t>
      </w:r>
      <w:r>
        <w:rPr>
          <w:spacing w:val="-61"/>
        </w:rPr>
        <w:t> </w:t>
      </w:r>
      <w:r>
        <w:rPr>
          <w:spacing w:val="-61"/>
        </w:rPr>
      </w:r>
      <w:r>
        <w:rPr/>
        <w:t>和我们的审计报告。</w:t>
      </w:r>
    </w:p>
    <w:p>
      <w:pPr>
        <w:pStyle w:val="BodyText"/>
        <w:spacing w:line="316" w:lineRule="auto" w:before="31"/>
        <w:ind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3"/>
        </w:rPr>
        <w:t> </w:t>
      </w:r>
      <w:r>
        <w:rPr>
          <w:spacing w:val="-63"/>
        </w:rPr>
      </w:r>
      <w:r>
        <w:rPr/>
        <w:t>了解到的情况存在重大不一致或者似乎存在重大错报。 </w:t>
      </w:r>
      <w:r>
        <w:rPr>
          <w:spacing w:val="-4"/>
        </w:rPr>
        <w:t>基于我们已执行的工作，如果我们确定其他信息存在重大错报，我们应当报告该事实。在这方面，我们无任何事项需要报告。</w:t>
      </w:r>
      <w:r>
        <w:rPr>
          <w:spacing w:val="-46"/>
        </w:rPr>
        <w:t> </w:t>
      </w:r>
      <w:r>
        <w:rPr>
          <w:spacing w:val="-46"/>
        </w:rPr>
      </w:r>
      <w:r>
        <w:rPr/>
        <w:t>五、管理层和治理层对财务报表的责任 </w:t>
      </w:r>
      <w:r>
        <w:rPr>
          <w:spacing w:val="-2"/>
        </w:rPr>
        <w:t>管理层负责按照企业会计准则的规定编制财务报表，使其实现公允反映，并设计、执行和维护必要的内部控制，以使财务报</w:t>
      </w:r>
      <w:r>
        <w:rPr>
          <w:spacing w:val="-64"/>
        </w:rPr>
        <w:t> </w:t>
      </w:r>
      <w:r>
        <w:rPr>
          <w:spacing w:val="-64"/>
        </w:rPr>
      </w:r>
      <w:r>
        <w:rPr/>
        <w:t>表不存在由于舞弊或错误导致的重大错报。 </w:t>
      </w:r>
      <w:r>
        <w:rPr>
          <w:spacing w:val="-4"/>
        </w:rPr>
        <w:t>在编制财务报表时，管理层负责评估建科院的持续经营能力，披露与持续经营相关的事项（如适用），并运用持续经营假设，</w:t>
      </w:r>
      <w:r>
        <w:rPr>
          <w:spacing w:val="-46"/>
        </w:rPr>
        <w:t> </w:t>
      </w:r>
      <w:r>
        <w:rPr>
          <w:spacing w:val="-46"/>
        </w:rPr>
      </w:r>
      <w:r>
        <w:rPr/>
        <w:t>除非计划进行清算、终止运营或别无其他现实的选择。</w:t>
      </w:r>
    </w:p>
    <w:p>
      <w:pPr>
        <w:pStyle w:val="BodyText"/>
        <w:spacing w:line="316" w:lineRule="auto" w:before="19"/>
        <w:ind w:right="7514"/>
        <w:jc w:val="left"/>
      </w:pPr>
      <w:r>
        <w:rPr/>
        <w:t>治理层负责监督建科院的财务报告过程。 六、注册会计师对财务报表审计的责任</w:t>
      </w:r>
    </w:p>
    <w:p>
      <w:pPr>
        <w:pStyle w:val="BodyText"/>
        <w:spacing w:line="316" w:lineRule="auto" w:before="19"/>
        <w:ind w:right="1034"/>
        <w:jc w:val="left"/>
      </w:pPr>
      <w:r>
        <w:rPr/>
        <w:t>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64"/>
        </w:rPr>
        <w:t> </w:t>
      </w:r>
      <w:r>
        <w:rPr>
          <w:spacing w:val="-64"/>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pStyle w:val="BodyText"/>
        <w:spacing w:line="240" w:lineRule="auto" w:before="19"/>
        <w:ind w:right="0"/>
        <w:jc w:val="left"/>
      </w:pPr>
      <w:r>
        <w:rPr/>
        <w:t>在按照审计准则执行审计工作的过程中，我们运用职业判断，并保持职业怀疑。同时，我们也执行以下工作：</w:t>
      </w:r>
    </w:p>
    <w:p>
      <w:pPr>
        <w:pStyle w:val="BodyText"/>
        <w:spacing w:line="309" w:lineRule="auto" w:before="76"/>
        <w:ind w:right="1135"/>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）识别和评估由于舞弊或错误导致的财务报表重大错报风险，设计和实施审计程序以应对这些风险，并获取充分、适当 </w:t>
      </w:r>
      <w:r>
        <w:rPr>
          <w:spacing w:val="-2"/>
        </w:rPr>
        <w:t>的审计证据，作为发表审计意见的基础。由于舞弊可能涉及串通、伪造、故意遗漏、虚假陈述或凌驾于内部控制之上，未能</w:t>
      </w:r>
      <w:r>
        <w:rPr>
          <w:spacing w:val="-70"/>
        </w:rPr>
        <w:t> </w:t>
      </w:r>
      <w:r>
        <w:rPr>
          <w:spacing w:val="-70"/>
        </w:rPr>
      </w:r>
      <w:r>
        <w:rPr/>
        <w:t>发现由于舞弊导致的重大错报的风险高于未能发现由于错误导致的重大错报的风险。</w:t>
      </w:r>
    </w:p>
    <w:p>
      <w:pPr>
        <w:pStyle w:val="BodyText"/>
        <w:spacing w:line="240" w:lineRule="auto" w:before="24"/>
        <w:ind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）对管理层使用持续经营假设的恰当性得出结论。同时，根据获取的审计证据，就可能导致对建科院持续经营能力产生 </w:t>
      </w:r>
      <w:r>
        <w:rPr>
          <w:spacing w:val="-2"/>
        </w:rPr>
        <w:t>重大疑虑的事项或情况是否存在重大不确定性得出结论。如果我们得出结论认为存在重大不确定性，审计准则要求我们在审</w:t>
      </w:r>
      <w:r>
        <w:rPr>
          <w:spacing w:val="-64"/>
        </w:rPr>
        <w:t> </w:t>
      </w:r>
      <w:r>
        <w:rPr>
          <w:spacing w:val="-64"/>
        </w:rPr>
      </w:r>
      <w:r>
        <w:rPr>
          <w:spacing w:val="-2"/>
        </w:rPr>
        <w:t>计报告中提请报表使用者注意财务报表中的相关披露；如果披露不充分，我们应当发表非无保留意见。我们的结论基于截至</w:t>
      </w:r>
      <w:r>
        <w:rPr>
          <w:spacing w:val="-63"/>
        </w:rPr>
        <w:t> </w:t>
      </w:r>
      <w:r>
        <w:rPr>
          <w:spacing w:val="-63"/>
        </w:rPr>
      </w:r>
      <w:r>
        <w:rPr/>
        <w:t>审计报告日可获得的信息。然而，未来的事项或情况可能导致建科院不能持续经营。</w:t>
      </w:r>
    </w:p>
    <w:p>
      <w:pPr>
        <w:pStyle w:val="BodyText"/>
        <w:spacing w:line="240" w:lineRule="auto" w:before="22"/>
        <w:ind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spacing w:after="0" w:line="240" w:lineRule="auto"/>
        <w:jc w:val="left"/>
        <w:sectPr>
          <w:pgSz w:w="11910" w:h="16840"/>
          <w:pgMar w:header="852" w:footer="980" w:top="1320" w:bottom="1160" w:left="980" w:right="0"/>
        </w:sectPr>
      </w:pPr>
    </w:p>
    <w:p>
      <w:pPr>
        <w:pStyle w:val="BodyText"/>
        <w:spacing w:line="316" w:lineRule="auto" w:before="111"/>
        <w:ind w:right="1124"/>
        <w:jc w:val="left"/>
      </w:pPr>
      <w:r>
        <w:rPr/>
        <w:t>（</w:t>
      </w:r>
      <w:r>
        <w:rPr>
          <w:rFonts w:ascii="Times New Roman" w:hAnsi="Times New Roman" w:cs="Times New Roman" w:eastAsia="Times New Roman" w:hint="default"/>
        </w:rPr>
        <w:t>6</w:t>
      </w:r>
      <w:r>
        <w:rPr/>
        <w:t>）就建科院中实体或业务活动的财务信息获取充分、适当的审计证据，以对财务报表发表审计意见。我们负责指导、监 督和执行集团审计，并对审计意见承担全部责任。 </w:t>
      </w: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 </w:t>
      </w:r>
      <w:r>
        <w:rPr>
          <w:spacing w:val="-2"/>
        </w:rPr>
        <w:t>我们还就已遵守与独立性相关的职业道德要求向治理层提供声明，并与治理层沟通可能被合理认为影响我们独立性的所有关</w:t>
      </w:r>
      <w:r>
        <w:rPr>
          <w:spacing w:val="-64"/>
        </w:rPr>
        <w:t> </w:t>
      </w:r>
      <w:r>
        <w:rPr>
          <w:spacing w:val="-64"/>
        </w:rPr>
      </w:r>
      <w:r>
        <w:rPr/>
        <w:t>系和其他事项，以及相关的防范措施（如适用）。 </w:t>
      </w:r>
      <w:r>
        <w:rPr>
          <w:spacing w:val="-2"/>
        </w:rPr>
        <w:t>从与治理层沟通过的事项中，我们确定哪些事项对本期财务报表审计最为重要，因而构成关键审计事项。我们在审计报告中</w:t>
      </w:r>
      <w:r>
        <w:rPr>
          <w:spacing w:val="-63"/>
        </w:rPr>
        <w:t> </w:t>
      </w:r>
      <w:r>
        <w:rPr>
          <w:spacing w:val="-63"/>
        </w:rPr>
      </w:r>
      <w:r>
        <w:rPr>
          <w:spacing w:val="-2"/>
        </w:rPr>
        <w:t>描述这些事项，除非法律法规禁止公开披露这些事项，或在极少数情形下，如果合理预期在审计报告中沟通某事项造成的负</w:t>
      </w:r>
      <w:r>
        <w:rPr>
          <w:spacing w:val="-62"/>
        </w:rPr>
        <w:t> </w:t>
      </w:r>
      <w:r>
        <w:rPr>
          <w:spacing w:val="-62"/>
        </w:rPr>
      </w:r>
      <w:r>
        <w:rPr/>
        <w:t>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BodyText"/>
        <w:tabs>
          <w:tab w:pos="3525" w:val="left" w:leader="none"/>
          <w:tab w:pos="5194" w:val="left" w:leader="none"/>
        </w:tabs>
        <w:spacing w:line="636" w:lineRule="auto"/>
        <w:ind w:right="3750"/>
        <w:jc w:val="left"/>
      </w:pPr>
      <w:r>
        <w:rPr/>
        <w:t>立信会计师事务所（特殊普通合伙）</w:t>
        <w:tab/>
        <w:t>中国注册会计师：丘运良（项目合伙人） </w:t>
      </w:r>
      <w:r>
        <w:rPr>
          <w:spacing w:val="-1"/>
        </w:rPr>
        <w:t>中国</w:t>
      </w:r>
      <w:r>
        <w:rPr>
          <w:rFonts w:ascii="Times New Roman" w:hAnsi="Times New Roman" w:cs="Times New Roman" w:eastAsia="Times New Roman" w:hint="default"/>
          <w:spacing w:val="-1"/>
        </w:rPr>
        <w:t>•</w:t>
      </w:r>
      <w:r>
        <w:rPr>
          <w:spacing w:val="-1"/>
        </w:rPr>
        <w:t>上海</w:t>
        <w:tab/>
        <w:tab/>
      </w:r>
      <w:r>
        <w:rPr/>
        <w:t>中国注册会计师：吴健东</w:t>
      </w:r>
    </w:p>
    <w:p>
      <w:pPr>
        <w:spacing w:line="240" w:lineRule="auto" w:before="0"/>
        <w:rPr>
          <w:rFonts w:ascii="宋体" w:hAnsi="宋体" w:cs="宋体" w:eastAsia="宋体" w:hint="default"/>
          <w:sz w:val="18"/>
          <w:szCs w:val="18"/>
        </w:rPr>
      </w:pPr>
    </w:p>
    <w:p>
      <w:pPr>
        <w:pStyle w:val="BodyText"/>
        <w:spacing w:line="240" w:lineRule="auto" w:before="123"/>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财务附注中报表的单位为：人民币元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52" w:footer="980" w:top="1320" w:bottom="1160" w:left="980" w:right="0"/>
        </w:sectPr>
      </w:pPr>
    </w:p>
    <w:p>
      <w:pPr>
        <w:pStyle w:val="BodyText"/>
        <w:spacing w:line="240" w:lineRule="auto" w:before="44"/>
        <w:ind w:right="-20"/>
        <w:jc w:val="left"/>
      </w:pPr>
      <w:r>
        <w:rPr/>
        <w:t>编制单位：深圳市建筑科学研究院股份有限公司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280" w:bottom="1160" w:left="980" w:right="0"/>
          <w:cols w:num="3" w:equalWidth="0">
            <w:col w:w="3933" w:space="143"/>
            <w:col w:w="1642" w:space="3202"/>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146,375,945.17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221,508,379.49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118,891,468.50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226,675,318.85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193,229,666.93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336,674.16</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226,338,644.69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193,229,666.93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7,123,420.10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7,676,197.84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28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8,553,091.11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4,501,641.59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14,794.52</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100,899.80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65,389.96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11,638,991.28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2,669,961.59</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519,359,134.81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429,651,237.40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3,326,501.86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3,884,652.43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9,503,556.70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10,055,409.22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87,247,624.00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81,377,899.89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91,470,942.13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33,803,802.75</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87,888,716.11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84,147,425.68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2,918,230.13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39,771,486.13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39,182,426.18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8,861,586.16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6,563,818.21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328,070,413.09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261,933,664.49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847,429,547.90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691,584,901.89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83,131,497.29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81,673,796.00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17,747,769.09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14,635,078.67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32,180,859.18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28,433,376.27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10,167,783.12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15,858,244.07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17,513,865.06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5,031,364.63</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235,333.33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85,212.33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11,725,446.43</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302,467,220.17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215,631,859.64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60,873,841.53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55,522,446.84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100,873,841.53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55,522,446.84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403,341,061.70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271,154,306.48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146,666,700.00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146,666,700.00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127,541,353.92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127,541,353.92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14,947,485.38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12,215,575.78</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154,114,765.30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131,749,237.72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443,270,304.60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418,172,867.42</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818,181.60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2,257,727.99</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444,088,486.20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420,430,595.41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847,429,547.90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691,584,901.89</w:t>
            </w:r>
          </w:p>
        </w:tc>
      </w:tr>
    </w:tbl>
    <w:p>
      <w:pPr>
        <w:spacing w:line="240" w:lineRule="auto" w:before="2"/>
        <w:rPr>
          <w:rFonts w:ascii="Times New Roman" w:hAnsi="Times New Roman" w:cs="Times New Roman" w:eastAsia="Times New Roman" w:hint="default"/>
          <w:sz w:val="23"/>
          <w:szCs w:val="23"/>
        </w:rPr>
      </w:pPr>
    </w:p>
    <w:p>
      <w:pPr>
        <w:pStyle w:val="BodyText"/>
        <w:tabs>
          <w:tab w:pos="3578" w:val="left" w:leader="none"/>
          <w:tab w:pos="7721" w:val="left" w:leader="none"/>
        </w:tabs>
        <w:spacing w:line="240" w:lineRule="auto" w:before="44"/>
        <w:ind w:right="0"/>
        <w:jc w:val="left"/>
      </w:pPr>
      <w:r>
        <w:rPr/>
        <w:t>法定代表人：叶青</w:t>
        <w:tab/>
      </w:r>
      <w:r>
        <w:rPr>
          <w:spacing w:val="-1"/>
        </w:rPr>
        <w:t>主管会计工作负责人：刘丽</w:t>
        <w:tab/>
      </w:r>
      <w:r>
        <w:rPr/>
        <w:t>会计机构负责人：陈友莲</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101,103,714.65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168,597,719.69</w:t>
            </w:r>
          </w:p>
        </w:tc>
      </w:tr>
      <w:tr>
        <w:trPr>
          <w:trHeight w:val="715"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118,891,468.50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196,274,019.23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173,959,155.90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336,674.16</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195,937,345.07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173,959,155.90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2,854,812.88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5,962,674.94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11,273,222.04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18,525,536.33</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14,794.52</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13,175.00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7,347,407.19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1,840,888.95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437,757,819.49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368,885,975.81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50,272,888.36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35,017,490.46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9,503,556.70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10,055,409.22</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73,532,496.12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73,179,923.19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91,470,942.13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33,803,802.75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87,258,167.30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82,921,757.97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2,918,230.13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35,181,555.98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37,198,387.58</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7,890,251.59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6,043,956.87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355,109,858.18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281,138,958.17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792,867,677.67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650,024,933.98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715"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77,114,762.86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79,714,710.98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8,901,910.48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9,179,135.81</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21,691,160.00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19,586,065.41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7,472,882.16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13,151,944.24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28,243,519.54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11,797,971.81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235,333.33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85,212.33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10,294,624.41</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283,718,859.45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203,429,828.25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51,215,301.34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46,447,349.39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91,215,301.34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46,447,349.39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374,934,160.79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249,877,177.64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146,666,700.00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146,666,700.00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128,053,280.71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128,053,280.71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14,893,980.71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12,162,071.11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128,319,555.46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113,265,704.52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417,933,516.88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400,147,756.34</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792,867,677.67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650,024,933.98</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397,007,934.86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381,831,957.61</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397,007,934.86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381,831,957.61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383,410,986.56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352,645,723.90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245,210,537.81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236,545,289.44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3,061,522.13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3,030,867.68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57,461,140.24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47,390,255.84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45,185,298.05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37,655,747.49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13,888,223.01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8,978,450.87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3,001,018.40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3,482,317.95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3,575,554.55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3,968,581.20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798,593.68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635,762.44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15,603,246.92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15,562,794.63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9,920,143.59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6,876,123.77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662,817.90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-115,347.57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-558,150.57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-115,347.57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891,468.50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-1,866.15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25,077,148.29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35,945,143.76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14,260,798.10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4,916,616.55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371,800.91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117,130.66</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38,966,145.48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40,744,629.65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5,934,919.19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6,840,014.99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33,031,226.29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33,904,614.66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33,031,226.29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33,904,614.66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34,630,772.68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33,987,787.76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-1,599,546.39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-83,173.10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2" w:right="5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33,031,226.29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33,904,614.66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34,630,772.68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33,987,787.76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-1,599,546.39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-83,173.10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0.2713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pacing w:val="-1"/>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0.2713</w:t>
            </w:r>
          </w:p>
        </w:tc>
      </w:tr>
    </w:tbl>
    <w:p>
      <w:pPr>
        <w:pStyle w:val="BodyText"/>
        <w:tabs>
          <w:tab w:pos="3578" w:val="left" w:leader="none"/>
          <w:tab w:pos="7721" w:val="left" w:leader="none"/>
        </w:tabs>
        <w:spacing w:line="590" w:lineRule="auto" w:before="49"/>
        <w:ind w:right="1222"/>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法定代表人：叶青</w:t>
        <w:tab/>
      </w:r>
      <w:r>
        <w:rPr>
          <w:spacing w:val="-1"/>
        </w:rPr>
        <w:t>主管会计工作负责人：刘丽</w:t>
        <w:tab/>
      </w:r>
      <w:r>
        <w:rPr/>
        <w:t>会计机构负责人：陈友莲</w:t>
      </w:r>
    </w:p>
    <w:p>
      <w:pPr>
        <w:pStyle w:val="Heading3"/>
        <w:spacing w:line="240" w:lineRule="auto" w:before="2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294,125,936.74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304,538,140.64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165,675,073.06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180,280,994.88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2,317,966.79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2,405,458.91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52,057,639.58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45,082,757.33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41,705,581.17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35,730,702.50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9,838,386.17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5,765,251.80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3,040,313.52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3,484,220.30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3,575,554.55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3,968,581.20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658,763.99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543,853.71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17,495,083.03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14,513,678.05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8,253,586.33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5,698,917.07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6,214,466.52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-115,347.57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-558,150.57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-115,347.57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891,468.50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2,827.15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17,361,184.77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22,861,473.52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13,976,724.11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4,593,150.91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61,800.91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31,276,107.97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27,379,624.43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3,957,011.93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4,820,951.91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27,319,096.04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22,558,672.52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27,319,096.04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22,558,672.52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27,319,096.04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22,558,672.52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0.1801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0.1801</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430,230,253.54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370,839,108.26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34,979,859.20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40,247,141.03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465,210,112.74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411,086,249.29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177,202,574.84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90,921,751.85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178,086,343.44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153,748,758.77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23,990,248.71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21,590,144.50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42,944,151.07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47,414,891.29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422,223,318.06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313,675,546.41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42,986,794.68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97,410,702.88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1,220,968.47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8,509.00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169,226,938.47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8,509.00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51"/>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86,297,408.49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30,577,077.42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374,297,408.49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34,577,077.42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-205,070,470.02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-34,568,568.42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109,497,622.00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209,497,622.00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12,958,769.05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14,620,166.71</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162,958,769.05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149,620,166.71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87,201,230.95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59,877,455.29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-3,437.01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-74,881,744.42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122,716,152.74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220,466,732.62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97,750,579.88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145,584,988.20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220,466,732.62</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295,259,154.56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306,776,438.07</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29,112,939.26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24,627,494.95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324,372,093.82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331,403,933.02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113,432,451.82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89,247,129.71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112,225,535.35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105,641,888.99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14,829,658.16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14,982,720.68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28,730,518.58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32,271,292.99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269,218,163.91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242,143,032.37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55,153,929.91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89,260,900.65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6,772,617.09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174,778,587.09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76,896,275.06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24,300,554.12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383,896,275.06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37,500,554.12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-209,117,687.97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-37,494,554.12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108,397,622.00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208,397,622.00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12,958,769.05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14,620,166.71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162,958,769.05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149,620,166.71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87,041,230.95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58,777,455.29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-3,437.01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-66,921,827.14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110,540,364.81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167,596,072.82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57,055,708.01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100,674,245.68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167,596,072.82</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146,66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127,541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,353.92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12,215,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575.78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131,749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,237.72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2,257,7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27.99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420,430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,595.41</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146,66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127,541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,353.92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12,215,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575.78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131,749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,237.72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2,257,7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27.99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420,430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,595.41</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2,731,9</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09.60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22,365,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527.58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-1,439,5</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46.39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23,657,</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890.79</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34,630,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772.68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-1,599,5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46.39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33,031,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226.29</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2,731,9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09.60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-12,265,</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245.10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35.50</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2,731,9</w:t>
            </w:r>
          </w:p>
          <w:p>
            <w:pPr>
              <w:pStyle w:val="TableParagraph"/>
              <w:spacing w:line="240" w:lineRule="auto" w:before="103"/>
              <w:ind w:left="202" w:right="0"/>
              <w:jc w:val="center"/>
              <w:rPr>
                <w:rFonts w:ascii="Times New Roman" w:hAnsi="Times New Roman" w:cs="Times New Roman" w:eastAsia="Times New Roman" w:hint="default"/>
                <w:sz w:val="18"/>
                <w:szCs w:val="18"/>
              </w:rPr>
            </w:pPr>
            <w:r>
              <w:rPr>
                <w:rFonts w:ascii="Times New Roman"/>
                <w:sz w:val="18"/>
              </w:rPr>
              <w:t>09.60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-2,731,9</w:t>
            </w:r>
          </w:p>
          <w:p>
            <w:pPr>
              <w:pStyle w:val="TableParagraph"/>
              <w:spacing w:line="240" w:lineRule="auto" w:before="103"/>
              <w:ind w:left="207" w:right="0"/>
              <w:jc w:val="center"/>
              <w:rPr>
                <w:rFonts w:ascii="Times New Roman" w:hAnsi="Times New Roman" w:cs="Times New Roman" w:eastAsia="Times New Roman" w:hint="default"/>
                <w:sz w:val="18"/>
                <w:szCs w:val="18"/>
              </w:rPr>
            </w:pPr>
            <w:r>
              <w:rPr>
                <w:rFonts w:ascii="Times New Roman"/>
                <w:sz w:val="18"/>
              </w:rPr>
              <w:t>09.60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35.50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35.50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146,66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127,541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,353.92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14,947,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485.38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154,114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,765.30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818,181</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.60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444,088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,486.20</w:t>
            </w:r>
          </w:p>
        </w:tc>
      </w:tr>
    </w:tbl>
    <w:p>
      <w:pPr>
        <w:pStyle w:val="BodyText"/>
        <w:spacing w:line="240" w:lineRule="auto" w:before="49"/>
        <w:ind w:right="0"/>
        <w:jc w:val="left"/>
      </w:pPr>
      <w:r>
        <w:rPr/>
        <w:t>上期金额</w:t>
      </w:r>
    </w:p>
    <w:p>
      <w:pPr>
        <w:pStyle w:val="BodyText"/>
        <w:spacing w:line="240" w:lineRule="auto" w:before="117"/>
        <w:ind w:left="0" w:right="1131"/>
        <w:jc w:val="right"/>
      </w:pPr>
      <w:r>
        <w:rPr/>
        <w:t>单位：元</w:t>
      </w:r>
    </w:p>
    <w:p>
      <w:pPr>
        <w:spacing w:after="0" w:line="240" w:lineRule="auto"/>
        <w:jc w:val="right"/>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1"/>
        <w:gridCol w:w="530"/>
        <w:gridCol w:w="533"/>
        <w:gridCol w:w="662"/>
        <w:gridCol w:w="665"/>
        <w:gridCol w:w="668"/>
        <w:gridCol w:w="665"/>
        <w:gridCol w:w="662"/>
        <w:gridCol w:w="665"/>
        <w:gridCol w:w="679"/>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55,810,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431.92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9,959,7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109,550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,652.71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1,240,9</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01.09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286,561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,694.25</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55,810,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431.92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9,959,7</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109,550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,652.71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1,240,9</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01.09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286,561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,694.25</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36,666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71,730,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2,255,8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67.25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22,198,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585.01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1,016,8</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26.90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133,868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,901.16</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33,987,</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787.76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-83,173</w:t>
            </w:r>
          </w:p>
          <w:p>
            <w:pPr>
              <w:pStyle w:val="TableParagraph"/>
              <w:spacing w:line="240" w:lineRule="auto" w:before="102"/>
              <w:ind w:left="393" w:right="0"/>
              <w:jc w:val="left"/>
              <w:rPr>
                <w:rFonts w:ascii="Times New Roman" w:hAnsi="Times New Roman" w:cs="Times New Roman" w:eastAsia="Times New Roman" w:hint="default"/>
                <w:sz w:val="18"/>
                <w:szCs w:val="18"/>
              </w:rPr>
            </w:pPr>
            <w:r>
              <w:rPr>
                <w:rFonts w:ascii="Times New Roman"/>
                <w:sz w:val="18"/>
              </w:rPr>
              <w:t>.10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33,904,</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614.66</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36,666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71,730,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109,497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,622.00</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70,730,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922.00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108,497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,622.00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0" w:right="0"/>
              <w:jc w:val="center"/>
              <w:rPr>
                <w:rFonts w:ascii="Times New Roman" w:hAnsi="Times New Roman" w:cs="Times New Roman" w:eastAsia="Times New Roman" w:hint="default"/>
                <w:sz w:val="18"/>
                <w:szCs w:val="18"/>
              </w:rPr>
            </w:pPr>
            <w:r>
              <w:rPr>
                <w:rFonts w:ascii="Times New Roman"/>
                <w:sz w:val="18"/>
              </w:rPr>
              <w:t>2,255,8</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67.25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-11,789,</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202.75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35.50</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2,255,8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-2,255,8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8"/>
        <w:gridCol w:w="665"/>
        <w:gridCol w:w="662"/>
        <w:gridCol w:w="665"/>
        <w:gridCol w:w="679"/>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5" w:right="0"/>
              <w:jc w:val="left"/>
              <w:rPr>
                <w:rFonts w:ascii="Times New Roman" w:hAnsi="Times New Roman" w:cs="Times New Roman" w:eastAsia="Times New Roman" w:hint="default"/>
                <w:sz w:val="18"/>
                <w:szCs w:val="18"/>
              </w:rPr>
            </w:pPr>
            <w:r>
              <w:rPr>
                <w:rFonts w:ascii="Times New Roman"/>
                <w:sz w:val="18"/>
              </w:rPr>
              <w:t>67.25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9" w:right="0"/>
              <w:jc w:val="left"/>
              <w:rPr>
                <w:rFonts w:ascii="Times New Roman" w:hAnsi="Times New Roman" w:cs="Times New Roman" w:eastAsia="Times New Roman" w:hint="default"/>
                <w:sz w:val="18"/>
                <w:szCs w:val="18"/>
              </w:rPr>
            </w:pPr>
            <w:r>
              <w:rPr>
                <w:rFonts w:ascii="Times New Roman"/>
                <w:sz w:val="18"/>
              </w:rPr>
              <w:t>67.25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35.50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35.50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146,66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127,541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,353.92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12,215,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575.78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131,749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,237.72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2,257,7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27.99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420,430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,595.41</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700.00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128,053,2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80.71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12,162,07</w:t>
            </w:r>
          </w:p>
          <w:p>
            <w:pPr>
              <w:pStyle w:val="TableParagraph"/>
              <w:spacing w:line="240" w:lineRule="auto" w:before="102"/>
              <w:ind w:left="458" w:right="0"/>
              <w:jc w:val="left"/>
              <w:rPr>
                <w:rFonts w:ascii="Times New Roman" w:hAnsi="Times New Roman" w:cs="Times New Roman" w:eastAsia="Times New Roman" w:hint="default"/>
                <w:sz w:val="18"/>
                <w:szCs w:val="18"/>
              </w:rPr>
            </w:pPr>
            <w:r>
              <w:rPr>
                <w:rFonts w:ascii="Times New Roman"/>
                <w:sz w:val="18"/>
              </w:rPr>
              <w:t>1.11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113,265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,704.52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400,147,7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56.34</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700.00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128,053,2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12,162,07</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1.11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113,265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,704.52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400,147,7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56.34</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2,731,909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15,053,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850.94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17,785,76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0.54</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27,319,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096.04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27,319,09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6.04</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2,731,909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-12,265,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245.10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-9,533,33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5.50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2,731,909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 w:right="0"/>
              <w:jc w:val="center"/>
              <w:rPr>
                <w:rFonts w:ascii="Times New Roman" w:hAnsi="Times New Roman" w:cs="Times New Roman" w:eastAsia="Times New Roman" w:hint="default"/>
                <w:sz w:val="18"/>
                <w:szCs w:val="18"/>
              </w:rPr>
            </w:pPr>
            <w:r>
              <w:rPr>
                <w:rFonts w:ascii="Times New Roman"/>
                <w:sz w:val="18"/>
              </w:rPr>
              <w:t>-2,731,9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09.60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-9,533,33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5.50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20" w:bottom="1160" w:left="980" w:right="0"/>
        </w:sectPr>
      </w:pPr>
    </w:p>
    <w:p>
      <w:pPr>
        <w:spacing w:line="240" w:lineRule="auto" w:before="9"/>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700.00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128,053,2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14,893,98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128,319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,555.46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417,933,5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16.88</w:t>
            </w:r>
          </w:p>
        </w:tc>
      </w:tr>
    </w:tbl>
    <w:p>
      <w:pPr>
        <w:pStyle w:val="BodyText"/>
        <w:spacing w:line="240" w:lineRule="auto" w:before="49"/>
        <w:ind w:right="0"/>
        <w:jc w:val="left"/>
      </w:pPr>
      <w:r>
        <w:rPr/>
        <w:t>上期金额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56,322,35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9,906,203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102,496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,234.75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278,724,7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97.32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56,322,35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9,906,203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102,496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,234.75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278,724,7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97.32</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36,666,7</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71,730,92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2,255,867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10,769,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469.77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121,422,9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59.02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22,558,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672.52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22,558,67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2.52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36,666,7</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71,730,92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108,397,6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22.00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36,666,7</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70,730,92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107,397,6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22.00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2,255,867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-11,789,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202.75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-9,533,33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5.50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2,255,867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-2,255,8</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67.25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35.50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-9,533,33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5.50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700.00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128,053,2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80.71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12,162,07</w:t>
            </w:r>
          </w:p>
          <w:p>
            <w:pPr>
              <w:pStyle w:val="TableParagraph"/>
              <w:spacing w:line="240" w:lineRule="auto" w:before="102"/>
              <w:ind w:left="458" w:right="0"/>
              <w:jc w:val="left"/>
              <w:rPr>
                <w:rFonts w:ascii="Times New Roman" w:hAnsi="Times New Roman" w:cs="Times New Roman" w:eastAsia="Times New Roman" w:hint="default"/>
                <w:sz w:val="18"/>
                <w:szCs w:val="18"/>
              </w:rPr>
            </w:pPr>
            <w:r>
              <w:rPr>
                <w:rFonts w:ascii="Times New Roman"/>
                <w:sz w:val="18"/>
              </w:rPr>
              <w:t>1.11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113,265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,704.52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400,147,7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56.34</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三、公司基本情况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2" w:lineRule="auto"/>
        <w:ind w:right="1124"/>
        <w:jc w:val="left"/>
      </w:pPr>
      <w:r>
        <w:rPr>
          <w:spacing w:val="-1"/>
        </w:rPr>
        <w:t>深圳市建筑科学研究院股份有限公司（以下简称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）原名深圳市建筑科学研究院，系根据深圳市委常委会议</w:t>
      </w:r>
      <w:r>
        <w:rPr>
          <w:spacing w:val="-78"/>
        </w:rPr>
        <w:t> </w:t>
      </w:r>
      <w:r>
        <w:rPr>
          <w:spacing w:val="-78"/>
        </w:rPr>
      </w:r>
      <w:r>
        <w:rPr>
          <w:spacing w:val="-4"/>
        </w:rPr>
        <w:t>纪要（深常纪</w:t>
      </w:r>
      <w:r>
        <w:rPr>
          <w:rFonts w:ascii="Times New Roman" w:hAnsi="Times New Roman" w:cs="Times New Roman" w:eastAsia="Times New Roman" w:hint="default"/>
          <w:spacing w:val="-4"/>
        </w:rPr>
        <w:t>[1991]</w:t>
      </w:r>
      <w:r>
        <w:rPr>
          <w:spacing w:val="-4"/>
        </w:rPr>
        <w:t>第</w:t>
      </w:r>
      <w:r>
        <w:rPr>
          <w:rFonts w:ascii="Times New Roman" w:hAnsi="Times New Roman" w:cs="Times New Roman" w:eastAsia="Times New Roman" w:hint="default"/>
          <w:spacing w:val="-4"/>
        </w:rPr>
        <w:t>39</w:t>
      </w:r>
      <w:r>
        <w:rPr>
          <w:spacing w:val="-4"/>
        </w:rPr>
        <w:t>号）、深圳市机构编制委员会（深编</w:t>
      </w:r>
      <w:r>
        <w:rPr>
          <w:rFonts w:ascii="Times New Roman" w:hAnsi="Times New Roman" w:cs="Times New Roman" w:eastAsia="Times New Roman" w:hint="default"/>
          <w:spacing w:val="-4"/>
        </w:rPr>
        <w:t>[1991]103</w:t>
      </w:r>
      <w:r>
        <w:rPr>
          <w:spacing w:val="-4"/>
        </w:rPr>
        <w:t>号）《关于重新组建深圳市建筑设计院的通知》和（深</w:t>
      </w:r>
      <w:r>
        <w:rPr>
          <w:spacing w:val="-74"/>
        </w:rPr>
        <w:t> </w:t>
      </w:r>
      <w:r>
        <w:rPr>
          <w:spacing w:val="-74"/>
        </w:rPr>
      </w:r>
      <w:r>
        <w:rPr>
          <w:spacing w:val="-1"/>
        </w:rPr>
        <w:t>编</w:t>
      </w:r>
      <w:r>
        <w:rPr>
          <w:rFonts w:ascii="Times New Roman" w:hAnsi="Times New Roman" w:cs="Times New Roman" w:eastAsia="Times New Roman" w:hint="default"/>
          <w:spacing w:val="-1"/>
        </w:rPr>
        <w:t>[1992]46</w:t>
      </w:r>
      <w:r>
        <w:rPr>
          <w:spacing w:val="-1"/>
        </w:rPr>
        <w:t>号）《关于市建筑设计院机构编制问题的批复》，在</w:t>
      </w:r>
      <w:r>
        <w:rPr>
          <w:rFonts w:ascii="Times New Roman" w:hAnsi="Times New Roman" w:cs="Times New Roman" w:eastAsia="Times New Roman" w:hint="default"/>
          <w:spacing w:val="-1"/>
        </w:rPr>
        <w:t>1991</w:t>
      </w:r>
      <w:r>
        <w:rPr>
          <w:spacing w:val="-1"/>
        </w:rPr>
        <w:t>年重新组建深圳市建筑设计院的同时，作为深圳市建筑</w:t>
      </w:r>
      <w:r>
        <w:rPr>
          <w:spacing w:val="-60"/>
        </w:rPr>
        <w:t> </w:t>
      </w:r>
      <w:r>
        <w:rPr>
          <w:spacing w:val="-60"/>
        </w:rPr>
      </w:r>
      <w:r>
        <w:rPr/>
        <w:t>设计院（现深圳市建筑设计研究总院有限公司）下属单位深圳市建筑科学研究所设立，为财政核拨补助的事业单位。</w:t>
      </w:r>
      <w:r>
        <w:rPr>
          <w:rFonts w:ascii="Times New Roman" w:hAnsi="Times New Roman" w:cs="Times New Roman" w:eastAsia="Times New Roman" w:hint="default"/>
        </w:rPr>
        <w:t>2001 </w:t>
      </w:r>
      <w:r>
        <w:rPr/>
        <w:t>年</w:t>
      </w:r>
      <w:r>
        <w:rPr>
          <w:rFonts w:ascii="Times New Roman" w:hAnsi="Times New Roman" w:cs="Times New Roman" w:eastAsia="Times New Roman" w:hint="default"/>
        </w:rPr>
        <w:t>9</w:t>
      </w:r>
      <w:r>
        <w:rPr/>
        <w:t>月经深圳市机构编制委员会办公室（深编办</w:t>
      </w:r>
      <w:r>
        <w:rPr>
          <w:rFonts w:ascii="Times New Roman" w:hAnsi="Times New Roman" w:cs="Times New Roman" w:eastAsia="Times New Roman" w:hint="default"/>
        </w:rPr>
        <w:t>[2001]55</w:t>
      </w:r>
      <w:r>
        <w:rPr/>
        <w:t>号《关于深圳市建筑科学研究所更名的批复》批准，更名为深圳市 建筑科学研究院。</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月经深圳市科技和信息局、深圳市机构编制委员会办公室深科信</w:t>
      </w:r>
      <w:r>
        <w:rPr>
          <w:rFonts w:ascii="Times New Roman" w:hAnsi="Times New Roman" w:cs="Times New Roman" w:eastAsia="Times New Roman" w:hint="default"/>
        </w:rPr>
        <w:t>[2005]376</w:t>
      </w:r>
      <w:r>
        <w:rPr/>
        <w:t>号文件批准，本公司 由事业单位改制为企业单位。</w:t>
      </w:r>
      <w:r>
        <w:rPr>
          <w:spacing w:val="-21"/>
        </w:rPr>
        <w:t> </w:t>
      </w:r>
      <w:r>
        <w:rPr/>
        <w:t>根据</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日中共深圳市委办公厅、深圳市人民政府办公厅深办</w:t>
      </w:r>
      <w:r>
        <w:rPr>
          <w:rFonts w:ascii="Times New Roman" w:hAnsi="Times New Roman" w:cs="Times New Roman" w:eastAsia="Times New Roman" w:hint="default"/>
        </w:rPr>
        <w:t>[2006]35</w:t>
      </w:r>
      <w:r>
        <w:rPr/>
        <w:t>号文件《关于 </w:t>
      </w:r>
      <w:r>
        <w:rPr>
          <w:spacing w:val="-1"/>
        </w:rPr>
        <w:t>印发</w:t>
      </w:r>
      <w:r>
        <w:rPr>
          <w:rFonts w:ascii="Times New Roman" w:hAnsi="Times New Roman" w:cs="Times New Roman" w:eastAsia="Times New Roman" w:hint="default"/>
          <w:spacing w:val="-1"/>
        </w:rPr>
        <w:t>&lt;</w:t>
      </w:r>
      <w:r>
        <w:rPr>
          <w:spacing w:val="-1"/>
        </w:rPr>
        <w:t>深圳市党政机关事业单位所属企业、转企事业单位划转工作实施方案</w:t>
      </w:r>
      <w:r>
        <w:rPr>
          <w:rFonts w:ascii="Times New Roman" w:hAnsi="Times New Roman" w:cs="Times New Roman" w:eastAsia="Times New Roman" w:hint="default"/>
          <w:spacing w:val="-1"/>
        </w:rPr>
        <w:t>&gt;</w:t>
      </w:r>
      <w:r>
        <w:rPr>
          <w:spacing w:val="-1"/>
        </w:rPr>
        <w:t>的通知》，及</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16</w:t>
      </w:r>
      <w:r>
        <w:rPr>
          <w:spacing w:val="-1"/>
        </w:rPr>
        <w:t>日深圳市规划局、深</w:t>
      </w:r>
      <w:r>
        <w:rPr>
          <w:spacing w:val="-47"/>
        </w:rPr>
        <w:t> </w:t>
      </w:r>
      <w:r>
        <w:rPr>
          <w:spacing w:val="-47"/>
        </w:rPr>
      </w:r>
      <w:r>
        <w:rPr>
          <w:spacing w:val="-2"/>
        </w:rPr>
        <w:t>圳市投资控股有限公司签订的《关于深圳市建筑设计研究总院划转和移交工作备忘录》，本公司随深圳市建筑设计研究总院</w:t>
      </w:r>
      <w:r>
        <w:rPr>
          <w:spacing w:val="-64"/>
        </w:rPr>
        <w:t> </w:t>
      </w:r>
      <w:r>
        <w:rPr>
          <w:spacing w:val="-64"/>
        </w:rPr>
      </w:r>
      <w:r>
        <w:rPr/>
        <w:t>划转到深圳市投资控股有限公司。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日，本公司办理了工商注册登记手续，领取了深圳市工商行政管理局颁发的 </w:t>
      </w:r>
      <w:r>
        <w:rPr>
          <w:rFonts w:ascii="Times New Roman" w:hAnsi="Times New Roman" w:cs="Times New Roman" w:eastAsia="Times New Roman" w:hint="default"/>
        </w:rPr>
        <w:t>440301102792750</w:t>
      </w:r>
      <w:r>
        <w:rPr/>
        <w:t>号企业法人营业执照，公司类型为有限责任公司（法人独资），股东为深圳市投资控股有限公司，占股比 例为</w:t>
      </w:r>
      <w:r>
        <w:rPr>
          <w:rFonts w:ascii="Times New Roman" w:hAnsi="Times New Roman" w:cs="Times New Roman" w:eastAsia="Times New Roman" w:hint="default"/>
        </w:rPr>
        <w:t>100%</w:t>
      </w:r>
      <w:r>
        <w:rPr/>
        <w:t>，注册资本</w:t>
      </w:r>
      <w:r>
        <w:rPr>
          <w:rFonts w:ascii="Times New Roman" w:hAnsi="Times New Roman" w:cs="Times New Roman" w:eastAsia="Times New Roman" w:hint="default"/>
        </w:rPr>
        <w:t>2,000</w:t>
      </w:r>
      <w:r>
        <w:rPr/>
        <w:t>万元，扣除以土地评估增值出资的</w:t>
      </w:r>
      <w:r>
        <w:rPr>
          <w:rFonts w:ascii="Times New Roman" w:hAnsi="Times New Roman" w:cs="Times New Roman" w:eastAsia="Times New Roman" w:hint="default"/>
        </w:rPr>
        <w:t>1,995,759.92</w:t>
      </w:r>
      <w:r>
        <w:rPr/>
        <w:t>元后实收资本为</w:t>
      </w:r>
      <w:r>
        <w:rPr>
          <w:rFonts w:ascii="Times New Roman" w:hAnsi="Times New Roman" w:cs="Times New Roman" w:eastAsia="Times New Roman" w:hint="default"/>
        </w:rPr>
        <w:t>18,004,240.08</w:t>
      </w:r>
      <w:r>
        <w:rPr/>
        <w:t>元。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日，根据《深圳市投资控股有限公司关于完善深圳市建筑科学研究院有限公司注册资本金问题的批复》（深投 控</w:t>
      </w:r>
      <w:r>
        <w:rPr>
          <w:rFonts w:ascii="Times New Roman" w:hAnsi="Times New Roman" w:cs="Times New Roman" w:eastAsia="Times New Roman" w:hint="default"/>
        </w:rPr>
        <w:t>[2012]169</w:t>
      </w:r>
      <w:r>
        <w:rPr/>
        <w:t>号）文件，深圳市投资控股有限公司以货币资金人民币</w:t>
      </w:r>
      <w:r>
        <w:rPr>
          <w:rFonts w:ascii="Times New Roman" w:hAnsi="Times New Roman" w:cs="Times New Roman" w:eastAsia="Times New Roman" w:hint="default"/>
        </w:rPr>
        <w:t>1,995,759.92</w:t>
      </w:r>
      <w:r>
        <w:rPr/>
        <w:t>元等额置换</w:t>
      </w:r>
      <w:r>
        <w:rPr>
          <w:rFonts w:ascii="Times New Roman" w:hAnsi="Times New Roman" w:cs="Times New Roman" w:eastAsia="Times New Roman" w:hint="default"/>
        </w:rPr>
        <w:t>2007</w:t>
      </w:r>
      <w:r>
        <w:rPr/>
        <w:t>年改制土地评估增值出资，</w:t>
      </w:r>
    </w:p>
    <w:p>
      <w:pPr>
        <w:spacing w:after="0" w:line="302" w:lineRule="auto"/>
        <w:jc w:val="left"/>
        <w:sectPr>
          <w:pgSz w:w="11910" w:h="16840"/>
          <w:pgMar w:header="852" w:footer="980" w:top="1320" w:bottom="1160" w:left="980" w:right="0"/>
        </w:sectPr>
      </w:pPr>
    </w:p>
    <w:p>
      <w:pPr>
        <w:pStyle w:val="BodyText"/>
        <w:spacing w:line="302" w:lineRule="auto" w:before="111"/>
        <w:ind w:right="1029"/>
        <w:jc w:val="left"/>
      </w:pPr>
      <w:r>
        <w:rPr/>
        <w:t>出资后，公司注册资本</w:t>
      </w:r>
      <w:r>
        <w:rPr>
          <w:rFonts w:ascii="Times New Roman" w:hAnsi="Times New Roman" w:cs="Times New Roman" w:eastAsia="Times New Roman" w:hint="default"/>
        </w:rPr>
        <w:t>2,000</w:t>
      </w:r>
      <w:r>
        <w:rPr/>
        <w:t>万元，实收资本</w:t>
      </w:r>
      <w:r>
        <w:rPr>
          <w:rFonts w:ascii="Times New Roman" w:hAnsi="Times New Roman" w:cs="Times New Roman" w:eastAsia="Times New Roman" w:hint="default"/>
        </w:rPr>
        <w:t>2,000</w:t>
      </w:r>
      <w:r>
        <w:rPr/>
        <w:t>万元。 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日深圳市人民政府国有资产监督管理委员会深国资委</w:t>
      </w:r>
      <w:r>
        <w:rPr>
          <w:rFonts w:ascii="Times New Roman" w:hAnsi="Times New Roman" w:cs="Times New Roman" w:eastAsia="Times New Roman" w:hint="default"/>
        </w:rPr>
        <w:t>[2012]132</w:t>
      </w:r>
      <w:r>
        <w:rPr/>
        <w:t>号文件《关于深圳市建筑科学研究院有限公 </w:t>
      </w:r>
      <w:r>
        <w:rPr>
          <w:spacing w:val="-2"/>
        </w:rPr>
        <w:t>司引进战略投资者同时实施管理层和核心骨干持股总体方案的批复》，</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日经本公司股东会决议和增资协议，本</w:t>
      </w:r>
      <w:r>
        <w:rPr>
          <w:spacing w:val="-60"/>
        </w:rPr>
        <w:t> </w:t>
      </w:r>
      <w:r>
        <w:rPr>
          <w:spacing w:val="-60"/>
        </w:rPr>
      </w:r>
      <w:r>
        <w:rPr/>
        <w:t>公司注册资本由原来</w:t>
      </w:r>
      <w:r>
        <w:rPr>
          <w:rFonts w:ascii="Times New Roman" w:hAnsi="Times New Roman" w:cs="Times New Roman" w:eastAsia="Times New Roman" w:hint="default"/>
        </w:rPr>
        <w:t>2,000</w:t>
      </w:r>
      <w:r>
        <w:rPr/>
        <w:t>万元人民币变更为</w:t>
      </w:r>
      <w:r>
        <w:rPr>
          <w:rFonts w:ascii="Times New Roman" w:hAnsi="Times New Roman" w:cs="Times New Roman" w:eastAsia="Times New Roman" w:hint="default"/>
        </w:rPr>
        <w:t>3,333.3333</w:t>
      </w:r>
      <w:r>
        <w:rPr/>
        <w:t>万元人民币，变更后股东出资和股权比例为：深圳市投资控股有限公 司出资额</w:t>
      </w:r>
      <w:r>
        <w:rPr>
          <w:rFonts w:ascii="Times New Roman" w:hAnsi="Times New Roman" w:cs="Times New Roman" w:eastAsia="Times New Roman" w:hint="default"/>
        </w:rPr>
        <w:t>2,000</w:t>
      </w:r>
      <w:r>
        <w:rPr/>
        <w:t>万元人民币，股权比例为</w:t>
      </w:r>
      <w:r>
        <w:rPr>
          <w:rFonts w:ascii="Times New Roman" w:hAnsi="Times New Roman" w:cs="Times New Roman" w:eastAsia="Times New Roman" w:hint="default"/>
        </w:rPr>
        <w:t>60%</w:t>
      </w:r>
      <w:r>
        <w:rPr/>
        <w:t>；中关村发展集团股份有限公司出资额</w:t>
      </w:r>
      <w:r>
        <w:rPr>
          <w:rFonts w:ascii="Times New Roman" w:hAnsi="Times New Roman" w:cs="Times New Roman" w:eastAsia="Times New Roman" w:hint="default"/>
        </w:rPr>
        <w:t>333.3333</w:t>
      </w:r>
      <w:r>
        <w:rPr/>
        <w:t>万元人民币，股权比例为</w:t>
      </w:r>
      <w:r>
        <w:rPr>
          <w:rFonts w:ascii="Times New Roman" w:hAnsi="Times New Roman" w:cs="Times New Roman" w:eastAsia="Times New Roman" w:hint="default"/>
        </w:rPr>
        <w:t>10%</w:t>
      </w:r>
      <w:r>
        <w:rPr/>
        <w:t>； </w:t>
      </w:r>
      <w:r>
        <w:rPr>
          <w:spacing w:val="-6"/>
        </w:rPr>
        <w:t>深圳市英龙建安（集团）有限公司出资额</w:t>
      </w:r>
      <w:r>
        <w:rPr>
          <w:rFonts w:ascii="Times New Roman" w:hAnsi="Times New Roman" w:cs="Times New Roman" w:eastAsia="Times New Roman" w:hint="default"/>
          <w:spacing w:val="-6"/>
        </w:rPr>
        <w:t>333.3333</w:t>
      </w:r>
      <w:r>
        <w:rPr>
          <w:spacing w:val="-6"/>
        </w:rPr>
        <w:t>万元人民币，股权比例为</w:t>
      </w:r>
      <w:r>
        <w:rPr>
          <w:rFonts w:ascii="Times New Roman" w:hAnsi="Times New Roman" w:cs="Times New Roman" w:eastAsia="Times New Roman" w:hint="default"/>
          <w:spacing w:val="-6"/>
        </w:rPr>
        <w:t>10%</w:t>
      </w:r>
      <w:r>
        <w:rPr>
          <w:spacing w:val="-6"/>
        </w:rPr>
        <w:t>；深圳市创新投资集团有限公司出资额</w:t>
      </w:r>
      <w:r>
        <w:rPr>
          <w:rFonts w:ascii="Times New Roman" w:hAnsi="Times New Roman" w:cs="Times New Roman" w:eastAsia="Times New Roman" w:hint="default"/>
          <w:spacing w:val="-6"/>
        </w:rPr>
        <w:t>166.6667</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万元人民币，股权比例为</w:t>
      </w:r>
      <w:r>
        <w:rPr>
          <w:rFonts w:ascii="Times New Roman" w:hAnsi="Times New Roman" w:cs="Times New Roman" w:eastAsia="Times New Roman" w:hint="default"/>
        </w:rPr>
        <w:t>5%</w:t>
      </w:r>
      <w:r>
        <w:rPr/>
        <w:t>；深圳市建科投资股份有限公司出资额</w:t>
      </w:r>
      <w:r>
        <w:rPr>
          <w:rFonts w:ascii="Times New Roman" w:hAnsi="Times New Roman" w:cs="Times New Roman" w:eastAsia="Times New Roman" w:hint="default"/>
        </w:rPr>
        <w:t>500</w:t>
      </w:r>
      <w:r>
        <w:rPr/>
        <w:t>万元人民币，股权比例为</w:t>
      </w:r>
      <w:r>
        <w:rPr>
          <w:rFonts w:ascii="Times New Roman" w:hAnsi="Times New Roman" w:cs="Times New Roman" w:eastAsia="Times New Roman" w:hint="default"/>
        </w:rPr>
        <w:t>15%</w:t>
      </w:r>
      <w:r>
        <w:rPr/>
        <w:t>。上述出资业经中天运 会计师事务所有限公司深圳分所出具的中天运（深圳）</w:t>
      </w:r>
      <w:r>
        <w:rPr>
          <w:rFonts w:ascii="Times New Roman" w:hAnsi="Times New Roman" w:cs="Times New Roman" w:eastAsia="Times New Roman" w:hint="default"/>
        </w:rPr>
        <w:t>[2012]</w:t>
      </w:r>
      <w:r>
        <w:rPr/>
        <w:t>验字第</w:t>
      </w:r>
      <w:r>
        <w:rPr>
          <w:rFonts w:ascii="Times New Roman" w:hAnsi="Times New Roman" w:cs="Times New Roman" w:eastAsia="Times New Roman" w:hint="default"/>
        </w:rPr>
        <w:t>00007</w:t>
      </w:r>
      <w:r>
        <w:rPr/>
        <w:t>号《验资报告》验证。本公司已于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日办理了工商变更登记手续。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日，本公司按照发起人协议及章程（草案）的规定，以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日为基准日，将深圳市建筑科学研究院有 限公司整体变更设立为股份有限公司，以截至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日深圳市建筑科学研究院有限公司的净资产人民币</w:t>
      </w:r>
      <w:r>
        <w:rPr>
          <w:rFonts w:ascii="Times New Roman" w:hAnsi="Times New Roman" w:cs="Times New Roman" w:eastAsia="Times New Roman" w:hint="default"/>
        </w:rPr>
        <w:t>166,322,358.71 </w:t>
      </w:r>
      <w:r>
        <w:rPr/>
        <w:t>元，按</w:t>
      </w:r>
      <w:r>
        <w:rPr>
          <w:rFonts w:ascii="Times New Roman" w:hAnsi="Times New Roman" w:cs="Times New Roman" w:eastAsia="Times New Roman" w:hint="default"/>
        </w:rPr>
        <w:t>1:0.6614</w:t>
      </w:r>
      <w:r>
        <w:rPr/>
        <w:t>的比例折合股份总额</w:t>
      </w:r>
      <w:r>
        <w:rPr>
          <w:rFonts w:ascii="Times New Roman" w:hAnsi="Times New Roman" w:cs="Times New Roman" w:eastAsia="Times New Roman" w:hint="default"/>
        </w:rPr>
        <w:t>11,000</w:t>
      </w:r>
      <w:r>
        <w:rPr/>
        <w:t>万股，每股</w:t>
      </w:r>
      <w:r>
        <w:rPr>
          <w:rFonts w:ascii="Times New Roman" w:hAnsi="Times New Roman" w:cs="Times New Roman" w:eastAsia="Times New Roman" w:hint="default"/>
        </w:rPr>
        <w:t>1</w:t>
      </w:r>
      <w:r>
        <w:rPr/>
        <w:t>元，共计股本人民币</w:t>
      </w:r>
      <w:r>
        <w:rPr>
          <w:rFonts w:ascii="Times New Roman" w:hAnsi="Times New Roman" w:cs="Times New Roman" w:eastAsia="Times New Roman" w:hint="default"/>
        </w:rPr>
        <w:t>110,000,000.00</w:t>
      </w:r>
      <w:r>
        <w:rPr/>
        <w:t>元，大于股本部分计入资本公积。 变更后股东出资和股权比例为：深圳市投资控股有限公司出资额</w:t>
      </w:r>
      <w:r>
        <w:rPr>
          <w:rFonts w:ascii="Times New Roman" w:hAnsi="Times New Roman" w:cs="Times New Roman" w:eastAsia="Times New Roman" w:hint="default"/>
        </w:rPr>
        <w:t>6,600</w:t>
      </w:r>
      <w:r>
        <w:rPr/>
        <w:t>万元人民币，股权比例为</w:t>
      </w:r>
      <w:r>
        <w:rPr>
          <w:rFonts w:ascii="Times New Roman" w:hAnsi="Times New Roman" w:cs="Times New Roman" w:eastAsia="Times New Roman" w:hint="default"/>
        </w:rPr>
        <w:t>60%</w:t>
      </w:r>
      <w:r>
        <w:rPr/>
        <w:t>；深圳市建科投资股份 </w:t>
      </w:r>
      <w:r>
        <w:rPr>
          <w:spacing w:val="-4"/>
        </w:rPr>
        <w:t>有限公司出资额</w:t>
      </w:r>
      <w:r>
        <w:rPr>
          <w:rFonts w:ascii="Times New Roman" w:hAnsi="Times New Roman" w:cs="Times New Roman" w:eastAsia="Times New Roman" w:hint="default"/>
          <w:spacing w:val="-4"/>
        </w:rPr>
        <w:t>1,650</w:t>
      </w:r>
      <w:r>
        <w:rPr>
          <w:spacing w:val="-4"/>
        </w:rPr>
        <w:t>万元人民币，股权比例为</w:t>
      </w:r>
      <w:r>
        <w:rPr>
          <w:rFonts w:ascii="Times New Roman" w:hAnsi="Times New Roman" w:cs="Times New Roman" w:eastAsia="Times New Roman" w:hint="default"/>
          <w:spacing w:val="-4"/>
        </w:rPr>
        <w:t>15%</w:t>
      </w:r>
      <w:r>
        <w:rPr>
          <w:spacing w:val="-4"/>
        </w:rPr>
        <w:t>；中关村发展集团股份有限公司出资额</w:t>
      </w:r>
      <w:r>
        <w:rPr>
          <w:rFonts w:ascii="Times New Roman" w:hAnsi="Times New Roman" w:cs="Times New Roman" w:eastAsia="Times New Roman" w:hint="default"/>
          <w:spacing w:val="-4"/>
        </w:rPr>
        <w:t>1,100</w:t>
      </w:r>
      <w:r>
        <w:rPr>
          <w:spacing w:val="-4"/>
        </w:rPr>
        <w:t>万元人民币，股权比例为</w:t>
      </w:r>
      <w:r>
        <w:rPr>
          <w:rFonts w:ascii="Times New Roman" w:hAnsi="Times New Roman" w:cs="Times New Roman" w:eastAsia="Times New Roman" w:hint="default"/>
          <w:spacing w:val="-4"/>
        </w:rPr>
        <w:t>10%</w:t>
      </w:r>
      <w:r>
        <w:rPr>
          <w:spacing w:val="-4"/>
        </w:rPr>
        <w:t>；</w:t>
      </w:r>
      <w:r>
        <w:rPr>
          <w:spacing w:val="-48"/>
        </w:rPr>
        <w:t> </w:t>
      </w:r>
      <w:r>
        <w:rPr/>
        <w:t>深圳市英龙建安（集团）有限公司出资额</w:t>
      </w:r>
      <w:r>
        <w:rPr>
          <w:rFonts w:ascii="Times New Roman" w:hAnsi="Times New Roman" w:cs="Times New Roman" w:eastAsia="Times New Roman" w:hint="default"/>
        </w:rPr>
        <w:t>1,100</w:t>
      </w:r>
      <w:r>
        <w:rPr/>
        <w:t>万元人民币，股权比例为</w:t>
      </w:r>
      <w:r>
        <w:rPr>
          <w:rFonts w:ascii="Times New Roman" w:hAnsi="Times New Roman" w:cs="Times New Roman" w:eastAsia="Times New Roman" w:hint="default"/>
        </w:rPr>
        <w:t>10%</w:t>
      </w:r>
      <w:r>
        <w:rPr/>
        <w:t>；深圳市创新投资集团有限公司出资额</w:t>
      </w:r>
      <w:r>
        <w:rPr>
          <w:rFonts w:ascii="Times New Roman" w:hAnsi="Times New Roman" w:cs="Times New Roman" w:eastAsia="Times New Roman" w:hint="default"/>
        </w:rPr>
        <w:t>550</w:t>
      </w:r>
      <w:r>
        <w:rPr/>
        <w:t>万元</w:t>
      </w:r>
      <w:r>
        <w:rPr>
          <w:spacing w:val="-3"/>
        </w:rPr>
        <w:t> 人民币，股权比例为</w:t>
      </w:r>
      <w:r>
        <w:rPr>
          <w:rFonts w:ascii="Times New Roman" w:hAnsi="Times New Roman" w:cs="Times New Roman" w:eastAsia="Times New Roman" w:hint="default"/>
          <w:spacing w:val="-3"/>
        </w:rPr>
        <w:t>5%</w:t>
      </w:r>
      <w:r>
        <w:rPr>
          <w:spacing w:val="-3"/>
        </w:rPr>
        <w:t>。上述出资业经立信会计师事务所（特殊普通合伙）出具的信会师报字</w:t>
      </w:r>
      <w:r>
        <w:rPr>
          <w:rFonts w:ascii="Times New Roman" w:hAnsi="Times New Roman" w:cs="Times New Roman" w:eastAsia="Times New Roman" w:hint="default"/>
          <w:spacing w:val="-3"/>
        </w:rPr>
        <w:t>[2013]</w:t>
      </w:r>
      <w:r>
        <w:rPr>
          <w:spacing w:val="-3"/>
        </w:rPr>
        <w:t>第</w:t>
      </w:r>
      <w:r>
        <w:rPr>
          <w:rFonts w:ascii="Times New Roman" w:hAnsi="Times New Roman" w:cs="Times New Roman" w:eastAsia="Times New Roman" w:hint="default"/>
          <w:spacing w:val="-3"/>
        </w:rPr>
        <w:t>310546</w:t>
      </w:r>
      <w:r>
        <w:rPr>
          <w:spacing w:val="-3"/>
        </w:rPr>
        <w:t>号《验资报告》</w:t>
      </w:r>
      <w:r>
        <w:rPr>
          <w:spacing w:val="-82"/>
        </w:rPr>
        <w:t> </w:t>
      </w:r>
      <w:r>
        <w:rPr>
          <w:spacing w:val="-82"/>
        </w:rPr>
      </w:r>
      <w:r>
        <w:rPr/>
        <w:t>验证。本公司已于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日办理了工商变更登记手续。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日，根据深圳市人民政府国有资产监督管理委员会关于对本公司股权实施战略性调整的通知（深国资委 </w:t>
      </w:r>
      <w:r>
        <w:rPr>
          <w:rFonts w:ascii="Times New Roman" w:hAnsi="Times New Roman" w:cs="Times New Roman" w:eastAsia="Times New Roman" w:hint="default"/>
          <w:spacing w:val="-2"/>
        </w:rPr>
        <w:t>[2014]564</w:t>
      </w:r>
      <w:r>
        <w:rPr>
          <w:spacing w:val="-2"/>
        </w:rPr>
        <w:t>号），决定将深圳市投资控股有限公司持有的本公司</w:t>
      </w:r>
      <w:r>
        <w:rPr>
          <w:rFonts w:ascii="Times New Roman" w:hAnsi="Times New Roman" w:cs="Times New Roman" w:eastAsia="Times New Roman" w:hint="default"/>
          <w:spacing w:val="-2"/>
        </w:rPr>
        <w:t>60%</w:t>
      </w:r>
      <w:r>
        <w:rPr>
          <w:spacing w:val="-2"/>
        </w:rPr>
        <w:t>股权战略性调整至深圳市远致投资有限公司，深圳市投资</w:t>
      </w:r>
      <w:r>
        <w:rPr>
          <w:spacing w:val="-54"/>
        </w:rPr>
        <w:t> </w:t>
      </w:r>
      <w:r>
        <w:rPr>
          <w:spacing w:val="-54"/>
        </w:rPr>
      </w:r>
      <w:r>
        <w:rPr/>
        <w:t>控股有限公司已于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日在深圳联合产权交易所办理完权益交割。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日，本公司经中国证券监督管理委员会证监许可</w:t>
      </w:r>
      <w:r>
        <w:rPr>
          <w:rFonts w:ascii="Times New Roman" w:hAnsi="Times New Roman" w:cs="Times New Roman" w:eastAsia="Times New Roman" w:hint="default"/>
        </w:rPr>
        <w:t>[2017]1028</w:t>
      </w:r>
      <w:r>
        <w:rPr/>
        <w:t>号文《关于核准深圳市建筑科学研究院股份有限公 司首次公开发行股票的批复》核准向社会公众公开发行人民币普通股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36,666,700</w:t>
      </w:r>
      <w:r>
        <w:rPr/>
        <w:t>股。本公司于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日向社会公 众投资者定价发行人民币普通股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)36,666,700</w:t>
      </w:r>
      <w:r>
        <w:rPr/>
        <w:t>股，注册资本变更为人民币</w:t>
      </w:r>
      <w:r>
        <w:rPr>
          <w:rFonts w:ascii="Times New Roman" w:hAnsi="Times New Roman" w:cs="Times New Roman" w:eastAsia="Times New Roman" w:hint="default"/>
        </w:rPr>
        <w:t>146,666,700.00</w:t>
      </w:r>
      <w:r>
        <w:rPr/>
        <w:t>元。上述出资业经立信会计师事 务所（特殊普通合伙）出具的信会师报字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ZI10642</w:t>
      </w:r>
      <w:r>
        <w:rPr/>
        <w:t>号《验资报告》验证。本公司股票于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日在深圳证券交 易所挂牌交易。</w:t>
      </w:r>
    </w:p>
    <w:p>
      <w:pPr>
        <w:pStyle w:val="BodyText"/>
        <w:spacing w:line="309" w:lineRule="auto" w:before="30"/>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日，公司注册资本为人民币</w:t>
      </w:r>
      <w:r>
        <w:rPr>
          <w:rFonts w:ascii="Times New Roman" w:hAnsi="Times New Roman" w:cs="Times New Roman" w:eastAsia="Times New Roman" w:hint="default"/>
        </w:rPr>
        <w:t>146,666,700.00</w:t>
      </w:r>
      <w:r>
        <w:rPr/>
        <w:t>元。 </w:t>
      </w:r>
      <w:r>
        <w:rPr>
          <w:spacing w:val="-2"/>
        </w:rPr>
        <w:t>公司经营范围：城市及建筑科学研究，城市规划编制，工程咨询、勘察、设计、质量检测与检查、项目管理、监理及相关技</w:t>
      </w:r>
      <w:r>
        <w:rPr>
          <w:spacing w:val="-65"/>
        </w:rPr>
        <w:t> </w:t>
      </w:r>
      <w:r>
        <w:rPr>
          <w:spacing w:val="-65"/>
        </w:rPr>
      </w:r>
      <w:r>
        <w:rPr>
          <w:spacing w:val="-2"/>
        </w:rPr>
        <w:t>术服务，环境工程检测和咨询，建筑工程性能评估，能耗测评及节能检测评价，绿色节能改造咨询与施工，绿色建筑与园区</w:t>
      </w:r>
      <w:r>
        <w:rPr>
          <w:spacing w:val="-67"/>
        </w:rPr>
        <w:t> </w:t>
      </w:r>
      <w:r>
        <w:rPr>
          <w:spacing w:val="-67"/>
        </w:rPr>
      </w:r>
      <w:r>
        <w:rPr/>
        <w:t>运营管理，碳审计与评估，绿色低碳技术与产品开发、咨询、投资、培训推广和销售贸易，会议展览，物业租赁与管理</w:t>
      </w:r>
      <w:r>
        <w:rPr>
          <w:rFonts w:ascii="Times New Roman" w:hAnsi="Times New Roman" w:cs="Times New Roman" w:eastAsia="Times New Roman" w:hint="default"/>
        </w:rPr>
        <w:t>,</w:t>
      </w:r>
      <w:r>
        <w:rPr/>
        <w:t>建 筑服务。绿色低碳技术培训推广。</w:t>
      </w:r>
    </w:p>
    <w:p>
      <w:pPr>
        <w:pStyle w:val="BodyText"/>
        <w:spacing w:line="309" w:lineRule="auto" w:before="24"/>
        <w:ind w:right="6074"/>
        <w:jc w:val="left"/>
      </w:pPr>
      <w:r>
        <w:rPr/>
        <w:t>公司法定代表人：叶青 公司注册地址：深圳市福田区上梅林梅坳三路</w:t>
      </w:r>
      <w:r>
        <w:rPr>
          <w:rFonts w:ascii="Times New Roman" w:hAnsi="Times New Roman" w:cs="Times New Roman" w:eastAsia="Times New Roman" w:hint="default"/>
        </w:rPr>
        <w:t>29</w:t>
      </w:r>
      <w:r>
        <w:rPr/>
        <w:t>号建科大楼</w:t>
      </w:r>
      <w:r>
        <w:rPr>
          <w:spacing w:val="-87"/>
        </w:rPr>
        <w:t> </w:t>
      </w: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日批准报出。</w:t>
      </w:r>
    </w:p>
    <w:p>
      <w:pPr>
        <w:pStyle w:val="BodyText"/>
        <w:spacing w:line="309" w:lineRule="auto" w:before="5"/>
        <w:ind w:right="1034"/>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日止，公司合并财务报表范围内子公司共</w:t>
      </w:r>
      <w:r>
        <w:rPr>
          <w:rFonts w:ascii="Times New Roman" w:hAnsi="Times New Roman" w:cs="Times New Roman" w:eastAsia="Times New Roman" w:hint="default"/>
        </w:rPr>
        <w:t>12</w:t>
      </w:r>
      <w:r>
        <w:rPr/>
        <w:t>户，包括：建研检测、市政中心、北京艾科城、深圳艾科城、 </w:t>
      </w:r>
      <w:r>
        <w:rPr>
          <w:spacing w:val="-2"/>
        </w:rPr>
        <w:t>常州城建艾科、上海爱轲、迪赛恩、艾科筑业、深圳玖伊、雄安玖壹、绿研检验、建信筑和，其中建信筑和为本期新增子公</w:t>
      </w:r>
      <w:r>
        <w:rPr>
          <w:spacing w:val="-65"/>
        </w:rPr>
        <w:t> </w:t>
      </w:r>
      <w:r>
        <w:rPr>
          <w:spacing w:val="-65"/>
        </w:rPr>
      </w:r>
      <w:r>
        <w:rPr/>
        <w:t>司。</w:t>
      </w:r>
    </w:p>
    <w:p>
      <w:pPr>
        <w:pStyle w:val="BodyText"/>
        <w:spacing w:line="240" w:lineRule="auto" w:before="25"/>
        <w:ind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37"/>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四、财务报表的编制基础</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0"/>
        <w:jc w:val="left"/>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3"/>
        </w:rPr>
        <w:t> </w:t>
      </w:r>
      <w:r>
        <w:rPr>
          <w:spacing w:val="-63"/>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p>
    <w:p>
      <w:pPr>
        <w:spacing w:after="0" w:line="300" w:lineRule="auto"/>
        <w:jc w:val="left"/>
        <w:sectPr>
          <w:pgSz w:w="11910" w:h="16840"/>
          <w:pgMar w:header="852" w:footer="980" w:top="1320" w:bottom="1160" w:left="980" w:right="0"/>
        </w:sectPr>
      </w:pPr>
    </w:p>
    <w:p>
      <w:pPr>
        <w:pStyle w:val="BodyText"/>
        <w:spacing w:line="240" w:lineRule="auto" w:before="111"/>
        <w:ind w:right="0"/>
        <w:jc w:val="left"/>
      </w:pPr>
      <w:r>
        <w:rPr/>
        <w:t>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0"/>
        <w:jc w:val="left"/>
      </w:pPr>
      <w:r>
        <w:rPr>
          <w:spacing w:val="-2"/>
        </w:rPr>
        <w:t>本公司已评价自报告期末起至少</w:t>
      </w:r>
      <w:r>
        <w:rPr>
          <w:rFonts w:ascii="Times New Roman" w:hAnsi="Times New Roman" w:cs="Times New Roman" w:eastAsia="Times New Roman" w:hint="default"/>
          <w:spacing w:val="-2"/>
        </w:rPr>
        <w:t>12</w:t>
      </w:r>
      <w:r>
        <w:rPr>
          <w:spacing w:val="-2"/>
        </w:rPr>
        <w:t>个月的持续经营能力，本公司管理层相信公司能自本财务报表批准日后不短于</w:t>
      </w:r>
      <w:r>
        <w:rPr>
          <w:rFonts w:ascii="Times New Roman" w:hAnsi="Times New Roman" w:cs="Times New Roman" w:eastAsia="Times New Roman" w:hint="default"/>
          <w:spacing w:val="-2"/>
        </w:rPr>
        <w:t>12</w:t>
      </w:r>
      <w:r>
        <w:rPr>
          <w:spacing w:val="-2"/>
        </w:rPr>
        <w:t>个月的可</w:t>
      </w:r>
      <w:r>
        <w:rPr>
          <w:spacing w:val="-61"/>
        </w:rPr>
        <w:t> </w:t>
      </w:r>
      <w:r>
        <w:rPr>
          <w:spacing w:val="-61"/>
        </w:rPr>
      </w:r>
      <w:r>
        <w:rPr/>
        <w:t>预见未来期间内持续经营。因此，本公司以持续经营为基础编制截至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月</w:t>
      </w:r>
      <w:r>
        <w:rPr>
          <w:rFonts w:ascii="Times New Roman" w:hAnsi="Times New Roman" w:cs="Times New Roman" w:eastAsia="Times New Roman" w:hint="default"/>
        </w:rPr>
        <w:t>31</w:t>
      </w:r>
      <w:r>
        <w:rPr/>
        <w:t>日止的财务报表。</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7694"/>
        <w:jc w:val="left"/>
      </w:pPr>
      <w:r>
        <w:rPr/>
        <w:t>公司是否需要遵守特殊行业的披露要求 否</w:t>
      </w:r>
    </w:p>
    <w:p>
      <w:pPr>
        <w:pStyle w:val="BodyText"/>
        <w:spacing w:line="360" w:lineRule="auto" w:before="25"/>
        <w:ind w:right="1574"/>
        <w:jc w:val="left"/>
      </w:pPr>
      <w:r>
        <w:rPr/>
        <w:t>具体会计政策和会计估计提示： 公司重要会计政策及会计估计，是依据财政部发布的企业会计准则的有关规定并结合本公司生产经营特点所制定的。</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19"/>
        <w:jc w:val="left"/>
      </w:pPr>
      <w:r>
        <w:rPr>
          <w:spacing w:val="-2"/>
        </w:rPr>
        <w:t>公司所编制的财务报表符合企业会计准则的要求，真实、完整地反映了报告期公司的财务状况、经营成果、现金流量等有关</w:t>
      </w:r>
      <w:r>
        <w:rPr>
          <w:spacing w:val="-65"/>
        </w:rPr>
        <w:t> </w:t>
      </w:r>
      <w:r>
        <w:rPr>
          <w:spacing w:val="-65"/>
        </w:rPr>
      </w:r>
      <w:r>
        <w:rPr/>
        <w:t>信息。</w:t>
      </w:r>
    </w:p>
    <w:p>
      <w:pPr>
        <w:spacing w:line="240" w:lineRule="auto" w:before="9"/>
        <w:rPr>
          <w:rFonts w:ascii="宋体" w:hAnsi="宋体" w:cs="宋体" w:eastAsia="宋体" w:hint="default"/>
          <w:sz w:val="17"/>
          <w:szCs w:val="17"/>
        </w:rPr>
      </w:pPr>
    </w:p>
    <w:p>
      <w:pPr>
        <w:spacing w:line="482" w:lineRule="auto" w:before="0"/>
        <w:ind w:left="152" w:right="715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、营业周期</w:t>
      </w:r>
      <w:r>
        <w:rPr>
          <w:rFonts w:ascii="Microsoft JhengHei" w:hAnsi="Microsoft JhengHei" w:cs="Microsoft JhengHei" w:eastAsia="Microsoft JhengHei" w:hint="default"/>
          <w:sz w:val="21"/>
          <w:szCs w:val="21"/>
        </w:rPr>
      </w:r>
    </w:p>
    <w:p>
      <w:pPr>
        <w:spacing w:line="482" w:lineRule="auto" w:before="54"/>
        <w:ind w:left="152" w:right="8054"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z w:val="18"/>
          <w:szCs w:val="18"/>
        </w:rPr>
        <w:t>本公司采用人民币为记账本位币。</w:t>
      </w:r>
    </w:p>
    <w:p>
      <w:pPr>
        <w:pStyle w:val="Heading3"/>
        <w:spacing w:line="240" w:lineRule="auto" w:before="107"/>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jc w:val="left"/>
      </w:pPr>
      <w:r>
        <w:rPr>
          <w:spacing w:val="-2"/>
        </w:rPr>
        <w:t>同一控制下企业合并：本公司在企业合并中取得的资产和负债，按照合并日被合并方资产、负债（包括最终控制方收购被合</w:t>
      </w:r>
      <w:r>
        <w:rPr>
          <w:spacing w:val="-64"/>
        </w:rPr>
        <w:t> </w:t>
      </w:r>
      <w:r>
        <w:rPr>
          <w:spacing w:val="-64"/>
        </w:rPr>
      </w:r>
      <w:r>
        <w:rPr>
          <w:spacing w:val="-2"/>
        </w:rPr>
        <w:t>并方而形成的商誉）在最终控制方合并财务报表中的账面价值计量。在合并中取得的净资产账面价值与支付的合并对价账面</w:t>
      </w:r>
      <w:r>
        <w:rPr>
          <w:spacing w:val="-64"/>
        </w:rPr>
        <w:t> </w:t>
      </w:r>
      <w:r>
        <w:rPr>
          <w:spacing w:val="-64"/>
        </w:rPr>
      </w:r>
      <w:r>
        <w:rPr/>
        <w:t>价值（或发行股份面值总额）的差额，调整资本公积中的股本溢价，资本公积中的股本溢价不足冲减的，调整留存收益。 </w:t>
      </w:r>
      <w:r>
        <w:rPr>
          <w:spacing w:val="-2"/>
        </w:rPr>
        <w:t>非同一控制下企业合并：本公司在购买日对作为企业合并对价付出的资产、发生或承担的负债按照公允价值计量，公允价值</w:t>
      </w:r>
      <w:r>
        <w:rPr>
          <w:spacing w:val="-63"/>
        </w:rPr>
        <w:t> </w:t>
      </w:r>
      <w:r>
        <w:rPr>
          <w:spacing w:val="-63"/>
        </w:rPr>
      </w:r>
      <w:r>
        <w:rPr>
          <w:spacing w:val="-2"/>
        </w:rPr>
        <w:t>与其账面价值的差额，计入当期损益。本公司对合并成本大于合并中取得的被购买方可辨认净资产公允价值份额的差额，确</w:t>
      </w:r>
      <w:r>
        <w:rPr>
          <w:spacing w:val="-63"/>
        </w:rPr>
        <w:t> </w:t>
      </w:r>
      <w:r>
        <w:rPr>
          <w:spacing w:val="-63"/>
        </w:rPr>
      </w:r>
      <w:r>
        <w:rPr/>
        <w:t>认为商誉；合并成本小于合并中取得的被购买方可辨认净资产公允价值份额的差额，经复核后，计入当期损益。 </w:t>
      </w:r>
      <w:r>
        <w:rPr>
          <w:spacing w:val="-2"/>
        </w:rPr>
        <w:t>为企业合并发生的审计、法律服务、评估咨询等中介费用以及其他直接相关费用，于发生时计入当期损益；为企业合并而发</w:t>
      </w:r>
      <w:r>
        <w:rPr>
          <w:spacing w:val="-63"/>
        </w:rPr>
        <w:t> </w:t>
      </w:r>
      <w:r>
        <w:rPr>
          <w:spacing w:val="-63"/>
        </w:rPr>
      </w:r>
      <w:r>
        <w:rPr/>
        <w:t>行权益性证券的交易费用，冲减权益。</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1</w:t>
      </w:r>
      <w:r>
        <w:rPr/>
        <w:t>、合并范围</w:t>
      </w:r>
    </w:p>
    <w:p>
      <w:pPr>
        <w:spacing w:after="0" w:line="240" w:lineRule="auto"/>
        <w:jc w:val="left"/>
        <w:sectPr>
          <w:pgSz w:w="11910" w:h="16840"/>
          <w:pgMar w:header="852" w:footer="980" w:top="1320" w:bottom="1160" w:left="980" w:right="0"/>
        </w:sectPr>
      </w:pPr>
    </w:p>
    <w:p>
      <w:pPr>
        <w:pStyle w:val="BodyText"/>
        <w:spacing w:line="319" w:lineRule="auto" w:before="111"/>
        <w:ind w:right="1119"/>
        <w:jc w:val="left"/>
      </w:pPr>
      <w:r>
        <w:rPr>
          <w:spacing w:val="-2"/>
        </w:rPr>
        <w:t>本公司合并财务报表的合并范围以控制为基础确定，所有子公司（包括本公司所控制的被投资方可分割的部分）均纳入合并</w:t>
      </w:r>
      <w:r>
        <w:rPr>
          <w:spacing w:val="-63"/>
        </w:rPr>
        <w:t> </w:t>
      </w:r>
      <w:r>
        <w:rPr>
          <w:spacing w:val="-63"/>
        </w:rPr>
      </w:r>
      <w:r>
        <w:rPr/>
        <w:t>财务报表。</w:t>
      </w:r>
    </w:p>
    <w:p>
      <w:pPr>
        <w:pStyle w:val="BodyText"/>
        <w:spacing w:line="316" w:lineRule="auto" w:before="17"/>
        <w:ind w:right="1119"/>
        <w:jc w:val="left"/>
      </w:pPr>
      <w:r>
        <w:rPr>
          <w:rFonts w:ascii="Times New Roman" w:hAnsi="Times New Roman" w:cs="Times New Roman" w:eastAsia="Times New Roman" w:hint="default"/>
        </w:rPr>
        <w:t>2</w:t>
      </w:r>
      <w:r>
        <w:rPr/>
        <w:t>、合并程序 </w:t>
      </w:r>
      <w:r>
        <w:rPr>
          <w:spacing w:val="-2"/>
        </w:rPr>
        <w:t>本公司以自身和各子公司的财务报表为基础，根据其他有关资料，编制合并财务报表。本公司编制合并财务报表，将整个企</w:t>
      </w:r>
      <w:r>
        <w:rPr>
          <w:spacing w:val="-64"/>
        </w:rPr>
        <w:t> </w:t>
      </w:r>
      <w:r>
        <w:rPr>
          <w:spacing w:val="-64"/>
        </w:rPr>
      </w:r>
      <w:r>
        <w:rPr>
          <w:spacing w:val="-2"/>
        </w:rPr>
        <w:t>业集团视为一个会计主体，依据相关企业会计准则的确认、计量和列报要求，按照统一的会计政策，反映本企业集团整体财</w:t>
      </w:r>
      <w:r>
        <w:rPr>
          <w:spacing w:val="-65"/>
        </w:rPr>
        <w:t> </w:t>
      </w:r>
      <w:r>
        <w:rPr>
          <w:spacing w:val="-65"/>
        </w:rPr>
      </w:r>
      <w:r>
        <w:rPr/>
        <w:t>务状况、经营成果和现金流量。 </w:t>
      </w:r>
      <w:r>
        <w:rPr>
          <w:spacing w:val="-2"/>
        </w:rPr>
        <w:t>所有纳入合并财务报表合并范围的子公司所采用的会计政策、会计期间与本公司一致，如子公司采用的会计政策、会计期间</w:t>
      </w:r>
      <w:r>
        <w:rPr>
          <w:spacing w:val="-65"/>
        </w:rPr>
        <w:t> </w:t>
      </w:r>
      <w:r>
        <w:rPr>
          <w:spacing w:val="-65"/>
        </w:rPr>
      </w:r>
      <w:r>
        <w:rPr>
          <w:spacing w:val="-2"/>
        </w:rPr>
        <w:t>与本公司不一致的，在编制合并财务报表时，按本公司的会计政策、会计期间进行必要的调整。对于非同一控制下企业合并</w:t>
      </w:r>
      <w:r>
        <w:rPr>
          <w:spacing w:val="-65"/>
        </w:rPr>
        <w:t> </w:t>
      </w:r>
      <w:r>
        <w:rPr>
          <w:spacing w:val="-65"/>
        </w:rPr>
      </w:r>
      <w:r>
        <w:rPr>
          <w:spacing w:val="-2"/>
        </w:rPr>
        <w:t>取得的子公司，以购买日可辨认净资产公允价值为基础对其财务报表进行调整。对于同一控制下企业合并取得的子公司，以</w:t>
      </w:r>
      <w:r>
        <w:rPr>
          <w:spacing w:val="-63"/>
        </w:rPr>
        <w:t> </w:t>
      </w:r>
      <w:r>
        <w:rPr>
          <w:spacing w:val="-63"/>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 </w:t>
      </w: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pStyle w:val="BodyText"/>
        <w:spacing w:line="316" w:lineRule="auto" w:before="19"/>
        <w:ind w:right="1034"/>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在报告期内，若因同一控制下企业合并增加子公司或业务的，则调整合并资产负债表的期初数；将子公司或业务合并当期期</w:t>
      </w:r>
      <w:r>
        <w:rPr>
          <w:spacing w:val="-63"/>
        </w:rPr>
        <w:t> </w:t>
      </w:r>
      <w:r>
        <w:rPr>
          <w:spacing w:val="-63"/>
        </w:rPr>
      </w:r>
      <w:r>
        <w:rPr>
          <w:spacing w:val="-2"/>
        </w:rPr>
        <w:t>初至报告期末的收入、费用、利润纳入合并利润表；将子公司或业务合并当期期初至报告期末的现金流量纳入合并现金流量</w:t>
      </w:r>
      <w:r>
        <w:rPr>
          <w:spacing w:val="-65"/>
        </w:rPr>
        <w:t> </w:t>
      </w:r>
      <w:r>
        <w:rPr>
          <w:spacing w:val="-65"/>
        </w:rPr>
      </w:r>
      <w:r>
        <w:rPr/>
        <w:t>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 </w:t>
      </w:r>
      <w:r>
        <w:rPr>
          <w:spacing w:val="-2"/>
        </w:rPr>
        <w:t>在报告期内，若因非同一控制下企业合并增加子公司或业务的，则不调整合并资产负债表期初数；将该子公司或业务自购买</w:t>
      </w:r>
      <w:r>
        <w:rPr>
          <w:spacing w:val="-63"/>
        </w:rPr>
        <w:t> </w:t>
      </w:r>
      <w:r>
        <w:rPr>
          <w:spacing w:val="-63"/>
        </w:rPr>
      </w:r>
      <w:r>
        <w:rPr/>
        <w:t>日至报告期末的收入、费用、利润纳入合并利润表；该子公司或业务自购买日至报告期末的现金流量纳入合并现金流量表。</w:t>
      </w:r>
      <w:r>
        <w:rPr/>
        <w:t> </w:t>
      </w: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r>
        <w:rPr>
          <w:spacing w:val="-64"/>
        </w:rPr>
        <w:t> </w:t>
      </w:r>
      <w:r>
        <w:rPr>
          <w:spacing w:val="-64"/>
        </w:rPr>
      </w: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p>
    <w:p>
      <w:pPr>
        <w:pStyle w:val="BodyText"/>
        <w:spacing w:line="240" w:lineRule="auto" w:before="19"/>
        <w:ind w:right="0"/>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right="0"/>
        <w:jc w:val="left"/>
      </w:pPr>
      <w:r>
        <w:rPr/>
        <w:t>①一般处理方法 </w:t>
      </w:r>
      <w:r>
        <w:rPr>
          <w:spacing w:val="-2"/>
        </w:rPr>
        <w:t>在报告期内，本公司处置子公司或业务，则该子公司或业务期初至处置日的收入、费用、利润纳入合并利润表；该子公司或</w:t>
      </w:r>
      <w:r>
        <w:rPr>
          <w:spacing w:val="-67"/>
        </w:rPr>
        <w:t> </w:t>
      </w:r>
      <w:r>
        <w:rPr>
          <w:spacing w:val="-67"/>
        </w:rPr>
      </w:r>
      <w:r>
        <w:rPr/>
        <w:t>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2"/>
        </w:rPr>
        <w:t> </w:t>
      </w:r>
      <w:r>
        <w:rPr>
          <w:spacing w:val="-62"/>
        </w:rPr>
      </w:r>
      <w:r>
        <w:rPr/>
        <w:t>被投资方重新计量设定受益计划净负债或净资产变动而产生的其他综合收益除外。 因其他投资方对子公司增资而导致本公司持股比例下降从而丧失控制权的，按照上述原则进行会计处理。</w:t>
      </w:r>
    </w:p>
    <w:p>
      <w:pPr>
        <w:pStyle w:val="BodyText"/>
        <w:spacing w:line="316" w:lineRule="auto" w:before="19"/>
        <w:ind w:right="0"/>
        <w:jc w:val="left"/>
      </w:pPr>
      <w:r>
        <w:rPr/>
        <w:t>②分步处置子公司 </w:t>
      </w: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 ⅰ．这些交易是同时或者在考虑了彼此影响的情况下订立的；</w:t>
      </w:r>
    </w:p>
    <w:p>
      <w:pPr>
        <w:pStyle w:val="BodyText"/>
        <w:spacing w:line="240" w:lineRule="auto" w:before="18"/>
        <w:ind w:right="0"/>
        <w:jc w:val="left"/>
      </w:pPr>
      <w:r>
        <w:rPr/>
        <w:t>ⅱ．这些交易整体才能达成一项完整的商业结果；</w:t>
      </w:r>
    </w:p>
    <w:p>
      <w:pPr>
        <w:spacing w:after="0" w:line="240" w:lineRule="auto"/>
        <w:jc w:val="left"/>
        <w:sectPr>
          <w:pgSz w:w="11910" w:h="16840"/>
          <w:pgMar w:header="852" w:footer="980" w:top="1320" w:bottom="1160" w:left="980" w:right="0"/>
        </w:sectPr>
      </w:pPr>
    </w:p>
    <w:p>
      <w:pPr>
        <w:pStyle w:val="BodyText"/>
        <w:spacing w:line="316" w:lineRule="auto" w:before="111"/>
        <w:ind w:right="1119"/>
        <w:jc w:val="left"/>
      </w:pPr>
      <w:r>
        <w:rPr/>
        <w:t>ⅲ．一项交易的发生取决于其他至少一项交易的发生； ⅳ．一项交易单独看是不经济的，但是和其他交易一并考虑时是经济的。 </w:t>
      </w: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5"/>
        </w:rPr>
        <w:t> </w:t>
      </w:r>
      <w:r>
        <w:rPr>
          <w:spacing w:val="-65"/>
        </w:rPr>
      </w:r>
      <w:r>
        <w:rPr/>
        <w:t>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r>
        <w:rPr>
          <w:spacing w:val="-63"/>
        </w:rPr>
        <w:t> </w:t>
      </w:r>
      <w:r>
        <w:rPr>
          <w:spacing w:val="-63"/>
        </w:rPr>
      </w:r>
      <w:r>
        <w:rPr/>
        <w:t>处置对子公司的股权投资的相关政策进行会计处理；在丧失控制权时，按处置子公司一般处理方法进行会计处理。</w:t>
      </w:r>
    </w:p>
    <w:p>
      <w:pPr>
        <w:pStyle w:val="BodyText"/>
        <w:spacing w:line="312" w:lineRule="auto" w:before="19"/>
        <w:ind w:right="1119"/>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本公司因购买少数股权新取得的长期股权投资与按照新增持股比例计算应享有子公司自购买日（或合并日）开始持续计算的</w:t>
      </w:r>
      <w:r>
        <w:rPr>
          <w:spacing w:val="-64"/>
        </w:rPr>
        <w:t> </w:t>
      </w:r>
      <w:r>
        <w:rPr>
          <w:spacing w:val="-64"/>
        </w:rPr>
      </w:r>
      <w:r>
        <w:rPr>
          <w:spacing w:val="-2"/>
        </w:rPr>
        <w:t>净资产份额之间的差额，调整合并资产负债表中的资本公积中的股本溢价，资本公积中的股本溢价不足冲减的，调整留存收</w:t>
      </w:r>
      <w:r>
        <w:rPr>
          <w:spacing w:val="-63"/>
        </w:rPr>
        <w:t> </w:t>
      </w:r>
      <w:r>
        <w:rPr>
          <w:spacing w:val="-63"/>
        </w:rPr>
      </w:r>
      <w:r>
        <w:rPr/>
        <w:t>益。</w:t>
      </w:r>
    </w:p>
    <w:p>
      <w:pPr>
        <w:pStyle w:val="BodyText"/>
        <w:spacing w:line="312" w:lineRule="auto" w:before="22"/>
        <w:ind w:right="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 </w:t>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2834"/>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right="4724"/>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三、（十三）长期股权投资</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0"/>
        <w:jc w:val="left"/>
      </w:pPr>
      <w:r>
        <w:rPr>
          <w:spacing w:val="-2"/>
        </w:rPr>
        <w:t>在编制现金流量表时，将本公司库存现金以及可以随时用于支付的存款确认为现金。将同时具备期限短（从购买日起三个月</w:t>
      </w:r>
      <w:r>
        <w:rPr>
          <w:spacing w:val="-63"/>
        </w:rPr>
        <w:t> </w:t>
      </w:r>
      <w:r>
        <w:rPr>
          <w:spacing w:val="-63"/>
        </w:rPr>
      </w:r>
      <w:r>
        <w:rPr/>
        <w:t>内到期）、流动性强、易于转换为已知现金、价值变动风险很小四个条件的投资，确定为现金等价物。</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4274"/>
        <w:jc w:val="left"/>
      </w:pP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6" w:lineRule="auto" w:before="32"/>
        <w:ind w:right="0"/>
        <w:jc w:val="left"/>
      </w:pP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p>
    <w:p>
      <w:pPr>
        <w:pStyle w:val="BodyText"/>
        <w:spacing w:line="309" w:lineRule="auto" w:before="19"/>
        <w:ind w:right="0"/>
        <w:jc w:val="left"/>
      </w:pPr>
      <w:r>
        <w:rPr>
          <w:rFonts w:ascii="Times New Roman" w:hAnsi="Times New Roman" w:cs="Times New Roman" w:eastAsia="Times New Roman" w:hint="default"/>
        </w:rPr>
        <w:t>2</w:t>
      </w:r>
      <w:r>
        <w:rPr/>
        <w:t>、外币财务报表的折算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 </w:t>
      </w:r>
      <w:r>
        <w:rPr>
          <w:spacing w:val="-4"/>
        </w:rPr>
        <w:t>用发生时的即期汇率折算。利润表中的收入和费用项目，采用交易发生日的即期汇率（或：采用按照系统合理的方法确定的、</w:t>
      </w:r>
      <w:r>
        <w:rPr>
          <w:spacing w:val="-45"/>
        </w:rPr>
        <w:t> </w:t>
      </w:r>
      <w:r>
        <w:rPr>
          <w:spacing w:val="-45"/>
        </w:rPr>
      </w:r>
      <w:r>
        <w:rPr/>
        <w:t>与交易发生日即期汇率近似的汇率。提示：若采用此种方法，应明示何种方法何种口径）折算。 处置境外经营时，将与该境外经营相关的外币财务报表折算差额，自所有者权益项目转入处置当期损益。</w:t>
      </w:r>
    </w:p>
    <w:p>
      <w:pPr>
        <w:spacing w:after="0" w:line="309" w:lineRule="auto"/>
        <w:jc w:val="left"/>
        <w:sectPr>
          <w:pgSz w:w="11910" w:h="16840"/>
          <w:pgMar w:header="852" w:footer="980" w:top="1320" w:bottom="1160" w:left="980" w:right="0"/>
        </w:sectPr>
      </w:pPr>
    </w:p>
    <w:p>
      <w:pPr>
        <w:pStyle w:val="Heading3"/>
        <w:spacing w:line="240" w:lineRule="auto" w:before="24"/>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8054"/>
        <w:jc w:val="left"/>
      </w:pPr>
      <w:r>
        <w:rPr>
          <w:rFonts w:ascii="Times New Roman" w:hAnsi="Times New Roman" w:cs="Times New Roman" w:eastAsia="Times New Roman" w:hint="default"/>
        </w:rPr>
        <w:t>1</w:t>
      </w:r>
      <w:r>
        <w:rPr/>
        <w:t>、金融工具的分类 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BodyText"/>
        <w:spacing w:line="316" w:lineRule="auto" w:before="13"/>
        <w:ind w:right="0"/>
        <w:jc w:val="left"/>
      </w:pPr>
      <w:r>
        <w:rPr>
          <w:spacing w:val="-2"/>
        </w:rPr>
        <w:t>根据本公司管理金融资产的业务模式和金融资产的合同现金流量特征，金融资产于初始确认时分类为：以摊余成本计量的金</w:t>
      </w:r>
      <w:r>
        <w:rPr>
          <w:spacing w:val="-64"/>
        </w:rPr>
        <w:t> </w:t>
      </w:r>
      <w:r>
        <w:rPr>
          <w:spacing w:val="-64"/>
        </w:rPr>
      </w:r>
      <w:r>
        <w:rPr>
          <w:spacing w:val="-2"/>
        </w:rPr>
        <w:t>融资产、以公允价值计量且其变动计入其他综合收益的金融资产（债务工具）和以公允价值计量且其变动计入当期损益的金</w:t>
      </w:r>
      <w:r>
        <w:rPr>
          <w:spacing w:val="-65"/>
        </w:rPr>
        <w:t> </w:t>
      </w:r>
      <w:r>
        <w:rPr>
          <w:spacing w:val="-65"/>
        </w:rPr>
      </w:r>
      <w:r>
        <w:rPr>
          <w:spacing w:val="-2"/>
        </w:rPr>
        <w:t>融资产。对于非交易性权益工具投资，本公司在初始确认时确定是否将其指定为以公允价值计量且其变动计入其他综合收益</w:t>
      </w:r>
      <w:r>
        <w:rPr>
          <w:spacing w:val="-64"/>
        </w:rPr>
        <w:t> </w:t>
      </w:r>
      <w:r>
        <w:rPr>
          <w:spacing w:val="-64"/>
        </w:rPr>
      </w:r>
      <w:r>
        <w:rPr>
          <w:spacing w:val="-2"/>
        </w:rPr>
        <w:t>的金融资产（权益工具）。在初始确认时，为了能够消除或显著减少会计错配，可以将金融资产指定为以公允价值计量且其</w:t>
      </w:r>
      <w:r>
        <w:rPr>
          <w:spacing w:val="-65"/>
        </w:rPr>
        <w:t> </w:t>
      </w:r>
      <w:r>
        <w:rPr>
          <w:spacing w:val="-65"/>
        </w:rPr>
      </w:r>
      <w:r>
        <w:rPr/>
        <w:t>变动计入当期损益的金融资产。 金融负债于初始确认时分类为：以公允价值计量且其变动计入当期损益的金融负债和以摊余成本计量的金融负债。 符合以下条件之一的金融负债可在初始计量时指定为以公允价值计量且其变动计入当期损益的金融负债： </w:t>
      </w:r>
      <w:r>
        <w:rPr>
          <w:rFonts w:ascii="Times New Roman" w:hAnsi="Times New Roman" w:cs="Times New Roman" w:eastAsia="Times New Roman" w:hint="default"/>
        </w:rPr>
        <w:t>1</w:t>
      </w:r>
      <w:r>
        <w:rPr/>
        <w:t>）该项指定能够消除或显著减少会计错配。</w:t>
      </w:r>
    </w:p>
    <w:p>
      <w:pPr>
        <w:pStyle w:val="BodyText"/>
        <w:spacing w:line="300" w:lineRule="auto"/>
        <w:ind w:right="1124"/>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）根据正式书面文件载明的企业风险管理或投资策略，以公允价值为基础对金融负债组合或金融资产和金融负债组合进行 管理和业绩评价，并在企业内部以此为基础向关键管理人员报告。</w:t>
      </w:r>
    </w:p>
    <w:p>
      <w:pPr>
        <w:pStyle w:val="BodyText"/>
        <w:spacing w:line="240" w:lineRule="auto" w:before="31"/>
        <w:ind w:right="0"/>
        <w:jc w:val="left"/>
      </w:pPr>
      <w:r>
        <w:rPr>
          <w:rFonts w:ascii="Times New Roman" w:hAnsi="Times New Roman" w:cs="Times New Roman" w:eastAsia="Times New Roman" w:hint="default"/>
        </w:rPr>
        <w:t>3</w:t>
      </w:r>
      <w:r>
        <w:rPr/>
        <w:t>）该金融负债包含需单独分拆的嵌入衍生工具。</w:t>
      </w:r>
    </w:p>
    <w:p>
      <w:pPr>
        <w:pStyle w:val="BodyText"/>
        <w:spacing w:line="312" w:lineRule="auto" w:before="63"/>
        <w:ind w:right="103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 </w:t>
      </w: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 可供出售金融资产；其他金融负债等。</w:t>
      </w:r>
    </w:p>
    <w:p>
      <w:pPr>
        <w:pStyle w:val="BodyText"/>
        <w:spacing w:line="300" w:lineRule="auto" w:before="22"/>
        <w:ind w:right="7964"/>
        <w:jc w:val="left"/>
      </w:pPr>
      <w:r>
        <w:rPr>
          <w:rFonts w:ascii="Times New Roman" w:hAnsi="Times New Roman" w:cs="Times New Roman" w:eastAsia="Times New Roman" w:hint="default"/>
        </w:rPr>
        <w:t>2</w:t>
      </w:r>
      <w:r>
        <w:rPr/>
        <w:t>、金融工具的确认依据和计量方法 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BodyText"/>
        <w:spacing w:line="312" w:lineRule="auto" w:before="13"/>
        <w:ind w:right="1034"/>
        <w:jc w:val="left"/>
      </w:pPr>
      <w:r>
        <w:rPr/>
        <w:t>（</w:t>
      </w:r>
      <w:r>
        <w:rPr>
          <w:rFonts w:ascii="Times New Roman" w:hAnsi="Times New Roman" w:cs="Times New Roman" w:eastAsia="Times New Roman" w:hint="default"/>
        </w:rPr>
        <w:t>1</w:t>
      </w:r>
      <w:r>
        <w:rPr/>
        <w:t>）以摊余成本计量的金融资产 以摊余成本计量的金融资产包括应收票据及应收账款、其他应收款、长期应收款、债权投资等，按公允价值进行初始计量， 相关交易费用计入初始确认金额；不包含重大融资成分的应收账款以及本公司决定不考虑不超过一年的融资成分的应收账 款，以合同交易价格进行初始计量。</w:t>
      </w:r>
    </w:p>
    <w:p>
      <w:pPr>
        <w:pStyle w:val="BodyText"/>
        <w:spacing w:line="316" w:lineRule="auto" w:before="23"/>
        <w:ind w:right="4454"/>
        <w:jc w:val="left"/>
      </w:pPr>
      <w:r>
        <w:rPr/>
        <w:t>持有期间采用实际利率法计算的利息计入当期损益。 收回或处置时，将取得的价款与该金融资产账面价值之间的差额计入当期损益。</w:t>
      </w:r>
    </w:p>
    <w:p>
      <w:pPr>
        <w:pStyle w:val="BodyText"/>
        <w:spacing w:line="314" w:lineRule="auto" w:before="19"/>
        <w:ind w:right="0"/>
        <w:jc w:val="left"/>
      </w:pPr>
      <w:r>
        <w:rPr/>
        <w:t>（</w:t>
      </w:r>
      <w:r>
        <w:rPr>
          <w:rFonts w:ascii="Times New Roman" w:hAnsi="Times New Roman" w:cs="Times New Roman" w:eastAsia="Times New Roman" w:hint="default"/>
        </w:rPr>
        <w:t>2</w:t>
      </w:r>
      <w:r>
        <w:rPr/>
        <w:t>）以公允价值计量且其变动计入其他综合收益的金融资产（债务工具） </w:t>
      </w:r>
      <w:r>
        <w:rPr>
          <w:spacing w:val="-2"/>
        </w:rPr>
        <w:t>以公允价值计量且其变动计入其他综合收益的金融资产（债务工具）包括其他债权投资等，按公允价值进行初始计量，相关</w:t>
      </w:r>
      <w:r>
        <w:rPr>
          <w:spacing w:val="-64"/>
        </w:rPr>
        <w:t> </w:t>
      </w:r>
      <w:r>
        <w:rPr>
          <w:spacing w:val="-64"/>
        </w:rPr>
      </w:r>
      <w:r>
        <w:rPr>
          <w:spacing w:val="-2"/>
        </w:rPr>
        <w:t>交易费用计入初始确认金额。该金融资产按公允价值进行后续计量，公允价值变动除采用实际利率法计算的利息、减值损失</w:t>
      </w:r>
      <w:r>
        <w:rPr>
          <w:spacing w:val="-63"/>
        </w:rPr>
        <w:t> </w:t>
      </w:r>
      <w:r>
        <w:rPr>
          <w:spacing w:val="-63"/>
        </w:rPr>
      </w:r>
      <w:r>
        <w:rPr/>
        <w:t>或利得和汇兑损益之外，均计入其他综合收益。 终止确认时，之前计入其他综合收益的累计利得或损失从其他综合收益中转出，计入当期损益。</w:t>
      </w:r>
    </w:p>
    <w:p>
      <w:pPr>
        <w:pStyle w:val="BodyText"/>
        <w:spacing w:line="312" w:lineRule="auto" w:before="20"/>
        <w:ind w:right="1034"/>
        <w:jc w:val="left"/>
      </w:pPr>
      <w:r>
        <w:rPr/>
        <w:t>（</w:t>
      </w:r>
      <w:r>
        <w:rPr>
          <w:rFonts w:ascii="Times New Roman" w:hAnsi="Times New Roman" w:cs="Times New Roman" w:eastAsia="Times New Roman" w:hint="default"/>
        </w:rPr>
        <w:t>3</w:t>
      </w:r>
      <w:r>
        <w:rPr/>
        <w:t>）以公允价值计量且其变动计入其他综合收益的金融资产（权益工具） 以公允价值计量且其变动计入其他综合收益的金融资产（权益工具）包括其他权益工具投资等，按公允价值进行初始计量， </w:t>
      </w:r>
      <w:r>
        <w:rPr>
          <w:spacing w:val="-2"/>
        </w:rPr>
        <w:t>相关交易费用计入初始确认金额。该金融资产按公允价值进行后续计量，公允价值变动计入其他综合收益。取得的股利计入</w:t>
      </w:r>
      <w:r>
        <w:rPr>
          <w:spacing w:val="-63"/>
        </w:rPr>
        <w:t> </w:t>
      </w:r>
      <w:r>
        <w:rPr>
          <w:spacing w:val="-63"/>
        </w:rPr>
      </w:r>
      <w:r>
        <w:rPr/>
        <w:t>当期损益。</w:t>
      </w:r>
    </w:p>
    <w:p>
      <w:pPr>
        <w:pStyle w:val="BodyText"/>
        <w:spacing w:line="240" w:lineRule="auto" w:before="22"/>
        <w:ind w:right="0"/>
        <w:jc w:val="left"/>
      </w:pPr>
      <w:r>
        <w:rPr/>
        <w:t>终止确认时，之前计入其他综合收益的累计利得或损失从其他综合收益中转出，计入留存收益。</w:t>
      </w:r>
    </w:p>
    <w:p>
      <w:pPr>
        <w:pStyle w:val="BodyText"/>
        <w:spacing w:line="312" w:lineRule="auto" w:before="77"/>
        <w:ind w:right="0"/>
        <w:jc w:val="left"/>
      </w:pPr>
      <w:r>
        <w:rPr/>
        <w:t>（</w:t>
      </w:r>
      <w:r>
        <w:rPr>
          <w:rFonts w:ascii="Times New Roman" w:hAnsi="Times New Roman" w:cs="Times New Roman" w:eastAsia="Times New Roman" w:hint="default"/>
        </w:rPr>
        <w:t>4</w:t>
      </w:r>
      <w:r>
        <w:rPr/>
        <w:t>）以公允价值计量且其变动计入当期损益的金融资产 </w:t>
      </w:r>
      <w:r>
        <w:rPr>
          <w:spacing w:val="-2"/>
        </w:rPr>
        <w:t>以公允价值计量且其变动计入当期损益的金融资产包括交易性金融资产、衍生金融资产、其他非流动金融资产等，按公允价</w:t>
      </w:r>
      <w:r>
        <w:rPr>
          <w:spacing w:val="-65"/>
        </w:rPr>
        <w:t> </w:t>
      </w:r>
      <w:r>
        <w:rPr>
          <w:spacing w:val="-65"/>
        </w:rPr>
      </w:r>
      <w:r>
        <w:rPr/>
        <w:t>值进行初始计量，相关交易费用计入当期损益。该金融资产按公允价值进行后续计量，公允价值变动计入当期损益。 终止确认时，其公允价值与初始入账金额之间的差额确认为投资收益，同时调整公允价值变动损益。</w:t>
      </w:r>
    </w:p>
    <w:p>
      <w:pPr>
        <w:pStyle w:val="BodyText"/>
        <w:spacing w:line="309" w:lineRule="auto" w:before="22"/>
        <w:ind w:right="0"/>
        <w:jc w:val="left"/>
      </w:pPr>
      <w:r>
        <w:rPr/>
        <w:t>（</w:t>
      </w:r>
      <w:r>
        <w:rPr>
          <w:rFonts w:ascii="Times New Roman" w:hAnsi="Times New Roman" w:cs="Times New Roman" w:eastAsia="Times New Roman" w:hint="default"/>
        </w:rPr>
        <w:t>5</w:t>
      </w:r>
      <w:r>
        <w:rPr/>
        <w:t>）以公允价值计量且其变动计入当期损益的金融负债 </w:t>
      </w:r>
      <w:r>
        <w:rPr>
          <w:spacing w:val="-2"/>
        </w:rPr>
        <w:t>以公允价值计量且其变动计入当期损益的金融负债包括交易性金融负债、衍生金融负债等，按公允价值进行初始计量，相关</w:t>
      </w:r>
      <w:r>
        <w:rPr>
          <w:spacing w:val="-65"/>
        </w:rPr>
        <w:t> </w:t>
      </w:r>
      <w:r>
        <w:rPr>
          <w:spacing w:val="-65"/>
        </w:rPr>
      </w:r>
      <w:r>
        <w:rPr/>
        <w:t>交易费用计入当期损益。该金融负债按公允价值进行后续计量，公允价值变动计入当期损益。</w:t>
      </w:r>
    </w:p>
    <w:p>
      <w:pPr>
        <w:spacing w:after="0" w:line="309" w:lineRule="auto"/>
        <w:jc w:val="left"/>
        <w:sectPr>
          <w:pgSz w:w="11910" w:h="16840"/>
          <w:pgMar w:header="852" w:footer="980" w:top="1320" w:bottom="1160" w:left="980" w:right="0"/>
        </w:sectPr>
      </w:pPr>
    </w:p>
    <w:p>
      <w:pPr>
        <w:pStyle w:val="BodyText"/>
        <w:spacing w:line="240" w:lineRule="auto" w:before="111"/>
        <w:ind w:right="0"/>
        <w:jc w:val="left"/>
      </w:pPr>
      <w:r>
        <w:rPr/>
        <w:t>终止确认时，其公允价值与初始入账金额之间的差额确认为投资收益，同时调整公允价值变动损益。</w:t>
      </w:r>
    </w:p>
    <w:p>
      <w:pPr>
        <w:pStyle w:val="BodyText"/>
        <w:spacing w:line="309" w:lineRule="auto" w:before="77"/>
        <w:ind w:right="0"/>
        <w:jc w:val="left"/>
      </w:pPr>
      <w:r>
        <w:rPr/>
        <w:t>（</w:t>
      </w:r>
      <w:r>
        <w:rPr>
          <w:rFonts w:ascii="Times New Roman" w:hAnsi="Times New Roman" w:cs="Times New Roman" w:eastAsia="Times New Roman" w:hint="default"/>
        </w:rPr>
        <w:t>6</w:t>
      </w:r>
      <w:r>
        <w:rPr/>
        <w:t>）以摊余成本计量的金融负债 </w:t>
      </w:r>
      <w:r>
        <w:rPr>
          <w:spacing w:val="-2"/>
        </w:rPr>
        <w:t>以摊余成本计量的金融负债包括短期借款、应付票据及应付账款、其他应付款、长期借款、应付债券、长期应付款，按公允</w:t>
      </w:r>
      <w:r>
        <w:rPr>
          <w:spacing w:val="-67"/>
        </w:rPr>
        <w:t> </w:t>
      </w:r>
      <w:r>
        <w:rPr>
          <w:spacing w:val="-67"/>
        </w:rPr>
      </w:r>
      <w:r>
        <w:rPr/>
        <w:t>价值进行初始计量，相关交易费用计入初始确认金额。</w:t>
      </w:r>
    </w:p>
    <w:p>
      <w:pPr>
        <w:pStyle w:val="BodyText"/>
        <w:spacing w:line="316" w:lineRule="auto" w:before="24"/>
        <w:ind w:right="4634"/>
        <w:jc w:val="left"/>
      </w:pPr>
      <w:r>
        <w:rPr/>
        <w:t>持有期间采用实际利率法计算的利息计入当期损益。 终止确认时，将支付的对价与该金融负债账面价值之间的差额计入当期损益。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p>
    <w:p>
      <w:pPr>
        <w:pStyle w:val="BodyText"/>
        <w:spacing w:line="309" w:lineRule="auto"/>
        <w:ind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316" w:lineRule="auto" w:before="24"/>
        <w:ind w:right="3194"/>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2" w:lineRule="auto" w:before="19"/>
        <w:ind w:right="1119"/>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持有期间按照摊余成本和实际利率计算确认利息收入，计入投资收益。实际利率在取得时确定，在该预期存续期间或适用的</w:t>
      </w:r>
      <w:r>
        <w:rPr>
          <w:spacing w:val="-63"/>
        </w:rPr>
        <w:t> </w:t>
      </w:r>
      <w:r>
        <w:rPr>
          <w:spacing w:val="-63"/>
        </w:rPr>
      </w:r>
      <w:r>
        <w:rPr/>
        <w:t>更短期间内保持不变。</w:t>
      </w:r>
    </w:p>
    <w:p>
      <w:pPr>
        <w:pStyle w:val="BodyText"/>
        <w:spacing w:line="240" w:lineRule="auto" w:before="22"/>
        <w:ind w:right="0"/>
        <w:jc w:val="left"/>
      </w:pPr>
      <w:r>
        <w:rPr/>
        <w:t>处置时，将所取得价款与该投资账面价值之间的差额计入投资收益。</w:t>
      </w:r>
    </w:p>
    <w:p>
      <w:pPr>
        <w:pStyle w:val="BodyText"/>
        <w:spacing w:line="312" w:lineRule="auto" w:before="76"/>
        <w:ind w:right="1034"/>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5"/>
        </w:rPr>
        <w:t> </w:t>
      </w:r>
      <w:r>
        <w:rPr>
          <w:spacing w:val="-65"/>
        </w:rPr>
      </w:r>
      <w:r>
        <w:rPr/>
        <w:t>确认。</w:t>
      </w:r>
    </w:p>
    <w:p>
      <w:pPr>
        <w:pStyle w:val="BodyText"/>
        <w:spacing w:line="240" w:lineRule="auto" w:before="22"/>
        <w:ind w:right="0"/>
        <w:jc w:val="left"/>
      </w:pPr>
      <w:r>
        <w:rPr/>
        <w:t>收回或处置时，将取得的价款与该应收款项账面价值之间的差额计入当期损益。</w:t>
      </w:r>
    </w:p>
    <w:p>
      <w:pPr>
        <w:pStyle w:val="BodyText"/>
        <w:spacing w:line="314" w:lineRule="auto" w:before="76"/>
        <w:ind w:right="1119"/>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 </w:t>
      </w:r>
      <w:r>
        <w:rPr>
          <w:spacing w:val="-2"/>
        </w:rPr>
        <w:t>持有期间将取得的利息或现金股利确认为投资收益。期末以公允价值计量且将公允价值变动计入其他综合收益。但是，在活</w:t>
      </w:r>
      <w:r>
        <w:rPr>
          <w:spacing w:val="-65"/>
        </w:rPr>
        <w:t> </w:t>
      </w:r>
      <w:r>
        <w:rPr>
          <w:spacing w:val="-65"/>
        </w:rPr>
      </w:r>
      <w:r>
        <w:rPr>
          <w:spacing w:val="-2"/>
        </w:rPr>
        <w:t>跃市场中没有报价且其公允价值不能可靠计量的权益工具投资，以及与该权益工具挂钩并须通过交付该权益工具结算的衍生</w:t>
      </w:r>
      <w:r>
        <w:rPr>
          <w:spacing w:val="-63"/>
        </w:rPr>
        <w:t> </w:t>
      </w:r>
      <w:r>
        <w:rPr>
          <w:spacing w:val="-63"/>
        </w:rPr>
      </w:r>
      <w:r>
        <w:rPr/>
        <w:t>金融资产，按照成本计量。 </w:t>
      </w:r>
      <w:r>
        <w:rPr>
          <w:spacing w:val="-2"/>
        </w:rPr>
        <w:t>处置时，将取得的价款与该金融资产账面价值之间的差额，计入投资损益；同时，将原直接计入其他综合收益的公允价值变</w:t>
      </w:r>
      <w:r>
        <w:rPr>
          <w:spacing w:val="-64"/>
        </w:rPr>
        <w:t> </w:t>
      </w:r>
      <w:r>
        <w:rPr>
          <w:spacing w:val="-64"/>
        </w:rPr>
      </w:r>
      <w:r>
        <w:rPr/>
        <w:t>动累计额对应处置部分的金额转出，计入当期损益。</w:t>
      </w:r>
    </w:p>
    <w:p>
      <w:pPr>
        <w:pStyle w:val="BodyText"/>
        <w:spacing w:line="309" w:lineRule="auto" w:before="20"/>
        <w:ind w:right="4094"/>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w:t>
      </w:r>
    </w:p>
    <w:p>
      <w:pPr>
        <w:pStyle w:val="BodyText"/>
        <w:spacing w:line="319" w:lineRule="auto" w:before="5"/>
        <w:ind w:right="0"/>
        <w:jc w:val="left"/>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w:t>
      </w:r>
      <w:r>
        <w:rPr/>
        <w:t>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pStyle w:val="BodyText"/>
        <w:spacing w:line="240" w:lineRule="auto" w:before="17"/>
        <w:ind w:right="0"/>
        <w:jc w:val="left"/>
      </w:pPr>
      <w:r>
        <w:rPr/>
        <w:t>（</w:t>
      </w:r>
      <w:r>
        <w:rPr>
          <w:rFonts w:ascii="Times New Roman" w:hAnsi="Times New Roman" w:cs="Times New Roman" w:eastAsia="Times New Roman" w:hint="default"/>
        </w:rPr>
        <w:t>1</w:t>
      </w:r>
      <w:r>
        <w:rPr/>
        <w:t>）所转移金融资产的账面价值；</w:t>
      </w:r>
    </w:p>
    <w:p>
      <w:pPr>
        <w:pStyle w:val="BodyText"/>
        <w:spacing w:line="312" w:lineRule="auto" w:before="63"/>
        <w:ind w:right="1124"/>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 情形）之和。 </w:t>
      </w:r>
      <w:r>
        <w:rPr>
          <w:spacing w:val="-2"/>
        </w:rPr>
        <w:t>金融资产部分转移满足终止确认条件的，将所转移金融资产整体的账面价值，在终止确认部分和未终止确认部分之间，按照</w:t>
      </w:r>
      <w:r>
        <w:rPr>
          <w:spacing w:val="-63"/>
        </w:rPr>
        <w:t> </w:t>
      </w:r>
      <w:r>
        <w:rPr>
          <w:spacing w:val="-63"/>
        </w:rPr>
      </w:r>
      <w:r>
        <w:rPr/>
        <w:t>各自的相对公允价值进行分摊，并将下列两项金额的差额计入当期损益：</w:t>
      </w:r>
    </w:p>
    <w:p>
      <w:pPr>
        <w:pStyle w:val="BodyText"/>
        <w:spacing w:line="240" w:lineRule="auto" w:before="22"/>
        <w:ind w:right="0"/>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62"/>
        <w:ind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w:t>
      </w:r>
    </w:p>
    <w:p>
      <w:pPr>
        <w:spacing w:after="0" w:line="240" w:lineRule="auto"/>
        <w:jc w:val="left"/>
        <w:sectPr>
          <w:pgSz w:w="11910" w:h="16840"/>
          <w:pgMar w:header="852" w:footer="980" w:top="1320" w:bottom="1160" w:left="980" w:right="0"/>
        </w:sectPr>
      </w:pPr>
    </w:p>
    <w:p>
      <w:pPr>
        <w:pStyle w:val="BodyText"/>
        <w:spacing w:line="316" w:lineRule="auto" w:before="111"/>
        <w:ind w:right="1034"/>
        <w:jc w:val="left"/>
      </w:pPr>
      <w:r>
        <w:rPr/>
        <w:t>资产为可供出售金融资产的情形）之和。 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金融负债的现时义务全部或部分已经解除的，则终止确认该金融负债或其一部分；本公司若与债权人签定协议，以承担新金</w:t>
      </w:r>
      <w:r>
        <w:rPr>
          <w:spacing w:val="-63"/>
        </w:rPr>
        <w:t> </w:t>
      </w:r>
      <w:r>
        <w:rPr>
          <w:spacing w:val="-63"/>
        </w:rPr>
      </w:r>
      <w:r>
        <w:rPr>
          <w:spacing w:val="-2"/>
        </w:rPr>
        <w:t>融负债方式替换现存金融负债，且新金融负债与现存金融负债的合同条款实质上不同的，则终止确认现存金融负债，并同时</w:t>
      </w:r>
      <w:r>
        <w:rPr>
          <w:spacing w:val="-62"/>
        </w:rPr>
        <w:t> </w:t>
      </w:r>
      <w:r>
        <w:rPr>
          <w:spacing w:val="-62"/>
        </w:rPr>
      </w: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 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3"/>
        </w:rPr>
        <w:t> </w:t>
      </w:r>
      <w:r>
        <w:rPr>
          <w:spacing w:val="-63"/>
        </w:rPr>
      </w:r>
      <w:r>
        <w:rPr/>
        <w:t>当期损益。</w:t>
      </w:r>
    </w:p>
    <w:p>
      <w:pPr>
        <w:pStyle w:val="BodyText"/>
        <w:spacing w:line="314" w:lineRule="auto" w:before="19"/>
        <w:ind w:right="1119"/>
        <w:jc w:val="left"/>
      </w:pPr>
      <w:r>
        <w:rPr>
          <w:rFonts w:ascii="Times New Roman" w:hAnsi="Times New Roman" w:cs="Times New Roman" w:eastAsia="Times New Roman" w:hint="default"/>
        </w:rPr>
        <w:t>5</w:t>
      </w:r>
      <w:r>
        <w:rPr/>
        <w:t>、金融资产和金融负债的公允价值的确定方法 </w:t>
      </w:r>
      <w:r>
        <w:rPr>
          <w:spacing w:val="-2"/>
        </w:rPr>
        <w:t>存在活跃市场的金融工具，以活跃市场中的报价确定其公允价值。不存在活跃市场的金融工具，采用估值技术确定其公允价</w:t>
      </w:r>
      <w:r>
        <w:rPr>
          <w:spacing w:val="-63"/>
        </w:rPr>
        <w:t> </w:t>
      </w:r>
      <w:r>
        <w:rPr>
          <w:spacing w:val="-63"/>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4"/>
        </w:rPr>
        <w:t> </w:t>
      </w:r>
      <w:r>
        <w:rPr>
          <w:spacing w:val="-64"/>
        </w:rPr>
      </w:r>
      <w:r>
        <w:rPr/>
        <w:t>法取得或取得不切实可行的情况下，才使用不可观察输入值。 </w:t>
      </w:r>
      <w:r>
        <w:rPr>
          <w:rFonts w:ascii="Times New Roman" w:hAnsi="Times New Roman" w:cs="Times New Roman" w:eastAsia="Times New Roman" w:hint="default"/>
        </w:rPr>
        <w:t>6</w:t>
      </w:r>
      <w:r>
        <w:rPr/>
        <w:t>、金融资产（不含应收款项）减值的测试方法及会计处理方法</w:t>
      </w:r>
    </w:p>
    <w:p>
      <w:pPr>
        <w:pStyle w:val="BodyText"/>
        <w:spacing w:line="312" w:lineRule="auto" w:before="1"/>
        <w:ind w:right="1119"/>
        <w:jc w:val="left"/>
      </w:pP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 </w:t>
      </w:r>
      <w:r>
        <w:rPr>
          <w:spacing w:val="-2"/>
        </w:rPr>
        <w:t>本公司考虑所有合理且有依据的信息，包括前瞻性信息，以单项或组合的方式对以摊余成本计量的金融资产和以公允价值计</w:t>
      </w:r>
      <w:r>
        <w:rPr>
          <w:spacing w:val="-64"/>
        </w:rPr>
        <w:t> </w:t>
      </w:r>
      <w:r>
        <w:rPr>
          <w:spacing w:val="-64"/>
        </w:rPr>
      </w:r>
      <w:r>
        <w:rPr>
          <w:spacing w:val="-2"/>
        </w:rPr>
        <w:t>量且其变动计入其他综合收益的金融资产（债务工具）的预期信用损失进行估计。预期信用损失的计量取决于金融资产自初</w:t>
      </w:r>
      <w:r>
        <w:rPr>
          <w:spacing w:val="-66"/>
        </w:rPr>
        <w:t> </w:t>
      </w:r>
      <w:r>
        <w:rPr>
          <w:spacing w:val="-66"/>
        </w:rPr>
      </w:r>
      <w:r>
        <w:rPr/>
        <w:t>始确认后是否发生信用风险显著增加。 </w:t>
      </w:r>
      <w:r>
        <w:rPr>
          <w:spacing w:val="-2"/>
        </w:rPr>
        <w:t>如果该金融工具的信用风险自初始确认后已显著增加，本公司按照相当于该金融工具整个存续期内预期信用损失的金额计量</w:t>
      </w:r>
      <w:r>
        <w:rPr>
          <w:spacing w:val="-64"/>
        </w:rPr>
        <w:t> </w:t>
      </w:r>
      <w:r>
        <w:rPr>
          <w:spacing w:val="-64"/>
        </w:rPr>
      </w:r>
      <w:r>
        <w:rPr>
          <w:spacing w:val="-2"/>
        </w:rPr>
        <w:t>其损失准备；如果该金融工具的信用风险自初始确认后并未显著增加，本公司按照相当于该金融工具未来</w:t>
      </w:r>
      <w:r>
        <w:rPr>
          <w:rFonts w:ascii="Times New Roman" w:hAnsi="Times New Roman" w:cs="Times New Roman" w:eastAsia="Times New Roman" w:hint="default"/>
          <w:spacing w:val="-2"/>
        </w:rPr>
        <w:t>12</w:t>
      </w:r>
      <w:r>
        <w:rPr>
          <w:spacing w:val="-2"/>
        </w:rPr>
        <w:t>个月内预期信用</w:t>
      </w:r>
      <w:r>
        <w:rPr>
          <w:spacing w:val="-61"/>
        </w:rPr>
        <w:t> </w:t>
      </w:r>
      <w:r>
        <w:rPr>
          <w:spacing w:val="-61"/>
        </w:rPr>
      </w:r>
      <w:r>
        <w:rPr/>
        <w:t>损失的金额计量其损失准备。由此形成的损失准备的增加或转回金额，作为减值损失或利得计入当期损益。 </w:t>
      </w:r>
      <w:r>
        <w:rPr>
          <w:spacing w:val="-2"/>
        </w:rPr>
        <w:t>通常逾期超过</w:t>
      </w:r>
      <w:r>
        <w:rPr>
          <w:rFonts w:ascii="Times New Roman" w:hAnsi="Times New Roman" w:cs="Times New Roman" w:eastAsia="Times New Roman" w:hint="default"/>
          <w:spacing w:val="-2"/>
        </w:rPr>
        <w:t>30</w:t>
      </w:r>
      <w:r>
        <w:rPr>
          <w:spacing w:val="-2"/>
        </w:rPr>
        <w:t>日，本公司即认为该金融工具的信用风险已显著增加，除非有确凿证据证明该金融工具的信用风险自初始确</w:t>
      </w:r>
      <w:r>
        <w:rPr>
          <w:spacing w:val="-63"/>
        </w:rPr>
        <w:t> </w:t>
      </w:r>
      <w:r>
        <w:rPr>
          <w:spacing w:val="-63"/>
        </w:rPr>
      </w:r>
      <w:r>
        <w:rPr/>
        <w:t>认后并未显著增加。 如果金融工具于资产负债表日的信用风险较低，本公司即认为该金融工具的信用风险自初始确认后并未显著增加。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 </w:t>
      </w: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p>
    <w:p>
      <w:pPr>
        <w:pStyle w:val="BodyText"/>
        <w:spacing w:line="314" w:lineRule="auto" w:before="22"/>
        <w:ind w:right="1034"/>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40" w:lineRule="auto" w:before="20"/>
        <w:ind w:right="0"/>
        <w:jc w:val="left"/>
      </w:pPr>
      <w:r>
        <w:rPr/>
        <w:t>可供出售权益工具投资发生的减值损失，不通过损益转回。</w:t>
      </w:r>
    </w:p>
    <w:p>
      <w:pPr>
        <w:pStyle w:val="BodyText"/>
        <w:spacing w:line="300" w:lineRule="auto" w:before="76"/>
        <w:ind w:right="5174"/>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after="0" w:line="300" w:lineRule="auto"/>
        <w:jc w:val="left"/>
        <w:sectPr>
          <w:pgSz w:w="11910" w:h="16840"/>
          <w:pgMar w:header="852" w:footer="980" w:top="1320" w:bottom="1160" w:left="980" w:right="0"/>
        </w:sectPr>
      </w:pPr>
    </w:p>
    <w:p>
      <w:pPr>
        <w:pStyle w:val="Heading3"/>
        <w:spacing w:line="240" w:lineRule="auto" w:before="24"/>
        <w:ind w:right="0"/>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万元（含）以上款项，其他应收款</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（含）以上款项</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无明显减值迹象的应收款项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受本公司控制的子公司及本公司控股股东的应收款项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7"/>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受本公司控制的子公司及本公司控股股 东的应收款项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有客观证据表明其已发生减值</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按预计未来现金流量现值低于其账面价值的差额计提坏账准 备，计入当期损益。单独测试未发生减值的应收款项，将其 归入相应组合计提坏账准备。</w:t>
            </w:r>
          </w:p>
        </w:tc>
      </w:tr>
    </w:tbl>
    <w:p>
      <w:pPr>
        <w:spacing w:after="0" w:line="316" w:lineRule="auto"/>
        <w:jc w:val="both"/>
        <w:rPr>
          <w:rFonts w:ascii="宋体" w:hAnsi="宋体" w:cs="宋体" w:eastAsia="宋体" w:hint="default"/>
          <w:sz w:val="18"/>
          <w:szCs w:val="18"/>
        </w:rPr>
        <w:sectPr>
          <w:footerReference w:type="default" r:id="rId16"/>
          <w:pgSz w:w="11910" w:h="16840"/>
          <w:pgMar w:footer="980" w:header="852" w:top="1320" w:bottom="1160" w:left="980" w:right="0"/>
        </w:sectPr>
      </w:pPr>
    </w:p>
    <w:p>
      <w:pPr>
        <w:pStyle w:val="Heading3"/>
        <w:spacing w:line="240" w:lineRule="auto" w:before="24"/>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694"/>
        <w:jc w:val="left"/>
      </w:pPr>
      <w:r>
        <w:rPr/>
        <w:t>公司是否需要遵守特殊行业的披露要求 否</w:t>
      </w:r>
    </w:p>
    <w:p>
      <w:pPr>
        <w:pStyle w:val="BodyText"/>
        <w:spacing w:line="309" w:lineRule="auto" w:before="29"/>
        <w:ind w:right="7604"/>
        <w:jc w:val="left"/>
      </w:pPr>
      <w:r>
        <w:rPr>
          <w:rFonts w:ascii="Times New Roman" w:hAnsi="Times New Roman" w:cs="Times New Roman" w:eastAsia="Times New Roman" w:hint="default"/>
        </w:rPr>
        <w:t>1</w:t>
      </w:r>
      <w:r>
        <w:rPr/>
        <w:t>、存货的分类 存货分类为：库存商品等。 </w:t>
      </w:r>
      <w:r>
        <w:rPr>
          <w:rFonts w:ascii="Times New Roman" w:hAnsi="Times New Roman" w:cs="Times New Roman" w:eastAsia="Times New Roman" w:hint="default"/>
        </w:rPr>
        <w:t>2</w:t>
      </w:r>
      <w:r>
        <w:rPr/>
        <w:t>、发出存货的计价方法 存货发出时按加权平均法计价。 </w:t>
      </w:r>
      <w:r>
        <w:rPr>
          <w:rFonts w:ascii="Times New Roman" w:hAnsi="Times New Roman" w:cs="Times New Roman" w:eastAsia="Times New Roman" w:hint="default"/>
        </w:rPr>
        <w:t>3</w:t>
      </w:r>
      <w:r>
        <w:rPr/>
        <w:t>、不同类别存货可变现净值的确定依据</w:t>
      </w:r>
    </w:p>
    <w:p>
      <w:pPr>
        <w:pStyle w:val="BodyText"/>
        <w:spacing w:line="316" w:lineRule="auto" w:before="5"/>
        <w:ind w:right="1119"/>
        <w:jc w:val="left"/>
      </w:pPr>
      <w:r>
        <w:rPr>
          <w:spacing w:val="-2"/>
        </w:rPr>
        <w:t>产成品、库存商品和用于出售的材料等直接用于出售的商品存货，在正常生产经营过程中，以该存货的估计售价减去估计的</w:t>
      </w:r>
      <w:r>
        <w:rPr>
          <w:spacing w:val="-63"/>
        </w:rPr>
        <w:t> </w:t>
      </w:r>
      <w:r>
        <w:rPr>
          <w:spacing w:val="-63"/>
        </w:rPr>
      </w:r>
      <w:r>
        <w:rPr>
          <w:spacing w:val="-2"/>
        </w:rPr>
        <w:t>销售费用和相关税费后的金额，确定其可变现净值；需要经过加工的材料存货，在正常生产经营过程中，以所生产的产成品</w:t>
      </w:r>
      <w:r>
        <w:rPr>
          <w:spacing w:val="-64"/>
        </w:rPr>
        <w:t> </w:t>
      </w:r>
      <w:r>
        <w:rPr>
          <w:spacing w:val="-64"/>
        </w:rPr>
      </w:r>
      <w:r>
        <w:rPr>
          <w:spacing w:val="-2"/>
        </w:rPr>
        <w:t>的估计售价减去至完工时估计将要发生的成本、估计的销售费用和相关税费后的金额，确定其可变现净值；为执行销售合同</w:t>
      </w:r>
      <w:r>
        <w:rPr>
          <w:spacing w:val="-63"/>
        </w:rPr>
        <w:t> </w:t>
      </w:r>
      <w:r>
        <w:rPr>
          <w:spacing w:val="-63"/>
        </w:rPr>
      </w:r>
      <w:r>
        <w:rPr>
          <w:spacing w:val="-2"/>
        </w:rPr>
        <w:t>或者劳务合同而持有的存货，其可变现净值以合同价格为基础计算，若持有存货的数量多于销售合同订购数量的，超出部分</w:t>
      </w:r>
      <w:r>
        <w:rPr>
          <w:spacing w:val="-63"/>
        </w:rPr>
        <w:t> </w:t>
      </w:r>
      <w:r>
        <w:rPr>
          <w:spacing w:val="-63"/>
        </w:rPr>
      </w:r>
      <w:r>
        <w:rPr/>
        <w:t>的存货的可变现净值以一般销售价格为基础计算。 </w:t>
      </w:r>
      <w:r>
        <w:rPr>
          <w:spacing w:val="-2"/>
        </w:rPr>
        <w:t>期末按照单个存货项目计提存货跌价准备；但对于数量繁多、单价较低的存货，按照存货类别计提存货跌价准备；与在同一</w:t>
      </w:r>
      <w:r>
        <w:rPr>
          <w:spacing w:val="-64"/>
        </w:rPr>
        <w:t> </w:t>
      </w:r>
      <w:r>
        <w:rPr>
          <w:spacing w:val="-64"/>
        </w:rPr>
      </w:r>
      <w:r>
        <w:rPr>
          <w:spacing w:val="-2"/>
        </w:rPr>
        <w:t>地区生产和销售的产品系列相关、具有相同或类似最终用途或目的，且难以与其他项目分开计量的存货，则合并计提存货跌</w:t>
      </w:r>
      <w:r>
        <w:rPr>
          <w:spacing w:val="-63"/>
        </w:rPr>
        <w:t> </w:t>
      </w:r>
      <w:r>
        <w:rPr>
          <w:spacing w:val="-63"/>
        </w:rPr>
      </w:r>
      <w:r>
        <w:rPr/>
        <w:t>价准备。</w:t>
      </w:r>
    </w:p>
    <w:p>
      <w:pPr>
        <w:pStyle w:val="BodyText"/>
        <w:spacing w:line="240" w:lineRule="auto" w:before="19"/>
        <w:ind w:right="0"/>
        <w:jc w:val="left"/>
      </w:pPr>
      <w:r>
        <w:rPr/>
        <w:t>除有明确证据表明资产负债表日市场价格异常外，存货项目的可变现净值以资产负债表日市场价格为基础确定。</w:t>
      </w:r>
    </w:p>
    <w:p>
      <w:pPr>
        <w:pStyle w:val="BodyText"/>
        <w:spacing w:line="309" w:lineRule="auto" w:before="76"/>
        <w:ind w:right="7964"/>
        <w:jc w:val="left"/>
      </w:pPr>
      <w:r>
        <w:rPr>
          <w:rFonts w:ascii="Times New Roman" w:hAnsi="Times New Roman" w:cs="Times New Roman" w:eastAsia="Times New Roman" w:hint="default"/>
        </w:rPr>
        <w:t>4</w:t>
      </w:r>
      <w:r>
        <w:rPr/>
        <w:t>、存货的盘存制度 采用永续盘存制。 </w:t>
      </w:r>
      <w:r>
        <w:rPr>
          <w:rFonts w:ascii="Times New Roman" w:hAnsi="Times New Roman" w:cs="Times New Roman" w:eastAsia="Times New Roman" w:hint="default"/>
        </w:rPr>
        <w:t>5</w:t>
      </w:r>
      <w:r>
        <w:rPr/>
        <w:t>、低值易耗品和包装物的摊销方法</w:t>
      </w:r>
    </w:p>
    <w:p>
      <w:pPr>
        <w:pStyle w:val="BodyText"/>
        <w:spacing w:line="240" w:lineRule="auto" w:before="5"/>
        <w:ind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right="0"/>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4" w:lineRule="auto"/>
        <w:ind w:right="1119"/>
        <w:jc w:val="left"/>
      </w:pP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能决策。本公司与其他合营方一同对被投资单位实施共同控制且对被投资单位净资产享有权利的，被投资单位为本公司的合</w:t>
      </w:r>
      <w:r>
        <w:rPr>
          <w:spacing w:val="-64"/>
        </w:rPr>
        <w:t> </w:t>
      </w:r>
      <w:r>
        <w:rPr>
          <w:spacing w:val="-64"/>
        </w:rPr>
      </w:r>
      <w:r>
        <w:rPr/>
        <w:t>营企业。 </w:t>
      </w: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定。本公司能够对被投资单位施加重大影响的，被投资单位为本公司联营企业。</w:t>
      </w:r>
    </w:p>
    <w:p>
      <w:pPr>
        <w:pStyle w:val="BodyText"/>
        <w:spacing w:line="240" w:lineRule="auto" w:before="20"/>
        <w:ind w:right="0"/>
        <w:jc w:val="left"/>
      </w:pPr>
      <w:r>
        <w:rPr>
          <w:rFonts w:ascii="Times New Roman" w:hAnsi="Times New Roman" w:cs="Times New Roman" w:eastAsia="Times New Roman" w:hint="default"/>
        </w:rPr>
        <w:t>2</w:t>
      </w:r>
      <w:r>
        <w:rPr/>
        <w:t>、初始投资成本的确定</w:t>
      </w:r>
    </w:p>
    <w:p>
      <w:pPr>
        <w:pStyle w:val="BodyText"/>
        <w:spacing w:line="314" w:lineRule="auto" w:before="63"/>
        <w:ind w:right="1119"/>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同一控制下的企业合并：公司以支付现金、转让非现金资产或承担债务方式以及以发行权益性证券作为合并对价的，在合并</w:t>
      </w:r>
      <w:r>
        <w:rPr>
          <w:spacing w:val="-63"/>
        </w:rPr>
        <w:t> </w:t>
      </w:r>
      <w:r>
        <w:rPr>
          <w:spacing w:val="-63"/>
        </w:rPr>
      </w:r>
      <w:r>
        <w:rPr>
          <w:spacing w:val="-2"/>
        </w:rPr>
        <w:t>日按照取得被合并方所有者权益在最终控制方合并财务报表中的账面价值的份额作为长期股权投资的初始投资成本。因追加</w:t>
      </w:r>
      <w:r>
        <w:rPr>
          <w:spacing w:val="-64"/>
        </w:rPr>
        <w:t> </w:t>
      </w:r>
      <w:r>
        <w:rPr>
          <w:spacing w:val="-64"/>
        </w:rPr>
      </w:r>
      <w:r>
        <w:rPr>
          <w:spacing w:val="-2"/>
        </w:rPr>
        <w:t>投资等原因能够对同一控制下的被投资单位实施控制的，在合并日根据合并后应享有被合并方净资产在最终控制方合并财务</w:t>
      </w:r>
      <w:r>
        <w:rPr>
          <w:spacing w:val="-64"/>
        </w:rPr>
        <w:t> </w:t>
      </w:r>
      <w:r>
        <w:rPr>
          <w:spacing w:val="-64"/>
        </w:rPr>
      </w:r>
      <w:r>
        <w:rPr>
          <w:spacing w:val="-2"/>
        </w:rPr>
        <w:t>报表中的账面价值的份额，确定长期股权投资的初始投资成本。合并日长期股权投资的初始投资成本，与达到合并前的长期</w:t>
      </w:r>
      <w:r>
        <w:rPr>
          <w:spacing w:val="-62"/>
        </w:rPr>
        <w:t> </w:t>
      </w:r>
      <w:r>
        <w:rPr>
          <w:spacing w:val="-62"/>
        </w:rPr>
      </w:r>
      <w:r>
        <w:rPr>
          <w:spacing w:val="-2"/>
        </w:rPr>
        <w:t>股权投资账面价值加上合并日进一步取得股份新支付对价的账面价值之和的差额，调整股本溢价，股本溢价不足冲减的，冲</w:t>
      </w:r>
      <w:r>
        <w:rPr>
          <w:spacing w:val="-63"/>
        </w:rPr>
        <w:t> </w:t>
      </w:r>
      <w:r>
        <w:rPr>
          <w:spacing w:val="-63"/>
        </w:rPr>
      </w:r>
      <w:r>
        <w:rPr/>
        <w:t>减留存收益。 </w:t>
      </w:r>
      <w:r>
        <w:rPr>
          <w:spacing w:val="-2"/>
        </w:rPr>
        <w:t>非同一控制下的企业合并：公司按照购买日确定的合并成本作为长期股权投资的初始投资成本。因追加投资等原因能够对非</w:t>
      </w:r>
    </w:p>
    <w:p>
      <w:pPr>
        <w:spacing w:after="0" w:line="314" w:lineRule="auto"/>
        <w:jc w:val="left"/>
        <w:sectPr>
          <w:footerReference w:type="default" r:id="rId17"/>
          <w:pgSz w:w="11910" w:h="16840"/>
          <w:pgMar w:footer="980" w:header="852" w:top="1320" w:bottom="1160" w:left="980" w:right="0"/>
          <w:pgNumType w:start="101"/>
        </w:sectPr>
      </w:pPr>
    </w:p>
    <w:p>
      <w:pPr>
        <w:pStyle w:val="BodyText"/>
        <w:spacing w:line="319" w:lineRule="auto" w:before="111"/>
        <w:ind w:right="1119"/>
        <w:jc w:val="left"/>
      </w:pPr>
      <w:r>
        <w:rPr>
          <w:spacing w:val="-2"/>
        </w:rPr>
        <w:t>同一控制下的被投资单位实施控制的，按照原持有的股权投资账面价值加上新增投资成本之和，作为改按成本法核算的初始</w:t>
      </w:r>
      <w:r>
        <w:rPr>
          <w:spacing w:val="-64"/>
        </w:rPr>
        <w:t> </w:t>
      </w:r>
      <w:r>
        <w:rPr>
          <w:spacing w:val="-64"/>
        </w:rPr>
      </w:r>
      <w:r>
        <w:rPr/>
        <w:t>投资成本。</w:t>
      </w:r>
    </w:p>
    <w:p>
      <w:pPr>
        <w:pStyle w:val="BodyText"/>
        <w:spacing w:line="309" w:lineRule="auto" w:before="17"/>
        <w:ind w:right="3374"/>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24"/>
        <w:ind w:right="1133"/>
        <w:jc w:val="both"/>
      </w:pPr>
      <w:r>
        <w:rPr>
          <w:spacing w:val="-2"/>
        </w:rPr>
        <w:t>在非货币性资产交换具备商业实质和换入资产或换出资产的公允价值能够可靠计量的前提下，非货币性资产交换换入的长期</w:t>
      </w:r>
      <w:r>
        <w:rPr>
          <w:spacing w:val="-64"/>
        </w:rPr>
        <w:t> </w:t>
      </w:r>
      <w:r>
        <w:rPr>
          <w:spacing w:val="-64"/>
        </w:rPr>
      </w:r>
      <w:r>
        <w:rPr>
          <w:spacing w:val="-2"/>
        </w:rPr>
        <w:t>股权投资以换出资产的公允价值和应支付的相关税费确定其初始投资成本，除非有确凿证据表明换入资产的公允价值更加可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4"/>
        </w:rPr>
        <w:t> </w:t>
      </w:r>
      <w:r>
        <w:rPr>
          <w:spacing w:val="-64"/>
        </w:rPr>
      </w:r>
      <w:r>
        <w:rPr/>
        <w:t>本。</w:t>
      </w:r>
    </w:p>
    <w:p>
      <w:pPr>
        <w:pStyle w:val="BodyText"/>
        <w:spacing w:line="240" w:lineRule="auto" w:before="19"/>
        <w:ind w:right="0"/>
        <w:jc w:val="left"/>
      </w:pPr>
      <w:r>
        <w:rPr/>
        <w:t>通过债务重组取得的长期股权投资，其初始投资成本按照公允价值为基础确定。</w:t>
      </w:r>
    </w:p>
    <w:p>
      <w:pPr>
        <w:pStyle w:val="BodyText"/>
        <w:spacing w:line="240" w:lineRule="auto" w:before="76"/>
        <w:ind w:right="0"/>
        <w:jc w:val="left"/>
      </w:pPr>
      <w:r>
        <w:rPr>
          <w:rFonts w:ascii="Times New Roman" w:hAnsi="Times New Roman" w:cs="Times New Roman" w:eastAsia="Times New Roman" w:hint="default"/>
        </w:rPr>
        <w:t>3</w:t>
      </w:r>
      <w:r>
        <w:rPr/>
        <w:t>、后续计量及损益确认方法</w:t>
      </w:r>
    </w:p>
    <w:p>
      <w:pPr>
        <w:pStyle w:val="BodyText"/>
        <w:spacing w:line="309" w:lineRule="auto" w:before="63"/>
        <w:ind w:right="0"/>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pStyle w:val="BodyText"/>
        <w:spacing w:line="314" w:lineRule="auto" w:before="24"/>
        <w:ind w:right="1119"/>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4"/>
        </w:rPr>
        <w:t> </w:t>
      </w:r>
      <w:r>
        <w:rPr>
          <w:spacing w:val="-64"/>
        </w:rPr>
      </w:r>
      <w:r>
        <w:rPr/>
        <w:t>额的差额，计入当期损益。 </w:t>
      </w:r>
      <w:r>
        <w:rPr>
          <w:spacing w:val="-2"/>
        </w:rPr>
        <w:t>公司按照应享有或应分担的被投资单位实现的净损益和其他综合收益的份额，分别确认投资收益和其他综合收益，同时调整</w:t>
      </w:r>
      <w:r>
        <w:rPr>
          <w:spacing w:val="-63"/>
        </w:rPr>
        <w:t> </w:t>
      </w:r>
      <w:r>
        <w:rPr>
          <w:spacing w:val="-63"/>
        </w:rPr>
      </w:r>
      <w:r>
        <w:rPr>
          <w:spacing w:val="-2"/>
        </w:rPr>
        <w:t>长期股权投资的账面价值；按照被投资单位宣告分派的利润或现金股利计算应享有的部分，相应减少长期股权投资的账面价</w:t>
      </w:r>
      <w:r>
        <w:rPr>
          <w:spacing w:val="-64"/>
        </w:rPr>
        <w:t> </w:t>
      </w:r>
      <w:r>
        <w:rPr>
          <w:spacing w:val="-64"/>
        </w:rPr>
      </w:r>
      <w:r>
        <w:rPr>
          <w:spacing w:val="-2"/>
        </w:rPr>
        <w:t>值；对于被投资单位除净损益、其他综合收益和利润分配以外所有者权益的其他变动，调整长期股权投资的账面价值并计入</w:t>
      </w:r>
      <w:r>
        <w:rPr>
          <w:spacing w:val="-63"/>
        </w:rPr>
        <w:t> </w:t>
      </w:r>
      <w:r>
        <w:rPr>
          <w:spacing w:val="-63"/>
        </w:rPr>
      </w:r>
      <w:r>
        <w:rPr/>
        <w:t>所有者权益。 </w:t>
      </w:r>
      <w:r>
        <w:rPr>
          <w:spacing w:val="-2"/>
        </w:rPr>
        <w:t>在确认应享有被投资单位净损益的份额时，以取得投资时被投资单位可辨认净资产的公允价值为基础，并按照公司的会计政</w:t>
      </w:r>
      <w:r>
        <w:rPr>
          <w:spacing w:val="-64"/>
        </w:rPr>
        <w:t> </w:t>
      </w:r>
      <w:r>
        <w:rPr>
          <w:spacing w:val="-64"/>
        </w:rPr>
      </w:r>
      <w:r>
        <w:rPr>
          <w:spacing w:val="-2"/>
        </w:rPr>
        <w:t>策及会计期间，对被投资单位的净利润进行调整后确认。在持有投资期间，被投资单位编制合并财务报表的，以合并财务报</w:t>
      </w:r>
      <w:r>
        <w:rPr>
          <w:spacing w:val="-63"/>
        </w:rPr>
        <w:t> </w:t>
      </w:r>
      <w:r>
        <w:rPr>
          <w:spacing w:val="-63"/>
        </w:rPr>
      </w:r>
      <w:r>
        <w:rPr/>
        <w:t>表中的净利润、其他综合收益和其他所有者权益变动中归属于被投资单位的金额为基础进行核算。 </w:t>
      </w:r>
      <w:r>
        <w:rPr>
          <w:spacing w:val="-2"/>
        </w:rPr>
        <w:t>公司与联营企业、合营企业之间发生的未实现内部交易损益按照应享有的比例计算归属于公司的部分，予以抵销，在此基础</w:t>
      </w:r>
      <w:r>
        <w:rPr>
          <w:spacing w:val="-66"/>
        </w:rPr>
        <w:t> </w:t>
      </w:r>
      <w:r>
        <w:rPr>
          <w:spacing w:val="-66"/>
        </w:rPr>
      </w:r>
      <w:r>
        <w:rPr>
          <w:spacing w:val="-2"/>
        </w:rPr>
        <w:t>上确认投资收益。与被投资单位发生的未实现内部交易损失，属于资产减值损失的，全额确认。公司与联营企业、合营企业</w:t>
      </w:r>
      <w:r>
        <w:rPr>
          <w:spacing w:val="-67"/>
        </w:rPr>
        <w:t> </w:t>
      </w:r>
      <w:r>
        <w:rPr>
          <w:spacing w:val="-67"/>
        </w:rPr>
      </w:r>
      <w:r>
        <w:rPr/>
        <w:t>之间发生投出或出售资产的交易，该资产构成业务的，按照本附注</w:t>
      </w:r>
      <w:r>
        <w:rPr>
          <w:rFonts w:ascii="Times New Roman" w:hAnsi="Times New Roman" w:cs="Times New Roman" w:eastAsia="Times New Roman" w:hint="default"/>
        </w:rPr>
        <w:t>“</w:t>
      </w:r>
      <w:r>
        <w:rPr/>
        <w:t>三、（五）同一控制下和非同一控制下企业合并的会计 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 </w:t>
      </w:r>
      <w:r>
        <w:rPr>
          <w:spacing w:val="-2"/>
        </w:rPr>
        <w:t>在公司确认应分担被投资单位发生的亏损时，按照以下顺序进行处理：首先，冲减长期股权投资的账面价值。其次，长期股</w:t>
      </w:r>
      <w:r>
        <w:rPr>
          <w:spacing w:val="-67"/>
        </w:rPr>
        <w:t> </w:t>
      </w:r>
      <w:r>
        <w:rPr>
          <w:spacing w:val="-67"/>
        </w:rPr>
      </w:r>
      <w:r>
        <w:rPr>
          <w:spacing w:val="-2"/>
        </w:rPr>
        <w:t>权投资的账面价值不足以冲减的，以其他实质上构成对被投资单位净投资的长期权益账面价值为限继续确认投资损失，冲减</w:t>
      </w:r>
      <w:r>
        <w:rPr>
          <w:spacing w:val="-64"/>
        </w:rPr>
        <w:t> </w:t>
      </w:r>
      <w:r>
        <w:rPr>
          <w:spacing w:val="-64"/>
        </w:rPr>
      </w:r>
      <w:r>
        <w:rPr>
          <w:spacing w:val="-2"/>
        </w:rPr>
        <w:t>长期应收项目等的账面价值。最后，经过上述处理，按照投资合同或协议约定企业仍承担额外义务的，按预计承担的义务确</w:t>
      </w:r>
      <w:r>
        <w:rPr>
          <w:spacing w:val="-64"/>
        </w:rPr>
        <w:t> </w:t>
      </w:r>
      <w:r>
        <w:rPr>
          <w:spacing w:val="-64"/>
        </w:rPr>
      </w:r>
      <w:r>
        <w:rPr/>
        <w:t>认预计负债，计入当期投资损失。</w:t>
      </w:r>
    </w:p>
    <w:p>
      <w:pPr>
        <w:pStyle w:val="BodyText"/>
        <w:spacing w:line="300" w:lineRule="auto" w:before="20"/>
        <w:ind w:right="4994"/>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1119"/>
        <w:jc w:val="left"/>
      </w:pPr>
      <w:r>
        <w:rPr>
          <w:spacing w:val="-2"/>
        </w:rPr>
        <w:t>采用权益法核算的长期股权投资，在处置该项投资时，采用与被投资单位直接处置相关资产或负债相同的基础，按相应比例</w:t>
      </w:r>
      <w:r>
        <w:rPr>
          <w:spacing w:val="-65"/>
        </w:rPr>
        <w:t> </w:t>
      </w:r>
      <w:r>
        <w:rPr>
          <w:spacing w:val="-65"/>
        </w:rPr>
      </w:r>
      <w:r>
        <w:rPr>
          <w:spacing w:val="-2"/>
        </w:rPr>
        <w:t>对原计入其他综合收益的部分进行会计处理。因被投资单位除净损益、其他综合收益和利润分配以外的其他所有者权益变动</w:t>
      </w:r>
      <w:r>
        <w:rPr>
          <w:spacing w:val="-64"/>
        </w:rPr>
        <w:t> </w:t>
      </w:r>
      <w:r>
        <w:rPr>
          <w:spacing w:val="-64"/>
        </w:rPr>
      </w:r>
      <w:r>
        <w:rPr>
          <w:spacing w:val="-2"/>
        </w:rPr>
        <w:t>而确认的所有者权益，按比例结转入当期损益，由于被投资方重新计量设定受益计划净负债或净资产变动而产生的其他综合</w:t>
      </w:r>
      <w:r>
        <w:rPr>
          <w:spacing w:val="-64"/>
        </w:rPr>
        <w:t> </w:t>
      </w:r>
      <w:r>
        <w:rPr>
          <w:spacing w:val="-64"/>
        </w:rPr>
      </w:r>
      <w:r>
        <w:rPr/>
        <w:t>收益除外。 </w:t>
      </w:r>
      <w:r>
        <w:rPr>
          <w:spacing w:val="-2"/>
        </w:rPr>
        <w:t>因处置部分股权投资等原因丧失了对被投资单位的共同控制或重大影响的，处置后的剩余股权改按金融工具确认和计量准则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3"/>
        </w:rPr>
        <w:t> </w:t>
      </w:r>
      <w:r>
        <w:rPr>
          <w:spacing w:val="-63"/>
        </w:rPr>
      </w:r>
      <w:r>
        <w:rPr>
          <w:spacing w:val="-2"/>
        </w:rPr>
        <w:t>投资方除净损益、其他综合收益和利润分配以外的其他所有者权益变动而确认的所有者权益，在终止采用权益法核算时全部</w:t>
      </w:r>
      <w:r>
        <w:rPr>
          <w:spacing w:val="-64"/>
        </w:rPr>
        <w:t> </w:t>
      </w:r>
      <w:r>
        <w:rPr>
          <w:spacing w:val="-64"/>
        </w:rPr>
      </w:r>
      <w:r>
        <w:rPr/>
        <w:t>转入当期损益。</w:t>
      </w:r>
    </w:p>
    <w:p>
      <w:pPr>
        <w:spacing w:after="0" w:line="316" w:lineRule="auto"/>
        <w:jc w:val="left"/>
        <w:sectPr>
          <w:pgSz w:w="11910" w:h="16840"/>
          <w:pgMar w:header="852" w:footer="980" w:top="1320" w:bottom="1160" w:left="980" w:right="0"/>
        </w:sectPr>
      </w:pPr>
    </w:p>
    <w:p>
      <w:pPr>
        <w:pStyle w:val="BodyText"/>
        <w:spacing w:line="316" w:lineRule="auto" w:before="111"/>
        <w:ind w:right="0"/>
        <w:jc w:val="left"/>
      </w:pPr>
      <w:r>
        <w:rPr>
          <w:spacing w:val="-2"/>
        </w:rPr>
        <w:t>因处置部分股权投资、因其他投资方对子公司增资而导致本公司持股比例下降等原因丧失了对被投资单位控制权的，在编制</w:t>
      </w:r>
      <w:r>
        <w:rPr>
          <w:spacing w:val="-64"/>
        </w:rPr>
        <w:t> </w:t>
      </w:r>
      <w:r>
        <w:rPr>
          <w:spacing w:val="-64"/>
        </w:rPr>
      </w:r>
      <w:r>
        <w:rPr>
          <w:spacing w:val="-2"/>
        </w:rPr>
        <w:t>个别财务报表时，剩余股权能够对被投资单位实施共同控制或重大影响的，改按权益法核算，并对该剩余股权视同自取得时</w:t>
      </w:r>
      <w:r>
        <w:rPr>
          <w:spacing w:val="-63"/>
        </w:rPr>
        <w:t> </w:t>
      </w:r>
      <w:r>
        <w:rPr>
          <w:spacing w:val="-63"/>
        </w:rPr>
      </w:r>
      <w:r>
        <w:rPr>
          <w:spacing w:val="-2"/>
        </w:rPr>
        <w:t>即采用权益法核算进行调整；剩余股权不能对被投资单位实施共同控制或施加重大影响的，改按金融工具确认和计量准则的</w:t>
      </w:r>
      <w:r>
        <w:rPr>
          <w:spacing w:val="-62"/>
        </w:rPr>
        <w:t> </w:t>
      </w:r>
      <w:r>
        <w:rPr>
          <w:spacing w:val="-62"/>
        </w:rPr>
      </w:r>
      <w:r>
        <w:rPr/>
        <w:t>有关规定进行会计处理，其在丧失控制之日的公允价值与账面价值间的差额计入当期损益。 </w:t>
      </w:r>
      <w:r>
        <w:rPr>
          <w:spacing w:val="-2"/>
        </w:rPr>
        <w:t>处置的股权是因追加投资等原因通过企业合并取得的，在编制个别财务报表时，处置后的剩余股权采用成本法或权益法核算</w:t>
      </w:r>
      <w:r>
        <w:rPr>
          <w:spacing w:val="-64"/>
        </w:rPr>
        <w:t> </w:t>
      </w:r>
      <w:r>
        <w:rPr>
          <w:spacing w:val="-64"/>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954"/>
        <w:jc w:val="left"/>
      </w:pPr>
      <w:r>
        <w:rPr/>
        <w:t>投资性房地产计量模式 成本法计量 折旧或摊销方法</w:t>
      </w:r>
    </w:p>
    <w:p>
      <w:pPr>
        <w:pStyle w:val="BodyText"/>
        <w:spacing w:line="316" w:lineRule="auto" w:before="29"/>
        <w:ind w:right="1119"/>
        <w:jc w:val="left"/>
      </w:pPr>
      <w:r>
        <w:rPr>
          <w:spacing w:val="-2"/>
        </w:rPr>
        <w:t>投资性房地产是指为赚取租金或资本增值，或两者兼有而持有的房地产，包括已出租的土地使用权、持有并准备增值后转让</w:t>
      </w:r>
      <w:r>
        <w:rPr>
          <w:spacing w:val="-62"/>
        </w:rPr>
        <w:t> </w:t>
      </w:r>
      <w:r>
        <w:rPr>
          <w:spacing w:val="-62"/>
        </w:rPr>
      </w:r>
      <w:r>
        <w:rPr>
          <w:spacing w:val="-2"/>
        </w:rPr>
        <w:t>的土地使用权、已出租的建筑物（含自行建造或开发活动完成后用于出租的建筑物以及正在建造或开发过程中将来用于出租</w:t>
      </w:r>
      <w:r>
        <w:rPr>
          <w:spacing w:val="-64"/>
        </w:rPr>
        <w:t> </w:t>
      </w:r>
      <w:r>
        <w:rPr>
          <w:spacing w:val="-64"/>
        </w:rPr>
      </w:r>
      <w:r>
        <w:rPr/>
        <w:t>的建筑物）。 </w:t>
      </w:r>
      <w:r>
        <w:rPr>
          <w:spacing w:val="-2"/>
        </w:rPr>
        <w:t>公司对现有投资性房地产采用成本模式计量。对按照成本模式计量的投资性房地产－出租用建筑物采用与本公司固定资产相</w:t>
      </w:r>
      <w:r>
        <w:rPr>
          <w:spacing w:val="-64"/>
        </w:rPr>
        <w:t> </w:t>
      </w:r>
      <w:r>
        <w:rPr>
          <w:spacing w:val="-64"/>
        </w:rPr>
      </w:r>
      <w:r>
        <w:rPr/>
        <w:t>同的折旧政策，出租用土地使用权按与无形资产相同的摊销政策执行。</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0"/>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3.23%-9.70%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11"/>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4" w:lineRule="auto"/>
        <w:ind w:right="0"/>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2"/>
        </w:rPr>
        <w:t> </w:t>
      </w:r>
      <w:r>
        <w:rPr>
          <w:spacing w:val="-42"/>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1"/>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after="0" w:line="304" w:lineRule="auto"/>
        <w:jc w:val="left"/>
        <w:sectPr>
          <w:pgSz w:w="11910" w:h="16840"/>
          <w:pgMar w:header="852" w:footer="980" w:top="1320" w:bottom="1160" w:left="980" w:right="0"/>
        </w:sectPr>
      </w:pPr>
    </w:p>
    <w:p>
      <w:pPr>
        <w:pStyle w:val="Heading3"/>
        <w:spacing w:line="240" w:lineRule="auto" w:before="24"/>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694"/>
        <w:jc w:val="left"/>
      </w:pPr>
      <w:r>
        <w:rPr/>
        <w:t>公司是否需要遵守特殊行业的披露要求 否</w:t>
      </w:r>
    </w:p>
    <w:p>
      <w:pPr>
        <w:pStyle w:val="BodyText"/>
        <w:spacing w:line="316" w:lineRule="auto" w:before="29"/>
        <w:ind w:right="1131"/>
        <w:jc w:val="both"/>
      </w:pP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r>
        <w:rPr>
          <w:spacing w:val="-65"/>
        </w:rPr>
        <w:t> </w:t>
      </w:r>
      <w:r>
        <w:rPr>
          <w:spacing w:val="-65"/>
        </w:rPr>
      </w:r>
      <w:r>
        <w:rPr>
          <w:spacing w:val="-2"/>
        </w:rPr>
        <w:t>等，按估计的价值转入固定资产，并按本公司固定资产折旧政策计提固定资产的折旧，待办理竣工决算后，再按实际成本调</w:t>
      </w:r>
      <w:r>
        <w:rPr>
          <w:spacing w:val="-65"/>
        </w:rPr>
        <w:t> </w:t>
      </w:r>
      <w:r>
        <w:rPr>
          <w:spacing w:val="-65"/>
        </w:rPr>
      </w:r>
      <w:r>
        <w:rPr/>
        <w:t>整原来的暂估价值，但不调整原已计提的折旧额。</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4" w:lineRule="auto"/>
        <w:ind w:right="1119"/>
        <w:jc w:val="left"/>
      </w:pP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公司发生的借款费用，可直接归属于符合资本化条件的资产的购建或者生产的，予以资本化，计入相关资产成本；其他借款</w:t>
      </w:r>
      <w:r>
        <w:rPr>
          <w:spacing w:val="-64"/>
        </w:rPr>
        <w:t> </w:t>
      </w:r>
      <w:r>
        <w:rPr>
          <w:spacing w:val="-64"/>
        </w:rPr>
      </w:r>
      <w:r>
        <w:rPr/>
        <w:t>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64"/>
        </w:rPr>
        <w:t> </w:t>
      </w:r>
      <w:r>
        <w:rPr>
          <w:spacing w:val="-64"/>
        </w:rPr>
      </w:r>
      <w:r>
        <w:rPr/>
        <w:t>资性房地产和存货等资产。</w:t>
      </w:r>
    </w:p>
    <w:p>
      <w:pPr>
        <w:pStyle w:val="BodyText"/>
        <w:spacing w:line="240" w:lineRule="auto" w:before="20"/>
        <w:ind w:right="0"/>
        <w:jc w:val="left"/>
      </w:pPr>
      <w:r>
        <w:rPr/>
        <w:t>借款费用同时满足下列条件时开始资本化：</w:t>
      </w:r>
    </w:p>
    <w:p>
      <w:pPr>
        <w:pStyle w:val="BodyText"/>
        <w:spacing w:line="300" w:lineRule="auto" w:before="76"/>
        <w:ind w:right="1124"/>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 息债务形式发生的支出；</w:t>
      </w:r>
    </w:p>
    <w:p>
      <w:pPr>
        <w:pStyle w:val="BodyText"/>
        <w:spacing w:line="240" w:lineRule="auto" w:before="31"/>
        <w:ind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right="1119"/>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购建或者生产的资产的各部分分别完工，但必须等到整体完工后才可使用或可对外销售的，在该资产整体完工时停止借款费</w:t>
      </w:r>
      <w:r>
        <w:rPr>
          <w:spacing w:val="-62"/>
        </w:rPr>
        <w:t> </w:t>
      </w:r>
      <w:r>
        <w:rPr>
          <w:spacing w:val="-62"/>
        </w:rPr>
      </w:r>
      <w:r>
        <w:rPr/>
        <w:t>用资本化。</w:t>
      </w:r>
    </w:p>
    <w:p>
      <w:pPr>
        <w:pStyle w:val="BodyText"/>
        <w:spacing w:line="312" w:lineRule="auto" w:before="20"/>
        <w:ind w:right="1124"/>
        <w:jc w:val="left"/>
      </w:pPr>
      <w:r>
        <w:rPr>
          <w:rFonts w:ascii="Times New Roman" w:hAnsi="Times New Roman" w:cs="Times New Roman" w:eastAsia="Times New Roman" w:hint="default"/>
        </w:rPr>
        <w:t>3</w:t>
      </w:r>
      <w:r>
        <w:rPr/>
        <w:t>、暂停资本化期间 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 </w:t>
      </w:r>
      <w:r>
        <w:rPr>
          <w:rFonts w:ascii="Times New Roman" w:hAnsi="Times New Roman" w:cs="Times New Roman" w:eastAsia="Times New Roman" w:hint="default"/>
        </w:rPr>
        <w:t>4</w:t>
      </w:r>
      <w:r>
        <w:rPr/>
        <w:t>、借款费用资本化率、资本化金额的计算方法 </w:t>
      </w:r>
      <w:r>
        <w:rPr>
          <w:spacing w:val="-2"/>
        </w:rPr>
        <w:t>对于为购建或者生产符合资本化条件的资产而借入的专门借款，以专门借款当期实际发生的借款费用，减去尚未动用的借款</w:t>
      </w:r>
      <w:r>
        <w:rPr>
          <w:spacing w:val="-64"/>
        </w:rPr>
        <w:t> </w:t>
      </w:r>
      <w:r>
        <w:rPr>
          <w:spacing w:val="-64"/>
        </w:rPr>
      </w:r>
      <w:r>
        <w:rPr/>
        <w:t>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2"/>
        </w:rPr>
        <w:t>乘以所占用一般借款的资本化率，计算确定一般借款应予资本化的借款费用金额。资本化率根据一般借款加权平均利率计算</w:t>
      </w:r>
      <w:r>
        <w:rPr>
          <w:spacing w:val="-64"/>
        </w:rPr>
        <w:t> </w:t>
      </w:r>
      <w:r>
        <w:rPr>
          <w:spacing w:val="-64"/>
        </w:rPr>
      </w:r>
      <w:r>
        <w:rPr/>
        <w:t>确定。</w:t>
      </w:r>
    </w:p>
    <w:p>
      <w:pPr>
        <w:pStyle w:val="BodyText"/>
        <w:spacing w:line="240" w:lineRule="auto" w:before="22"/>
        <w:ind w:right="0"/>
        <w:jc w:val="left"/>
      </w:pPr>
      <w:r>
        <w:rPr/>
        <w:t>借款存在折价或者溢价的，按照实际利率法确定每一会计期间应摊销的折价或者溢价金额，调整每期利息金额。</w:t>
      </w:r>
    </w:p>
    <w:p>
      <w:pPr>
        <w:spacing w:after="0" w:line="240" w:lineRule="auto"/>
        <w:jc w:val="left"/>
        <w:sectPr>
          <w:pgSz w:w="11910" w:h="16840"/>
          <w:pgMar w:header="852" w:footer="980" w:top="1320" w:bottom="1160" w:left="980" w:right="0"/>
        </w:sectPr>
      </w:pPr>
    </w:p>
    <w:p>
      <w:pPr>
        <w:pStyle w:val="Heading3"/>
        <w:spacing w:line="240" w:lineRule="auto" w:before="24"/>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7694"/>
        <w:jc w:val="left"/>
      </w:pPr>
      <w:r>
        <w:rPr/>
        <w:t>公司是否需要遵守特殊行业的披露要求 否</w:t>
      </w:r>
    </w:p>
    <w:p>
      <w:pPr>
        <w:pStyle w:val="BodyText"/>
        <w:spacing w:line="314" w:lineRule="auto" w:before="25"/>
        <w:ind w:right="0"/>
        <w:jc w:val="left"/>
      </w:pP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3"/>
        </w:rPr>
        <w:t> </w:t>
      </w:r>
      <w:r>
        <w:rPr>
          <w:spacing w:val="-63"/>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3"/>
        </w:rPr>
        <w:t> </w:t>
      </w:r>
      <w:r>
        <w:rPr>
          <w:spacing w:val="-63"/>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p>
    <w:p>
      <w:pPr>
        <w:pStyle w:val="BodyText"/>
        <w:spacing w:line="300" w:lineRule="auto" w:before="20"/>
        <w:ind w:right="7514"/>
        <w:jc w:val="left"/>
      </w:pP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right="0"/>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pStyle w:val="BodyText"/>
        <w:spacing w:line="240" w:lineRule="auto" w:before="19"/>
        <w:ind w:right="0"/>
        <w:jc w:val="left"/>
      </w:pPr>
      <w:r>
        <w:rPr>
          <w:rFonts w:ascii="Times New Roman" w:hAnsi="Times New Roman" w:cs="Times New Roman" w:eastAsia="Times New Roman" w:hint="default"/>
        </w:rPr>
        <w:t>3</w:t>
      </w:r>
      <w:r>
        <w:rPr/>
        <w:t>、使用寿命有限的无形资产的使用寿命估计情况：</w:t>
      </w:r>
    </w:p>
    <w:p>
      <w:pPr>
        <w:spacing w:line="240" w:lineRule="auto" w:before="13"/>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586"/>
        <w:gridCol w:w="2952"/>
        <w:gridCol w:w="2885"/>
      </w:tblGrid>
      <w:tr>
        <w:trPr>
          <w:trHeight w:val="355" w:hRule="exact"/>
        </w:trPr>
        <w:tc>
          <w:tcPr>
            <w:tcW w:w="25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660" w:right="0"/>
              <w:jc w:val="left"/>
              <w:rPr>
                <w:rFonts w:ascii="宋体" w:hAnsi="宋体" w:cs="宋体" w:eastAsia="宋体" w:hint="default"/>
                <w:sz w:val="18"/>
                <w:szCs w:val="18"/>
              </w:rPr>
            </w:pPr>
            <w:r>
              <w:rPr>
                <w:rFonts w:ascii="宋体" w:hAnsi="宋体" w:cs="宋体" w:eastAsia="宋体" w:hint="default"/>
                <w:sz w:val="18"/>
                <w:szCs w:val="18"/>
              </w:rPr>
              <w:t>预计使用寿命（年）</w:t>
            </w:r>
          </w:p>
        </w:tc>
        <w:tc>
          <w:tcPr>
            <w:tcW w:w="28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3" w:hRule="exact"/>
        </w:trPr>
        <w:tc>
          <w:tcPr>
            <w:tcW w:w="2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38"/>
              <w:jc w:val="right"/>
              <w:rPr>
                <w:rFonts w:ascii="Times New Roman" w:hAnsi="Times New Roman" w:cs="Times New Roman" w:eastAsia="Times New Roman" w:hint="default"/>
                <w:sz w:val="18"/>
                <w:szCs w:val="18"/>
              </w:rPr>
            </w:pPr>
            <w:r>
              <w:rPr>
                <w:rFonts w:ascii="Times New Roman"/>
                <w:sz w:val="18"/>
              </w:rPr>
              <w:t>50</w:t>
            </w:r>
          </w:p>
        </w:tc>
        <w:tc>
          <w:tcPr>
            <w:tcW w:w="28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
              <w:ind w:left="45" w:right="0"/>
              <w:jc w:val="left"/>
              <w:rPr>
                <w:rFonts w:ascii="宋体" w:hAnsi="宋体" w:cs="宋体" w:eastAsia="宋体" w:hint="default"/>
                <w:sz w:val="18"/>
                <w:szCs w:val="18"/>
              </w:rPr>
            </w:pPr>
            <w:r>
              <w:rPr>
                <w:rFonts w:ascii="宋体" w:hAnsi="宋体" w:cs="宋体" w:eastAsia="宋体" w:hint="default"/>
                <w:sz w:val="18"/>
                <w:szCs w:val="18"/>
              </w:rPr>
              <w:t>土地使用权证对应年限</w:t>
            </w:r>
          </w:p>
        </w:tc>
      </w:tr>
      <w:tr>
        <w:trPr>
          <w:trHeight w:val="350" w:hRule="exact"/>
        </w:trPr>
        <w:tc>
          <w:tcPr>
            <w:tcW w:w="2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8"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2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1"/>
              <w:jc w:val="right"/>
              <w:rPr>
                <w:rFonts w:ascii="Times New Roman" w:hAnsi="Times New Roman" w:cs="Times New Roman" w:eastAsia="Times New Roman" w:hint="default"/>
                <w:sz w:val="18"/>
                <w:szCs w:val="18"/>
              </w:rPr>
            </w:pPr>
            <w:r>
              <w:rPr>
                <w:rFonts w:ascii="Times New Roman"/>
                <w:spacing w:val="-1"/>
                <w:sz w:val="18"/>
              </w:rPr>
              <w:t>3-10</w:t>
            </w:r>
            <w:r>
              <w:rPr>
                <w:rFonts w:ascii="Times New Roman"/>
                <w:sz w:val="18"/>
              </w:rPr>
            </w:r>
          </w:p>
        </w:tc>
        <w:tc>
          <w:tcPr>
            <w:tcW w:w="28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5"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55" w:hRule="exact"/>
        </w:trPr>
        <w:tc>
          <w:tcPr>
            <w:tcW w:w="2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42"/>
              <w:jc w:val="right"/>
              <w:rPr>
                <w:rFonts w:ascii="Times New Roman" w:hAnsi="Times New Roman" w:cs="Times New Roman" w:eastAsia="Times New Roman" w:hint="default"/>
                <w:sz w:val="18"/>
                <w:szCs w:val="18"/>
              </w:rPr>
            </w:pPr>
            <w:r>
              <w:rPr>
                <w:rFonts w:ascii="Times New Roman"/>
                <w:sz w:val="18"/>
              </w:rPr>
              <w:t>3</w:t>
            </w:r>
          </w:p>
        </w:tc>
        <w:tc>
          <w:tcPr>
            <w:tcW w:w="28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
              <w:ind w:left="45"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pStyle w:val="BodyText"/>
        <w:spacing w:line="316" w:lineRule="auto" w:before="10"/>
        <w:ind w:right="4814"/>
        <w:jc w:val="left"/>
      </w:pPr>
      <w:r>
        <w:rPr/>
        <w:t>每年度终了，对使用寿命有限的无形资产的使用寿命及摊销方法进行复核。 经复核，本年期末无形资产的使用寿命及摊销方法与以前估计未有不同。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0"/>
        <w:jc w:val="left"/>
      </w:pP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开发阶段：在进行商业性生产或使用前，将研究成果或其他知识应用于某项计划或设计，以生产出新的或具有实质性改进的</w:t>
      </w:r>
      <w:r>
        <w:rPr>
          <w:spacing w:val="-61"/>
        </w:rPr>
        <w:t> </w:t>
      </w:r>
      <w:r>
        <w:rPr>
          <w:spacing w:val="-61"/>
        </w:rPr>
      </w:r>
      <w:r>
        <w:rPr/>
        <w:t>材料、装置、产品等活动的阶段。</w:t>
      </w:r>
    </w:p>
    <w:p>
      <w:pPr>
        <w:pStyle w:val="BodyText"/>
        <w:spacing w:line="240" w:lineRule="auto" w:before="17"/>
        <w:ind w:right="0"/>
        <w:jc w:val="left"/>
      </w:pPr>
      <w:r>
        <w:rPr/>
        <w:t>内部研究开发项目开发阶段的支出，同时满足下列条件时确认为无形资产：</w:t>
      </w:r>
    </w:p>
    <w:p>
      <w:pPr>
        <w:pStyle w:val="BodyText"/>
        <w:spacing w:line="240" w:lineRule="auto" w:before="76"/>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1124"/>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 产将在内部使用的，能够证明其有用性；</w:t>
      </w:r>
    </w:p>
    <w:p>
      <w:pPr>
        <w:pStyle w:val="BodyText"/>
        <w:spacing w:line="240" w:lineRule="auto" w:before="31"/>
        <w:ind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after="0" w:line="240" w:lineRule="auto"/>
        <w:jc w:val="left"/>
        <w:sectPr>
          <w:pgSz w:w="11910" w:h="16840"/>
          <w:pgMar w:header="852" w:footer="980" w:top="1320" w:bottom="1160" w:left="980" w:right="0"/>
        </w:sectPr>
      </w:pPr>
    </w:p>
    <w:p>
      <w:pPr>
        <w:pStyle w:val="BodyText"/>
        <w:spacing w:line="300" w:lineRule="auto" w:before="111"/>
        <w:ind w:right="2114"/>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23"/>
        <w:jc w:val="left"/>
      </w:pPr>
      <w:r>
        <w:rPr>
          <w:spacing w:val="-2"/>
        </w:rPr>
        <w:t>长期股权投资、采用成本模式计量的投资性房地产、固定资产、在建工程、使用寿命有限的无形资产等长期资产，于资产负</w:t>
      </w:r>
      <w:r>
        <w:rPr>
          <w:spacing w:val="-67"/>
        </w:rPr>
        <w:t> </w:t>
      </w:r>
      <w:r>
        <w:rPr>
          <w:spacing w:val="-67"/>
        </w:rPr>
      </w:r>
      <w:r>
        <w:rPr>
          <w:spacing w:val="-2"/>
        </w:rPr>
        <w:t>债表日存在减值迹象的，进行减值测试。减值测试结果表明资产的可收回金额低于其账面价值的，按其差额计提减值准备并</w:t>
      </w:r>
      <w:r>
        <w:rPr>
          <w:spacing w:val="-63"/>
        </w:rPr>
        <w:t> </w:t>
      </w:r>
      <w:r>
        <w:rPr>
          <w:spacing w:val="-63"/>
        </w:rPr>
      </w:r>
      <w:r>
        <w:rPr>
          <w:spacing w:val="-2"/>
        </w:rPr>
        <w:t>计入减值损失。可收回金额为资产的公允价值减去处置费用后的净额与资产预计未来现金流量的现值两者之间的较高者。资</w:t>
      </w:r>
      <w:r>
        <w:rPr>
          <w:spacing w:val="-64"/>
        </w:rPr>
        <w:t> </w:t>
      </w:r>
      <w:r>
        <w:rPr>
          <w:spacing w:val="-64"/>
        </w:rPr>
      </w:r>
      <w:r>
        <w:rPr>
          <w:spacing w:val="-2"/>
        </w:rPr>
        <w:t>产减值准备按单项资产为基础计算并确认，如果难以对单项资产的可收回金额进行估计的，以该资产所属的资产组确定资产</w:t>
      </w:r>
      <w:r>
        <w:rPr>
          <w:spacing w:val="-63"/>
        </w:rPr>
        <w:t> </w:t>
      </w:r>
      <w:r>
        <w:rPr>
          <w:spacing w:val="-63"/>
        </w:rPr>
      </w:r>
      <w:r>
        <w:rPr/>
        <w:t>组的可收回金额。资产组是能够独立产生现金流入的最小资产组合。 商誉和使用寿命不确定的无形资产至少在每年年度终了进行减值测试。 </w:t>
      </w:r>
      <w:r>
        <w:rPr>
          <w:spacing w:val="-2"/>
        </w:rPr>
        <w:t>本公司进行商誉减值测试，对于因企业合并形成的商誉的账面价值，自购买日起按照合理的方法分摊至相关的资产组；难以</w:t>
      </w:r>
      <w:r>
        <w:rPr>
          <w:spacing w:val="-63"/>
        </w:rPr>
        <w:t> </w:t>
      </w:r>
      <w:r>
        <w:rPr>
          <w:spacing w:val="-63"/>
        </w:rPr>
      </w:r>
      <w:r>
        <w:rPr>
          <w:spacing w:val="-2"/>
        </w:rPr>
        <w:t>分摊至相关的资产组的，将其分摊至相关的资产组组合。在将商誉的账面价值分摊至相关的资产组或者资产组组合时，按照</w:t>
      </w:r>
      <w:r>
        <w:rPr>
          <w:spacing w:val="-63"/>
        </w:rPr>
        <w:t> </w:t>
      </w:r>
      <w:r>
        <w:rPr>
          <w:spacing w:val="-63"/>
        </w:rPr>
      </w:r>
      <w:r>
        <w:rPr/>
        <w:t>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 </w:t>
      </w: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4"/>
        </w:rPr>
        <w:t> </w:t>
      </w:r>
      <w:r>
        <w:rPr>
          <w:spacing w:val="-64"/>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spacing w:val="-4"/>
        </w:rPr>
        <w:t>账面价值部分）与其可收回金额，如相关资产组或者资产组组合的可收回金额低于其账面价值的，确认商誉的减值损失。</w:t>
      </w:r>
      <w:r>
        <w:rPr>
          <w:spacing w:val="33"/>
        </w:rPr>
        <w:t> </w:t>
      </w:r>
      <w:r>
        <w:rPr/>
        <w:t>上</w:t>
      </w:r>
      <w:r>
        <w:rPr>
          <w:spacing w:val="-86"/>
        </w:rPr>
        <w:t> </w:t>
      </w:r>
      <w:r>
        <w:rPr>
          <w:spacing w:val="-86"/>
        </w:rPr>
      </w:r>
      <w:r>
        <w:rPr/>
        <w:t>述资产减值损失一经确认，在以后会计期间不予转回。</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长期待摊费用为已经发生但应由本期和以后各期负担的分摊期限在一年以上的各项费用。</w:t>
      </w:r>
    </w:p>
    <w:p>
      <w:pPr>
        <w:pStyle w:val="BodyText"/>
        <w:spacing w:line="309" w:lineRule="auto" w:before="76"/>
        <w:ind w:right="8054"/>
        <w:jc w:val="left"/>
      </w:pPr>
      <w:r>
        <w:rPr>
          <w:rFonts w:ascii="Times New Roman" w:hAnsi="Times New Roman" w:cs="Times New Roman" w:eastAsia="Times New Roman" w:hint="default"/>
        </w:rPr>
        <w:t>1</w:t>
      </w:r>
      <w:r>
        <w:rPr/>
        <w:t>、摊销方法 长期待摊费用在受益期内平均摊销 </w:t>
      </w:r>
      <w:r>
        <w:rPr>
          <w:rFonts w:ascii="Times New Roman" w:hAnsi="Times New Roman" w:cs="Times New Roman" w:eastAsia="Times New Roman" w:hint="default"/>
        </w:rPr>
        <w:t>2</w:t>
      </w:r>
      <w:r>
        <w:rPr/>
        <w:t>、摊销年限</w:t>
      </w:r>
    </w:p>
    <w:p>
      <w:pPr>
        <w:pStyle w:val="BodyText"/>
        <w:spacing w:line="316" w:lineRule="auto" w:before="5"/>
        <w:ind w:right="1133"/>
        <w:jc w:val="both"/>
      </w:pPr>
      <w:r>
        <w:rPr>
          <w:spacing w:val="-2"/>
        </w:rPr>
        <w:t>长期待摊费用在取得时按照实际成本计价，开办费在发生时计入当期损益；经营性租赁固定资产的装修费用在可使用年限和</w:t>
      </w:r>
      <w:r>
        <w:rPr>
          <w:spacing w:val="-64"/>
        </w:rPr>
        <w:t> </w:t>
      </w:r>
      <w:r>
        <w:rPr>
          <w:spacing w:val="-64"/>
        </w:rPr>
      </w:r>
      <w:r>
        <w:rPr>
          <w:spacing w:val="-2"/>
        </w:rPr>
        <w:t>租赁期两者较低年限进行平均摊销，其他长期待摊费用按项目的受益期平均摊销。对于在以后会计期间已无法带来预期经济</w:t>
      </w:r>
      <w:r>
        <w:rPr>
          <w:spacing w:val="-64"/>
        </w:rPr>
        <w:t> </w:t>
      </w:r>
      <w:r>
        <w:rPr>
          <w:spacing w:val="-64"/>
        </w:rPr>
      </w:r>
      <w:r>
        <w:rPr/>
        <w:t>利益的长期待摊费用，本公司对其尚未摊销的摊余价值全部转入当期损益。</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0"/>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本公司按当地政府的相关规定为职工缴纳基本养老保险和失业保险，在职工为本公司提供服务的会计期间，按以当地规定的</w:t>
      </w:r>
      <w:r>
        <w:rPr>
          <w:spacing w:val="-63"/>
        </w:rPr>
        <w:t> </w:t>
      </w:r>
      <w:r>
        <w:rPr>
          <w:spacing w:val="-63"/>
        </w:rPr>
      </w:r>
      <w:r>
        <w:rPr/>
        <w:t>缴纳基数和比例计算应缴纳金额，确认为负债，并计入当期损益或相关资产成本。</w:t>
      </w:r>
    </w:p>
    <w:p>
      <w:pPr>
        <w:spacing w:after="0" w:line="309" w:lineRule="auto"/>
        <w:jc w:val="left"/>
        <w:sectPr>
          <w:pgSz w:w="11910" w:h="16840"/>
          <w:pgMar w:header="852" w:footer="980" w:top="1320" w:bottom="1160" w:left="980" w:right="0"/>
        </w:sectPr>
      </w:pPr>
    </w:p>
    <w:p>
      <w:pPr>
        <w:pStyle w:val="BodyText"/>
        <w:spacing w:line="316" w:lineRule="auto" w:before="111"/>
        <w:ind w:right="0"/>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所有设定受益计划义务，包括预期在职工提供服务的年度报告期间结束后的十二个月内支付的义务，根据资产负债表日与设</w:t>
      </w:r>
      <w:r>
        <w:rPr>
          <w:spacing w:val="-63"/>
        </w:rPr>
        <w:t> </w:t>
      </w:r>
      <w:r>
        <w:rPr>
          <w:spacing w:val="-63"/>
        </w:rPr>
      </w:r>
      <w:r>
        <w:rPr/>
        <w:t>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设定受益计划产生的服务成本和设定受益计划净负债或净资产的利息净额计入当期损益或相关资产成本；重新计量设定受益</w:t>
      </w:r>
      <w:r>
        <w:rPr>
          <w:spacing w:val="-64"/>
        </w:rPr>
        <w:t> </w:t>
      </w:r>
      <w:r>
        <w:rPr>
          <w:spacing w:val="-64"/>
        </w:rPr>
      </w:r>
      <w:r>
        <w:rPr>
          <w:spacing w:val="-2"/>
        </w:rPr>
        <w:t>计划净负债或净资产所产生的变动计入其他综合收益，并且在后续会计期间不转回至损益，在原设定受益计划终止时在权益</w:t>
      </w:r>
      <w:r>
        <w:rPr>
          <w:spacing w:val="-64"/>
        </w:rPr>
        <w:t> </w:t>
      </w:r>
      <w:r>
        <w:rPr>
          <w:spacing w:val="-64"/>
        </w:rPr>
      </w:r>
      <w:r>
        <w:rPr/>
        <w:t>范围内将原计入其他综合收益的部分全部结转至未分配利润。 在设定受益计划结算时，按在结算日确定的设定受益计划义务现值和结算价格两者的差额，确认结算利得或损失。</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jc w:val="left"/>
      </w:pPr>
      <w:r>
        <w:rPr>
          <w:spacing w:val="-2"/>
        </w:rPr>
        <w:t>本公司在不能单方面撤回因解除劳动关系计划或裁减建议所提供的辞退福利时，或确认与涉及支付辞退福利的重组相关的成</w:t>
      </w:r>
      <w:r>
        <w:rPr>
          <w:spacing w:val="-64"/>
        </w:rPr>
        <w:t> </w:t>
      </w:r>
      <w:r>
        <w:rPr>
          <w:spacing w:val="-64"/>
        </w:rPr>
      </w:r>
      <w:r>
        <w:rPr/>
        <w:t>本或费用时（两者孰早），确认辞退福利产生的职工薪酬负债，并计入当期损益。</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934"/>
        <w:jc w:val="left"/>
      </w:pP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pStyle w:val="BodyText"/>
        <w:spacing w:line="240" w:lineRule="auto" w:before="31"/>
        <w:ind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right="0"/>
        <w:jc w:val="left"/>
      </w:pPr>
      <w:r>
        <w:rPr/>
        <w:t>（</w:t>
      </w:r>
      <w:r>
        <w:rPr>
          <w:rFonts w:ascii="Times New Roman" w:hAnsi="Times New Roman" w:cs="Times New Roman" w:eastAsia="Times New Roman" w:hint="default"/>
        </w:rPr>
        <w:t>3</w:t>
      </w:r>
      <w:r>
        <w:rPr/>
        <w:t>）该义务的金额能够可靠地计量。</w:t>
      </w:r>
    </w:p>
    <w:p>
      <w:pPr>
        <w:pStyle w:val="BodyText"/>
        <w:spacing w:line="300" w:lineRule="auto" w:before="63"/>
        <w:ind w:right="4634"/>
        <w:jc w:val="left"/>
      </w:pP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316" w:lineRule="auto" w:before="31"/>
        <w:ind w:right="0"/>
        <w:jc w:val="left"/>
      </w:pPr>
      <w:r>
        <w:rPr>
          <w:spacing w:val="-2"/>
        </w:rPr>
        <w:t>本公司在确定最佳估计数时，综合考虑与或有事项有关的风险、不确定性和货币时间价值等因素。对于货币时间价值影响重</w:t>
      </w:r>
      <w:r>
        <w:rPr>
          <w:spacing w:val="-63"/>
        </w:rPr>
        <w:t> </w:t>
      </w:r>
      <w:r>
        <w:rPr>
          <w:spacing w:val="-63"/>
        </w:rPr>
      </w:r>
      <w:r>
        <w:rPr/>
        <w:t>大的，通过对相关未来现金流出进行折现后确定最佳估计数。</w:t>
      </w:r>
    </w:p>
    <w:p>
      <w:pPr>
        <w:pStyle w:val="BodyText"/>
        <w:spacing w:line="316" w:lineRule="auto" w:before="19"/>
        <w:ind w:right="0"/>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4"/>
        </w:rPr>
        <w:t> </w:t>
      </w:r>
      <w:r>
        <w:rPr>
          <w:spacing w:val="-64"/>
        </w:rPr>
      </w:r>
      <w:r>
        <w:rPr/>
        <w:t>下限金额的平均数确定。 </w:t>
      </w:r>
      <w:r>
        <w:rPr>
          <w:spacing w:val="-2"/>
        </w:rPr>
        <w:t>所需支出不存在一个连续范围（或区间），或虽然存在一个连续范围但该范围内各种结果发生的可能性不相同的，如或有事</w:t>
      </w:r>
      <w:r>
        <w:rPr>
          <w:spacing w:val="-65"/>
        </w:rPr>
        <w:t> </w:t>
      </w:r>
      <w:r>
        <w:rPr>
          <w:spacing w:val="-65"/>
        </w:rPr>
      </w:r>
      <w:r>
        <w:rPr>
          <w:spacing w:val="-2"/>
        </w:rPr>
        <w:t>项涉及单个项目的，则最佳估计数按照最可能发生金额确定；如或有事项涉及多个项目的，则最佳估计数按各种可能结果及</w:t>
      </w:r>
      <w:r>
        <w:rPr>
          <w:spacing w:val="-63"/>
        </w:rPr>
        <w:t> </w:t>
      </w:r>
      <w:r>
        <w:rPr>
          <w:spacing w:val="-63"/>
        </w:rPr>
      </w:r>
      <w:r>
        <w:rPr/>
        <w:t>相关概率计算确定。 </w:t>
      </w:r>
      <w:r>
        <w:rPr>
          <w:spacing w:val="-2"/>
        </w:rPr>
        <w:t>本公司清偿预计负债所需支出全部或部分预期由第三方补偿的，补偿金额在基本确定能够收到时，作为资产单独确认，确认</w:t>
      </w:r>
      <w:r>
        <w:rPr>
          <w:spacing w:val="-65"/>
        </w:rPr>
        <w:t> </w:t>
      </w:r>
      <w:r>
        <w:rPr>
          <w:spacing w:val="-65"/>
        </w:rPr>
      </w:r>
      <w:r>
        <w:rPr/>
        <w:t>的补偿金额不超过预计负债的账面价值。</w:t>
      </w:r>
    </w:p>
    <w:p>
      <w:pPr>
        <w:spacing w:after="0" w:line="316" w:lineRule="auto"/>
        <w:jc w:val="left"/>
        <w:sectPr>
          <w:pgSz w:w="11910" w:h="16840"/>
          <w:pgMar w:header="852" w:footer="980" w:top="1320" w:bottom="1160" w:left="980" w:right="0"/>
        </w:sectPr>
      </w:pPr>
    </w:p>
    <w:p>
      <w:pPr>
        <w:pStyle w:val="Heading3"/>
        <w:spacing w:line="240" w:lineRule="auto" w:before="24"/>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694"/>
        <w:jc w:val="left"/>
      </w:pPr>
      <w:r>
        <w:rPr/>
        <w:t>公司是否需要遵守特殊行业的披露要求 否</w:t>
      </w:r>
    </w:p>
    <w:p>
      <w:pPr>
        <w:pStyle w:val="BodyText"/>
        <w:spacing w:line="312" w:lineRule="auto" w:before="29"/>
        <w:ind w:right="0"/>
        <w:jc w:val="left"/>
      </w:pPr>
      <w:r>
        <w:rPr>
          <w:rFonts w:ascii="Times New Roman" w:hAnsi="Times New Roman" w:cs="Times New Roman" w:eastAsia="Times New Roman" w:hint="default"/>
        </w:rPr>
        <w:t>1</w:t>
      </w:r>
      <w:r>
        <w:rPr/>
        <w:t>、销售商品收入确认时间的具体判断标准 </w:t>
      </w:r>
      <w:r>
        <w:rPr>
          <w:spacing w:val="-2"/>
        </w:rPr>
        <w:t>公司已将商品所有权上的主要风险和报酬转移给购买方；公司既没有保留与所有权相联系的继续管理权，也没有对已售出的</w:t>
      </w:r>
      <w:r>
        <w:rPr>
          <w:spacing w:val="-63"/>
        </w:rPr>
        <w:t> </w:t>
      </w:r>
      <w:r>
        <w:rPr>
          <w:spacing w:val="-63"/>
        </w:rPr>
      </w:r>
      <w:r>
        <w:rPr>
          <w:spacing w:val="-2"/>
        </w:rPr>
        <w:t>商品实施有效控制；收入的金额能够可靠地计量；相关的经济利益很可能流入企业；相关的已发生或将发生的成本能够可靠</w:t>
      </w:r>
      <w:r>
        <w:rPr>
          <w:spacing w:val="-63"/>
        </w:rPr>
        <w:t> </w:t>
      </w:r>
      <w:r>
        <w:rPr>
          <w:spacing w:val="-63"/>
        </w:rPr>
      </w:r>
      <w:r>
        <w:rPr/>
        <w:t>地计量时，确认商品销售收入实现。</w:t>
      </w:r>
    </w:p>
    <w:p>
      <w:pPr>
        <w:pStyle w:val="BodyText"/>
        <w:spacing w:line="300" w:lineRule="auto" w:before="22"/>
        <w:ind w:right="1214"/>
        <w:jc w:val="left"/>
      </w:pPr>
      <w:r>
        <w:rPr>
          <w:rFonts w:ascii="Times New Roman" w:hAnsi="Times New Roman" w:cs="Times New Roman" w:eastAsia="Times New Roman" w:hint="default"/>
        </w:rPr>
        <w:t>2</w:t>
      </w:r>
      <w:r>
        <w:rPr/>
        <w:t>、确认让渡资产使用权收入的依据 与交易相关的经济利益很可能流入企业，收入的金额能够可靠地计量时。分别按下列情况确定让渡资产使用权收入金额：</w:t>
      </w:r>
    </w:p>
    <w:p>
      <w:pPr>
        <w:pStyle w:val="BodyText"/>
        <w:spacing w:line="240" w:lineRule="auto" w:before="31"/>
        <w:ind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312" w:lineRule="auto" w:before="63"/>
        <w:ind w:right="0"/>
        <w:jc w:val="left"/>
      </w:pPr>
      <w:r>
        <w:rPr/>
        <w:t>（</w:t>
      </w:r>
      <w:r>
        <w:rPr>
          <w:rFonts w:ascii="Times New Roman" w:hAnsi="Times New Roman" w:cs="Times New Roman" w:eastAsia="Times New Roman" w:hint="default"/>
        </w:rPr>
        <w:t>2</w:t>
      </w:r>
      <w:r>
        <w:rPr/>
        <w:t>）使用费收入金额，按照有关合同或协议约定的收费时间和方法计算确定。 </w:t>
      </w:r>
      <w:r>
        <w:rPr>
          <w:rFonts w:ascii="Times New Roman" w:hAnsi="Times New Roman" w:cs="Times New Roman" w:eastAsia="Times New Roman" w:hint="default"/>
        </w:rPr>
        <w:t>3</w:t>
      </w:r>
      <w:r>
        <w:rPr/>
        <w:t>、按完工百分比法确认提供劳务的收入和建造合同收入时，确定合同完工进度的依据和方法 </w:t>
      </w:r>
      <w:r>
        <w:rPr>
          <w:spacing w:val="-2"/>
        </w:rPr>
        <w:t>在资产负债表日提供劳务交易的结果能够可靠估计的，采用完工百分比法确认提供劳务收入。提供劳务交易的完工进度，依</w:t>
      </w:r>
      <w:r>
        <w:rPr>
          <w:spacing w:val="-63"/>
        </w:rPr>
        <w:t> </w:t>
      </w:r>
      <w:r>
        <w:rPr>
          <w:spacing w:val="-63"/>
        </w:rPr>
      </w:r>
      <w:r>
        <w:rPr/>
        <w:t>据已完工作的测量确定。 </w:t>
      </w:r>
      <w:r>
        <w:rPr>
          <w:spacing w:val="-2"/>
        </w:rPr>
        <w:t>按照已收或应收的合同或协议价款确定提供劳务收入总额，但已收或应收的合同或协议价款不公允的除外。资产负债表日按</w:t>
      </w:r>
      <w:r>
        <w:rPr>
          <w:spacing w:val="-64"/>
        </w:rPr>
        <w:t> </w:t>
      </w:r>
      <w:r>
        <w:rPr>
          <w:spacing w:val="-64"/>
        </w:rPr>
      </w:r>
      <w:r>
        <w:rPr>
          <w:spacing w:val="-2"/>
        </w:rPr>
        <w:t>照提供劳务收入总额乘以完工进度扣除以前会计期间累计已确认提供劳务收入后的金额，确认当期提供劳务收入；同时，按</w:t>
      </w:r>
      <w:r>
        <w:rPr>
          <w:spacing w:val="-63"/>
        </w:rPr>
        <w:t> </w:t>
      </w:r>
      <w:r>
        <w:rPr>
          <w:spacing w:val="-63"/>
        </w:rPr>
      </w:r>
      <w:r>
        <w:rPr/>
        <w:t>照提供劳务估计总成本乘以完工进度扣除以前会计期间累计已确认劳务成本后的金额，结转当期劳务成本。 在资产负债表日提供劳务交易结果不能够可靠估计的，分别下列情况处理</w:t>
      </w:r>
    </w:p>
    <w:p>
      <w:pPr>
        <w:pStyle w:val="BodyText"/>
        <w:spacing w:line="300" w:lineRule="auto" w:before="22"/>
        <w:ind w:right="1124"/>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）已经发生的劳务成本预计能够得到补偿的，按照已经发生的劳务成本金额确认提供劳务收入，并按相同金额结转劳务 成本。</w:t>
      </w:r>
    </w:p>
    <w:p>
      <w:pPr>
        <w:pStyle w:val="BodyText"/>
        <w:spacing w:line="300" w:lineRule="auto" w:before="31"/>
        <w:ind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w:t>
      </w:r>
      <w:r>
        <w:rPr>
          <w:spacing w:val="-2"/>
        </w:rPr>
        <w:t>公司主营业务主要分为：建筑设计、绿色建筑咨询、生态城市规划、公信业务、</w:t>
      </w:r>
      <w:r>
        <w:rPr>
          <w:rFonts w:ascii="Times New Roman" w:hAnsi="Times New Roman" w:cs="Times New Roman" w:eastAsia="Times New Roman" w:hint="default"/>
          <w:spacing w:val="-2"/>
        </w:rPr>
        <w:t>EPC</w:t>
      </w:r>
      <w:r>
        <w:rPr>
          <w:spacing w:val="-2"/>
        </w:rPr>
        <w:t>及项目全过程管理等，公司各业务类型</w:t>
      </w:r>
      <w:r>
        <w:rPr>
          <w:spacing w:val="-38"/>
        </w:rPr>
        <w:t> </w:t>
      </w:r>
      <w:r>
        <w:rPr>
          <w:spacing w:val="-38"/>
        </w:rPr>
      </w:r>
      <w:r>
        <w:rPr/>
        <w:t>具体的收入确认流程和方式如下：</w:t>
      </w:r>
    </w:p>
    <w:p>
      <w:pPr>
        <w:pStyle w:val="BodyText"/>
        <w:spacing w:line="309" w:lineRule="auto" w:before="31"/>
        <w:ind w:right="1034"/>
        <w:jc w:val="left"/>
      </w:pPr>
      <w:r>
        <w:rPr/>
        <w:t>①建筑设计业务 </w:t>
      </w:r>
      <w:r>
        <w:rPr>
          <w:spacing w:val="-2"/>
        </w:rPr>
        <w:t>参照《工程勘察设计收费标准》（</w:t>
      </w:r>
      <w:r>
        <w:rPr>
          <w:rFonts w:ascii="Times New Roman" w:hAnsi="Times New Roman" w:cs="Times New Roman" w:eastAsia="Times New Roman" w:hint="default"/>
          <w:spacing w:val="-2"/>
        </w:rPr>
        <w:t>2002</w:t>
      </w:r>
      <w:r>
        <w:rPr>
          <w:spacing w:val="-2"/>
        </w:rPr>
        <w:t>年修订本，国家发展计划委员会、建设部编写）规定，公司建筑设计业务具体工作流</w:t>
      </w:r>
      <w:r>
        <w:rPr>
          <w:spacing w:val="-67"/>
        </w:rPr>
        <w:t> </w:t>
      </w:r>
      <w:r>
        <w:rPr>
          <w:spacing w:val="-67"/>
        </w:rPr>
      </w:r>
      <w:r>
        <w:rPr/>
        <w:t>程一般分为业务承接、方案设计、初步设计、施工图设计和施工配合等五个阶段，各阶段收入确认具体情况如下： </w:t>
      </w:r>
      <w:r>
        <w:rPr>
          <w:rFonts w:ascii="Times New Roman" w:hAnsi="Times New Roman" w:cs="Times New Roman" w:eastAsia="Times New Roman" w:hint="default"/>
        </w:rPr>
        <w:t>I.</w:t>
      </w:r>
      <w:r>
        <w:rPr/>
        <w:t>业务承接阶段：该阶段公司与委托方签订设计合同之后，一般会收取合同首期款，该款项属于预收款性质，公司在收到时 作为项目预收款，不确认收入； </w:t>
      </w:r>
      <w:r>
        <w:rPr>
          <w:rFonts w:ascii="Times New Roman" w:hAnsi="Times New Roman" w:cs="Times New Roman" w:eastAsia="Times New Roman" w:hint="default"/>
          <w:spacing w:val="-2"/>
        </w:rPr>
        <w:t>II.</w:t>
      </w:r>
      <w:r>
        <w:rPr>
          <w:spacing w:val="-2"/>
        </w:rPr>
        <w:t>方案设计阶段：该阶段主要工作是公司设计部门根据合同要求进行总体方案设计，当公司向委托方提交阶段项目成果后并</w:t>
      </w:r>
      <w:r>
        <w:rPr>
          <w:spacing w:val="-45"/>
        </w:rPr>
        <w:t> </w:t>
      </w:r>
      <w:r>
        <w:rPr>
          <w:spacing w:val="-45"/>
        </w:rPr>
      </w:r>
      <w:r>
        <w:rPr/>
        <w:t>经客户确认，根据合同约定的结算款项确认该阶段的设计费收入； </w:t>
      </w:r>
      <w:r>
        <w:rPr>
          <w:rFonts w:ascii="Times New Roman" w:hAnsi="Times New Roman" w:cs="Times New Roman" w:eastAsia="Times New Roman" w:hint="default"/>
        </w:rPr>
        <w:t>III.</w:t>
      </w:r>
      <w:r>
        <w:rPr/>
        <w:t>初步设计阶段：该阶段主要工作系设计部门对方案进行深入设计，当公司向委托方提交阶段项目成果后并经客户确认， 根据合同约定的结算款项确认该阶段的设计费收入； </w:t>
      </w:r>
      <w:r>
        <w:rPr>
          <w:rFonts w:ascii="Times New Roman" w:hAnsi="Times New Roman" w:cs="Times New Roman" w:eastAsia="Times New Roman" w:hint="default"/>
        </w:rPr>
        <w:t>IV.</w:t>
      </w:r>
      <w:r>
        <w:rPr/>
        <w:t>施工图设计阶段：该阶段主要工作系设计部门根据初步设计成果进行详细的施工图设计，当公司向委托方提交阶段项目 成果后并经客户确认，根据合同约定的结算款项确认为该阶段的设计费收入； </w:t>
      </w:r>
      <w:r>
        <w:rPr>
          <w:rFonts w:ascii="Times New Roman" w:hAnsi="Times New Roman" w:cs="Times New Roman" w:eastAsia="Times New Roman" w:hint="default"/>
          <w:spacing w:val="-2"/>
        </w:rPr>
        <w:t>V.</w:t>
      </w:r>
      <w:r>
        <w:rPr>
          <w:spacing w:val="-2"/>
        </w:rPr>
        <w:t>施工配合阶段：该阶段工作主要系设计部门在出具施工图之后，配合委托方进行详细的施工、处理施工过程中的临时工程</w:t>
      </w:r>
      <w:r>
        <w:rPr>
          <w:spacing w:val="-61"/>
        </w:rPr>
        <w:t> </w:t>
      </w:r>
      <w:r>
        <w:rPr>
          <w:spacing w:val="-61"/>
        </w:rPr>
      </w:r>
      <w:r>
        <w:rPr/>
        <w:t>施工障碍等，并在必要时进行设计修改。在施工配合阶段，根据施工进度和合同约定的结算款项确认该阶段的设计费收入。</w:t>
      </w:r>
    </w:p>
    <w:p>
      <w:pPr>
        <w:pStyle w:val="BodyText"/>
        <w:spacing w:line="316" w:lineRule="auto" w:before="24"/>
        <w:ind w:right="0"/>
        <w:jc w:val="left"/>
      </w:pPr>
      <w:r>
        <w:rPr/>
        <w:t>②绿色建筑咨询业务 </w:t>
      </w:r>
      <w:r>
        <w:rPr>
          <w:spacing w:val="-2"/>
        </w:rPr>
        <w:t>公司绿建咨询业务的具体工作流程一般分为业务接洽、方案评估、初步设计审查、施工图审查和绿色建筑标识申报等五个阶</w:t>
      </w:r>
      <w:r>
        <w:rPr>
          <w:spacing w:val="-66"/>
        </w:rPr>
        <w:t> </w:t>
      </w:r>
      <w:r>
        <w:rPr>
          <w:spacing w:val="-66"/>
        </w:rPr>
      </w:r>
      <w:r>
        <w:rPr/>
        <w:t>段，各阶段收入确认具体情况如下：</w:t>
      </w:r>
    </w:p>
    <w:p>
      <w:pPr>
        <w:spacing w:after="0" w:line="316" w:lineRule="auto"/>
        <w:jc w:val="left"/>
        <w:sectPr>
          <w:pgSz w:w="11910" w:h="16840"/>
          <w:pgMar w:header="852" w:footer="980" w:top="1320" w:bottom="1160" w:left="980" w:right="0"/>
        </w:sectPr>
      </w:pPr>
    </w:p>
    <w:p>
      <w:pPr>
        <w:pStyle w:val="BodyText"/>
        <w:spacing w:line="309" w:lineRule="auto" w:before="111"/>
        <w:ind w:right="1039"/>
        <w:jc w:val="left"/>
      </w:pPr>
      <w:r>
        <w:rPr>
          <w:rFonts w:ascii="Times New Roman" w:hAnsi="Times New Roman" w:cs="Times New Roman" w:eastAsia="Times New Roman" w:hint="default"/>
        </w:rPr>
        <w:t>I.</w:t>
      </w:r>
      <w:r>
        <w:rPr/>
        <w:t>业务承接阶段：该阶段公司与委托方签订绿建咨询合同之后，一般会收取合同首期款，该款项属于预收款性质，公司在收</w:t>
      </w:r>
      <w:r>
        <w:rPr>
          <w:w w:val="99"/>
        </w:rPr>
        <w:t> </w:t>
      </w:r>
      <w:r>
        <w:rPr/>
        <w:t>到时作为项目预收款，不确认收入；</w:t>
      </w:r>
      <w:r>
        <w:rPr>
          <w:w w:val="99"/>
        </w:rPr>
        <w:t> </w:t>
      </w:r>
      <w:r>
        <w:rPr>
          <w:rFonts w:ascii="Times New Roman" w:hAnsi="Times New Roman" w:cs="Times New Roman" w:eastAsia="Times New Roman" w:hint="default"/>
          <w:spacing w:val="-2"/>
        </w:rPr>
        <w:t>II.</w:t>
      </w:r>
      <w:r>
        <w:rPr>
          <w:spacing w:val="-2"/>
        </w:rPr>
        <w:t>方案评估阶段：该阶段主要工作系公司咨询部门根据合同要求对设计方案进行分析、评估，并提出优化建议，当公司向委</w:t>
      </w:r>
      <w:r>
        <w:rPr>
          <w:spacing w:val="-46"/>
        </w:rPr>
        <w:t> </w:t>
      </w:r>
      <w:r>
        <w:rPr>
          <w:spacing w:val="-46"/>
        </w:rPr>
      </w:r>
      <w:r>
        <w:rPr/>
        <w:t>托方提交阶段性项目成果之后并经客户确认，根据合同约定的结算款项确认该阶段的咨询费收入；</w:t>
      </w:r>
      <w:r>
        <w:rPr>
          <w:w w:val="99"/>
        </w:rPr>
        <w:t> </w:t>
      </w:r>
      <w:r>
        <w:rPr>
          <w:rFonts w:ascii="Times New Roman" w:hAnsi="Times New Roman" w:cs="Times New Roman" w:eastAsia="Times New Roman" w:hint="default"/>
        </w:rPr>
        <w:t>III.</w:t>
      </w:r>
      <w:r>
        <w:rPr/>
        <w:t>初步设计审查阶段：该阶段主要工作系公司咨询部门根据项目绿色建筑目标，针对初步设计图纸进行专项分析，当公司</w:t>
      </w:r>
      <w:r>
        <w:rPr>
          <w:w w:val="99"/>
        </w:rPr>
        <w:t> </w:t>
      </w:r>
      <w:r>
        <w:rPr/>
        <w:t>向委托方提交阶段项目成果之后并经客户确认，根据合同约定的结算款项确认该阶段的咨询费收入；</w:t>
      </w:r>
      <w:r>
        <w:rPr>
          <w:w w:val="99"/>
        </w:rPr>
        <w:t> </w:t>
      </w:r>
      <w:r>
        <w:rPr>
          <w:rFonts w:ascii="Times New Roman" w:hAnsi="Times New Roman" w:cs="Times New Roman" w:eastAsia="Times New Roman" w:hint="default"/>
        </w:rPr>
        <w:t>IV.</w:t>
      </w:r>
      <w:r>
        <w:rPr/>
        <w:t>施工图审查阶段：该阶段主要工作系公司咨询部门根据就施工图设计文件的绿色建筑达标情况进行审查，并对项目星级 </w:t>
      </w:r>
      <w:r>
        <w:rPr>
          <w:spacing w:val="-2"/>
        </w:rPr>
        <w:t>达标情况进行评估，当公司向委托方提交阶段项目成果之后并经客户确认，根据合同约定的结算款项确认为该阶段的做咨询</w:t>
      </w:r>
      <w:r>
        <w:rPr>
          <w:spacing w:val="-64"/>
        </w:rPr>
        <w:t> </w:t>
      </w:r>
      <w:r>
        <w:rPr>
          <w:spacing w:val="-64"/>
        </w:rPr>
      </w:r>
      <w:r>
        <w:rPr/>
        <w:t>费收入； </w:t>
      </w:r>
      <w:r>
        <w:rPr>
          <w:rFonts w:ascii="Times New Roman" w:hAnsi="Times New Roman" w:cs="Times New Roman" w:eastAsia="Times New Roman" w:hint="default"/>
        </w:rPr>
        <w:t>V.</w:t>
      </w:r>
      <w:r>
        <w:rPr/>
        <w:t>绿色标识认证阶段：该阶段工作主要系公司咨询部门在审查施工图之后，对委托方项目的绿色建筑认证等级进行自评估， 并在递交申请材料后，根据合同约定的结算款项确认该阶段的咨询费收入。</w:t>
      </w:r>
    </w:p>
    <w:p>
      <w:pPr>
        <w:pStyle w:val="BodyText"/>
        <w:spacing w:line="312" w:lineRule="auto" w:before="24"/>
        <w:ind w:right="0"/>
        <w:jc w:val="left"/>
      </w:pPr>
      <w:r>
        <w:rPr/>
        <w:t>③生态城市规划业务 </w:t>
      </w:r>
      <w:r>
        <w:rPr>
          <w:spacing w:val="-2"/>
        </w:rPr>
        <w:t>公司规划业务的具体工作流程一般划分为业务接洽、完成规划初稿、完成规划送审稿、规划成果通过评审等四个阶段，各阶</w:t>
      </w:r>
      <w:r>
        <w:rPr>
          <w:spacing w:val="-64"/>
        </w:rPr>
        <w:t> </w:t>
      </w:r>
      <w:r>
        <w:rPr>
          <w:spacing w:val="-64"/>
        </w:rPr>
      </w:r>
      <w:r>
        <w:rPr/>
        <w:t>段收入确认具体情况如下； </w:t>
      </w:r>
      <w:r>
        <w:rPr>
          <w:rFonts w:ascii="Times New Roman" w:hAnsi="Times New Roman" w:cs="Times New Roman" w:eastAsia="Times New Roman" w:hint="default"/>
          <w:spacing w:val="-1"/>
        </w:rPr>
        <w:t>I.</w:t>
      </w:r>
      <w:r>
        <w:rPr>
          <w:spacing w:val="-1"/>
        </w:rPr>
        <w:t>业务承接阶段：该阶段公司与委托方签订规划合同之后，一般会收取合同首期款，该款项属于预收款性质，公司在收到时</w:t>
      </w:r>
      <w:r>
        <w:rPr>
          <w:spacing w:val="-46"/>
        </w:rPr>
        <w:t> </w:t>
      </w:r>
      <w:r>
        <w:rPr>
          <w:spacing w:val="-46"/>
        </w:rPr>
      </w:r>
      <w:r>
        <w:rPr/>
        <w:t>作为项目预收款，不确认收入； </w:t>
      </w:r>
      <w:r>
        <w:rPr>
          <w:rFonts w:ascii="Times New Roman" w:hAnsi="Times New Roman" w:cs="Times New Roman" w:eastAsia="Times New Roman" w:hint="default"/>
          <w:spacing w:val="-2"/>
        </w:rPr>
        <w:t>II.</w:t>
      </w:r>
      <w:r>
        <w:rPr>
          <w:spacing w:val="-2"/>
        </w:rPr>
        <w:t>完成规划初稿阶段：该阶段主要工作系公司规划部门根据合同要求完成项目规划的初稿，当公司向委托方提交阶段性项目</w:t>
      </w:r>
      <w:r>
        <w:rPr>
          <w:spacing w:val="-45"/>
        </w:rPr>
        <w:t> </w:t>
      </w:r>
      <w:r>
        <w:rPr>
          <w:spacing w:val="-45"/>
        </w:rPr>
      </w:r>
      <w:r>
        <w:rPr/>
        <w:t>成果之后并经客户确认，根据合同约定的结算款项确认该阶段的规划费收入；</w:t>
      </w:r>
      <w:r>
        <w:rPr/>
        <w:t> </w:t>
      </w:r>
      <w:r>
        <w:rPr>
          <w:rFonts w:ascii="Times New Roman" w:hAnsi="Times New Roman" w:cs="Times New Roman" w:eastAsia="Times New Roman" w:hint="default"/>
        </w:rPr>
        <w:t>III.</w:t>
      </w:r>
      <w:r>
        <w:rPr/>
        <w:t>完成规划送审稿阶段：该阶段主要工作系公司规划部门根据初步规划方案完成规划送审稿，并经委托方内部确认，当公 司向委托方提交阶段项目成果之后并经客户确认，根据合同约定的结算款项确认该阶段的规划费收入； </w:t>
      </w:r>
      <w:r>
        <w:rPr>
          <w:rFonts w:ascii="Times New Roman" w:hAnsi="Times New Roman" w:cs="Times New Roman" w:eastAsia="Times New Roman" w:hint="default"/>
        </w:rPr>
        <w:t>IV.</w:t>
      </w:r>
      <w:r>
        <w:rPr/>
        <w:t>规划成果通过评审阶段：该阶段主要工作系公司规划部门协助规划方案通过外部专家的评审（或者项目获得绿色建筑的 认证）等，当公司提交的规划成果获得外部专家的评审之后，根据合同约定的结算款项确认为该阶段的做咨询费收入。</w:t>
      </w:r>
    </w:p>
    <w:p>
      <w:pPr>
        <w:pStyle w:val="BodyText"/>
        <w:spacing w:line="316" w:lineRule="auto" w:before="22"/>
        <w:ind w:right="3014"/>
        <w:jc w:val="left"/>
      </w:pPr>
      <w:r>
        <w:rPr/>
        <w:t>④公信业务 公司公信业务主要为检测业务，当公司向委托方提交检测报告后按合同约定的结算款项确认收入。</w:t>
      </w:r>
    </w:p>
    <w:p>
      <w:pPr>
        <w:pStyle w:val="BodyText"/>
        <w:spacing w:line="309" w:lineRule="auto" w:before="19"/>
        <w:ind w:right="0"/>
        <w:jc w:val="left"/>
      </w:pPr>
      <w:r>
        <w:rPr/>
        <w:t>⑤</w:t>
      </w:r>
      <w:r>
        <w:rPr>
          <w:rFonts w:ascii="Times New Roman" w:hAnsi="Times New Roman" w:cs="Times New Roman" w:eastAsia="Times New Roman" w:hint="default"/>
        </w:rPr>
        <w:t>EPC</w:t>
      </w:r>
      <w:r>
        <w:rPr/>
        <w:t>及项目全过程管理业务</w:t>
      </w:r>
      <w:r>
        <w:rPr>
          <w:spacing w:val="-88"/>
        </w:rPr>
        <w:t> </w:t>
      </w:r>
      <w:r>
        <w:rPr>
          <w:rFonts w:ascii="Times New Roman" w:hAnsi="Times New Roman" w:cs="Times New Roman" w:eastAsia="Times New Roman" w:hint="default"/>
          <w:spacing w:val="-2"/>
        </w:rPr>
        <w:t>EPC</w:t>
      </w:r>
      <w:r>
        <w:rPr>
          <w:spacing w:val="-2"/>
        </w:rPr>
        <w:t>及项目全过程管理业务包括</w:t>
      </w:r>
      <w:r>
        <w:rPr>
          <w:rFonts w:ascii="Times New Roman" w:hAnsi="Times New Roman" w:cs="Times New Roman" w:eastAsia="Times New Roman" w:hint="default"/>
          <w:spacing w:val="-2"/>
        </w:rPr>
        <w:t>EPC</w:t>
      </w:r>
      <w:r>
        <w:rPr>
          <w:spacing w:val="-2"/>
        </w:rPr>
        <w:t>总承包、全过程代建和全过程咨询等建设项目管理业务。</w:t>
      </w:r>
      <w:r>
        <w:rPr>
          <w:rFonts w:ascii="Times New Roman" w:hAnsi="Times New Roman" w:cs="Times New Roman" w:eastAsia="Times New Roman" w:hint="default"/>
          <w:spacing w:val="-2"/>
        </w:rPr>
        <w:t>EPC</w:t>
      </w:r>
      <w:r>
        <w:rPr>
          <w:spacing w:val="-2"/>
        </w:rPr>
        <w:t>总承包指公司受业主委托，</w:t>
      </w:r>
      <w:r>
        <w:rPr>
          <w:spacing w:val="-64"/>
        </w:rPr>
        <w:t> </w:t>
      </w:r>
      <w:r>
        <w:rPr>
          <w:spacing w:val="-64"/>
        </w:rPr>
      </w:r>
      <w:r>
        <w:rPr>
          <w:spacing w:val="-2"/>
        </w:rPr>
        <w:t>按照合同约定对工程建设项目的设计、采购、施工、试运行等实全过程或若干阶段的承包。全过程代建是指公司接受建设单</w:t>
      </w:r>
      <w:r>
        <w:rPr>
          <w:spacing w:val="-66"/>
        </w:rPr>
        <w:t> </w:t>
      </w:r>
      <w:r>
        <w:rPr>
          <w:spacing w:val="-66"/>
        </w:rPr>
      </w:r>
      <w:r>
        <w:rPr>
          <w:spacing w:val="-2"/>
        </w:rPr>
        <w:t>位（委托单位）委托，按照合同约定履行代建项目全过程中的建设管理职责，项目竣工验收后移交委托单位。全过程咨询业</w:t>
      </w:r>
      <w:r>
        <w:rPr>
          <w:spacing w:val="-65"/>
        </w:rPr>
        <w:t> </w:t>
      </w:r>
      <w:r>
        <w:rPr>
          <w:spacing w:val="-65"/>
        </w:rPr>
      </w:r>
      <w:r>
        <w:rPr/>
        <w:t>务是指公司作为专业化项目管理单位，按照合同约定实施工程项目管理、工程监理以及其他工程咨询工作。 </w:t>
      </w:r>
      <w:r>
        <w:rPr>
          <w:rFonts w:ascii="Times New Roman" w:hAnsi="Times New Roman" w:cs="Times New Roman" w:eastAsia="Times New Roman" w:hint="default"/>
        </w:rPr>
        <w:t>EPC</w:t>
      </w:r>
      <w:r>
        <w:rPr/>
        <w:t>及项目全过程管理业务的具体工程流程一般分为业务接洽、勘察设计阶段、施工阶段和竣工结算阶段等四个阶段，公司 按完工百分比法，以权责发生制为原则确认收入，具体方法如下： </w:t>
      </w:r>
      <w:r>
        <w:rPr>
          <w:rFonts w:ascii="Times New Roman" w:hAnsi="Times New Roman" w:cs="Times New Roman" w:eastAsia="Times New Roman" w:hint="default"/>
          <w:spacing w:val="-2"/>
        </w:rPr>
        <w:t>I.</w:t>
      </w:r>
      <w:r>
        <w:rPr>
          <w:spacing w:val="-2"/>
        </w:rPr>
        <w:t>合同对设计费、咨询费与建安费、项目管理费分别约定结算金额和支付方式的，设计费、咨询费收入参照前述</w:t>
      </w:r>
      <w:r>
        <w:rPr>
          <w:rFonts w:ascii="Times New Roman" w:hAnsi="Times New Roman" w:cs="Times New Roman" w:eastAsia="Times New Roman" w:hint="default"/>
          <w:spacing w:val="-2"/>
        </w:rPr>
        <w:t>“</w:t>
      </w:r>
      <w:r>
        <w:rPr>
          <w:spacing w:val="-2"/>
        </w:rPr>
        <w:t>①建筑设计</w:t>
      </w:r>
      <w:r>
        <w:rPr>
          <w:spacing w:val="-65"/>
        </w:rPr>
        <w:t> </w:t>
      </w:r>
      <w:r>
        <w:rPr/>
        <w:t>业务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②绿色建筑咨询业务</w:t>
      </w:r>
      <w:r>
        <w:rPr>
          <w:rFonts w:ascii="Times New Roman" w:hAnsi="Times New Roman" w:cs="Times New Roman" w:eastAsia="Times New Roman" w:hint="default"/>
        </w:rPr>
        <w:t>”</w:t>
      </w:r>
      <w:r>
        <w:rPr/>
        <w:t>的规则进行收入确认；建安服务和项目管理服务收入以合同约定的阶段节点为依据，以工程 监理或其他第三方确认的实际完工进度进行确认； </w:t>
      </w:r>
      <w:r>
        <w:rPr>
          <w:rFonts w:ascii="Times New Roman" w:hAnsi="Times New Roman" w:cs="Times New Roman" w:eastAsia="Times New Roman" w:hint="default"/>
          <w:spacing w:val="-2"/>
        </w:rPr>
        <w:t>II.</w:t>
      </w:r>
      <w:r>
        <w:rPr>
          <w:spacing w:val="-2"/>
        </w:rPr>
        <w:t>合同对设计费、咨询费与建安费、项目管理服务费未分别约定结算金额和支付方式，采取总价方式进行结算的，勘察设计</w:t>
      </w:r>
      <w:r>
        <w:rPr>
          <w:spacing w:val="-44"/>
        </w:rPr>
        <w:t> </w:t>
      </w:r>
      <w:r>
        <w:rPr>
          <w:spacing w:val="-44"/>
        </w:rPr>
      </w:r>
      <w:r>
        <w:rPr/>
        <w:t>阶段按照合同约定的阶段节点确认收入，施工阶段以工程监理或其他第三方确认的实际完工进度进行确认。 </w:t>
      </w:r>
      <w:r>
        <w:rPr>
          <w:spacing w:val="-2"/>
        </w:rPr>
        <w:t>对于未明确约定具体阶段节点的合同，公司根据历史项目执行的经验，以项目各阶段节点需付出的劳务量为基础，参照同类</w:t>
      </w:r>
      <w:r>
        <w:rPr>
          <w:spacing w:val="-63"/>
        </w:rPr>
        <w:t> </w:t>
      </w:r>
      <w:r>
        <w:rPr>
          <w:spacing w:val="-63"/>
        </w:rPr>
      </w:r>
      <w:r>
        <w:rPr/>
        <w:t>项目的阶段节点收入确认比重确认收入。</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9" w:lineRule="auto"/>
        <w:ind w:right="1034"/>
        <w:jc w:val="left"/>
      </w:pPr>
      <w:r>
        <w:rPr>
          <w:rFonts w:ascii="Times New Roman" w:hAnsi="Times New Roman" w:cs="Times New Roman" w:eastAsia="Times New Roman" w:hint="default"/>
        </w:rPr>
        <w:t>1</w:t>
      </w:r>
      <w:r>
        <w:rPr/>
        <w:t>、类型 政府补助，是本公司从政府无偿取得的货币性资产与非货币性资产。分为与资产相关的政府补助和与收益相关的政府补助。 </w:t>
      </w:r>
      <w:r>
        <w:rPr>
          <w:spacing w:val="-2"/>
        </w:rPr>
        <w:t>与资产相关的政府补助，是指本公司取得的、用于购建或以其他方式形成长期资产的政府补助。与收益相关的政府补助，是</w:t>
      </w:r>
    </w:p>
    <w:p>
      <w:pPr>
        <w:spacing w:after="0" w:line="309" w:lineRule="auto"/>
        <w:jc w:val="left"/>
        <w:sectPr>
          <w:pgSz w:w="11910" w:h="16840"/>
          <w:pgMar w:header="852" w:footer="980" w:top="1320" w:bottom="1160" w:left="980" w:right="0"/>
        </w:sectPr>
      </w:pPr>
    </w:p>
    <w:p>
      <w:pPr>
        <w:pStyle w:val="BodyText"/>
        <w:spacing w:line="319" w:lineRule="auto" w:before="111"/>
        <w:ind w:right="0"/>
        <w:jc w:val="left"/>
      </w:pPr>
      <w:r>
        <w:rPr/>
        <w:t>指除与资产相关的政府补助之外的政府补助。 本公司将政府补助划分为与资产相关的具体标准为：企业取得的，用于购建或以其他方式形成长期资产的政府补助； 本公司将政府补助划分为与收益相关的具体标准为：除与资产相关的政府补助除与资产相关的政府补助； </w:t>
      </w:r>
      <w:r>
        <w:rPr>
          <w:spacing w:val="-2"/>
        </w:rPr>
        <w:t>对于政府文件未明确规定补助对象的，本公司将该政府补助划分为与资产相关或与收益相关的判断依据为：是否用于购建或</w:t>
      </w:r>
      <w:r>
        <w:rPr>
          <w:spacing w:val="-64"/>
        </w:rPr>
        <w:t> </w:t>
      </w:r>
      <w:r>
        <w:rPr>
          <w:spacing w:val="-64"/>
        </w:rPr>
      </w:r>
      <w:r>
        <w:rPr/>
        <w:t>以其他方式形成长期资产。</w:t>
      </w:r>
    </w:p>
    <w:p>
      <w:pPr>
        <w:pStyle w:val="BodyText"/>
        <w:spacing w:line="309" w:lineRule="auto" w:before="17"/>
        <w:ind w:right="7334"/>
        <w:jc w:val="left"/>
      </w:pPr>
      <w:r>
        <w:rPr>
          <w:rFonts w:ascii="Times New Roman" w:hAnsi="Times New Roman" w:cs="Times New Roman" w:eastAsia="Times New Roman" w:hint="default"/>
        </w:rPr>
        <w:t>2</w:t>
      </w:r>
      <w:r>
        <w:rPr/>
        <w:t>、确认时点 公司实际取得政府补助款项作为确认时点。 </w:t>
      </w:r>
      <w:r>
        <w:rPr>
          <w:rFonts w:ascii="Times New Roman" w:hAnsi="Times New Roman" w:cs="Times New Roman" w:eastAsia="Times New Roman" w:hint="default"/>
        </w:rPr>
        <w:t>3</w:t>
      </w:r>
      <w:r>
        <w:rPr/>
        <w:t>、会计处理</w:t>
      </w:r>
    </w:p>
    <w:p>
      <w:pPr>
        <w:pStyle w:val="BodyText"/>
        <w:spacing w:line="319" w:lineRule="auto" w:before="5"/>
        <w:ind w:right="1034"/>
        <w:jc w:val="left"/>
      </w:pPr>
      <w:r>
        <w:rPr/>
        <w:t>与资产相关的政府补助，冲减相关资产账面价值或确认为递延收益。确认为递延收益的，在相关资产使用寿命内按照合理、 系统的方法分期计入当期损益（与本公司日常活动相关的，计入其他收益；与本公司日常活动无关的，计入营业外收入）； </w:t>
      </w:r>
      <w:r>
        <w:rPr>
          <w:spacing w:val="-2"/>
        </w:rPr>
        <w:t>与收益相关的政府补助，用于补偿本公司以后期间的相关成本费用或损失的，确认为递延收益，并在确认相关成本费用或损</w:t>
      </w:r>
      <w:r>
        <w:rPr>
          <w:spacing w:val="-63"/>
        </w:rPr>
        <w:t> </w:t>
      </w:r>
      <w:r>
        <w:rPr>
          <w:spacing w:val="-63"/>
        </w:rPr>
      </w:r>
      <w:r>
        <w:rPr>
          <w:spacing w:val="-2"/>
        </w:rPr>
        <w:t>失的期间，计入当期损益（与本公司日常活动相关的，计入其他收益；与本公司日常活动无关的，计入营业外收入）或冲减</w:t>
      </w:r>
      <w:r>
        <w:rPr>
          <w:spacing w:val="-68"/>
        </w:rPr>
        <w:t> </w:t>
      </w:r>
      <w:r>
        <w:rPr>
          <w:spacing w:val="-68"/>
        </w:rPr>
      </w:r>
      <w:r>
        <w:rPr>
          <w:spacing w:val="-2"/>
        </w:rPr>
        <w:t>相关成本费用或损失；用于补偿本公司已发生的相关成本费用或损失的，直接计入当期损益（与本公司日常活动相关的，计</w:t>
      </w:r>
      <w:r>
        <w:rPr>
          <w:spacing w:val="-64"/>
        </w:rPr>
        <w:t> </w:t>
      </w:r>
      <w:r>
        <w:rPr>
          <w:spacing w:val="-64"/>
        </w:rPr>
      </w:r>
      <w:r>
        <w:rPr/>
        <w:t>入其他收益；与本公司日常活动无关的，计入营业外收入）或冲减相关成本费用或损失。</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3"/>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316" w:lineRule="auto" w:before="19"/>
        <w:ind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w:t>
      </w:r>
      <w:r>
        <w:rPr/>
        <w:t> </w:t>
      </w: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3"/>
        </w:rPr>
        <w:t> </w:t>
      </w:r>
      <w:r>
        <w:rPr>
          <w:spacing w:val="-63"/>
        </w:rPr>
      </w:r>
      <w:r>
        <w:rPr/>
        <w:t>所得税负债以抵销后的净额列报。</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2" w:lineRule="auto"/>
        <w:ind w:right="1124"/>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 租赁交易相关的初始直接费用，计入当期费用。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pStyle w:val="BodyText"/>
        <w:spacing w:line="314" w:lineRule="auto" w:before="22"/>
        <w:ind w:right="1124"/>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 </w:t>
      </w:r>
      <w:r>
        <w:rPr>
          <w:spacing w:val="-2"/>
        </w:rPr>
        <w:t>付的与租赁交易相关的初始直接费用，计入当期费用；如金额较大的，则予以资本化，在整个租赁期间内按照与租赁相关收</w:t>
      </w:r>
      <w:r>
        <w:rPr>
          <w:spacing w:val="-64"/>
        </w:rPr>
        <w:t> </w:t>
      </w:r>
      <w:r>
        <w:rPr>
          <w:spacing w:val="-64"/>
        </w:rPr>
      </w:r>
      <w:r>
        <w:rPr/>
        <w:t>入确认相同的基础分期计入当期收益。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after="0" w:line="314" w:lineRule="auto"/>
        <w:jc w:val="left"/>
        <w:sectPr>
          <w:footerReference w:type="default" r:id="rId18"/>
          <w:pgSz w:w="11910" w:h="16840"/>
          <w:pgMar w:footer="980" w:header="852" w:top="1320" w:bottom="1160" w:left="980" w:right="0"/>
          <w:pgNumType w:start="110"/>
        </w:sectPr>
      </w:pPr>
    </w:p>
    <w:p>
      <w:pPr>
        <w:pStyle w:val="Heading3"/>
        <w:spacing w:line="240" w:lineRule="auto" w:before="24"/>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13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）融资租入资产：公司在承租开始日，将租赁资产公允价值与最低租赁付款额现值两者中较低者作为租入资产的入账价 </w:t>
      </w:r>
      <w:r>
        <w:rPr>
          <w:spacing w:val="-2"/>
        </w:rPr>
        <w:t>值，将最低租赁付款额作为长期应付款的入账价值，其差额作为未确认的融资费用。公司采用实际利率法对未确认的融资费</w:t>
      </w:r>
      <w:r>
        <w:rPr>
          <w:spacing w:val="-63"/>
        </w:rPr>
        <w:t> </w:t>
      </w:r>
      <w:r>
        <w:rPr>
          <w:spacing w:val="-63"/>
        </w:rPr>
      </w:r>
      <w:r>
        <w:rPr/>
        <w:t>用，在资产租赁期间内摊销，计入财务费用。公司发生的初始直接费用，计入租入资产价值。</w:t>
      </w:r>
    </w:p>
    <w:p>
      <w:pPr>
        <w:pStyle w:val="BodyText"/>
        <w:spacing w:line="309" w:lineRule="auto" w:before="24"/>
        <w:ind w:right="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44"/>
        <w:ind w:left="0" w:right="1143"/>
        <w:jc w:val="right"/>
      </w:pPr>
      <w:r>
        <w:rPr/>
        <w:pict>
          <v:shape style="position:absolute;margin-left:56.400002pt;margin-top:-145.708267pt;width:479.3pt;height:279.150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1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1</w:t>
                        </w:r>
                        <w:r>
                          <w:rPr>
                            <w:rFonts w:ascii="宋体" w:hAnsi="宋体" w:cs="宋体" w:eastAsia="宋体" w:hint="default"/>
                            <w:spacing w:val="-4"/>
                            <w:w w:val="100"/>
                            <w:sz w:val="18"/>
                            <w:szCs w:val="18"/>
                          </w:rPr>
                          <w:t>）资产负债表中</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应收票据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应收账</w:t>
                        </w:r>
                        <w:r>
                          <w:rPr>
                            <w:rFonts w:ascii="宋体" w:hAnsi="宋体" w:cs="宋体" w:eastAsia="宋体" w:hint="default"/>
                            <w:sz w:val="18"/>
                            <w:szCs w:val="18"/>
                          </w:rPr>
                          <w:t> 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w:t>
                        </w:r>
                        <w:r>
                          <w:rPr>
                            <w:rFonts w:ascii="宋体" w:hAnsi="宋体" w:cs="宋体" w:eastAsia="宋体" w:hint="default"/>
                            <w:spacing w:val="-4"/>
                            <w:sz w:val="18"/>
                            <w:szCs w:val="18"/>
                          </w:rPr>
                          <w:t>付票据及应付账款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应收利息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w:t>
                        </w:r>
                        <w:r>
                          <w:rPr>
                            <w:rFonts w:ascii="宋体" w:hAnsi="宋体" w:cs="宋体" w:eastAsia="宋体" w:hint="default"/>
                            <w:spacing w:val="-77"/>
                            <w:sz w:val="18"/>
                            <w:szCs w:val="18"/>
                          </w:rPr>
                          <w:t> </w:t>
                        </w:r>
                        <w:r>
                          <w:rPr>
                            <w:rFonts w:ascii="宋体" w:hAnsi="宋体" w:cs="宋体" w:eastAsia="宋体" w:hint="default"/>
                            <w:sz w:val="18"/>
                            <w:szCs w:val="18"/>
                          </w:rPr>
                          <w:t>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 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 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 </w:t>
                        </w:r>
                        <w:r>
                          <w:rPr>
                            <w:rFonts w:ascii="宋体" w:hAnsi="宋体" w:cs="宋体" w:eastAsia="宋体" w:hint="default"/>
                            <w:spacing w:val="-8"/>
                            <w:w w:val="100"/>
                            <w:sz w:val="18"/>
                            <w:szCs w:val="18"/>
                          </w:rPr>
                          <w:t>示；</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工程物资</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并入</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在建工程</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列示；</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专</w:t>
                        </w:r>
                        <w:r>
                          <w:rPr>
                            <w:rFonts w:ascii="宋体" w:hAnsi="宋体" w:cs="宋体" w:eastAsia="宋体" w:hint="default"/>
                            <w:spacing w:val="-71"/>
                            <w:w w:val="100"/>
                            <w:sz w:val="18"/>
                            <w:szCs w:val="18"/>
                          </w:rPr>
                          <w:t> </w:t>
                        </w:r>
                        <w:r>
                          <w:rPr>
                            <w:rFonts w:ascii="宋体" w:hAnsi="宋体" w:cs="宋体" w:eastAsia="宋体" w:hint="default"/>
                            <w:sz w:val="18"/>
                            <w:szCs w:val="18"/>
                          </w:rPr>
                          <w:t>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 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226,675,318.85 </w:t>
                        </w:r>
                        <w:r>
                          <w:rPr>
                            <w:rFonts w:ascii="宋体" w:hAnsi="宋体" w:cs="宋体" w:eastAsia="宋体" w:hint="default"/>
                            <w:sz w:val="18"/>
                            <w:szCs w:val="18"/>
                          </w:rPr>
                          <w:t>元，上期金额</w:t>
                        </w:r>
                      </w:p>
                      <w:p>
                        <w:pPr>
                          <w:pStyle w:val="TableParagraph"/>
                          <w:spacing w:line="300" w:lineRule="auto" w:before="13"/>
                          <w:ind w:left="23" w:right="23"/>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193,229,666.93</w:t>
                        </w:r>
                        <w:r>
                          <w:rPr>
                            <w:rFonts w:ascii="Times New Roman" w:hAnsi="Times New Roman" w:cs="Times New Roman" w:eastAsia="Times New Roman" w:hint="default"/>
                            <w:spacing w:val="16"/>
                            <w:sz w:val="18"/>
                            <w:szCs w:val="18"/>
                          </w:rPr>
                          <w:t> </w:t>
                        </w:r>
                        <w:r>
                          <w:rPr>
                            <w:rFonts w:ascii="宋体" w:hAnsi="宋体" w:cs="宋体" w:eastAsia="宋体" w:hint="default"/>
                            <w:spacing w:val="-7"/>
                            <w:w w:val="100"/>
                            <w:sz w:val="18"/>
                            <w:szCs w:val="18"/>
                          </w:rPr>
                          <w:t>元；</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应付票据</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和</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应付账</w:t>
                        </w:r>
                        <w:r>
                          <w:rPr>
                            <w:rFonts w:ascii="宋体" w:hAnsi="宋体" w:cs="宋体" w:eastAsia="宋体" w:hint="default"/>
                            <w:spacing w:val="-85"/>
                            <w:w w:val="100"/>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 本期金额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83,131,497.29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81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调增</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其他</w:t>
                        </w:r>
                        <w:r>
                          <w:rPr>
                            <w:rFonts w:ascii="宋体" w:hAnsi="宋体" w:cs="宋体" w:eastAsia="宋体" w:hint="default"/>
                            <w:spacing w:val="-3"/>
                            <w:sz w:val="18"/>
                            <w:szCs w:val="18"/>
                          </w:rPr>
                          <w:t>应</w:t>
                        </w:r>
                        <w:r>
                          <w:rPr>
                            <w:rFonts w:ascii="宋体" w:hAnsi="宋体" w:cs="宋体" w:eastAsia="宋体" w:hint="default"/>
                            <w:sz w:val="18"/>
                            <w:szCs w:val="18"/>
                          </w:rPr>
                          <w:t>收</w:t>
                        </w:r>
                        <w:r>
                          <w:rPr>
                            <w:rFonts w:ascii="宋体" w:hAnsi="宋体" w:cs="宋体" w:eastAsia="宋体" w:hint="default"/>
                            <w:spacing w:val="-1"/>
                            <w:sz w:val="18"/>
                            <w:szCs w:val="18"/>
                          </w:rPr>
                          <w:t>款</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14,794.52</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元，上期金额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元；调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235,333.33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85,212.33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96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中的研发费用重分类至 </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研发费用</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单独列示；在利润表中财务费</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z w:val="18"/>
                            <w:szCs w:val="18"/>
                          </w:rPr>
                          <w:t>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 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13,888,223.01</w:t>
                        </w:r>
                      </w:p>
                      <w:p>
                        <w:pPr>
                          <w:pStyle w:val="TableParagraph"/>
                          <w:spacing w:line="300" w:lineRule="auto" w:before="63"/>
                          <w:ind w:left="23" w:right="22"/>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元，上期金额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8,978,450.87</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元，重分类至</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3,575,554.55 </w:t>
                        </w:r>
                        <w:r>
                          <w:rPr>
                            <w:rFonts w:ascii="宋体" w:hAnsi="宋体" w:cs="宋体" w:eastAsia="宋体" w:hint="default"/>
                            <w:sz w:val="18"/>
                            <w:szCs w:val="18"/>
                          </w:rPr>
                          <w:t>元，上期金额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3,968,581.20</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元；调增</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利息收入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本期金额</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798,593.68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635,762.44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spacing w:val="-3"/>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44"/>
        <w:ind w:right="0"/>
        <w:jc w:val="both"/>
      </w:pPr>
      <w:r>
        <w:rPr/>
        <w:t>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p>
    <w:p>
      <w:pPr>
        <w:pStyle w:val="BodyText"/>
        <w:spacing w:line="307" w:lineRule="auto" w:before="63"/>
        <w:ind w:right="1131"/>
        <w:jc w:val="both"/>
      </w:pPr>
      <w:r>
        <w:rPr>
          <w:spacing w:val="-2"/>
        </w:rPr>
        <w:t>《企业会计准则第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套期会计》和《企业会计准则第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金融工具列报》。上述修订后的准则自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w:t>
      </w:r>
      <w:r>
        <w:rPr>
          <w:spacing w:val="-65"/>
        </w:rPr>
        <w:t> </w:t>
      </w:r>
      <w:r>
        <w:rPr>
          <w:spacing w:val="-2"/>
        </w:rPr>
        <w:t>施行，根据准则规定，对于施行日尚未终止确认的金融工具，之前的确认和计量与修订后的准则要求不一致的，应当追溯调</w:t>
      </w:r>
      <w:r>
        <w:rPr>
          <w:spacing w:val="-64"/>
        </w:rPr>
        <w:t> </w:t>
      </w:r>
      <w:r>
        <w:rPr>
          <w:spacing w:val="-64"/>
        </w:rPr>
      </w:r>
      <w:r>
        <w:rPr>
          <w:spacing w:val="-2"/>
        </w:rPr>
        <w:t>整。涉及前期比较财务报表数据与修订后的准则要求不一致的，无需调整。本公司于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日将因追溯调整产生的累积</w:t>
      </w:r>
      <w:r>
        <w:rPr>
          <w:spacing w:val="-61"/>
        </w:rPr>
        <w:t> </w:t>
      </w:r>
      <w:r>
        <w:rPr>
          <w:spacing w:val="-61"/>
        </w:rPr>
      </w:r>
      <w:r>
        <w:rPr/>
        <w:t>影响数调整了年初留存收益和其他综合收益。</w:t>
      </w:r>
    </w:p>
    <w:p>
      <w:pPr>
        <w:spacing w:line="240" w:lineRule="auto" w:before="3"/>
        <w:rPr>
          <w:rFonts w:ascii="宋体" w:hAnsi="宋体" w:cs="宋体" w:eastAsia="宋体" w:hint="default"/>
          <w:sz w:val="18"/>
          <w:szCs w:val="18"/>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852" w:footer="980" w:top="1320" w:bottom="1160" w:left="980" w:right="0"/>
        </w:sectPr>
      </w:pPr>
    </w:p>
    <w:p>
      <w:pPr>
        <w:spacing w:line="376" w:lineRule="auto" w:before="24"/>
        <w:ind w:left="152" w:right="89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34</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z w:val="24"/>
          <w:szCs w:val="24"/>
        </w:rPr>
        <w:t>六、税项</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、主要税种及税率</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1"/>
          <w:szCs w:val="11"/>
        </w:rPr>
      </w:pPr>
    </w:p>
    <w:p>
      <w:pPr>
        <w:pStyle w:val="BodyText"/>
        <w:spacing w:line="240" w:lineRule="auto" w:before="44"/>
        <w:ind w:left="0" w:right="1136"/>
        <w:jc w:val="right"/>
      </w:pPr>
      <w:r>
        <w:rPr/>
        <w:pict>
          <v:shape style="position:absolute;margin-left:56.400002pt;margin-top:-36.488319pt;width:479.3pt;height:147.7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3.00%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5.00%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6.00%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10.00%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11.00%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16.00%</w:t>
                        </w:r>
                        <w:r>
                          <w:rPr>
                            <w:rFonts w:ascii="宋体" w:hAnsi="宋体" w:cs="宋体" w:eastAsia="宋体" w:hint="default"/>
                            <w:sz w:val="18"/>
                            <w:szCs w:val="18"/>
                          </w:rPr>
                          <w:t>、</w:t>
                        </w:r>
                        <w:r>
                          <w:rPr>
                            <w:rFonts w:ascii="Times New Roman" w:hAnsi="Times New Roman" w:cs="Times New Roman" w:eastAsia="Times New Roman" w:hint="default"/>
                            <w:sz w:val="18"/>
                            <w:szCs w:val="18"/>
                          </w:rPr>
                          <w:t>17.00%</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w:t>
                        </w:r>
                        <w:r>
                          <w:rPr>
                            <w:rFonts w:ascii="Times New Roman" w:hAnsi="Times New Roman" w:cs="Times New Roman" w:eastAsia="Times New Roman" w:hint="default"/>
                            <w:sz w:val="18"/>
                            <w:szCs w:val="18"/>
                          </w:rPr>
                          <w:t>15.00%</w:t>
                        </w:r>
                        <w:r>
                          <w:rPr>
                            <w:rFonts w:ascii="宋体" w:hAnsi="宋体" w:cs="宋体" w:eastAsia="宋体" w:hint="default"/>
                            <w:sz w:val="18"/>
                            <w:szCs w:val="18"/>
                          </w:rPr>
                          <w:t>、</w:t>
                        </w:r>
                        <w:r>
                          <w:rPr>
                            <w:rFonts w:ascii="Times New Roman" w:hAnsi="Times New Roman" w:cs="Times New Roman" w:eastAsia="Times New Roman" w:hint="default"/>
                            <w:sz w:val="18"/>
                            <w:szCs w:val="18"/>
                          </w:rPr>
                          <w:t>25.00%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before="44"/>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建研检测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市政中心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北京艾科城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常州城建艾科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艾科筑业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深圳艾科城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上海爱轲</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深圳玖伊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雄安玖壹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绿研检验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建信筑和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00" w:lineRule="auto"/>
        <w:ind w:right="0"/>
        <w:jc w:val="left"/>
      </w:pPr>
      <w:r>
        <w:rPr>
          <w:w w:val="95"/>
        </w:rPr>
        <w:t>（</w:t>
      </w:r>
      <w:r>
        <w:rPr>
          <w:rFonts w:ascii="Times New Roman" w:hAnsi="Times New Roman" w:cs="Times New Roman" w:eastAsia="Times New Roman" w:hint="default"/>
          <w:w w:val="95"/>
        </w:rPr>
        <w:t>1</w:t>
      </w:r>
      <w:r>
        <w:rPr>
          <w:w w:val="95"/>
        </w:rPr>
        <w:t>）</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10</w:t>
      </w:r>
      <w:r>
        <w:rPr>
          <w:w w:val="95"/>
        </w:rPr>
        <w:t>月</w:t>
      </w:r>
      <w:r>
        <w:rPr>
          <w:rFonts w:ascii="Times New Roman" w:hAnsi="Times New Roman" w:cs="Times New Roman" w:eastAsia="Times New Roman" w:hint="default"/>
          <w:w w:val="95"/>
        </w:rPr>
        <w:t>31</w:t>
      </w:r>
      <w:r>
        <w:rPr>
          <w:w w:val="95"/>
        </w:rPr>
        <w:t>日</w:t>
      </w:r>
      <w:r>
        <w:rPr>
          <w:rFonts w:ascii="Times New Roman" w:hAnsi="Times New Roman" w:cs="Times New Roman" w:eastAsia="Times New Roman" w:hint="default"/>
          <w:w w:val="95"/>
        </w:rPr>
        <w:t>,</w:t>
      </w:r>
      <w:r>
        <w:rPr>
          <w:w w:val="95"/>
        </w:rPr>
        <w:t>本公司被认定为国家高新技术企业，证书编号：</w:t>
      </w:r>
      <w:r>
        <w:rPr>
          <w:rFonts w:ascii="Times New Roman" w:hAnsi="Times New Roman" w:cs="Times New Roman" w:eastAsia="Times New Roman" w:hint="default"/>
          <w:w w:val="95"/>
        </w:rPr>
        <w:t>GR201744204015</w:t>
      </w:r>
      <w:r>
        <w:rPr>
          <w:w w:val="95"/>
        </w:rPr>
        <w:t>，有效期为</w:t>
      </w:r>
      <w:r>
        <w:rPr>
          <w:rFonts w:ascii="Times New Roman" w:hAnsi="Times New Roman" w:cs="Times New Roman" w:eastAsia="Times New Roman" w:hint="default"/>
          <w:w w:val="95"/>
        </w:rPr>
        <w:t>2017</w:t>
      </w:r>
      <w:r>
        <w:rPr>
          <w:w w:val="95"/>
        </w:rPr>
        <w:t>至</w:t>
      </w:r>
      <w:r>
        <w:rPr>
          <w:rFonts w:ascii="Times New Roman" w:hAnsi="Times New Roman" w:cs="Times New Roman" w:eastAsia="Times New Roman" w:hint="default"/>
          <w:w w:val="95"/>
        </w:rPr>
        <w:t>2019</w:t>
      </w:r>
      <w:r>
        <w:rPr>
          <w:w w:val="95"/>
        </w:rPr>
        <w:t>年度，企业</w:t>
      </w:r>
      <w:r>
        <w:rPr>
          <w:spacing w:val="34"/>
          <w:w w:val="95"/>
        </w:rPr>
        <w:t> </w:t>
      </w:r>
      <w:r>
        <w:rPr>
          <w:spacing w:val="34"/>
          <w:w w:val="95"/>
        </w:rPr>
      </w:r>
      <w:r>
        <w:rPr/>
        <w:t>所得税税率为</w:t>
      </w:r>
      <w:r>
        <w:rPr>
          <w:rFonts w:ascii="Times New Roman" w:hAnsi="Times New Roman" w:cs="Times New Roman" w:eastAsia="Times New Roman" w:hint="default"/>
        </w:rPr>
        <w:t>15.00%</w:t>
      </w:r>
      <w:r>
        <w:rPr/>
        <w:t>。</w:t>
      </w:r>
    </w:p>
    <w:p>
      <w:pPr>
        <w:pStyle w:val="BodyText"/>
        <w:spacing w:line="300" w:lineRule="auto" w:before="13"/>
        <w:ind w:right="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日，本公司子公司北京艾科城被认定为国家高新技术企业，证书编号：</w:t>
      </w:r>
      <w:r>
        <w:rPr>
          <w:rFonts w:ascii="Times New Roman" w:hAnsi="Times New Roman" w:cs="Times New Roman" w:eastAsia="Times New Roman" w:hint="default"/>
          <w:spacing w:val="-2"/>
        </w:rPr>
        <w:t>GR201711002555</w:t>
      </w:r>
      <w:r>
        <w:rPr>
          <w:spacing w:val="-2"/>
        </w:rPr>
        <w:t>，有效期为</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至</w:t>
      </w:r>
      <w:r>
        <w:rPr>
          <w:rFonts w:ascii="Times New Roman" w:hAnsi="Times New Roman" w:cs="Times New Roman" w:eastAsia="Times New Roman" w:hint="default"/>
        </w:rPr>
        <w:t>2019</w:t>
      </w:r>
      <w:r>
        <w:rPr/>
        <w:t>年度，企业所得税税率为</w:t>
      </w:r>
      <w:r>
        <w:rPr>
          <w:rFonts w:ascii="Times New Roman" w:hAnsi="Times New Roman" w:cs="Times New Roman" w:eastAsia="Times New Roman" w:hint="default"/>
        </w:rPr>
        <w:t>15.00%</w:t>
      </w:r>
      <w:r>
        <w:rPr/>
        <w:t>。</w:t>
      </w:r>
    </w:p>
    <w:p>
      <w:pPr>
        <w:pStyle w:val="BodyText"/>
        <w:spacing w:line="300" w:lineRule="auto" w:before="13"/>
        <w:ind w:right="123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日，本公司子公司建研检测被认定为国家高新技术企业，证书编号：</w:t>
      </w:r>
      <w:r>
        <w:rPr>
          <w:rFonts w:ascii="Times New Roman" w:hAnsi="Times New Roman" w:cs="Times New Roman" w:eastAsia="Times New Roman" w:hint="default"/>
        </w:rPr>
        <w:t>GR201644200964</w:t>
      </w:r>
      <w:r>
        <w:rPr/>
        <w:t>，有效期为</w:t>
      </w:r>
      <w:r>
        <w:rPr>
          <w:rFonts w:ascii="Times New Roman" w:hAnsi="Times New Roman" w:cs="Times New Roman" w:eastAsia="Times New Roman" w:hint="default"/>
        </w:rPr>
        <w:t>2016 </w:t>
      </w:r>
      <w:r>
        <w:rPr/>
        <w:t>至</w:t>
      </w:r>
      <w:r>
        <w:rPr>
          <w:rFonts w:ascii="Times New Roman" w:hAnsi="Times New Roman" w:cs="Times New Roman" w:eastAsia="Times New Roman" w:hint="default"/>
        </w:rPr>
        <w:t>2018</w:t>
      </w:r>
      <w:r>
        <w:rPr/>
        <w:t>年度，企业所得税税率为</w:t>
      </w:r>
      <w:r>
        <w:rPr>
          <w:rFonts w:ascii="Times New Roman" w:hAnsi="Times New Roman" w:cs="Times New Roman" w:eastAsia="Times New Roman" w:hint="default"/>
        </w:rPr>
        <w:t>15%</w:t>
      </w:r>
      <w:r>
        <w:rPr/>
        <w:t>。</w:t>
      </w:r>
    </w:p>
    <w:p>
      <w:pPr>
        <w:pStyle w:val="BodyText"/>
        <w:spacing w:line="240" w:lineRule="auto" w:before="13"/>
        <w:ind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日，本公司子公司市政中心被认定为国家高新技术企业，证书编号：</w:t>
      </w:r>
      <w:r>
        <w:rPr>
          <w:rFonts w:ascii="Times New Roman" w:hAnsi="Times New Roman" w:cs="Times New Roman" w:eastAsia="Times New Roman" w:hint="default"/>
        </w:rPr>
        <w:t>GR201744205019</w:t>
      </w:r>
      <w:r>
        <w:rPr/>
        <w:t>，有效期为</w:t>
      </w:r>
      <w:r>
        <w:rPr>
          <w:rFonts w:ascii="Times New Roman" w:hAnsi="Times New Roman" w:cs="Times New Roman" w:eastAsia="Times New Roman" w:hint="default"/>
        </w:rPr>
        <w:t>2017</w:t>
      </w:r>
      <w:r>
        <w:rPr/>
        <w:t>至</w:t>
      </w:r>
    </w:p>
    <w:p>
      <w:pPr>
        <w:spacing w:after="0" w:line="240" w:lineRule="auto"/>
        <w:jc w:val="left"/>
        <w:sectPr>
          <w:footerReference w:type="default" r:id="rId19"/>
          <w:pgSz w:w="11910" w:h="16840"/>
          <w:pgMar w:footer="980" w:header="852" w:top="1320" w:bottom="1160" w:left="980" w:right="0"/>
          <w:pgNumType w:start="112"/>
        </w:sectPr>
      </w:pPr>
    </w:p>
    <w:p>
      <w:pPr>
        <w:pStyle w:val="BodyText"/>
        <w:spacing w:line="240" w:lineRule="auto" w:before="111"/>
        <w:ind w:right="0"/>
        <w:jc w:val="left"/>
      </w:pPr>
      <w:r>
        <w:rPr>
          <w:rFonts w:ascii="Times New Roman" w:hAnsi="Times New Roman" w:cs="Times New Roman" w:eastAsia="Times New Roman" w:hint="default"/>
        </w:rPr>
        <w:t>2019</w:t>
      </w:r>
      <w:r>
        <w:rPr/>
        <w:t>年度，企业所得税税率为</w:t>
      </w:r>
      <w:r>
        <w:rPr>
          <w:rFonts w:ascii="Times New Roman" w:hAnsi="Times New Roman" w:cs="Times New Roman" w:eastAsia="Times New Roman" w:hint="default"/>
        </w:rPr>
        <w:t>15%</w:t>
      </w:r>
      <w:r>
        <w:rPr/>
        <w:t>。</w:t>
      </w:r>
    </w:p>
    <w:p>
      <w:pPr>
        <w:pStyle w:val="BodyText"/>
        <w:spacing w:line="300" w:lineRule="auto" w:before="63"/>
        <w:ind w:right="1184"/>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年度，本公司子公司常州城建艾科符合财政部和国家税务总局发布的财税</w:t>
      </w:r>
      <w:r>
        <w:rPr>
          <w:rFonts w:ascii="Times New Roman" w:hAnsi="Times New Roman" w:cs="Times New Roman" w:eastAsia="Times New Roman" w:hint="default"/>
        </w:rPr>
        <w:t>[2017]43</w:t>
      </w:r>
      <w:r>
        <w:rPr/>
        <w:t>号《关于扩大小型微利企业所 得税优惠政策范围的通知》中的相关条件，执行</w:t>
      </w:r>
      <w:r>
        <w:rPr>
          <w:rFonts w:ascii="Times New Roman" w:hAnsi="Times New Roman" w:cs="Times New Roman" w:eastAsia="Times New Roman" w:hint="default"/>
        </w:rPr>
        <w:t>20%</w:t>
      </w:r>
      <w:r>
        <w:rPr/>
        <w:t>的税率减半征收。</w:t>
      </w:r>
    </w:p>
    <w:p>
      <w:pPr>
        <w:pStyle w:val="BodyText"/>
        <w:spacing w:line="300" w:lineRule="auto" w:before="13"/>
        <w:ind w:right="1184"/>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年度，本公司子公司迪赛恩符合财政部和国家税务总局发布的财税</w:t>
      </w:r>
      <w:r>
        <w:rPr>
          <w:rFonts w:ascii="Times New Roman" w:hAnsi="Times New Roman" w:cs="Times New Roman" w:eastAsia="Times New Roman" w:hint="default"/>
        </w:rPr>
        <w:t>[2017]43</w:t>
      </w:r>
      <w:r>
        <w:rPr/>
        <w:t>号《关于扩大小型微利企业所得税优 惠政策范围的通知》中的相关条件，执行</w:t>
      </w:r>
      <w:r>
        <w:rPr>
          <w:rFonts w:ascii="Times New Roman" w:hAnsi="Times New Roman" w:cs="Times New Roman" w:eastAsia="Times New Roman" w:hint="default"/>
        </w:rPr>
        <w:t>20%</w:t>
      </w:r>
      <w:r>
        <w:rPr/>
        <w:t>的税率减半征收。</w:t>
      </w:r>
    </w:p>
    <w:p>
      <w:pPr>
        <w:spacing w:line="240" w:lineRule="auto" w:before="3"/>
        <w:rPr>
          <w:rFonts w:ascii="宋体" w:hAnsi="宋体" w:cs="宋体" w:eastAsia="宋体" w:hint="default"/>
          <w:sz w:val="17"/>
          <w:szCs w:val="17"/>
        </w:rPr>
      </w:pPr>
    </w:p>
    <w:p>
      <w:pPr>
        <w:spacing w:line="376" w:lineRule="auto" w:before="0"/>
        <w:ind w:left="152" w:right="78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七、合并财务报表项目注释</w:t>
      </w:r>
      <w:r>
        <w:rPr>
          <w:rFonts w:ascii="Microsoft JhengHei" w:hAnsi="Microsoft JhengHei" w:cs="Microsoft JhengHei" w:eastAsia="Microsoft JhengHei" w:hint="default"/>
          <w:b/>
          <w:bCs/>
          <w:spacing w:val="-50"/>
          <w:sz w:val="24"/>
          <w:szCs w:val="24"/>
        </w:rPr>
        <w:t> </w:t>
      </w:r>
      <w:r>
        <w:rPr>
          <w:rFonts w:ascii="Microsoft JhengHei" w:hAnsi="Microsoft JhengHei" w:cs="Microsoft JhengHei" w:eastAsia="Microsoft JhengHei" w:hint="default"/>
          <w:b/>
          <w:bCs/>
          <w:spacing w:val="-50"/>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pStyle w:val="BodyText"/>
        <w:spacing w:line="240" w:lineRule="auto" w:before="177"/>
        <w:ind w:left="0" w:right="1131"/>
        <w:jc w:val="right"/>
      </w:pPr>
      <w:r>
        <w:rPr/>
        <w:t>单位：</w:t>
      </w:r>
      <w:r>
        <w:rPr>
          <w:spacing w:val="1"/>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88,483.79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99,605.18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145,298,203.66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220,139,982.22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989,257.72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1,268,792.09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146,375,945.17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221,508,379.49</w:t>
            </w:r>
          </w:p>
        </w:tc>
      </w:tr>
    </w:tbl>
    <w:p>
      <w:pPr>
        <w:pStyle w:val="BodyText"/>
        <w:spacing w:line="240" w:lineRule="auto" w:before="49"/>
        <w:ind w:right="0"/>
        <w:jc w:val="left"/>
      </w:pPr>
      <w:r>
        <w:rPr/>
        <w:t>其他说明</w:t>
      </w:r>
    </w:p>
    <w:p>
      <w:pPr>
        <w:pStyle w:val="BodyText"/>
        <w:spacing w:line="300" w:lineRule="auto" w:before="117"/>
        <w:ind w:right="1124"/>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w:t>
      </w:r>
      <w:r>
        <w:rPr>
          <w:rFonts w:ascii="Times New Roman" w:hAnsi="Times New Roman" w:cs="Times New Roman" w:eastAsia="Times New Roman" w:hint="default"/>
        </w:rPr>
        <w:t>989,257.72</w:t>
      </w:r>
      <w:r>
        <w:rPr/>
        <w:t>元，其中：公司向银行申请开具无条件、不可撤销的担保函所存入的保证金 存款</w:t>
      </w:r>
      <w:r>
        <w:rPr>
          <w:rFonts w:ascii="Times New Roman" w:hAnsi="Times New Roman" w:cs="Times New Roman" w:eastAsia="Times New Roman" w:hint="default"/>
        </w:rPr>
        <w:t>790,956.97</w:t>
      </w:r>
      <w:r>
        <w:rPr/>
        <w:t>元；支付宝账户余额</w:t>
      </w:r>
      <w:r>
        <w:rPr>
          <w:rFonts w:ascii="Times New Roman" w:hAnsi="Times New Roman" w:cs="Times New Roman" w:eastAsia="Times New Roman" w:hint="default"/>
        </w:rPr>
        <w:t>198,300.75</w:t>
      </w:r>
      <w:r>
        <w:rPr/>
        <w:t>元。</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118,891,468.50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118,891,468.50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118,891,468.50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4274"/>
        <w:jc w:val="left"/>
      </w:pPr>
      <w:r>
        <w:rPr/>
        <w:t>其他说明： 公司上述指定以公允价值计量且变动计入当期损益的金融资产为银行结构性存款。</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336,674.16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226,338,644.69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193,229,666.93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226,675,318.85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193,229,666.93</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336,674.16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336,674.16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6"/>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49"/>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0"/>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2,273,62</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2,273,62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2,273,6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2,273,625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281,087,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202.37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54,748,5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57.68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19.48%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226,338,6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44.69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232,848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,689.93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39,619,02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193,229,66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6.93</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3"/>
              <w:ind w:left="24" w:right="159"/>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1,204,33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7.88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1,204,33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1,504,4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1,504,450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20" w:bottom="1160" w:left="980" w:right="0"/>
        </w:sectPr>
      </w:pPr>
    </w:p>
    <w:p>
      <w:pPr>
        <w:spacing w:line="240" w:lineRule="auto" w:before="9"/>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284,565,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165.25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58,226,5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20.56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20.46%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226,338,6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44.69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236,626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,764.93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43,397,09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8.00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193,229,66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6.93</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20" w:bottom="1160" w:left="980" w:right="0"/>
        </w:sectPr>
      </w:pPr>
    </w:p>
    <w:p>
      <w:pPr>
        <w:pStyle w:val="BodyText"/>
        <w:spacing w:line="240" w:lineRule="auto" w:before="49"/>
        <w:ind w:right="-20"/>
        <w:jc w:val="left"/>
      </w:pPr>
      <w:r>
        <w:rPr/>
        <w:t>期末单项金额重大并单项计提坏账准备的应收账款：</w:t>
      </w:r>
    </w:p>
    <w:p>
      <w:pPr>
        <w:pStyle w:val="BodyText"/>
        <w:spacing w:line="240" w:lineRule="auto" w:before="11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280" w:bottom="116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广东创盈房地产开发有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2,273,625.00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2,273,625.00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预计款项无法收回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2,273,625.00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2,273,625.00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280" w:bottom="1160" w:left="980" w:right="0"/>
        </w:sectPr>
      </w:pPr>
    </w:p>
    <w:p>
      <w:pPr>
        <w:pStyle w:val="BodyText"/>
        <w:spacing w:line="240" w:lineRule="auto" w:before="49"/>
        <w:ind w:right="-20"/>
        <w:jc w:val="left"/>
      </w:pPr>
      <w:r>
        <w:rPr/>
        <w:t>组合中，按账龄分析法计提坏账准备的应收账款：</w:t>
      </w:r>
    </w:p>
    <w:p>
      <w:pPr>
        <w:pStyle w:val="BodyText"/>
        <w:spacing w:line="240" w:lineRule="auto" w:before="11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280" w:bottom="1160" w:left="980" w:right="0"/>
          <w:cols w:num="2" w:equalWidth="0">
            <w:col w:w="4113" w:space="471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171,737,575.92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8,586,878.80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38,963,406.22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3,896,340.62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20,513,818.14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6,154,145.44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20,383,489.56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10,191,744.78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17,847,322.43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14,277,857.94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11,641,590.10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11,641,590.10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281,087,202.37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54,748,557.68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19.48%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280" w:bottom="1160" w:left="980" w:right="0"/>
        </w:sectPr>
      </w:pPr>
    </w:p>
    <w:p>
      <w:pPr>
        <w:pStyle w:val="BodyText"/>
        <w:spacing w:line="360" w:lineRule="auto" w:before="49"/>
        <w:ind w:right="2550"/>
        <w:jc w:val="left"/>
      </w:pPr>
      <w:r>
        <w:rPr/>
        <w:t>确定该组合依据的说明： 组合中，采用余额百分比法计提坏账准备的应收账款：</w:t>
      </w:r>
    </w:p>
    <w:p>
      <w:pPr>
        <w:pStyle w:val="BodyText"/>
        <w:spacing w:line="348" w:lineRule="auto" w:before="27"/>
        <w:ind w:right="29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4"/>
        <w:ind w:right="-9"/>
        <w:jc w:val="left"/>
      </w:pPr>
      <w:r>
        <w:rPr/>
        <w:t>本期计提坏账准备金额</w:t>
      </w:r>
      <w:r>
        <w:rPr>
          <w:spacing w:val="-47"/>
        </w:rPr>
        <w:t> </w:t>
      </w:r>
      <w:r>
        <w:rPr>
          <w:rFonts w:ascii="Times New Roman" w:hAnsi="Times New Roman" w:cs="Times New Roman" w:eastAsia="Times New Roman" w:hint="default"/>
        </w:rPr>
        <w:t>15,573,272.56 </w:t>
      </w:r>
      <w:r>
        <w:rPr/>
        <w:t>元；本期收回或转回坏账准备金额</w:t>
      </w:r>
      <w:r>
        <w:rPr>
          <w:spacing w:val="-48"/>
        </w:rPr>
        <w:t> </w:t>
      </w:r>
      <w:r>
        <w:rPr>
          <w:rFonts w:ascii="Times New Roman" w:hAnsi="Times New Roman" w:cs="Times New Roman" w:eastAsia="Times New Roman" w:hint="default"/>
        </w:rPr>
        <w:t>743,850.00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280" w:bottom="1160" w:left="980" w:right="0"/>
          <w:cols w:num="2" w:equalWidth="0">
            <w:col w:w="7043" w:space="178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280" w:bottom="1160" w:left="980" w:right="0"/>
        </w:sectPr>
      </w:pPr>
    </w:p>
    <w:p>
      <w:pPr>
        <w:pStyle w:val="BodyText"/>
        <w:spacing w:line="240" w:lineRule="auto" w:before="109"/>
        <w:ind w:right="0"/>
        <w:jc w:val="left"/>
      </w:pPr>
      <w:r>
        <w:rPr/>
        <w:t>其中重要的应收账款核销情况：</w:t>
      </w:r>
    </w:p>
    <w:p>
      <w:pPr>
        <w:pStyle w:val="BodyText"/>
        <w:spacing w:line="240" w:lineRule="auto" w:before="120"/>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0" w:lineRule="auto" w:before="49"/>
        <w:ind w:right="6824"/>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240" w:lineRule="auto" w:before="34"/>
        <w:ind w:right="0"/>
        <w:jc w:val="left"/>
      </w:pPr>
      <w:r>
        <w:rPr/>
        <w:t>否</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611"/>
        <w:gridCol w:w="1716"/>
        <w:gridCol w:w="1534"/>
        <w:gridCol w:w="1534"/>
      </w:tblGrid>
      <w:tr>
        <w:trPr>
          <w:trHeight w:val="434" w:hRule="exact"/>
        </w:trPr>
        <w:tc>
          <w:tcPr>
            <w:tcW w:w="3611" w:type="dxa"/>
            <w:vMerge w:val="restart"/>
            <w:tcBorders>
              <w:top w:val="single" w:sz="6" w:space="0" w:color="000000"/>
              <w:left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784"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45" w:hRule="exact"/>
        </w:trPr>
        <w:tc>
          <w:tcPr>
            <w:tcW w:w="3611" w:type="dxa"/>
            <w:vMerge/>
            <w:tcBorders>
              <w:left w:val="single" w:sz="6" w:space="0" w:color="000000"/>
              <w:bottom w:val="single" w:sz="12" w:space="0" w:color="000000"/>
              <w:right w:val="single" w:sz="6" w:space="0" w:color="000000"/>
            </w:tcBorders>
          </w:tcPr>
          <w:p>
            <w:pPr/>
          </w:p>
        </w:tc>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8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34" w:type="dxa"/>
            <w:tcBorders>
              <w:top w:val="single" w:sz="12" w:space="0" w:color="000000"/>
              <w:left w:val="single" w:sz="6" w:space="0" w:color="000000"/>
              <w:bottom w:val="single" w:sz="12" w:space="0" w:color="000000"/>
              <w:right w:val="single" w:sz="6" w:space="0" w:color="000000"/>
            </w:tcBorders>
          </w:tcPr>
          <w:p>
            <w:pPr>
              <w:pStyle w:val="TableParagraph"/>
              <w:spacing w:line="314" w:lineRule="auto" w:before="53"/>
              <w:ind w:left="357" w:right="36"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5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2" w:hRule="exact"/>
        </w:trPr>
        <w:tc>
          <w:tcPr>
            <w:tcW w:w="3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广西柳州市东城投资开发集团有限公司</w:t>
            </w:r>
          </w:p>
        </w:tc>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
                <w:sz w:val="18"/>
              </w:rPr>
              <w:t>12,003,708.60</w:t>
            </w:r>
          </w:p>
        </w:tc>
        <w:tc>
          <w:tcPr>
            <w:tcW w:w="1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4.22</w:t>
            </w:r>
          </w:p>
        </w:tc>
        <w:tc>
          <w:tcPr>
            <w:tcW w:w="15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1,992,532.88</w:t>
            </w:r>
          </w:p>
        </w:tc>
      </w:tr>
      <w:tr>
        <w:trPr>
          <w:trHeight w:val="432" w:hRule="exact"/>
        </w:trPr>
        <w:tc>
          <w:tcPr>
            <w:tcW w:w="3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中国雄安集团城市发展投资有限公司</w:t>
            </w:r>
          </w:p>
        </w:tc>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
                <w:sz w:val="18"/>
              </w:rPr>
              <w:t>11,473,965.91</w:t>
            </w:r>
          </w:p>
        </w:tc>
        <w:tc>
          <w:tcPr>
            <w:tcW w:w="1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4.03</w:t>
            </w:r>
          </w:p>
        </w:tc>
        <w:tc>
          <w:tcPr>
            <w:tcW w:w="15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573,698.30</w:t>
            </w:r>
          </w:p>
        </w:tc>
      </w:tr>
      <w:tr>
        <w:trPr>
          <w:trHeight w:val="432" w:hRule="exact"/>
        </w:trPr>
        <w:tc>
          <w:tcPr>
            <w:tcW w:w="3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深圳市建筑设计研究总院有限公司</w:t>
            </w:r>
          </w:p>
        </w:tc>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
                <w:sz w:val="18"/>
              </w:rPr>
              <w:t>8,591,950.84</w:t>
            </w:r>
          </w:p>
        </w:tc>
        <w:tc>
          <w:tcPr>
            <w:tcW w:w="1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3.02</w:t>
            </w:r>
          </w:p>
        </w:tc>
        <w:tc>
          <w:tcPr>
            <w:tcW w:w="15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3,636,726.62</w:t>
            </w:r>
          </w:p>
        </w:tc>
      </w:tr>
      <w:tr>
        <w:trPr>
          <w:trHeight w:val="432" w:hRule="exact"/>
        </w:trPr>
        <w:tc>
          <w:tcPr>
            <w:tcW w:w="3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深圳市龙岗区建筑工务局</w:t>
            </w:r>
          </w:p>
        </w:tc>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
                <w:sz w:val="18"/>
              </w:rPr>
              <w:t>8,351,371.14</w:t>
            </w:r>
          </w:p>
        </w:tc>
        <w:tc>
          <w:tcPr>
            <w:tcW w:w="1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2.93</w:t>
            </w:r>
          </w:p>
        </w:tc>
        <w:tc>
          <w:tcPr>
            <w:tcW w:w="15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2,791,454.91</w:t>
            </w:r>
          </w:p>
        </w:tc>
      </w:tr>
      <w:tr>
        <w:trPr>
          <w:trHeight w:val="432" w:hRule="exact"/>
        </w:trPr>
        <w:tc>
          <w:tcPr>
            <w:tcW w:w="3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深圳市住宅工程管理站</w:t>
            </w:r>
          </w:p>
        </w:tc>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
                <w:sz w:val="18"/>
              </w:rPr>
              <w:t>8,250,410.57</w:t>
            </w:r>
          </w:p>
        </w:tc>
        <w:tc>
          <w:tcPr>
            <w:tcW w:w="1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2.90</w:t>
            </w:r>
          </w:p>
        </w:tc>
        <w:tc>
          <w:tcPr>
            <w:tcW w:w="15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823,580.47</w:t>
            </w:r>
          </w:p>
        </w:tc>
      </w:tr>
      <w:tr>
        <w:trPr>
          <w:trHeight w:val="434" w:hRule="exact"/>
        </w:trPr>
        <w:tc>
          <w:tcPr>
            <w:tcW w:w="3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
                <w:sz w:val="18"/>
              </w:rPr>
              <w:t>48,671,407.06</w:t>
            </w:r>
          </w:p>
        </w:tc>
        <w:tc>
          <w:tcPr>
            <w:tcW w:w="1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17.10</w:t>
            </w:r>
          </w:p>
        </w:tc>
        <w:tc>
          <w:tcPr>
            <w:tcW w:w="15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9,817,993.18</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3"/>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6,656,568.50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6,420,328.20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83.64%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456,167.84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275,002.64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10,683.76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442,135.40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538,731.60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7,123,420.10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7,676,197.84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852" w:footer="980" w:top="1320" w:bottom="1160" w:left="980" w:right="0"/>
        </w:sectPr>
      </w:pPr>
    </w:p>
    <w:p>
      <w:pPr>
        <w:pStyle w:val="Heading3"/>
        <w:spacing w:line="240" w:lineRule="auto" w:before="24"/>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5" w:type="dxa"/>
        <w:tblLayout w:type="fixed"/>
        <w:tblCellMar>
          <w:top w:w="0" w:type="dxa"/>
          <w:left w:w="0" w:type="dxa"/>
          <w:bottom w:w="0" w:type="dxa"/>
          <w:right w:w="0" w:type="dxa"/>
        </w:tblCellMar>
        <w:tblLook w:val="01E0"/>
      </w:tblPr>
      <w:tblGrid>
        <w:gridCol w:w="3793"/>
        <w:gridCol w:w="2300"/>
        <w:gridCol w:w="2302"/>
      </w:tblGrid>
      <w:tr>
        <w:trPr>
          <w:trHeight w:val="744" w:hRule="exact"/>
        </w:trPr>
        <w:tc>
          <w:tcPr>
            <w:tcW w:w="37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02"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61"/>
              <w:ind w:left="619" w:right="69" w:hanging="555"/>
              <w:jc w:val="left"/>
              <w:rPr>
                <w:rFonts w:ascii="宋体" w:hAnsi="宋体" w:cs="宋体" w:eastAsia="宋体" w:hint="default"/>
                <w:sz w:val="18"/>
                <w:szCs w:val="18"/>
              </w:rPr>
            </w:pPr>
            <w:r>
              <w:rPr>
                <w:rFonts w:ascii="宋体" w:hAnsi="宋体" w:cs="宋体" w:eastAsia="宋体" w:hint="default"/>
                <w:sz w:val="18"/>
                <w:szCs w:val="18"/>
              </w:rPr>
              <w:t>占预付款项期末余额合计数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3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深圳市稳基科技有限公司</w:t>
            </w:r>
          </w:p>
        </w:tc>
        <w:tc>
          <w:tcPr>
            <w:tcW w:w="23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1,432,413.78</w:t>
            </w:r>
          </w:p>
        </w:tc>
        <w:tc>
          <w:tcPr>
            <w:tcW w:w="23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20.11</w:t>
            </w:r>
          </w:p>
        </w:tc>
      </w:tr>
      <w:tr>
        <w:trPr>
          <w:trHeight w:val="432" w:hRule="exact"/>
        </w:trPr>
        <w:tc>
          <w:tcPr>
            <w:tcW w:w="3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深圳市辉鸿达实验设备仪器有限公司</w:t>
            </w:r>
          </w:p>
        </w:tc>
        <w:tc>
          <w:tcPr>
            <w:tcW w:w="23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808,879.31</w:t>
            </w:r>
          </w:p>
        </w:tc>
        <w:tc>
          <w:tcPr>
            <w:tcW w:w="23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11.36</w:t>
            </w:r>
          </w:p>
        </w:tc>
      </w:tr>
      <w:tr>
        <w:trPr>
          <w:trHeight w:val="432" w:hRule="exact"/>
        </w:trPr>
        <w:tc>
          <w:tcPr>
            <w:tcW w:w="3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昆山莫帝斯科燃烧技术仪器有限公司</w:t>
            </w:r>
          </w:p>
        </w:tc>
        <w:tc>
          <w:tcPr>
            <w:tcW w:w="23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783,879.30</w:t>
            </w:r>
          </w:p>
        </w:tc>
        <w:tc>
          <w:tcPr>
            <w:tcW w:w="23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11.00</w:t>
            </w:r>
          </w:p>
        </w:tc>
      </w:tr>
      <w:tr>
        <w:trPr>
          <w:trHeight w:val="432" w:hRule="exact"/>
        </w:trPr>
        <w:tc>
          <w:tcPr>
            <w:tcW w:w="3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洛阳鸿业信息科技股份有限公司</w:t>
            </w:r>
          </w:p>
        </w:tc>
        <w:tc>
          <w:tcPr>
            <w:tcW w:w="23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377,358.48</w:t>
            </w:r>
          </w:p>
        </w:tc>
        <w:tc>
          <w:tcPr>
            <w:tcW w:w="23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5.30</w:t>
            </w:r>
          </w:p>
        </w:tc>
      </w:tr>
      <w:tr>
        <w:trPr>
          <w:trHeight w:val="432" w:hRule="exact"/>
        </w:trPr>
        <w:tc>
          <w:tcPr>
            <w:tcW w:w="3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上海福轩环保科技有限公司</w:t>
            </w:r>
          </w:p>
        </w:tc>
        <w:tc>
          <w:tcPr>
            <w:tcW w:w="23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336,000.00</w:t>
            </w:r>
          </w:p>
        </w:tc>
        <w:tc>
          <w:tcPr>
            <w:tcW w:w="23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4.72</w:t>
            </w:r>
          </w:p>
        </w:tc>
      </w:tr>
      <w:tr>
        <w:trPr>
          <w:trHeight w:val="434" w:hRule="exact"/>
        </w:trPr>
        <w:tc>
          <w:tcPr>
            <w:tcW w:w="3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3,738,530.87</w:t>
            </w:r>
          </w:p>
        </w:tc>
        <w:tc>
          <w:tcPr>
            <w:tcW w:w="23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52.49</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8,538,296.59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4,501,641.59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8,553,091.11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4,501,641.59</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14,794.52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52" w:footer="980" w:top="1320" w:bottom="1160" w:left="980" w:right="0"/>
        </w:sectPr>
      </w:pPr>
    </w:p>
    <w:p>
      <w:pPr>
        <w:pStyle w:val="BodyText"/>
        <w:spacing w:line="240" w:lineRule="auto" w:before="109"/>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6"/>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10,389,8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53.20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1,851,55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8,538,296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5,579,3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73.84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1,077,732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19.32%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4,501,641.5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10,389,8</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53.20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1,851,55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6.61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8,538,296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5,579,3</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73.84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1,077,732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19.32%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4,501,641.5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2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38" w:lineRule="auto" w:before="119"/>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280" w:bottom="1160" w:left="980" w:right="0"/>
          <w:cols w:num="2" w:equalWidth="0">
            <w:col w:w="4473" w:space="4356"/>
            <w:col w:w="2101"/>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6,402,073.85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320,103.69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1,315,777.99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131,577.80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1,673,455.63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502,036.69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155,547.10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77,773.55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114,668.77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91,735.02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728,329.86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728,329.86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10,389,853.20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1,851,556.61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17.82%</w:t>
            </w:r>
          </w:p>
        </w:tc>
      </w:tr>
    </w:tbl>
    <w:p>
      <w:pPr>
        <w:pStyle w:val="BodyText"/>
        <w:spacing w:line="362" w:lineRule="auto" w:before="49"/>
        <w:ind w:right="6254"/>
        <w:jc w:val="left"/>
      </w:pPr>
      <w:r>
        <w:rPr/>
        <w:t>确定该组合依据的说明： 组合中，采用余额百分比法计提坏账准备的其他应收款：</w:t>
      </w:r>
    </w:p>
    <w:p>
      <w:pPr>
        <w:pStyle w:val="BodyText"/>
        <w:spacing w:line="340" w:lineRule="auto" w:before="23"/>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spacing w:after="0" w:line="340" w:lineRule="auto"/>
        <w:jc w:val="left"/>
        <w:sectPr>
          <w:type w:val="continuous"/>
          <w:pgSz w:w="11910" w:h="16840"/>
          <w:pgMar w:top="1280" w:bottom="1160" w:left="980" w:right="0"/>
        </w:sectPr>
      </w:pPr>
    </w:p>
    <w:p>
      <w:pPr>
        <w:pStyle w:val="BodyText"/>
        <w:spacing w:line="240" w:lineRule="auto" w:before="111"/>
        <w:ind w:right="-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14"/>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4"/>
        <w:jc w:val="left"/>
      </w:pPr>
      <w:r>
        <w:rPr/>
        <w:t>本期计提坏账准备金额</w:t>
      </w:r>
      <w:r>
        <w:rPr>
          <w:spacing w:val="-47"/>
        </w:rPr>
        <w:t> </w:t>
      </w:r>
      <w:r>
        <w:rPr>
          <w:rFonts w:ascii="Times New Roman" w:hAnsi="Times New Roman" w:cs="Times New Roman" w:eastAsia="Times New Roman" w:hint="default"/>
        </w:rPr>
        <w:t>614,021.77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BodyText"/>
        <w:spacing w:line="240" w:lineRule="auto"/>
        <w:ind w:right="0"/>
        <w:jc w:val="left"/>
      </w:pPr>
      <w:r>
        <w:rPr/>
        <w:t>单位：</w:t>
      </w:r>
      <w:r>
        <w:rPr>
          <w:spacing w:val="1"/>
        </w:rPr>
        <w:t> </w:t>
      </w:r>
      <w:r>
        <w:rPr/>
        <w:t>元</w:t>
      </w:r>
    </w:p>
    <w:p>
      <w:pPr>
        <w:spacing w:after="0" w:line="240" w:lineRule="auto"/>
        <w:jc w:val="left"/>
        <w:sectPr>
          <w:pgSz w:w="11910" w:h="16840"/>
          <w:pgMar w:header="852" w:footer="980" w:top="1320" w:bottom="1160" w:left="980" w:right="0"/>
          <w:cols w:num="2" w:equalWidth="0">
            <w:col w:w="5917" w:space="2912"/>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0"/>
        <w:jc w:val="left"/>
      </w:pPr>
      <w:r>
        <w:rPr/>
        <w:t>其中重要的其他应收款核销情况：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4" w:lineRule="auto"/>
        <w:jc w:val="left"/>
        <w:rPr>
          <w:rFonts w:ascii="宋体" w:hAnsi="宋体" w:cs="宋体" w:eastAsia="宋体" w:hint="default"/>
          <w:sz w:val="18"/>
          <w:szCs w:val="18"/>
        </w:rPr>
        <w:sectPr>
          <w:type w:val="continuous"/>
          <w:pgSz w:w="11910" w:h="16840"/>
          <w:pgMar w:top="1280" w:bottom="1160" w:left="980" w:right="0"/>
        </w:sectPr>
      </w:pPr>
    </w:p>
    <w:p>
      <w:pPr>
        <w:pStyle w:val="BodyText"/>
        <w:spacing w:line="240" w:lineRule="auto" w:before="49"/>
        <w:ind w:right="-18"/>
        <w:jc w:val="left"/>
      </w:pPr>
      <w:r>
        <w:rPr/>
        <w:t>其他应收款核销说明：</w:t>
      </w:r>
    </w:p>
    <w:p>
      <w:pPr>
        <w:pStyle w:val="BodyText"/>
        <w:spacing w:line="240" w:lineRule="auto" w:before="119"/>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280" w:bottom="1160" w:left="980" w:right="0"/>
          <w:cols w:num="2" w:equalWidth="0">
            <w:col w:w="2825" w:space="6004"/>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1,907,074.40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1,452,767.40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3,783,646.86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2,861,372.90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700,046.33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501,306.02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3,999,085.61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763,927.52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10,389,853.20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5,579,373.84</w:t>
            </w:r>
          </w:p>
        </w:tc>
      </w:tr>
    </w:tbl>
    <w:p>
      <w:pPr>
        <w:pStyle w:val="BodyText"/>
        <w:spacing w:line="240" w:lineRule="auto" w:before="49"/>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深圳市龙岗区住房 和建设局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代垫工程款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3,335,228.68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166,761.43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朔黄铁路发展有限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1,744,608.75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453,598.28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18"/>
              <w:jc w:val="left"/>
              <w:rPr>
                <w:rFonts w:ascii="宋体" w:hAnsi="宋体" w:cs="宋体" w:eastAsia="宋体" w:hint="default"/>
                <w:sz w:val="18"/>
                <w:szCs w:val="18"/>
              </w:rPr>
            </w:pPr>
            <w:r>
              <w:rPr>
                <w:rFonts w:ascii="宋体" w:hAnsi="宋体" w:cs="宋体" w:eastAsia="宋体" w:hint="default"/>
                <w:sz w:val="18"/>
                <w:szCs w:val="18"/>
              </w:rPr>
              <w:t>中关村发展集团股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815,009.88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40,750.49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深圳市联泰房地产 开发有限公司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291,608.00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29,160.80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柳州市公共资源交 易服务中心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6,516,455.31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706,771.00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280" w:bottom="1160" w:left="980" w:right="0"/>
        </w:sectPr>
      </w:pPr>
    </w:p>
    <w:p>
      <w:pPr>
        <w:pStyle w:val="BodyText"/>
        <w:spacing w:line="240" w:lineRule="auto" w:before="109"/>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6"/>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3"/>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514"/>
        <w:jc w:val="left"/>
      </w:pPr>
      <w:r>
        <w:rPr/>
        <w:t>公司是否需要遵守房地产行业的披露要求 否</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100,899.80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100,899.80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65,389.96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65,389.96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100,899.80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100,899.80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65,389.96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65,389.96</w:t>
            </w:r>
          </w:p>
        </w:tc>
      </w:tr>
    </w:tbl>
    <w:p>
      <w:pPr>
        <w:pStyle w:val="BodyText"/>
        <w:spacing w:line="340" w:lineRule="auto" w:before="49"/>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2"/>
        <w:ind w:right="1575"/>
        <w:jc w:val="left"/>
      </w:pPr>
      <w:r>
        <w:rPr/>
        <w:t>公司是否需遵守《深圳证券交易所创业板行业信息披露指引第</w:t>
      </w:r>
      <w:r>
        <w:rPr>
          <w:spacing w:val="-46"/>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1755"/>
        <w:jc w:val="left"/>
      </w:pPr>
      <w:r>
        <w:rPr/>
        <w:t>公司是否需遵守《深圳证券交易所创业板行业信息披露指引第</w:t>
      </w:r>
      <w:r>
        <w:rPr>
          <w:spacing w:val="-46"/>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39"/>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footerReference w:type="default" r:id="rId20"/>
          <w:pgSz w:w="11910" w:h="16840"/>
          <w:pgMar w:footer="980" w:header="852" w:top="1320" w:bottom="1160" w:left="980" w:right="0"/>
          <w:pgNumType w:start="12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113" w:hRule="exact"/>
        </w:trPr>
        <w:tc>
          <w:tcPr>
            <w:tcW w:w="4783"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left="112"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left="112" w:right="0"/>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left="112"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left="112" w:right="0"/>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left="112"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left="112"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5,776,110.91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865,275.99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3,862,814.60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1,804,685.60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11,638,991.28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2,669,961.59</w:t>
            </w:r>
          </w:p>
        </w:tc>
      </w:tr>
    </w:tbl>
    <w:p>
      <w:pPr>
        <w:pStyle w:val="BodyText"/>
        <w:spacing w:line="240" w:lineRule="auto" w:before="49"/>
        <w:ind w:left="112"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left="112"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112"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98"/>
        <w:gridCol w:w="1196"/>
        <w:gridCol w:w="1198"/>
        <w:gridCol w:w="1196"/>
        <w:gridCol w:w="1248"/>
        <w:gridCol w:w="1369"/>
        <w:gridCol w:w="1368"/>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5"/>
        <w:rPr>
          <w:rFonts w:ascii="宋体" w:hAnsi="宋体" w:cs="宋体" w:eastAsia="宋体" w:hint="default"/>
          <w:sz w:val="19"/>
          <w:szCs w:val="19"/>
        </w:rPr>
      </w:pPr>
    </w:p>
    <w:p>
      <w:pPr>
        <w:pStyle w:val="Heading3"/>
        <w:spacing w:line="335" w:lineRule="exact"/>
        <w:ind w:left="112"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headerReference w:type="default" r:id="rId21"/>
          <w:pgSz w:w="11910" w:h="16840"/>
          <w:pgMar w:header="852" w:footer="980" w:top="128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18"/>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2"/>
        <w:gridCol w:w="869"/>
        <w:gridCol w:w="871"/>
        <w:gridCol w:w="869"/>
        <w:gridCol w:w="871"/>
        <w:gridCol w:w="869"/>
        <w:gridCol w:w="872"/>
        <w:gridCol w:w="869"/>
        <w:gridCol w:w="871"/>
      </w:tblGrid>
      <w:tr>
        <w:trPr>
          <w:trHeight w:val="403"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9" w:right="45"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0"/>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3500"/>
        <w:gridCol w:w="3503"/>
        <w:gridCol w:w="1164"/>
      </w:tblGrid>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6"/>
        <w:gridCol w:w="1169"/>
        <w:gridCol w:w="1166"/>
        <w:gridCol w:w="1167"/>
        <w:gridCol w:w="1164"/>
      </w:tblGrid>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4"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荆门玖伊 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1,484,066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-266,080.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1,217,986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绿研智库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2,400,585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-292,070.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2,108,514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3,884,652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-558,150.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3,326,501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3,884,652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-558,150.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3,326,501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14,577,690.96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14,577,690.96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14,577,690.96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14,577,690.96</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4,522,281.74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4,522,281.74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551,852.52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551,852.52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551,852.52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551,852.52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5,074,134.26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5,074,134.26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9,503,556.70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9,503,556.70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10,055,409.22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10,055,409.22</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87,247,624.00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81,377,899.89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87,247,624.00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81,377,899.89</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81,738,948.76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6,167,094.02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43,377,573.73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24,387,582.39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156,651,198.90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51,657.83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14,486,414.50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2,722,285.99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17,260,358.32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51,657.83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14,486,414.50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2,722,285.99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17,260,358.32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611,291.60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744,491.60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611,291.60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744,491.60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81,738,948.76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6,218,751.85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57,730,788.23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26,498,576.78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173,167,065.62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24,126,493.34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686,000.28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30,607,106.49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19,772,690.34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75,273,299.01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3,069,792.48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1,205,971.73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98,000.04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5,426,761.59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1,589,908.37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11,390,434.21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3,069,792.48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1,205,971.73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5,426,761.59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1,589,908.37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11,390,434.21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611,291.60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744,291.60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611,291.60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744,291.60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27,196,285.82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1,286,980.29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784,000.32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35,900,868.08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20,751,307.11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85,919,441.62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54,542,662.94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4,931,771.56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195,999.68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21,829,920.15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5,747,269.67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87,247,624.00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57,612,455.42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6,086,085.46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293,999.72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12,770,467.24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4,614,892.05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81,377,899.89</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52" w:footer="980" w:top="128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113" w:hRule="exact"/>
        </w:trPr>
        <w:tc>
          <w:tcPr>
            <w:tcW w:w="4781" w:type="dxa"/>
            <w:tcBorders>
              <w:top w:val="single" w:sz="6" w:space="0" w:color="000000"/>
              <w:left w:val="nil" w:sz="6" w:space="0" w:color="auto"/>
              <w:bottom w:val="single" w:sz="4" w:space="0" w:color="000000"/>
              <w:right w:val="nil" w:sz="6" w:space="0" w:color="auto"/>
            </w:tcBorders>
          </w:tcPr>
          <w:p>
            <w:pPr/>
          </w:p>
        </w:tc>
        <w:tc>
          <w:tcPr>
            <w:tcW w:w="4789"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6"/>
        <w:rPr>
          <w:rFonts w:ascii="宋体" w:hAnsi="宋体" w:cs="宋体" w:eastAsia="宋体" w:hint="default"/>
          <w:sz w:val="19"/>
          <w:szCs w:val="19"/>
        </w:rPr>
      </w:pPr>
    </w:p>
    <w:p>
      <w:pPr>
        <w:pStyle w:val="Heading3"/>
        <w:spacing w:line="335" w:lineRule="exact"/>
        <w:ind w:left="112"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left="112"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left="112"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left="112"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left="112"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96"/>
        <w:gridCol w:w="3815"/>
        <w:gridCol w:w="3860"/>
      </w:tblGrid>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91,470,942.13</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33,803,802.75</w:t>
            </w: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91,470,942.13</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33,803,802.75</w:t>
            </w:r>
          </w:p>
        </w:tc>
      </w:tr>
    </w:tbl>
    <w:p>
      <w:pPr>
        <w:spacing w:line="240" w:lineRule="auto" w:before="5"/>
        <w:rPr>
          <w:rFonts w:ascii="宋体" w:hAnsi="宋体" w:cs="宋体" w:eastAsia="宋体" w:hint="default"/>
          <w:sz w:val="19"/>
          <w:szCs w:val="19"/>
        </w:rPr>
      </w:pPr>
    </w:p>
    <w:p>
      <w:pPr>
        <w:pStyle w:val="Heading3"/>
        <w:spacing w:line="335" w:lineRule="exact"/>
        <w:ind w:left="112"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建科院未来大厦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91,470,942.13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91,470,942.13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33,803,802.75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33,803,802.75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91,470,942.13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91,470,942.13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33,803,802.75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33,803,802.75</w:t>
            </w:r>
          </w:p>
        </w:tc>
      </w:tr>
    </w:tbl>
    <w:p>
      <w:pPr>
        <w:spacing w:line="240" w:lineRule="auto" w:before="5"/>
        <w:rPr>
          <w:rFonts w:ascii="宋体" w:hAnsi="宋体" w:cs="宋体" w:eastAsia="宋体" w:hint="default"/>
          <w:sz w:val="19"/>
          <w:szCs w:val="19"/>
        </w:rPr>
      </w:pPr>
    </w:p>
    <w:p>
      <w:pPr>
        <w:pStyle w:val="Heading3"/>
        <w:spacing w:line="335" w:lineRule="exact"/>
        <w:ind w:left="112"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4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建科院 未来大 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479,484,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33,803,8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57,667,1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91,470,9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42.13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19.08%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19.08%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3,878,12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2,539,92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40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9" w:right="0"/>
              <w:jc w:val="center"/>
              <w:rPr>
                <w:rFonts w:ascii="Times New Roman" w:hAnsi="Times New Roman" w:cs="Times New Roman" w:eastAsia="Times New Roman" w:hint="default"/>
                <w:sz w:val="18"/>
                <w:szCs w:val="18"/>
              </w:rPr>
            </w:pPr>
            <w:r>
              <w:rPr>
                <w:rFonts w:ascii="Times New Roman"/>
                <w:sz w:val="18"/>
              </w:rPr>
              <w:t>479,484,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sz w:val="18"/>
              </w:rPr>
              <w:t>33,803,8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sz w:val="18"/>
              </w:rPr>
              <w:t>57,667,1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sz w:val="18"/>
              </w:rPr>
              <w:t>91,470,9</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sz w:val="18"/>
              </w:rPr>
              <w:t>3,878,12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sz w:val="18"/>
              </w:rPr>
              <w:t>2,539,92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28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8"/>
        <w:gridCol w:w="736"/>
        <w:gridCol w:w="734"/>
        <w:gridCol w:w="737"/>
        <w:gridCol w:w="737"/>
        <w:gridCol w:w="736"/>
        <w:gridCol w:w="736"/>
      </w:tblGrid>
      <w:tr>
        <w:trPr>
          <w:trHeight w:val="363"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8" w:right="0"/>
              <w:jc w:val="left"/>
              <w:rPr>
                <w:rFonts w:ascii="Times New Roman" w:hAnsi="Times New Roman" w:cs="Times New Roman" w:eastAsia="Times New Roman" w:hint="default"/>
                <w:sz w:val="18"/>
                <w:szCs w:val="18"/>
              </w:rPr>
            </w:pPr>
            <w:r>
              <w:rPr>
                <w:rFonts w:ascii="Times New Roman"/>
                <w:sz w:val="18"/>
              </w:rPr>
              <w:t>900.00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7" w:right="0"/>
              <w:jc w:val="left"/>
              <w:rPr>
                <w:rFonts w:ascii="Times New Roman" w:hAnsi="Times New Roman" w:cs="Times New Roman" w:eastAsia="Times New Roman" w:hint="default"/>
                <w:sz w:val="18"/>
                <w:szCs w:val="18"/>
              </w:rPr>
            </w:pPr>
            <w:r>
              <w:rPr>
                <w:rFonts w:ascii="Times New Roman"/>
                <w:sz w:val="18"/>
              </w:rPr>
              <w:t>02.75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7" w:right="0"/>
              <w:jc w:val="left"/>
              <w:rPr>
                <w:rFonts w:ascii="Times New Roman" w:hAnsi="Times New Roman" w:cs="Times New Roman" w:eastAsia="Times New Roman" w:hint="default"/>
                <w:sz w:val="18"/>
                <w:szCs w:val="18"/>
              </w:rPr>
            </w:pPr>
            <w:r>
              <w:rPr>
                <w:rFonts w:ascii="Times New Roman"/>
                <w:sz w:val="18"/>
              </w:rPr>
              <w:t>39.38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7" w:right="0"/>
              <w:jc w:val="left"/>
              <w:rPr>
                <w:rFonts w:ascii="Times New Roman" w:hAnsi="Times New Roman" w:cs="Times New Roman" w:eastAsia="Times New Roman" w:hint="default"/>
                <w:sz w:val="18"/>
                <w:szCs w:val="18"/>
              </w:rPr>
            </w:pPr>
            <w:r>
              <w:rPr>
                <w:rFonts w:ascii="Times New Roman"/>
                <w:sz w:val="18"/>
              </w:rPr>
              <w:t>42.13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8" w:right="0"/>
              <w:jc w:val="left"/>
              <w:rPr>
                <w:rFonts w:ascii="Times New Roman" w:hAnsi="Times New Roman" w:cs="Times New Roman" w:eastAsia="Times New Roman" w:hint="default"/>
                <w:sz w:val="18"/>
                <w:szCs w:val="18"/>
              </w:rPr>
            </w:pPr>
            <w:r>
              <w:rPr>
                <w:rFonts w:ascii="Times New Roman"/>
                <w:sz w:val="18"/>
              </w:rPr>
              <w:t>7.54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9" w:right="0"/>
              <w:jc w:val="left"/>
              <w:rPr>
                <w:rFonts w:ascii="Times New Roman" w:hAnsi="Times New Roman" w:cs="Times New Roman" w:eastAsia="Times New Roman" w:hint="default"/>
                <w:sz w:val="18"/>
                <w:szCs w:val="18"/>
              </w:rPr>
            </w:pPr>
            <w:r>
              <w:rPr>
                <w:rFonts w:ascii="Times New Roman"/>
                <w:sz w:val="18"/>
              </w:rPr>
              <w:t>2.36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1755"/>
        <w:jc w:val="left"/>
      </w:pPr>
      <w:r>
        <w:rPr/>
        <w:t>公司是否需遵守《深圳证券交易所创业板行业信息披露指引第</w:t>
      </w:r>
      <w:r>
        <w:rPr>
          <w:spacing w:val="-46"/>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85,511,997.00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219,924.98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20,832,051.31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106,563,973.29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10,947,009.10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10,947,009.10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7,009,499.79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7,009,499.79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3,937,509.31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3,937,509.31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85,511,997.00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219,924.98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31,779,060.41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117,510,982.39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7,751,293.21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219,924.98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14,445,329.42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22,416,547.61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2,641,672.09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4,564,046.58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7,205,718.67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2,641,672.09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4,564,046.58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7,205,718.67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10,392,965.30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219,924.98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19,009,376.00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29,622,266.28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75,119,031.70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12,769,684.41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87,888,716.11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77,760,703.79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6,386,721.89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84,147,425.68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36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本期末通过公司内部研发形成的无形资产占无形资产余额的比例</w:t>
      </w:r>
      <w:r>
        <w:rPr>
          <w:spacing w:val="-44"/>
        </w:rPr>
        <w:t> </w:t>
      </w:r>
      <w:r>
        <w:rPr>
          <w:rFonts w:ascii="Times New Roman" w:hAnsi="Times New Roman" w:cs="Times New Roman" w:eastAsia="Times New Roman" w:hint="default"/>
        </w:rPr>
        <w:t>4.48%</w:t>
      </w:r>
      <w:r>
        <w:rPr/>
        <w:t>。</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40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49"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线上运营平 台及乐活系 统建设项目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项目运营管 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2,287,571.48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764,470.30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3,052,041.78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3"/>
              <w:ind w:left="22" w:right="67"/>
              <w:jc w:val="left"/>
              <w:rPr>
                <w:rFonts w:ascii="宋体" w:hAnsi="宋体" w:cs="宋体" w:eastAsia="宋体" w:hint="default"/>
                <w:sz w:val="18"/>
                <w:szCs w:val="18"/>
              </w:rPr>
            </w:pPr>
            <w:r>
              <w:rPr>
                <w:rFonts w:ascii="宋体" w:hAnsi="宋体" w:cs="宋体" w:eastAsia="宋体" w:hint="default"/>
                <w:sz w:val="18"/>
                <w:szCs w:val="18"/>
              </w:rPr>
              <w:t>线上运营平 台及乐活系 统建设项目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系统框架及 性能优化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332,444.13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180,691.86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513,135.99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线上运营平 台及乐活系 统建设项目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流程移动化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78,874.06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16,432.02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95,306.08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8" w:lineRule="auto" w:before="53"/>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室内环境监 测系统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My Air</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219,340.46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57,685.00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277,025.46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2,918,230.13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1,019,279.18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3,937,509.31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38" w:lineRule="auto" w:before="49"/>
        <w:ind w:right="0"/>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60" w:lineRule="auto" w:before="43"/>
        <w:ind w:right="8594"/>
        <w:jc w:val="left"/>
      </w:pPr>
      <w:r>
        <w:rPr/>
        <w:t>商誉减值测试的影响 其他说明</w:t>
      </w: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5,116,682.76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11,000,057.06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2,504,510.45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13,612,229.37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与同济大学战略合 作费用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30,914,537.64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5,969,480.36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1,208,723.78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23,736,333.50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余土资源化综合利 用示范生产线</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2,851,205.78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528,282.52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2,322,923.26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39,182,426.18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11,000,057.06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9,202,273.33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1,208,723.78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39,771,486.13</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59,290,124.27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8,861,586.16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43,678,731.01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6,563,818.21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59,290,124.27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8,861,586.16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43,678,731.01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6,563,818.21</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28"/>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8,861,586.16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6,563,818.21</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787,952.90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796,099.24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787,952.90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796,099.24</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r>
    </w:tbl>
    <w:p>
      <w:pPr>
        <w:pStyle w:val="BodyText"/>
        <w:spacing w:line="240" w:lineRule="auto" w:before="49"/>
        <w:ind w:right="0"/>
        <w:jc w:val="left"/>
      </w:pPr>
      <w:r>
        <w:rPr/>
        <w:t>短期借款分类的说明：</w:t>
      </w:r>
    </w:p>
    <w:p>
      <w:pPr>
        <w:spacing w:after="0" w:line="24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83,131,497.29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81,673,796.00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83,131,497.29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81,673,796.00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本期末已到期未支付的应付票据总额为元。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50,297,358.07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52,203,416.82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17,911,039.51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23,045,993.54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9,978,777.74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1,959,148.03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4,944,321.97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4,465,237.61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83,131,497.29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81,673,796.00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泉州德科达机械制造有限公司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3,892,307.69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设备尚未安装</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深圳市建筑设计研究总院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2,804,622.31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分包款项目暂未结算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深圳市智拓邦设计有限公司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1,852,670.57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落标补偿款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深圳市局内设计咨询有限公司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1,235,943.39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分包款项目暂未结算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深圳市勘察测绘院有限公司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989,700.75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分包款项目暂未结算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10,775,244.71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15,344,446.82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11,822,761.58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1,245,897.68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1,945,703.09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958,681.59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722,164.00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198,743.00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144,450.00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17,747,769.09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14,635,078.67</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深圳市财政委员会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374,820.00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项目未达验收标准</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深圳市光明新区建筑工务局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项目未达验收标准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深圳市中意富华有限公司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项目未达验收标准</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614,196.00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after="0" w:line="24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28,433,376.27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177,979,556.70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174,232,073.79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32,180,859.18</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8,430,752.36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8,430,752.36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156,088.61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156,088.61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28,433,376.27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186,566,397.67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182,818,914.76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32,180,859.18</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28,068,362.49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162,137,237.65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158,028,900.96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32,176,699.18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298,168.00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4,123,223.10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4,418,391.10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4,326,870.88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4,326,870.88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3,904,320.16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3,904,320.16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134,755.70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134,755.70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287,795.02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287,795.02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7,762.00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5,884,776.68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5,891,378.68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1,160.00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1,083.78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1,507,448.39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1,508,532.17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28,433,376.27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177,979,556.70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174,232,073.79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32,180,859.18</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8,223,680.10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8,223,680.10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207,072.26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207,072.26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8,430,752.36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8,430,752.36</w:t>
            </w: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after="0" w:line="24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769,751.24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5,869,966.33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6,796,533.92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7,314,832.43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1,124,359.08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1,320,404.17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571,712.35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409,541.70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409,057.21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292,518.06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218,435.55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496,369.32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402,489.37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30,056.46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10,167,783.12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15,858,244.07</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85,212.33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17,278,531.73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4,946,152.30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17,513,865.06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5,031,364.63</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85,212.33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85,212.33</w:t>
            </w:r>
          </w:p>
        </w:tc>
      </w:tr>
    </w:tbl>
    <w:p>
      <w:pPr>
        <w:pStyle w:val="BodyText"/>
        <w:spacing w:line="240" w:lineRule="auto" w:before="49"/>
        <w:ind w:right="0"/>
        <w:jc w:val="left"/>
      </w:pPr>
      <w:r>
        <w:rPr/>
        <w:t>重要的已逾期未支付的利息情况：</w:t>
      </w:r>
    </w:p>
    <w:p>
      <w:pPr>
        <w:pStyle w:val="BodyText"/>
        <w:spacing w:line="240" w:lineRule="auto" w:before="119"/>
        <w:ind w:left="0" w:right="1131"/>
        <w:jc w:val="right"/>
      </w:pPr>
      <w:r>
        <w:rPr/>
        <w:t>单位：</w:t>
      </w:r>
      <w:r>
        <w:rPr>
          <w:spacing w:val="1"/>
        </w:rPr>
        <w:t> </w:t>
      </w:r>
      <w:r>
        <w:rPr/>
        <w:t>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3,540,776.80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2,403,393.41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垫付工程款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10,176,820.80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867,690.94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372,995.81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2,693,243.19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2,169,763.08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17,278,531.73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4,946,152.30</w:t>
            </w:r>
          </w:p>
        </w:tc>
      </w:tr>
    </w:tbl>
    <w:p>
      <w:pPr>
        <w:pStyle w:val="BodyText"/>
        <w:spacing w:line="240" w:lineRule="auto" w:before="49"/>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公司员工互助基金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827,756.53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公司员工互助基金</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827,756.53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待转销销项税额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11,725,446.43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11,725,446.43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短期应付债券的增减变动：</w:t>
      </w:r>
    </w:p>
    <w:p>
      <w:pPr>
        <w:pStyle w:val="BodyText"/>
        <w:spacing w:line="240" w:lineRule="auto" w:before="119"/>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9"/>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after="0" w:line="24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2" w:lineRule="auto" w:before="49"/>
        <w:ind w:right="8594"/>
        <w:jc w:val="left"/>
      </w:pPr>
      <w:r>
        <w:rPr/>
        <w:t>长期借款分类的说明： 其他说明，包括利率区间：</w:t>
      </w: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52" w:footer="980" w:top="1280" w:bottom="1160" w:left="98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280" w:bottom="1160" w:left="980" w:right="0"/>
          <w:cols w:num="2" w:equalWidth="0">
            <w:col w:w="4653" w:space="417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7514"/>
        <w:jc w:val="left"/>
      </w:pPr>
      <w:r>
        <w:rPr/>
        <w:t>其他金融工具划分为金融负债的依据说明 其他说明</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设定受益计划义务现值：</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计划资产：</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设定受益计划净负债（净资产）</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2" w:lineRule="auto" w:before="49"/>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3"/>
        <w:ind w:right="0"/>
        <w:jc w:val="left"/>
      </w:pPr>
      <w:r>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其他说明，包括重要预计负债的相关重要假设、估计说明：</w:t>
      </w:r>
    </w:p>
    <w:p>
      <w:pPr>
        <w:spacing w:after="0" w:line="24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55,522,446.84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16,100,440.00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10,749,045.31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60,873,841.53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55,522,446.84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16,100,440.00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10,749,045.31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60,873,841.53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131"/>
        <w:jc w:val="right"/>
      </w:pPr>
      <w:r>
        <w:rPr/>
        <w:pict>
          <v:group style="position:absolute;margin-left:110.059998pt;margin-top:110.471687pt;width:52.8pt;height:50.8pt;mso-position-horizontal-relative:page;mso-position-vertical-relative:paragraph;z-index:-1021216" coordorigin="2201,2209" coordsize="1056,1016">
            <v:group style="position:absolute;left:2201;top:2209;width:1056;height:1016" coordorigin="2201,2209" coordsize="1056,1016">
              <v:shape style="position:absolute;left:2201;top:2209;width:1056;height:1016" coordorigin="2201,2209" coordsize="1056,1016" path="m2201,3225l3257,3225,3257,2209,2201,2209,2201,3225xe" filled="true" fillcolor="#ffffff" stroked="false">
                <v:path arrowok="t"/>
                <v:fill type="solid"/>
              </v:shape>
            </v:group>
            <v:group style="position:absolute;left:2225;top:2521;width:1008;height:392" coordorigin="2225,2521" coordsize="1008,392">
              <v:shape style="position:absolute;left:2225;top:2521;width:1008;height:392" coordorigin="2225,2521" coordsize="1008,392" path="m2225,2913l3233,2913,3233,2521,2225,2521,2225,2913xe" filled="true" fillcolor="#ffffff" stroked="false">
                <v:path arrowok="t"/>
                <v:fill type="solid"/>
              </v:shape>
            </v:group>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21"/>
              <w:jc w:val="left"/>
              <w:rPr>
                <w:rFonts w:ascii="宋体" w:hAnsi="宋体" w:cs="宋体" w:eastAsia="宋体" w:hint="default"/>
                <w:sz w:val="18"/>
                <w:szCs w:val="18"/>
              </w:rPr>
            </w:pPr>
            <w:r>
              <w:rPr>
                <w:rFonts w:ascii="宋体" w:hAnsi="宋体" w:cs="宋体" w:eastAsia="宋体" w:hint="default"/>
                <w:spacing w:val="-12"/>
                <w:sz w:val="18"/>
                <w:szCs w:val="18"/>
              </w:rPr>
              <w:t>建科大楼（节</w:t>
            </w:r>
            <w:r>
              <w:rPr>
                <w:rFonts w:ascii="宋体" w:hAnsi="宋体" w:cs="宋体" w:eastAsia="宋体" w:hint="default"/>
                <w:sz w:val="18"/>
                <w:szCs w:val="18"/>
              </w:rPr>
              <w:t> 能贴息）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2,108,394.74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101,650.88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2,006,743.86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可再生能源 建筑应用示 范（财政部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340,073.45</w:t>
            </w:r>
          </w:p>
          <w:p>
            <w:pPr>
              <w:pStyle w:val="TableParagraph"/>
              <w:spacing w:line="240" w:lineRule="auto" w:before="6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272,058.84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68,014.61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1"/>
              <w:jc w:val="left"/>
              <w:rPr>
                <w:rFonts w:ascii="宋体" w:hAnsi="宋体" w:cs="宋体" w:eastAsia="宋体" w:hint="default"/>
                <w:sz w:val="18"/>
                <w:szCs w:val="18"/>
              </w:rPr>
            </w:pPr>
            <w:r>
              <w:rPr>
                <w:rFonts w:ascii="宋体" w:hAnsi="宋体" w:cs="宋体" w:eastAsia="宋体" w:hint="default"/>
                <w:sz w:val="18"/>
                <w:szCs w:val="18"/>
              </w:rPr>
              <w:t>绿色建筑节 能示范工程 </w:t>
            </w:r>
            <w:r>
              <w:rPr>
                <w:rFonts w:ascii="宋体" w:hAnsi="宋体" w:cs="宋体" w:eastAsia="宋体" w:hint="default"/>
                <w:spacing w:val="-12"/>
                <w:sz w:val="18"/>
                <w:szCs w:val="18"/>
              </w:rPr>
              <w:t>补贴（建科大</w:t>
            </w:r>
            <w:r>
              <w:rPr>
                <w:rFonts w:ascii="宋体" w:hAnsi="宋体" w:cs="宋体" w:eastAsia="宋体" w:hint="default"/>
                <w:sz w:val="18"/>
                <w:szCs w:val="18"/>
              </w:rPr>
              <w:t> 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节能检测评 价中心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983,632.72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243,800.04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739,832.68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深圳市低碳 试点示范项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4,010,845.10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980,988.52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3,029,856.58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启动区碳排 放实时监测 公共平台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18,107,897.1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1,309,088.21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16,798,808.9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深圳国际低 碳城中美中 心建设渣土 资源化利用 示范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2,016,000.00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436,800.00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1,579,200.00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3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年深圳 市节能环保 产业发展专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伯 克利</w:t>
            </w:r>
            <w:r>
              <w:rPr>
                <w:rFonts w:ascii="Times New Roman" w:hAnsi="Times New Roman" w:cs="Times New Roman" w:eastAsia="Times New Roman" w:hint="default"/>
                <w:sz w:val="18"/>
                <w:szCs w:val="18"/>
              </w:rPr>
              <w:t>-</w:t>
            </w:r>
            <w:r>
              <w:rPr>
                <w:rFonts w:ascii="宋体" w:hAnsi="宋体" w:cs="宋体" w:eastAsia="宋体" w:hint="default"/>
                <w:sz w:val="18"/>
                <w:szCs w:val="18"/>
              </w:rPr>
              <w:t>深圳建 科院低碳可 持续社区项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239,268.49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178,576.70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60,691.79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住宅通风和 空气净化过 滤技术实施 及效果测评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413,271.99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486,600.00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619,297.03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280,574.96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12"/>
                <w:sz w:val="18"/>
                <w:szCs w:val="18"/>
              </w:rPr>
              <w:t>住宅开窗、通</w:t>
            </w:r>
            <w:r>
              <w:rPr>
                <w:rFonts w:ascii="宋体" w:hAnsi="宋体" w:cs="宋体" w:eastAsia="宋体" w:hint="default"/>
                <w:sz w:val="18"/>
                <w:szCs w:val="18"/>
              </w:rPr>
              <w:t> 风空气净化 模式调研和 室内空气质 量测试</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12,817.82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30,112.01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39,505.81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pacing w:val="-12"/>
                <w:sz w:val="18"/>
                <w:szCs w:val="18"/>
              </w:rPr>
              <w:t>节能、经济适</w:t>
            </w:r>
            <w:r>
              <w:rPr>
                <w:rFonts w:ascii="宋体" w:hAnsi="宋体" w:cs="宋体" w:eastAsia="宋体" w:hint="default"/>
                <w:sz w:val="18"/>
                <w:szCs w:val="18"/>
              </w:rPr>
              <w:t> 用的通风及 空气质量控 制方法和技 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187,729.93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111,129.55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130,300.38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工业化建筑 部品与构配 件认证风险 防范技术研 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259,383.49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244,490.29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185,193.20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中美低碳建 筑与社区创 新实验中心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绿色施工现 场信息化管 理规范研究 与平台示范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79,862.07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79,340.00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62,977.14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96,224.93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夏热冬暖地 区围护材料 耐久性分析 </w:t>
            </w:r>
            <w:r>
              <w:rPr>
                <w:rFonts w:ascii="宋体" w:hAnsi="宋体" w:cs="宋体" w:eastAsia="宋体" w:hint="default"/>
                <w:spacing w:val="-12"/>
                <w:sz w:val="18"/>
                <w:szCs w:val="18"/>
              </w:rPr>
              <w:t>模型、评价方</w:t>
            </w:r>
            <w:r>
              <w:rPr>
                <w:rFonts w:ascii="宋体" w:hAnsi="宋体" w:cs="宋体" w:eastAsia="宋体" w:hint="default"/>
                <w:sz w:val="18"/>
                <w:szCs w:val="18"/>
              </w:rPr>
              <w:t> 法及与功能 性提升关键 技术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85,428.13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26,029.01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224,399.12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4" w:right="55"/>
              <w:jc w:val="left"/>
              <w:rPr>
                <w:rFonts w:ascii="宋体" w:hAnsi="宋体" w:cs="宋体" w:eastAsia="宋体" w:hint="default"/>
                <w:sz w:val="18"/>
                <w:szCs w:val="18"/>
              </w:rPr>
            </w:pPr>
            <w:r>
              <w:rPr>
                <w:rFonts w:ascii="宋体" w:hAnsi="宋体" w:cs="宋体" w:eastAsia="宋体" w:hint="default"/>
                <w:sz w:val="18"/>
                <w:szCs w:val="18"/>
              </w:rPr>
              <w:t>夏热冬暖地 区</w:t>
            </w:r>
            <w:r>
              <w:rPr>
                <w:rFonts w:ascii="Times New Roman" w:hAnsi="Times New Roman" w:cs="Times New Roman" w:eastAsia="Times New Roman" w:hint="default"/>
                <w:sz w:val="18"/>
                <w:szCs w:val="18"/>
              </w:rPr>
              <w:t>"</w:t>
            </w:r>
            <w:r>
              <w:rPr>
                <w:rFonts w:ascii="宋体" w:hAnsi="宋体" w:cs="宋体" w:eastAsia="宋体" w:hint="default"/>
                <w:sz w:val="18"/>
                <w:szCs w:val="18"/>
              </w:rPr>
              <w:t>净零能耗 建筑</w:t>
            </w:r>
            <w:r>
              <w:rPr>
                <w:rFonts w:ascii="Times New Roman" w:hAnsi="Times New Roman" w:cs="Times New Roman" w:eastAsia="Times New Roman" w:hint="default"/>
                <w:sz w:val="18"/>
                <w:szCs w:val="18"/>
              </w:rPr>
              <w:t>"</w:t>
            </w:r>
            <w:r>
              <w:rPr>
                <w:rFonts w:ascii="宋体" w:hAnsi="宋体" w:cs="宋体" w:eastAsia="宋体" w:hint="default"/>
                <w:sz w:val="18"/>
                <w:szCs w:val="18"/>
              </w:rPr>
              <w:t>关键技 术综合性工 程示范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1,875,891.23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2,097,100.00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736,609.06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3,236,382.17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太阳能在绿 色建筑中的 综合应用研</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303,163.08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297,719.94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5,443.14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r>
        <w:rPr/>
        <w:pict>
          <v:group style="position:absolute;margin-left:110.059998pt;margin-top:306.889984pt;width:52.8pt;height:82.1pt;mso-position-horizontal-relative:page;mso-position-vertical-relative:page;z-index:-1021192" coordorigin="2201,6138" coordsize="1056,1642">
            <v:group style="position:absolute;left:2201;top:6138;width:1056;height:1642" coordorigin="2201,6138" coordsize="1056,1642">
              <v:shape style="position:absolute;left:2201;top:6138;width:1056;height:1642" coordorigin="2201,6138" coordsize="1056,1642" path="m2201,7779l3257,7779,3257,6138,2201,6138,2201,7779xe" filled="true" fillcolor="#ffffff" stroked="false">
                <v:path arrowok="t"/>
                <v:fill type="solid"/>
              </v:shape>
            </v:group>
            <v:group style="position:absolute;left:2225;top:6762;width:1008;height:394" coordorigin="2225,6762" coordsize="1008,394">
              <v:shape style="position:absolute;left:2225;top:6762;width:1008;height:394" coordorigin="2225,6762" coordsize="1008,394" path="m2225,7155l3233,7155,3233,6762,2225,6762,2225,7155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城市宜居空 间智慧模型 及个性化决 策系统研究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2,711,086.34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565,093.85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2,145,992.49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建筑室内空 气质量设计 共性关键技 术研究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981,169.47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393,937.84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-333,900.00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253,331.63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既有居住建 筑室内外环 境宜居改善 关键技术研 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1,397,292.74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567,438.86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-101,292.00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728,561.88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公共机构建 筑多能源系 统优化配置 评价指标和 方法研究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tabs>
                <w:tab w:pos="311" w:val="left" w:leader="none"/>
              </w:tabs>
              <w:spacing w:line="240" w:lineRule="auto"/>
              <w:ind w:left="-140"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59,176.00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10,348.36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118,827.64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夏热冬暖地 区近零能耗 建筑调研及 技术指标体 系研究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168,919.65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188,122.79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118,196.86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室内环境质 量研究净零 能耗建筑关 键技术综合 性研究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262,717.33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247,006.13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313,811.20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绿色公共建 筑空间环境 控制设计技 术体系研究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134,328.47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92,295.00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147,033.47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建筑室内空 气质量及相 关能耗预评 估方法与工 具</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117,787.14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148,712.86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橱柜绿色产 品认证关键 技术研究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31,941.10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62,058.90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r>
        <w:rPr/>
        <w:pict>
          <v:group style="position:absolute;margin-left:110.059998pt;margin-top:340.129974pt;width:52.8pt;height:97.6pt;mso-position-horizontal-relative:page;mso-position-vertical-relative:page;z-index:-1021168" coordorigin="2201,6803" coordsize="1056,1952">
            <v:group style="position:absolute;left:2201;top:6803;width:1056;height:1952" coordorigin="2201,6803" coordsize="1056,1952">
              <v:shape style="position:absolute;left:2201;top:6803;width:1056;height:1952" coordorigin="2201,6803" coordsize="1056,1952" path="m2201,8754l3257,8754,3257,6803,2201,6803,2201,8754xe" filled="true" fillcolor="#ffffff" stroked="false">
                <v:path arrowok="t"/>
                <v:fill type="solid"/>
              </v:shape>
            </v:group>
            <v:group style="position:absolute;left:2225;top:7583;width:1008;height:392" coordorigin="2225,7583" coordsize="1008,392">
              <v:shape style="position:absolute;left:2225;top:7583;width:1008;height:392" coordorigin="2225,7583" coordsize="1008,392" path="m2225,7974l3233,7974,3233,7583,2225,7583,2225,7974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珠三角地区 </w:t>
            </w:r>
            <w:r>
              <w:rPr>
                <w:rFonts w:ascii="Times New Roman" w:hAnsi="Times New Roman" w:cs="Times New Roman" w:eastAsia="Times New Roman" w:hint="default"/>
                <w:sz w:val="18"/>
                <w:szCs w:val="18"/>
              </w:rPr>
              <w:t>LID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技术评 价体系与数 据库研究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214,000.00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214,000.00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建筑室内空 气质量关键 标准研究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26,488.12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37,911.88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城市能源体 系及碳排放 综合研究关 键技术与示 范</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375,981.64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914,018.36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城市节能和 低碳解决方 案的工具研 究与开发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840,000.00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271,445.67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568,554.33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both"/>
              <w:rPr>
                <w:rFonts w:ascii="宋体" w:hAnsi="宋体" w:cs="宋体" w:eastAsia="宋体" w:hint="default"/>
                <w:sz w:val="18"/>
                <w:szCs w:val="18"/>
              </w:rPr>
            </w:pPr>
            <w:r>
              <w:rPr>
                <w:rFonts w:ascii="宋体" w:hAnsi="宋体" w:cs="宋体" w:eastAsia="宋体" w:hint="default"/>
                <w:sz w:val="18"/>
                <w:szCs w:val="18"/>
              </w:rPr>
              <w:t>广东省建筑 节能与应用 技术重点实 验室开放运 行（</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度考评合格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既有城市工 业区环境安 全及低影响 开发关键技 术研究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88,082.33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531,917.67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珠三角地区 适应夏热冬 暖气候的绿 色公共建筑 工程示范评 价与反馈</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既有城市工 业区信息化 升级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732,900.00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国际低碳城 碳认证服务 中心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7,799,338.15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1,440,963.49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6,358,374.66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9"/>
              <w:jc w:val="left"/>
              <w:rPr>
                <w:rFonts w:ascii="宋体" w:hAnsi="宋体" w:cs="宋体" w:eastAsia="宋体" w:hint="default"/>
                <w:sz w:val="18"/>
                <w:szCs w:val="18"/>
              </w:rPr>
            </w:pPr>
            <w:r>
              <w:rPr>
                <w:rFonts w:ascii="宋体" w:hAnsi="宋体" w:cs="宋体" w:eastAsia="宋体" w:hint="default"/>
                <w:sz w:val="18"/>
                <w:szCs w:val="18"/>
              </w:rPr>
              <w:t>低碳检测服 务机构培育</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1,275,759.30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225,593.77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3,300,165.53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55,522,446.8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16,100,440.0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393,709.72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9,920,143.59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-435,192.00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60,873,841.5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146,666,700.00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146,666,700.00</w:t>
            </w:r>
          </w:p>
        </w:tc>
      </w:tr>
    </w:tbl>
    <w:p>
      <w:pPr>
        <w:pStyle w:val="BodyText"/>
        <w:spacing w:line="360" w:lineRule="auto" w:before="49"/>
        <w:ind w:right="7894"/>
        <w:jc w:val="left"/>
      </w:pPr>
      <w:r>
        <w:rPr/>
        <w:t>其他说明： 验证情况详见</w:t>
      </w:r>
      <w:r>
        <w:rPr>
          <w:rFonts w:ascii="Times New Roman" w:hAnsi="Times New Roman" w:cs="Times New Roman" w:eastAsia="Times New Roman" w:hint="default"/>
        </w:rPr>
        <w:t>“</w:t>
      </w:r>
      <w:r>
        <w:rPr/>
        <w:t>三、公司基本情况</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2" w:lineRule="auto" w:before="49"/>
        <w:ind w:right="4634"/>
        <w:jc w:val="left"/>
      </w:pPr>
      <w:r>
        <w:rPr/>
        <w:t>其他权益工具本期增减变动情况、变动原因说明，以及相关会计处理的依据： 其他说明：</w:t>
      </w: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126,541,353.92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126,541,353.92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127,541,353.92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127,541,353.92</w:t>
            </w:r>
          </w:p>
        </w:tc>
      </w:tr>
    </w:tbl>
    <w:p>
      <w:pPr>
        <w:pStyle w:val="BodyText"/>
        <w:spacing w:line="240" w:lineRule="auto" w:before="49"/>
        <w:ind w:right="0"/>
        <w:jc w:val="left"/>
      </w:pPr>
      <w:r>
        <w:rPr/>
        <w:t>其他说明，包括本期增减变动情况、变动原因说明：</w:t>
      </w:r>
    </w:p>
    <w:p>
      <w:pPr>
        <w:spacing w:after="0" w:line="24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9"/>
      </w:tblGrid>
      <w:tr>
        <w:trPr>
          <w:trHeight w:val="401"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8"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其他说明，包括对现金流量套期损益的有效部分转为被套期项目初始确认金额调整：</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12,215,575.78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2,731,909.60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14,947,485.38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12,215,575.78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2,731,909.60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14,947,485.38</w:t>
            </w:r>
          </w:p>
        </w:tc>
      </w:tr>
    </w:tbl>
    <w:p>
      <w:pPr>
        <w:pStyle w:val="BodyText"/>
        <w:spacing w:line="240" w:lineRule="auto" w:before="49"/>
        <w:ind w:right="0"/>
        <w:jc w:val="left"/>
      </w:pPr>
      <w:r>
        <w:rPr/>
        <w:t>盈余公积说明，包括本期增减变动情况、变动原因说明：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131,749,237.72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109,550,652.71</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131,749,237.72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109,550,652.71</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34,630,772.68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33,987,787.76</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2,731,909.60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2,255,867.25</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9,533,335.50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9,533,335.50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154,114,765.30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131,749,237.72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11"/>
        <w:rPr>
          <w:rFonts w:ascii="宋体" w:hAnsi="宋体" w:cs="宋体" w:eastAsia="宋体" w:hint="default"/>
          <w:sz w:val="8"/>
          <w:szCs w:val="8"/>
        </w:rPr>
      </w:pPr>
    </w:p>
    <w:p>
      <w:pPr>
        <w:pStyle w:val="BodyText"/>
        <w:spacing w:line="240" w:lineRule="auto" w:before="44"/>
        <w:ind w:right="0"/>
        <w:jc w:val="left"/>
      </w:pPr>
      <w:r>
        <w:rPr/>
        <w:t>调整期初未分配利润明细：</w:t>
      </w:r>
    </w:p>
    <w:p>
      <w:pPr>
        <w:pStyle w:val="BodyText"/>
        <w:spacing w:line="240" w:lineRule="auto" w:before="120"/>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397,007,934.86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245,210,537.81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381,831,957.61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236,545,289.44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397,007,934.86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245,210,537.81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381,831,957.61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236,545,289.44</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968,022.98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986,181.02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688,733.75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651,277.82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873,742.19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873,742.20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60,112.92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500,966.75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458,398.19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1,155.53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3,061,522.13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3,030,867.68</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29,425,609.50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21,667,954.95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2,659,923.54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1,863,045.43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4,496,242.27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4,137,261.93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5,942,109.07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4,136,817.00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3,984,992.74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3,433,428.74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2,432,705.35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3,188,474.62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交通及汽车费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1,580,914.73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1,593,725.54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2,959,096.22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2,610,461.69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839,895.29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708,885.74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图文制作费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1,004,430.99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2,091,036.50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2,135,220.54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1,959,163.70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57,461,140.24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47,390,255.84</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23,697,439.49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20,011,861.01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5,246,721.44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4,466,361.81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5,605,767.46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3,883,506.54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4,156,026.15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2,818,374.07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交通及汽车费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870,903.62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959,667.94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301,508.21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303,064.88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615,031.46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739,857.62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894,783.72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1,045,679.26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539,622.05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476,432.99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水电气及维修费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619,980.79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418,961.06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劳务外包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647,495.53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741,982.93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79,790.97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1,990,018.13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1,710,206.41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45,185,298.05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37,655,747.49</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材料及加工费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1,302,598.50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825,333.33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出版文献专利信息知识产权费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1,103,985.06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1,036,531.47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设备购置费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1,295,248.12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446,191.97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人工及劳务费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5,827,170.44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3,652,136.23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专家咨询费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744,149.56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833,934.96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2,297,733.54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1,854,668.03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1,231,318.21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86,019.58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329,654.88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13,888,223.01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8,978,450.87</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3,575,554.55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3,968,581.20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798,593.68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635,762.44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3,437.01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224,757.50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146,062.18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3,001,018.40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3,482,317.95</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15,603,246.92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15,562,794.63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15,603,246.92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15,562,794.63</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太阳能在绿色建筑中的综合应用研究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297,719.94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59,036.92</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94"/>
              <w:jc w:val="left"/>
              <w:rPr>
                <w:rFonts w:ascii="宋体" w:hAnsi="宋体" w:cs="宋体" w:eastAsia="宋体" w:hint="default"/>
                <w:sz w:val="18"/>
                <w:szCs w:val="18"/>
              </w:rPr>
            </w:pPr>
            <w:r>
              <w:rPr>
                <w:rFonts w:ascii="宋体" w:hAnsi="宋体" w:cs="宋体" w:eastAsia="宋体" w:hint="default"/>
                <w:sz w:val="18"/>
                <w:szCs w:val="18"/>
              </w:rPr>
              <w:t>住宅开窗、通风空气净化模式调研和室 内空气质量测试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30,112.01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155,382.18</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节能、经济适用的通风及空气质量控制 方法和技术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111,129.55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96,070.07</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住宅通风和空气净化过滤技术实施及效 果测评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619,297.03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1,080,093.31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夏热冬暖地区围护材料耐久性分析模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39,571.87</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6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型、评价方法及与功能性提升关键技术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绿色施工现场信息化管理规范研究与平 台示范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62,977.14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6,031.93</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既有建筑绿色化改造关键技术研究与示 范（城市社区绿色化综合改造技术研究 与工程示范）</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1,189.16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深圳市低碳试点示范项目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980,988.52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692,388.27</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复合生物质相变材料建筑围护结构的制 备与性能研究</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395,913.63</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年深圳市节能环保产业发展专项资 金</w:t>
            </w:r>
            <w:r>
              <w:rPr>
                <w:rFonts w:ascii="Times New Roman" w:hAnsi="Times New Roman" w:cs="Times New Roman" w:eastAsia="Times New Roman" w:hint="default"/>
                <w:sz w:val="18"/>
                <w:szCs w:val="18"/>
              </w:rPr>
              <w:t>--</w:t>
            </w:r>
            <w:r>
              <w:rPr>
                <w:rFonts w:ascii="宋体" w:hAnsi="宋体" w:cs="宋体" w:eastAsia="宋体" w:hint="default"/>
                <w:sz w:val="18"/>
                <w:szCs w:val="18"/>
              </w:rPr>
              <w:t>伯克利</w:t>
            </w:r>
            <w:r>
              <w:rPr>
                <w:rFonts w:ascii="Times New Roman" w:hAnsi="Times New Roman" w:cs="Times New Roman" w:eastAsia="Times New Roman" w:hint="default"/>
                <w:sz w:val="18"/>
                <w:szCs w:val="18"/>
              </w:rPr>
              <w:t>-</w:t>
            </w:r>
            <w:r>
              <w:rPr>
                <w:rFonts w:ascii="宋体" w:hAnsi="宋体" w:cs="宋体" w:eastAsia="宋体" w:hint="default"/>
                <w:sz w:val="18"/>
                <w:szCs w:val="18"/>
              </w:rPr>
              <w:t>深圳建科院低碳可持续社区 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178,576.70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409,613.45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启动区碳排放实时监测公共平台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1,309,088.21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1,597,507.29</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工业化建筑部品与构配件认证风险防范 技术研究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244,490.29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109,165.51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检测仪器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108,534.71</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城市宜居空间智慧模型及个性化决策系 统研究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565,093.85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288,913.66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低碳检测服务机构培育工程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225,593.77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74,240.70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国际低碳城碳认证服务中心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1,440,963.49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1,102,966.00</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28"/>
              <w:jc w:val="left"/>
              <w:rPr>
                <w:rFonts w:ascii="宋体" w:hAnsi="宋体" w:cs="宋体" w:eastAsia="宋体" w:hint="default"/>
                <w:sz w:val="18"/>
                <w:szCs w:val="18"/>
              </w:rPr>
            </w:pPr>
            <w:r>
              <w:rPr>
                <w:rFonts w:ascii="宋体" w:hAnsi="宋体" w:cs="宋体" w:eastAsia="宋体" w:hint="default"/>
                <w:sz w:val="18"/>
                <w:szCs w:val="18"/>
              </w:rPr>
              <w:t>夏热冬暖地区</w:t>
            </w:r>
            <w:r>
              <w:rPr>
                <w:rFonts w:ascii="Times New Roman" w:hAnsi="Times New Roman" w:cs="Times New Roman" w:eastAsia="Times New Roman" w:hint="default"/>
                <w:sz w:val="18"/>
                <w:szCs w:val="18"/>
              </w:rPr>
              <w:t>"</w:t>
            </w:r>
            <w:r>
              <w:rPr>
                <w:rFonts w:ascii="宋体" w:hAnsi="宋体" w:cs="宋体" w:eastAsia="宋体" w:hint="default"/>
                <w:sz w:val="18"/>
                <w:szCs w:val="18"/>
              </w:rPr>
              <w:t>净零能耗建筑</w:t>
            </w:r>
            <w:r>
              <w:rPr>
                <w:rFonts w:ascii="Times New Roman" w:hAnsi="Times New Roman" w:cs="Times New Roman" w:eastAsia="Times New Roman" w:hint="default"/>
                <w:sz w:val="18"/>
                <w:szCs w:val="18"/>
              </w:rPr>
              <w:t>"</w:t>
            </w:r>
            <w:r>
              <w:rPr>
                <w:rFonts w:ascii="宋体" w:hAnsi="宋体" w:cs="宋体" w:eastAsia="宋体" w:hint="default"/>
                <w:sz w:val="18"/>
                <w:szCs w:val="18"/>
              </w:rPr>
              <w:t>关键技术 综合性工程示范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736,609.06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124,108.77</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建筑室内空气质量设计共性关键技术研 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393,937.84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466,830.53</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既有居住建筑室内外环境宜居改善关键 技术研究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567,438.86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32,707.26</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室内环境质量研究净零能耗建筑关键技 术综合性研究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247,006.13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22,282.67</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公共机构建筑多能源系统优化配置、评 价指标和方法研究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10,348.36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夏热冬暖地区近零能耗建筑调研及技术 指标体系研究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188,122.79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7,080.35</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绿色公共建筑空间环境控制设计技术体 系研究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92,295.00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5,671.53</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建筑室内空气质量及相关能耗预评估方 法与工具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117,787.14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橱柜绿色产品认证关键技术研究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31,941.10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建筑室内空气质量关键标准研究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26,488.12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城市能源体系及碳排放综合研究关键技 术与示范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375,981.64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6"/>
              <w:jc w:val="left"/>
              <w:rPr>
                <w:rFonts w:ascii="宋体" w:hAnsi="宋体" w:cs="宋体" w:eastAsia="宋体" w:hint="default"/>
                <w:sz w:val="18"/>
                <w:szCs w:val="18"/>
              </w:rPr>
            </w:pPr>
            <w:r>
              <w:rPr>
                <w:rFonts w:ascii="宋体" w:hAnsi="宋体" w:cs="宋体" w:eastAsia="宋体" w:hint="default"/>
                <w:sz w:val="18"/>
                <w:szCs w:val="18"/>
              </w:rPr>
              <w:t>城市节能和低碳解决方案的工具研究与 开发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271,445.67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电脑设备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6"/>
              <w:jc w:val="left"/>
              <w:rPr>
                <w:rFonts w:ascii="宋体" w:hAnsi="宋体" w:cs="宋体" w:eastAsia="宋体" w:hint="default"/>
                <w:sz w:val="18"/>
                <w:szCs w:val="18"/>
              </w:rPr>
            </w:pPr>
            <w:r>
              <w:rPr>
                <w:rFonts w:ascii="宋体" w:hAnsi="宋体" w:cs="宋体" w:eastAsia="宋体" w:hint="default"/>
                <w:sz w:val="18"/>
                <w:szCs w:val="18"/>
              </w:rPr>
              <w:t>深圳国际低碳城中美中心建设渣土资源 化利用示范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既有城市工业区环境安全及低影响开发 关键技术研究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88,082.33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9,920,143.59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6,876,123.77</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-558,150.57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-115,347.57</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1,220,968.47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662,817.90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-115,347.57</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891,468.50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891,468.50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-1,866.15</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14,091,399.36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4,750,471.98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14,091,399.36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169,398.74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166,144.57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169,398.74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14,260,798.10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4,916,616.55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14,260,798.10</w:t>
            </w:r>
          </w:p>
        </w:tc>
      </w:tr>
    </w:tbl>
    <w:p>
      <w:pPr>
        <w:pStyle w:val="BodyText"/>
        <w:spacing w:line="240" w:lineRule="auto" w:before="49"/>
        <w:ind w:right="0"/>
        <w:jc w:val="left"/>
      </w:pPr>
      <w:r>
        <w:rPr/>
        <w:t>计入当期损益的政府补助：</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年度深 圳标准专项 资金资助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博士后设站 单位日常经 费补助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深圳市人力 资源和社会 保障局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产业资金支 持标准化战 略分项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127"/>
              <w:jc w:val="left"/>
              <w:rPr>
                <w:rFonts w:ascii="宋体" w:hAnsi="宋体" w:cs="宋体" w:eastAsia="宋体" w:hint="default"/>
                <w:sz w:val="18"/>
                <w:szCs w:val="18"/>
              </w:rPr>
            </w:pPr>
            <w:r>
              <w:rPr>
                <w:rFonts w:ascii="宋体" w:hAnsi="宋体" w:cs="宋体" w:eastAsia="宋体" w:hint="default"/>
                <w:sz w:val="18"/>
                <w:szCs w:val="18"/>
              </w:rPr>
              <w:t>福田区政府 产业资金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4" w:right="22"/>
              <w:jc w:val="left"/>
              <w:rPr>
                <w:rFonts w:ascii="宋体" w:hAnsi="宋体" w:cs="宋体" w:eastAsia="宋体" w:hint="default"/>
                <w:sz w:val="18"/>
                <w:szCs w:val="18"/>
              </w:rPr>
            </w:pPr>
            <w:r>
              <w:rPr>
                <w:rFonts w:ascii="宋体" w:hAnsi="宋体" w:cs="宋体" w:eastAsia="宋体" w:hint="default"/>
                <w:spacing w:val="-12"/>
                <w:sz w:val="18"/>
                <w:szCs w:val="18"/>
              </w:rPr>
              <w:t>建科大楼（节</w:t>
            </w:r>
            <w:r>
              <w:rPr>
                <w:rFonts w:ascii="宋体" w:hAnsi="宋体" w:cs="宋体" w:eastAsia="宋体" w:hint="default"/>
                <w:sz w:val="18"/>
                <w:szCs w:val="18"/>
              </w:rPr>
              <w:t> 能贴息）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科技工贸和 信息化委员 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101,650.88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101,650.88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绿色建筑节 能示范工程 </w:t>
            </w:r>
            <w:r>
              <w:rPr>
                <w:rFonts w:ascii="宋体" w:hAnsi="宋体" w:cs="宋体" w:eastAsia="宋体" w:hint="default"/>
                <w:spacing w:val="-12"/>
                <w:sz w:val="18"/>
                <w:szCs w:val="18"/>
              </w:rPr>
              <w:t>补贴（建科大</w:t>
            </w:r>
            <w:r>
              <w:rPr>
                <w:rFonts w:ascii="宋体" w:hAnsi="宋体" w:cs="宋体" w:eastAsia="宋体" w:hint="default"/>
                <w:sz w:val="18"/>
                <w:szCs w:val="18"/>
              </w:rPr>
              <w:t> 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27"/>
              <w:jc w:val="left"/>
              <w:rPr>
                <w:rFonts w:ascii="宋体" w:hAnsi="宋体" w:cs="宋体" w:eastAsia="宋体" w:hint="default"/>
                <w:sz w:val="18"/>
                <w:szCs w:val="18"/>
              </w:rPr>
            </w:pPr>
            <w:r>
              <w:rPr>
                <w:rFonts w:ascii="宋体" w:hAnsi="宋体" w:cs="宋体" w:eastAsia="宋体" w:hint="default"/>
                <w:sz w:val="18"/>
                <w:szCs w:val="18"/>
              </w:rPr>
              <w:t>深圳市建设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r>
        <w:rPr/>
        <w:pict>
          <v:group style="position:absolute;margin-left:110.18pt;margin-top:121.819984pt;width:52.7pt;height:113.2pt;mso-position-horizontal-relative:page;mso-position-vertical-relative:page;z-index:-1021144" coordorigin="2204,2436" coordsize="1054,2264">
            <v:group style="position:absolute;left:2204;top:2436;width:1054;height:2264" coordorigin="2204,2436" coordsize="1054,2264">
              <v:shape style="position:absolute;left:2204;top:2436;width:1054;height:2264" coordorigin="2204,2436" coordsize="1054,2264" path="m2204,4700l3257,4700,3257,2436,2204,2436,2204,4700xe" filled="true" fillcolor="#ffffff" stroked="false">
                <v:path arrowok="t"/>
                <v:fill type="solid"/>
              </v:shape>
            </v:group>
            <v:group style="position:absolute;left:2228;top:3216;width:1006;height:353" coordorigin="2228,3216" coordsize="1006,353">
              <v:shape style="position:absolute;left:2228;top:3216;width:1006;height:353" coordorigin="2228,3216" coordsize="1006,353" path="m2228,3569l3233,3569,3233,3216,2228,3216,2228,3569xe" filled="true" fillcolor="#ffffff" stroked="false">
                <v:path arrowok="t"/>
                <v:fill type="solid"/>
              </v:shape>
            </v:group>
            <v:group style="position:absolute;left:2228;top:3569;width:1006;height:351" coordorigin="2228,3569" coordsize="1006,351">
              <v:shape style="position:absolute;left:2228;top:3569;width:1006;height:351" coordorigin="2228,3569" coordsize="1006,351" path="m2228,3920l3233,3920,3233,3569,2228,3569,2228,392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
              <w:jc w:val="left"/>
              <w:rPr>
                <w:rFonts w:ascii="宋体" w:hAnsi="宋体" w:cs="宋体" w:eastAsia="宋体" w:hint="default"/>
                <w:sz w:val="18"/>
                <w:szCs w:val="18"/>
              </w:rPr>
            </w:pP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可再生能源 建筑应用示 范（财政部）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272,058.84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272,058.84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4" w:right="130"/>
              <w:jc w:val="both"/>
              <w:rPr>
                <w:rFonts w:ascii="宋体" w:hAnsi="宋体" w:cs="宋体" w:eastAsia="宋体" w:hint="default"/>
                <w:sz w:val="18"/>
                <w:szCs w:val="18"/>
              </w:rPr>
            </w:pPr>
            <w:r>
              <w:rPr>
                <w:rFonts w:ascii="宋体" w:hAnsi="宋体" w:cs="宋体" w:eastAsia="宋体" w:hint="default"/>
                <w:sz w:val="18"/>
                <w:szCs w:val="18"/>
              </w:rPr>
              <w:t>福田区产业 发展专项资 金总部认定 支持奖励金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福田区政府 产业资金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69"/>
              <w:jc w:val="both"/>
              <w:rPr>
                <w:rFonts w:ascii="宋体" w:hAnsi="宋体" w:cs="宋体" w:eastAsia="宋体" w:hint="default"/>
                <w:sz w:val="18"/>
                <w:szCs w:val="18"/>
              </w:rPr>
            </w:pPr>
            <w:r>
              <w:rPr>
                <w:rFonts w:ascii="宋体" w:hAnsi="宋体" w:cs="宋体" w:eastAsia="宋体" w:hint="default"/>
                <w:sz w:val="18"/>
                <w:szCs w:val="18"/>
              </w:rPr>
              <w:t>福田区产业 发展专项资 金企业上市 挂牌</w:t>
            </w:r>
            <w:r>
              <w:rPr>
                <w:rFonts w:ascii="Times New Roman" w:hAnsi="Times New Roman" w:cs="Times New Roman" w:eastAsia="Times New Roman" w:hint="default"/>
                <w:sz w:val="18"/>
                <w:szCs w:val="18"/>
              </w:rPr>
              <w:t>-</w:t>
            </w:r>
            <w:r>
              <w:rPr>
                <w:rFonts w:ascii="宋体" w:hAnsi="宋体" w:cs="宋体" w:eastAsia="宋体" w:hint="default"/>
                <w:sz w:val="18"/>
                <w:szCs w:val="18"/>
              </w:rPr>
              <w:t>境内上 市支持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福田区政府 产业资金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4" w:right="69"/>
              <w:jc w:val="both"/>
              <w:rPr>
                <w:rFonts w:ascii="宋体" w:hAnsi="宋体" w:cs="宋体" w:eastAsia="宋体" w:hint="default"/>
                <w:sz w:val="18"/>
                <w:szCs w:val="18"/>
              </w:rPr>
            </w:pPr>
            <w:r>
              <w:rPr>
                <w:rFonts w:ascii="宋体" w:hAnsi="宋体" w:cs="宋体" w:eastAsia="宋体" w:hint="default"/>
                <w:sz w:val="18"/>
                <w:szCs w:val="18"/>
              </w:rPr>
              <w:t>福田区产业 发展专项资 金</w:t>
            </w:r>
            <w:r>
              <w:rPr>
                <w:rFonts w:ascii="Times New Roman" w:hAnsi="Times New Roman" w:cs="Times New Roman" w:eastAsia="Times New Roman" w:hint="default"/>
                <w:sz w:val="18"/>
                <w:szCs w:val="18"/>
              </w:rPr>
              <w:t>-</w:t>
            </w:r>
            <w:r>
              <w:rPr>
                <w:rFonts w:ascii="宋体" w:hAnsi="宋体" w:cs="宋体" w:eastAsia="宋体" w:hint="default"/>
                <w:sz w:val="18"/>
                <w:szCs w:val="18"/>
              </w:rPr>
              <w:t>支持上市 企业</w:t>
            </w:r>
            <w:r>
              <w:rPr>
                <w:rFonts w:ascii="Times New Roman" w:hAnsi="Times New Roman" w:cs="Times New Roman" w:eastAsia="Times New Roman" w:hint="default"/>
                <w:sz w:val="18"/>
                <w:szCs w:val="18"/>
              </w:rPr>
              <w:t>-</w:t>
            </w:r>
            <w:r>
              <w:rPr>
                <w:rFonts w:ascii="宋体" w:hAnsi="宋体" w:cs="宋体" w:eastAsia="宋体" w:hint="default"/>
                <w:sz w:val="18"/>
                <w:szCs w:val="18"/>
              </w:rPr>
              <w:t>完成境 内上市</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福田区政府 产业资金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4" w:right="130"/>
              <w:jc w:val="left"/>
              <w:rPr>
                <w:rFonts w:ascii="宋体" w:hAnsi="宋体" w:cs="宋体" w:eastAsia="宋体" w:hint="default"/>
                <w:sz w:val="18"/>
                <w:szCs w:val="18"/>
              </w:rPr>
            </w:pPr>
            <w:r>
              <w:rPr>
                <w:rFonts w:ascii="宋体" w:hAnsi="宋体" w:cs="宋体" w:eastAsia="宋体" w:hint="default"/>
                <w:sz w:val="18"/>
                <w:szCs w:val="18"/>
              </w:rPr>
              <w:t>上海市科技 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上海市科技 专项资金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福田英才荟 博士后工作 </w:t>
            </w:r>
            <w:r>
              <w:rPr>
                <w:rFonts w:ascii="宋体" w:hAnsi="宋体" w:cs="宋体" w:eastAsia="宋体" w:hint="default"/>
                <w:spacing w:val="-12"/>
                <w:sz w:val="18"/>
                <w:szCs w:val="18"/>
              </w:rPr>
              <w:t>站（创新实验</w:t>
            </w:r>
            <w:r>
              <w:rPr>
                <w:rFonts w:ascii="宋体" w:hAnsi="宋体" w:cs="宋体" w:eastAsia="宋体" w:hint="default"/>
                <w:sz w:val="18"/>
                <w:szCs w:val="18"/>
              </w:rPr>
              <w:t> 基地）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7"/>
              <w:jc w:val="left"/>
              <w:rPr>
                <w:rFonts w:ascii="宋体" w:hAnsi="宋体" w:cs="宋体" w:eastAsia="宋体" w:hint="default"/>
                <w:sz w:val="18"/>
                <w:szCs w:val="18"/>
              </w:rPr>
            </w:pPr>
            <w:r>
              <w:rPr>
                <w:rFonts w:ascii="宋体" w:hAnsi="宋体" w:cs="宋体" w:eastAsia="宋体" w:hint="default"/>
                <w:sz w:val="18"/>
                <w:szCs w:val="18"/>
              </w:rPr>
              <w:t>福田区科技 创新局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
              <w:jc w:val="left"/>
              <w:rPr>
                <w:rFonts w:ascii="宋体" w:hAnsi="宋体" w:cs="宋体" w:eastAsia="宋体" w:hint="default"/>
                <w:sz w:val="18"/>
                <w:szCs w:val="18"/>
              </w:rPr>
            </w:pP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316" w:lineRule="auto" w:before="63"/>
              <w:ind w:left="24" w:right="130"/>
              <w:jc w:val="both"/>
              <w:rPr>
                <w:rFonts w:ascii="宋体" w:hAnsi="宋体" w:cs="宋体" w:eastAsia="宋体" w:hint="default"/>
                <w:sz w:val="18"/>
                <w:szCs w:val="18"/>
              </w:rPr>
            </w:pPr>
            <w:r>
              <w:rPr>
                <w:rFonts w:ascii="宋体" w:hAnsi="宋体" w:cs="宋体" w:eastAsia="宋体" w:hint="default"/>
                <w:sz w:val="18"/>
                <w:szCs w:val="18"/>
              </w:rPr>
              <w:t>年国家高新 技术企业认 定激励扶持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深圳市福田 区科技创新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社会保险基 金管理局稳 岗补贴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深圳市人力 资源和社会 保障局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106,042.31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41,057.98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社会保险基 金管理局生 育津贴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深圳市人力 资源和社会 保障局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32,847.33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4" w:right="69"/>
              <w:jc w:val="both"/>
              <w:rPr>
                <w:rFonts w:ascii="宋体" w:hAnsi="宋体" w:cs="宋体" w:eastAsia="宋体" w:hint="default"/>
                <w:sz w:val="18"/>
                <w:szCs w:val="18"/>
              </w:rPr>
            </w:pPr>
            <w:r>
              <w:rPr>
                <w:rFonts w:ascii="宋体" w:hAnsi="宋体" w:cs="宋体" w:eastAsia="宋体" w:hint="default"/>
                <w:sz w:val="18"/>
                <w:szCs w:val="18"/>
              </w:rPr>
              <w:t>知识产权专 项奖励（企 业）</w:t>
            </w:r>
            <w:r>
              <w:rPr>
                <w:rFonts w:ascii="Times New Roman" w:hAnsi="Times New Roman" w:cs="Times New Roman" w:eastAsia="Times New Roman" w:hint="default"/>
                <w:sz w:val="18"/>
                <w:szCs w:val="18"/>
              </w:rPr>
              <w:t>-</w:t>
            </w:r>
            <w:r>
              <w:rPr>
                <w:rFonts w:ascii="宋体" w:hAnsi="宋体" w:cs="宋体" w:eastAsia="宋体" w:hint="default"/>
                <w:sz w:val="18"/>
                <w:szCs w:val="18"/>
              </w:rPr>
              <w:t>专利资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4" w:right="130"/>
              <w:jc w:val="both"/>
              <w:rPr>
                <w:rFonts w:ascii="宋体" w:hAnsi="宋体" w:cs="宋体" w:eastAsia="宋体" w:hint="default"/>
                <w:sz w:val="18"/>
                <w:szCs w:val="18"/>
              </w:rPr>
            </w:pPr>
            <w:r>
              <w:rPr>
                <w:rFonts w:ascii="宋体" w:hAnsi="宋体" w:cs="宋体" w:eastAsia="宋体" w:hint="default"/>
                <w:sz w:val="18"/>
                <w:szCs w:val="18"/>
              </w:rPr>
              <w:t>产业资金支 持标准化战 略分项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879,000.00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深圳市科技 创新委员会 研发资助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3" w:right="12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841,000.00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
              <w:jc w:val="left"/>
              <w:rPr>
                <w:rFonts w:ascii="宋体" w:hAnsi="宋体" w:cs="宋体" w:eastAsia="宋体" w:hint="default"/>
                <w:sz w:val="18"/>
                <w:szCs w:val="18"/>
              </w:rPr>
            </w:pP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4" w:right="55"/>
              <w:jc w:val="left"/>
              <w:rPr>
                <w:rFonts w:ascii="宋体" w:hAnsi="宋体" w:cs="宋体" w:eastAsia="宋体" w:hint="default"/>
                <w:sz w:val="18"/>
                <w:szCs w:val="18"/>
              </w:rPr>
            </w:pPr>
            <w:r>
              <w:rPr>
                <w:rFonts w:ascii="宋体" w:hAnsi="宋体" w:cs="宋体" w:eastAsia="宋体" w:hint="default"/>
                <w:sz w:val="18"/>
                <w:szCs w:val="18"/>
              </w:rPr>
              <w:t>福田区科技 创新局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R&amp;D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投入支持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深圳市福田 区科技创新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241,200.00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深圳市科学 </w:t>
            </w:r>
            <w:r>
              <w:rPr>
                <w:rFonts w:ascii="宋体" w:hAnsi="宋体" w:cs="宋体" w:eastAsia="宋体" w:hint="default"/>
                <w:spacing w:val="-12"/>
                <w:sz w:val="18"/>
                <w:szCs w:val="18"/>
              </w:rPr>
              <w:t>技术奖（标准</w:t>
            </w:r>
            <w:r>
              <w:rPr>
                <w:rFonts w:ascii="宋体" w:hAnsi="宋体" w:cs="宋体" w:eastAsia="宋体" w:hint="default"/>
                <w:sz w:val="18"/>
                <w:szCs w:val="18"/>
              </w:rPr>
              <w:t> 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圳市市场和 质量监督管 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年度产 业发展专项 资金生产性 服务业公共 服务平台扶 持计划资助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4" w:right="24"/>
              <w:jc w:val="left"/>
              <w:rPr>
                <w:rFonts w:ascii="宋体" w:hAnsi="宋体" w:cs="宋体" w:eastAsia="宋体" w:hint="default"/>
                <w:sz w:val="18"/>
                <w:szCs w:val="18"/>
              </w:rPr>
            </w:pPr>
            <w:r>
              <w:rPr>
                <w:rFonts w:ascii="宋体" w:hAnsi="宋体" w:cs="宋体" w:eastAsia="宋体" w:hint="default"/>
                <w:sz w:val="18"/>
                <w:szCs w:val="18"/>
              </w:rPr>
              <w:t>福田区企业 发展服务中 心</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R&amp;D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投入 支持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深圳市福田 区企业发展 服务中心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475,600.00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371,800.91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117,130.66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371,800.91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371,800.91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117,130.66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371,800.91</w:t>
            </w:r>
          </w:p>
        </w:tc>
      </w:tr>
    </w:tbl>
    <w:p>
      <w:pPr>
        <w:pStyle w:val="BodyText"/>
        <w:spacing w:line="240" w:lineRule="auto" w:before="49"/>
        <w:ind w:right="0"/>
        <w:jc w:val="left"/>
      </w:pPr>
      <w:r>
        <w:rPr/>
        <w:t>其他说明：</w:t>
      </w:r>
    </w:p>
    <w:p>
      <w:pPr>
        <w:spacing w:after="0" w:line="24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8,232,687.14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8,395,849.22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-2,297,767.95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-1,555,834.23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5,934,919.19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6,840,014.99</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38,966,145.48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5,899,701.38</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623,076.87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19,541.82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163,453.62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221,308.78</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957,787.41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-1,949,950.69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5,934,919.19</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66</w:t>
      </w:r>
      <w:r>
        <w:rPr/>
        <w:t>、其他综合收益</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详见附注。</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67</w:t>
      </w:r>
      <w:r>
        <w:rPr/>
        <w:t>、现金流量表项目</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27,127,488.76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36,355,962.26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783,799.16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635,762.44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7,068,571.28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3,255,416.33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34,979,859.20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40,247,141.03</w:t>
            </w:r>
          </w:p>
        </w:tc>
      </w:tr>
    </w:tbl>
    <w:p>
      <w:pPr>
        <w:pStyle w:val="BodyText"/>
        <w:spacing w:line="240" w:lineRule="auto" w:before="49"/>
        <w:ind w:right="0"/>
        <w:jc w:val="left"/>
      </w:pPr>
      <w:r>
        <w:rPr/>
        <w:t>收到的其他与经营活动有关的现金说明：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21,091,441.78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22,941,363.29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20,839,877.93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21,333,123.55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1,012,831.36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3,140,404.45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42,944,151.07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47,414,891.29</w:t>
            </w:r>
          </w:p>
        </w:tc>
      </w:tr>
    </w:tbl>
    <w:p>
      <w:pPr>
        <w:pStyle w:val="BodyText"/>
        <w:spacing w:line="240" w:lineRule="auto" w:before="49"/>
        <w:ind w:right="0"/>
        <w:jc w:val="left"/>
      </w:pPr>
      <w:r>
        <w:rPr/>
        <w:t>支付的其他与经营活动有关的现金说明：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收到的其他与投资活动有关的现金说明：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支付的其他与投资活动有关的现金说明：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收到的其他与筹资活动有关的现金说明：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支付的其他与筹资活动有关的现金说明：</w:t>
      </w:r>
    </w:p>
    <w:p>
      <w:pPr>
        <w:spacing w:after="0" w:line="24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r>
        <w:rPr/>
        <w:pict>
          <v:shape style="position:absolute;margin-left:190.130005pt;margin-top:403.72998pt;width:185.55pt;height:19.7pt;mso-position-horizontal-relative:page;mso-position-vertical-relative:page;z-index:-1021120" type="#_x0000_t202" filled="false" stroked="false">
            <v:textbox inset="0,0,0,0">
              <w:txbxContent>
                <w:p>
                  <w:pPr>
                    <w:pStyle w:val="BodyText"/>
                    <w:spacing w:line="240" w:lineRule="auto" w:before="49"/>
                    <w:ind w:left="0" w:right="0"/>
                    <w:jc w:val="left"/>
                  </w:pPr>
                  <w:r>
                    <w:rPr/>
                    <w:t>号填列）</w:t>
                  </w:r>
                </w:p>
              </w:txbxContent>
            </v:textbox>
            <w10:wrap type="none"/>
          </v:shape>
        </w:pict>
      </w:r>
    </w:p>
    <w:p>
      <w:pPr>
        <w:pStyle w:val="Heading3"/>
        <w:spacing w:line="335" w:lineRule="exact"/>
        <w:ind w:right="0"/>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1043"/>
        <w:gridCol w:w="2015"/>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33,031,226.29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33,904,614.66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15,603,246.92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15,562,794.63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7" w:right="0"/>
              <w:jc w:val="left"/>
              <w:rPr>
                <w:rFonts w:ascii="Times New Roman" w:hAnsi="Times New Roman" w:cs="Times New Roman" w:eastAsia="Times New Roman" w:hint="default"/>
                <w:sz w:val="18"/>
                <w:szCs w:val="18"/>
              </w:rPr>
            </w:pPr>
            <w:r>
              <w:rPr>
                <w:rFonts w:ascii="Times New Roman"/>
                <w:sz w:val="18"/>
              </w:rPr>
              <w:t>11,932,039.79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9,837,828.66</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4,859,769.67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3,381,119.96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9,202,273.33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7,739,329.19</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1,866.15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-891,468.50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3,574,854.58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3,972,018.21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-662,817.90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115,347.57</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-2,297,767.95</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-1,555,834.23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-35,509.84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55,233.10</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-61,136,788.05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-56,202,440.01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29,813,506.34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80,598,824.99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42,986,794.68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97,410,702.88</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145,584,988.20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220,466,732.62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220,466,732.62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97,750,579.88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0" w:right="0"/>
              <w:jc w:val="left"/>
              <w:rPr>
                <w:rFonts w:ascii="Times New Roman" w:hAnsi="Times New Roman" w:cs="Times New Roman" w:eastAsia="Times New Roman" w:hint="default"/>
                <w:sz w:val="18"/>
                <w:szCs w:val="18"/>
              </w:rPr>
            </w:pPr>
            <w:r>
              <w:rPr>
                <w:rFonts w:ascii="Times New Roman"/>
                <w:sz w:val="18"/>
              </w:rPr>
              <w:t>-74,881,744.42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122,716,152.74</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2"/>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24"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2"/>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145,584,988.20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220,466,732.62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88,483.79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99,605.18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145,298,203.66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220,139,982.22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198,300.75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227,145.22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145,584,988.20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220,466,732.62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790,956.97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1,041,646.87</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spacing w:line="482" w:lineRule="auto" w:before="0"/>
        <w:ind w:left="152" w:right="53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69</w:t>
      </w:r>
      <w:r>
        <w:rPr>
          <w:rFonts w:ascii="Microsoft JhengHei" w:hAnsi="Microsoft JhengHei" w:cs="Microsoft JhengHei" w:eastAsia="Microsoft JhengHei" w:hint="default"/>
          <w:b/>
          <w:bCs/>
          <w:sz w:val="21"/>
          <w:szCs w:val="21"/>
        </w:rPr>
        <w:t>、所有者权益变动表项目注释</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70</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p>
      <w:pPr>
        <w:pStyle w:val="BodyText"/>
        <w:spacing w:line="240" w:lineRule="auto" w:before="52"/>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790,956.97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50,173,409.50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12,951,382.95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9,503,556.70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3329"/>
        <w:gridCol w:w="3059"/>
        <w:gridCol w:w="3184"/>
      </w:tblGrid>
      <w:tr>
        <w:trPr>
          <w:trHeight w:val="404" w:hRule="exact"/>
        </w:trPr>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73,419,306.12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85,300.94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71,034.12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612.40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2,618.00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2,293.89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1,309.39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11,360.53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312" w:lineRule="exact" w:before="118"/>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按照套期类别披露套期项目及相关套期工具、被套期风险的定性和定量信息：</w:t>
      </w:r>
    </w:p>
    <w:p>
      <w:pPr>
        <w:spacing w:after="0" w:line="24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年深圳市节能环保产业 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伯克利</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建科院低碳可持续社区项目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178,576.70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启动区碳排放实时监测公共 平台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1,309,088.21</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节能检测评价中心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7,894,282.00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243,800.04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低碳检测服务机构培育工程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225,593.77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国际低碳城碳认证服务中心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1,440,963.49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建科大楼（节能贴息）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2,997,840.00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101,650.88</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绿色建筑节能示范工程补贴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（建科大楼）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可再生能源建筑应用示范（财 政部）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272,058.84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深圳市低碳试点示范项目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980,988.52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深圳国际低碳城中美中心建 设渣土资源化利用示范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436,800.00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太阳能在绿色建筑中的综合 应用研究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297,719.94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住宅开窗、通风空气净化模式 调研和室内空气质量测试</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30,112.01</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节能、经济适用的通风及空气 质量控制方法和技术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111,129.55</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住宅通风和空气净化过滤技 术实施及效果测评</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619,297.03</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夏热冬暖地区围护材料耐久 性分析模型、评价方法及与功 能性提升关键技术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26,029.01</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绿色施工现场信息化管理规 范研究与平台示范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62,977.14</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年度深圳标准专项资金 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既有建筑绿色化改造关键技 术研究与示范（城市社区绿色</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67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97"/>
              <w:jc w:val="left"/>
              <w:rPr>
                <w:rFonts w:ascii="宋体" w:hAnsi="宋体" w:cs="宋体" w:eastAsia="宋体" w:hint="default"/>
                <w:sz w:val="18"/>
                <w:szCs w:val="18"/>
              </w:rPr>
            </w:pPr>
            <w:r>
              <w:rPr>
                <w:rFonts w:ascii="宋体" w:hAnsi="宋体" w:cs="宋体" w:eastAsia="宋体" w:hint="default"/>
                <w:sz w:val="18"/>
                <w:szCs w:val="18"/>
              </w:rPr>
              <w:t>化综合改造技术研究与工程 示范）</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复合生物质相变材料建筑围 护结构的制备与性能研究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博士后设站单位日常经费补 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产业资金支持标准化战略分 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工业化建筑部品与构配件认 证风险防范技术研究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244,490.29</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城市宜居空间智慧模型及个 性化决策系统研究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565,093.85</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知识产权专项奖励（企业）</w:t>
            </w:r>
            <w:r>
              <w:rPr>
                <w:rFonts w:ascii="Times New Roman" w:hAnsi="Times New Roman" w:cs="Times New Roman" w:eastAsia="Times New Roman" w:hint="default"/>
                <w:sz w:val="18"/>
                <w:szCs w:val="18"/>
              </w:rPr>
              <w:t>- </w:t>
            </w:r>
            <w:r>
              <w:rPr>
                <w:rFonts w:ascii="宋体" w:hAnsi="宋体" w:cs="宋体" w:eastAsia="宋体" w:hint="default"/>
                <w:sz w:val="18"/>
                <w:szCs w:val="18"/>
              </w:rPr>
              <w:t>专利资助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福田区产业发展专项资金总 部认定支持奖励金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福田区产业发展专项资金企 业上市挂牌</w:t>
            </w:r>
            <w:r>
              <w:rPr>
                <w:rFonts w:ascii="Times New Roman" w:hAnsi="Times New Roman" w:cs="Times New Roman" w:eastAsia="Times New Roman" w:hint="default"/>
                <w:sz w:val="18"/>
                <w:szCs w:val="18"/>
              </w:rPr>
              <w:t>-</w:t>
            </w:r>
            <w:r>
              <w:rPr>
                <w:rFonts w:ascii="宋体" w:hAnsi="宋体" w:cs="宋体" w:eastAsia="宋体" w:hint="default"/>
                <w:sz w:val="18"/>
                <w:szCs w:val="18"/>
              </w:rPr>
              <w:t>境内上市支持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福田区产业发展专项资金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支 持上市企业</w:t>
            </w:r>
            <w:r>
              <w:rPr>
                <w:rFonts w:ascii="Times New Roman" w:hAnsi="Times New Roman" w:cs="Times New Roman" w:eastAsia="Times New Roman" w:hint="default"/>
                <w:sz w:val="18"/>
                <w:szCs w:val="18"/>
              </w:rPr>
              <w:t>-</w:t>
            </w:r>
            <w:r>
              <w:rPr>
                <w:rFonts w:ascii="宋体" w:hAnsi="宋体" w:cs="宋体" w:eastAsia="宋体" w:hint="default"/>
                <w:sz w:val="18"/>
                <w:szCs w:val="18"/>
              </w:rPr>
              <w:t>完成境内上市</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上海市科技专项资金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夏热冬暖地区</w:t>
            </w:r>
            <w:r>
              <w:rPr>
                <w:rFonts w:ascii="Times New Roman" w:hAnsi="Times New Roman" w:cs="Times New Roman" w:eastAsia="Times New Roman" w:hint="default"/>
                <w:sz w:val="18"/>
                <w:szCs w:val="18"/>
              </w:rPr>
              <w:t>"</w:t>
            </w:r>
            <w:r>
              <w:rPr>
                <w:rFonts w:ascii="宋体" w:hAnsi="宋体" w:cs="宋体" w:eastAsia="宋体" w:hint="default"/>
                <w:sz w:val="18"/>
                <w:szCs w:val="18"/>
              </w:rPr>
              <w:t>净零能耗建筑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关键技术综合性工程示范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736,609.06</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室内环境质量研究净零能耗 建筑关键技术综合性研究</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247,006.13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建筑室内空气质量设计共性 关键技术研究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393,937.84</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既有居住建筑室内外环境宜 居改善关键技术研究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567,438.86</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公共机构建筑多能源系统优 化配置、评价指标和方法研究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10,348.36</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夏热冬暖地区近零能耗建筑 调研及技术指标体系研究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188,122.79</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绿色公共建筑空间环境控制 设计技术体系研究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92,295.00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福田英才荟博士后工作站（创 新实验基地）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2016</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年国家高新技术企 业认定激励扶持资金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社会保险基金管理局稳岗补 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106,042.31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106,042.31</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社会保险基金管理局生育津 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32,847.33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32,847.33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建筑室内空气质量及相关能 耗预评估方法与工具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117,787.14</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橱柜绿色产品认证关键技术 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31,941.10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建筑室内空气质量关键标准 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26,488.12</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城市能源体系及碳排放综合 研究关键技术与示范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375,981.64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城市节能和低碳解决方案的 工具研究与开发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271,445.67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既有城市工业区环境安全及 低影响开发关键技术研究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88,082.33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产业资金支持标准化战略分 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深圳市科技创新委员会研发 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福田区科技创新局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R&amp;D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投入 支持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241,200.00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深圳市科学技术奖（标准奖）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年度产业发展专项资金 生产性服务业公共服务平台 扶持计划资助资金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福田区企业发展服务中心</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R&amp;D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投入支持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475,600.00</w:t>
            </w:r>
          </w:p>
        </w:tc>
      </w:tr>
    </w:tbl>
    <w:p>
      <w:pPr>
        <w:spacing w:line="240" w:lineRule="auto" w:before="1"/>
        <w:rPr>
          <w:rFonts w:ascii="Times New Roman" w:hAnsi="Times New Roman" w:cs="Times New Roman" w:eastAsia="Times New Roman" w:hint="default"/>
          <w:sz w:val="22"/>
          <w:szCs w:val="22"/>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93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38"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rFonts w:ascii="Times New Roman" w:hAnsi="Times New Roman" w:cs="Times New Roman" w:eastAsia="Times New Roman" w:hint="default"/>
        </w:rPr>
        <w:t>74</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八、合并范围的变更</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77"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8"/>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7;width:24;height:392" coordorigin="4763,17" coordsize="24,392">
              <v:shape style="position:absolute;left:4763;top:17;width:24;height:392" coordorigin="4763,17" coordsize="24,392" path="m4763,408l4787,408,4787,17,4763,17,4763,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796;top:17;width:22;height:392" coordorigin="4796,17" coordsize="22,392">
              <v:shape style="position:absolute;left:4796;top:17;width:22;height:392" coordorigin="4796,17" coordsize="22,392" path="m4796,408l4818,408,4818,17,4796,17,4796,408xe" filled="true" fillcolor="#e0ffff"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e0ffff" stroked="false">
                <v:path arrowok="t"/>
                <v:fill type="solid"/>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5;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6074"/>
        <w:jc w:val="left"/>
      </w:pPr>
      <w:r>
        <w:rPr/>
        <w:t>合并成本公允价值的确定方法、或有对价及其变动的说明： 大额商誉形成的主要原因：</w:t>
      </w:r>
    </w:p>
    <w:p>
      <w:pPr>
        <w:pStyle w:val="BodyText"/>
        <w:spacing w:line="240" w:lineRule="auto" w:before="27"/>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49"/>
        <w:ind w:right="7531"/>
        <w:jc w:val="both"/>
      </w:pPr>
      <w:r>
        <w:rPr/>
        <w:t>可辨认资产、负债公允价值的确定方法： 企业合并中承担的被购买方的或有负债： 其他说明：</w:t>
      </w:r>
    </w:p>
    <w:p>
      <w:pPr>
        <w:spacing w:line="240" w:lineRule="auto" w:before="3"/>
        <w:rPr>
          <w:rFonts w:ascii="宋体" w:hAnsi="宋体" w:cs="宋体" w:eastAsia="宋体" w:hint="default"/>
          <w:sz w:val="15"/>
          <w:szCs w:val="15"/>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8"/>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8"/>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7;width:24;height:392" coordorigin="4763,17" coordsize="24,392">
              <v:shape style="position:absolute;left:4763;top:17;width:24;height:392" coordorigin="4763,17" coordsize="24,392" path="m4763,408l4787,408,4787,17,4763,17,4763,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796;top:17;width:22;height:392" coordorigin="4796,17" coordsize="22,392">
              <v:shape style="position:absolute;left:4796;top:17;width:22;height:392" coordorigin="4796,17" coordsize="22,392" path="m4796,408l4818,408,4818,17,4796,17,4796,408xe" filled="true" fillcolor="#e0ffff"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e0ffff" stroked="false">
                <v:path arrowok="t"/>
                <v:fill type="solid"/>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5;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8594"/>
        <w:jc w:val="left"/>
      </w:pPr>
      <w:r>
        <w:rPr/>
        <w:t>或有对价及其变动的说明： 其他说明：</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3169;top:14;width:24;height:392" coordorigin="3169,14" coordsize="24,392">
              <v:shape style="position:absolute;left:3169;top:14;width:24;height:392" coordorigin="3169,14" coordsize="24,392" path="m3169,406l3193,406,3193,14,3169,14,3169,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03;top:14;width:22;height:392" coordorigin="3203,14" coordsize="22,392">
              <v:shape style="position:absolute;left:3203;top:14;width:22;height:392" coordorigin="3203,14" coordsize="22,392" path="m3203,406l3224,406,3224,14,3203,14,3203,406xe" filled="true" fillcolor="#e0ffff" stroked="false">
                <v:path arrowok="t"/>
                <v:fill type="solid"/>
              </v:shape>
            </v:group>
            <v:group style="position:absolute;left:9549;top:14;width:24;height:392" coordorigin="9549,14" coordsize="24,392">
              <v:shape style="position:absolute;left:9549;top:14;width:24;height:392" coordorigin="9549,14" coordsize="24,392" path="m9549,406l9573,406,9573,14,9549,14,9549,406xe" filled="true" fillcolor="#e0ffff" stroked="false">
                <v:path arrowok="t"/>
                <v:fill type="solid"/>
              </v:shape>
            </v:group>
            <v:group style="position:absolute;left:3224;top:14;width:6325;height:392" coordorigin="3224,14" coordsize="6325,392">
              <v:shape style="position:absolute;left:3224;top:14;width:6325;height:392" coordorigin="3224,14" coordsize="6325,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3169;top:415;width:24;height:394" coordorigin="3169,415" coordsize="24,394">
              <v:shape style="position:absolute;left:3169;top:415;width:24;height:394" coordorigin="3169,415" coordsize="24,394" path="m3169,809l3193,809,3193,415,3169,415,3169,809xe" filled="true" fillcolor="#d2d2d2" stroked="false">
                <v:path arrowok="t"/>
                <v:fill type="solid"/>
              </v:shape>
            </v:group>
            <v:group style="position:absolute;left:12;top:415;width:22;height:394" coordorigin="12,415" coordsize="22,394">
              <v:shape style="position:absolute;left:12;top:415;width:22;height:394" coordorigin="12,415" coordsize="22,394" path="m12,809l34,809,34,415,12,415,12,809xe" filled="true" fillcolor="#d2d2d2" stroked="false">
                <v:path arrowok="t"/>
                <v:fill type="solid"/>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6359;top:415;width:24;height:394" coordorigin="6359,415" coordsize="24,394">
              <v:shape style="position:absolute;left:6359;top:415;width:24;height:394" coordorigin="6359,415" coordsize="24,394" path="m6359,809l6383,809,6383,415,6359,415,6359,809xe" filled="true" fillcolor="#d2d2d2" stroked="false">
                <v:path arrowok="t"/>
                <v:fill type="solid"/>
              </v:shape>
            </v:group>
            <v:group style="position:absolute;left:3203;top:415;width:22;height:394" coordorigin="3203,415" coordsize="22,394">
              <v:shape style="position:absolute;left:3203;top:415;width:22;height:394" coordorigin="3203,415" coordsize="22,394" path="m3203,809l3224,809,3224,415,3203,415,3203,809xe" filled="true" fillcolor="#d2d2d2" stroked="false">
                <v:path arrowok="t"/>
                <v:fill type="solid"/>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9549;top:415;width:24;height:394" coordorigin="9549,415" coordsize="24,394">
              <v:shape style="position:absolute;left:9549;top:415;width:24;height:394" coordorigin="9549,415" coordsize="24,394" path="m9549,809l9573,809,9573,415,9549,415,9549,809xe" filled="true" fillcolor="#d2d2d2" stroked="false">
                <v:path arrowok="t"/>
                <v:fill type="solid"/>
              </v:shape>
            </v:group>
            <v:group style="position:absolute;left:6393;top:415;width:22;height:394" coordorigin="6393,415" coordsize="22,394">
              <v:shape style="position:absolute;left:6393;top:415;width:22;height:394" coordorigin="6393,415" coordsize="22,394" path="m6393,809l6414,809,6414,415,6393,415,6393,809xe" filled="true" fillcolor="#d2d2d2" stroked="false">
                <v:path arrowok="t"/>
                <v:fill type="solid"/>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4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0;width:3190;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9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4"/>
        <w:ind w:right="7514"/>
        <w:jc w:val="left"/>
      </w:pPr>
      <w:r>
        <w:rPr/>
        <w:t>企业合并中承担的被合并方的或有负债： 其他说明：</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是否存在单次处置对子公司投资即丧失控制权的情形</w:t>
      </w:r>
    </w:p>
    <w:p>
      <w:pPr>
        <w:pStyle w:val="BodyText"/>
        <w:spacing w:line="338" w:lineRule="auto" w:before="117"/>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2144"/>
        <w:jc w:val="left"/>
      </w:pPr>
      <w:r>
        <w:rPr/>
        <w:t>说明其他原因导致的合并范围变动（如，新设子公司、清算子公司等）及其相关情况： 本年度较上年度相比新增合并单位</w:t>
      </w:r>
      <w:r>
        <w:rPr>
          <w:rFonts w:ascii="Times New Roman" w:hAnsi="Times New Roman" w:cs="Times New Roman" w:eastAsia="Times New Roman" w:hint="default"/>
        </w:rPr>
        <w:t>1</w:t>
      </w:r>
      <w:r>
        <w:rPr/>
        <w:t>家，原因为：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日，本公司通过新设成立建信筑和，持股</w:t>
      </w:r>
      <w:r>
        <w:rPr>
          <w:rFonts w:ascii="Times New Roman" w:hAnsi="Times New Roman" w:cs="Times New Roman" w:eastAsia="Times New Roman" w:hint="default"/>
        </w:rPr>
        <w:t>60%</w:t>
      </w:r>
      <w:r>
        <w:rPr/>
        <w:t>。</w:t>
      </w:r>
    </w:p>
    <w:p>
      <w:pPr>
        <w:spacing w:line="240" w:lineRule="auto" w:before="8"/>
        <w:rPr>
          <w:rFonts w:ascii="宋体" w:hAnsi="宋体" w:cs="宋体" w:eastAsia="宋体" w:hint="default"/>
          <w:sz w:val="13"/>
          <w:szCs w:val="13"/>
        </w:rPr>
      </w:pPr>
    </w:p>
    <w:p>
      <w:pPr>
        <w:spacing w:line="376" w:lineRule="auto" w:before="0"/>
        <w:ind w:left="152" w:right="811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九、在其他主体中的权益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pStyle w:val="Heading3"/>
        <w:spacing w:line="240" w:lineRule="auto" w:before="89"/>
        <w:ind w:right="0"/>
        <w:jc w:val="left"/>
        <w:rPr>
          <w:b w:val="0"/>
          <w:bCs w:val="0"/>
        </w:rPr>
      </w:pPr>
      <w:r>
        <w:rPr/>
        <w:pict>
          <v:shape style="position:absolute;margin-left:288.53299pt;margin-top:79.724449pt;width:109.95pt;height:50.8pt;mso-position-horizontal-relative:page;mso-position-vertical-relative:paragraph;z-index:-1020928" type="#_x0000_t202" filled="false" stroked="false">
            <v:textbox inset="0,0,0,0">
              <w:txbxContent>
                <w:p>
                  <w:pPr>
                    <w:spacing w:line="240" w:lineRule="auto" w:before="13"/>
                    <w:rPr>
                      <w:rFonts w:ascii="Microsoft JhengHei" w:hAnsi="Microsoft JhengHei" w:cs="Microsoft JhengHei" w:eastAsia="Microsoft JhengHei" w:hint="default"/>
                      <w:b/>
                      <w:bCs/>
                      <w:sz w:val="20"/>
                      <w:szCs w:val="20"/>
                    </w:rPr>
                  </w:pPr>
                </w:p>
                <w:p>
                  <w:pPr>
                    <w:pStyle w:val="BodyText"/>
                    <w:spacing w:line="240" w:lineRule="auto"/>
                    <w:ind w:left="0" w:right="0"/>
                    <w:jc w:val="left"/>
                  </w:pPr>
                  <w:r>
                    <w:rPr/>
                    <w:t>建筑工程、</w:t>
                  </w:r>
                </w:p>
              </w:txbxContent>
            </v:textbox>
            <w10:wrap type="none"/>
          </v:shape>
        </w:pict>
      </w:r>
      <w:r>
        <w:rPr/>
        <w:pict>
          <v:group style="position:absolute;margin-left:330.670013pt;margin-top:79.724449pt;width:67.8pt;height:50.8pt;mso-position-horizontal-relative:page;mso-position-vertical-relative:paragraph;z-index:-1020904" coordorigin="6613,1594" coordsize="1356,1016">
            <v:group style="position:absolute;left:6613;top:1594;width:1356;height:1016" coordorigin="6613,1594" coordsize="1356,1016">
              <v:shape style="position:absolute;left:6613;top:1594;width:1356;height:1016" coordorigin="6613,1594" coordsize="1356,1016" path="m6613,2610l7969,2610,7969,1594,6613,1594,6613,2610xe" filled="true" fillcolor="#ffffff" stroked="false">
                <v:path arrowok="t"/>
                <v:fill type="solid"/>
              </v:shape>
            </v:group>
            <v:group style="position:absolute;left:6635;top:1906;width:1311;height:392" coordorigin="6635,1906" coordsize="1311,392">
              <v:shape style="position:absolute;left:6635;top:1906;width:1311;height:392" coordorigin="6635,1906" coordsize="1311,392" path="m6635,2298l7945,2298,7945,1906,6635,1906,6635,2298xe" filled="true" fillcolor="#ffffff" stroked="false">
                <v:path arrowok="t"/>
                <v:fill type="solid"/>
              </v:shape>
            </v:group>
            <w10:wrap type="none"/>
          </v:group>
        </w:pict>
      </w: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425"/>
        <w:gridCol w:w="943"/>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6" w:right="70"/>
              <w:jc w:val="left"/>
              <w:rPr>
                <w:rFonts w:ascii="宋体" w:hAnsi="宋体" w:cs="宋体" w:eastAsia="宋体" w:hint="default"/>
                <w:sz w:val="18"/>
                <w:szCs w:val="18"/>
              </w:rPr>
            </w:pPr>
            <w:r>
              <w:rPr>
                <w:rFonts w:ascii="宋体" w:hAnsi="宋体" w:cs="宋体" w:eastAsia="宋体" w:hint="default"/>
                <w:sz w:val="18"/>
                <w:szCs w:val="18"/>
              </w:rPr>
              <w:t>信息工程监理、 咨询； 环艺设计与咨询</w:t>
            </w:r>
          </w:p>
        </w:tc>
        <w:tc>
          <w:tcPr>
            <w:tcW w:w="425" w:type="dxa"/>
            <w:tcBorders>
              <w:top w:val="single" w:sz="4" w:space="0" w:color="000000"/>
              <w:left w:val="single" w:sz="4" w:space="0" w:color="000000"/>
              <w:bottom w:val="single" w:sz="4" w:space="0" w:color="000000"/>
              <w:right w:val="nil" w:sz="6" w:space="0" w:color="auto"/>
            </w:tcBorders>
          </w:tcPr>
          <w:p>
            <w:pPr/>
          </w:p>
        </w:tc>
        <w:tc>
          <w:tcPr>
            <w:tcW w:w="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53.00%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艾科筑业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住宅产业化和可 再生资源与建筑 一体化的研究</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市政中心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70"/>
              <w:jc w:val="left"/>
              <w:rPr>
                <w:rFonts w:ascii="宋体" w:hAnsi="宋体" w:cs="宋体" w:eastAsia="宋体" w:hint="default"/>
                <w:sz w:val="18"/>
                <w:szCs w:val="18"/>
              </w:rPr>
            </w:pPr>
            <w:r>
              <w:rPr>
                <w:rFonts w:ascii="宋体" w:hAnsi="宋体" w:cs="宋体" w:eastAsia="宋体" w:hint="default"/>
                <w:sz w:val="18"/>
                <w:szCs w:val="18"/>
              </w:rPr>
              <w:t>市政建设及规划 咨询</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无偿划转</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北京艾科城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工程设计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深圳艾科城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70"/>
              <w:jc w:val="left"/>
              <w:rPr>
                <w:rFonts w:ascii="宋体" w:hAnsi="宋体" w:cs="宋体" w:eastAsia="宋体" w:hint="default"/>
                <w:sz w:val="18"/>
                <w:szCs w:val="18"/>
              </w:rPr>
            </w:pPr>
            <w:r>
              <w:rPr>
                <w:rFonts w:ascii="宋体" w:hAnsi="宋体" w:cs="宋体" w:eastAsia="宋体" w:hint="default"/>
                <w:sz w:val="18"/>
                <w:szCs w:val="18"/>
              </w:rPr>
              <w:t>建筑工程设计与 咨询</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建研检测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建筑工程检测、 监测、测量，建 筑材料与部品检 测</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常州城建艾科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70"/>
              <w:jc w:val="left"/>
              <w:rPr>
                <w:rFonts w:ascii="宋体" w:hAnsi="宋体" w:cs="宋体" w:eastAsia="宋体" w:hint="default"/>
                <w:sz w:val="18"/>
                <w:szCs w:val="18"/>
              </w:rPr>
            </w:pPr>
            <w:r>
              <w:rPr>
                <w:rFonts w:ascii="宋体" w:hAnsi="宋体" w:cs="宋体" w:eastAsia="宋体" w:hint="default"/>
                <w:sz w:val="18"/>
                <w:szCs w:val="18"/>
              </w:rPr>
              <w:t>绿色城市与绿色 建筑研发服务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上海爱轲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生态科技领域内 的技术咨询与服 务；物业管理</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深圳玖伊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6" w:right="70"/>
              <w:jc w:val="both"/>
              <w:rPr>
                <w:rFonts w:ascii="宋体" w:hAnsi="宋体" w:cs="宋体" w:eastAsia="宋体" w:hint="default"/>
                <w:sz w:val="18"/>
                <w:szCs w:val="18"/>
              </w:rPr>
            </w:pPr>
            <w:r>
              <w:rPr>
                <w:rFonts w:ascii="宋体" w:hAnsi="宋体" w:cs="宋体" w:eastAsia="宋体" w:hint="default"/>
                <w:sz w:val="18"/>
                <w:szCs w:val="18"/>
              </w:rPr>
              <w:t>绿色建筑与园区 运营管理；文化 艺术交流策划</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雄安玖壹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生态环境技术开 发</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绿研检验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工程检测</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13"/>
        <w:rPr>
          <w:rFonts w:ascii="Microsoft JhengHei" w:hAnsi="Microsoft JhengHei" w:cs="Microsoft JhengHei" w:eastAsia="Microsoft JhengHei" w:hint="default"/>
          <w:b/>
          <w:bCs/>
          <w:sz w:val="8"/>
          <w:szCs w:val="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建信筑和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软件与信息技术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49"/>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5"/>
        <w:ind w:right="7694"/>
        <w:jc w:val="left"/>
      </w:pPr>
      <w:r>
        <w:rPr/>
        <w:t>确定公司是代理人还是委托人的依据： 其他说明：</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5"/>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8"/>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8"/>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-242,768.07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565,214.63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艾科筑业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44,977.23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常州城建艾科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164,055.05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624,873.05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深圳玖伊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-863,053.02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240,915.05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建信筑和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-657,798.36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-657,798.36</w:t>
            </w:r>
          </w:p>
        </w:tc>
      </w:tr>
    </w:tbl>
    <w:p>
      <w:pPr>
        <w:pStyle w:val="BodyText"/>
        <w:spacing w:line="362" w:lineRule="auto" w:before="49"/>
        <w:ind w:right="6434"/>
        <w:jc w:val="left"/>
      </w:pPr>
      <w:r>
        <w:rPr/>
        <w:t>子公司少数股东的持股比例不同于表决权比例的说明： 其他说明：</w:t>
      </w: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4" w:right="92"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1,715,33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6,430.18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1,721,76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519,178.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519,178.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3,758,09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35,898.8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3,793,99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2,074,88</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2.99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2,074,88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2.99</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艾科筑 业</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179,908.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179,908.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179,832.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179,832.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常州城 建艾科</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2,299,63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183,012.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2,482,64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920,462.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920,462.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2,319,42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232,828.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2,552,25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1,400,21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3.01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1,400,21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3.01</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深圳玖 伊</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6,966,83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88,148.0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7,054,97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6,086,66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6,086,66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4,919,06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2,452.65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4,921,51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373,305.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373,305.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建信筑 和</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1,536,09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102,117.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1,638,21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282,711.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282,711.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131"/>
        <w:jc w:val="right"/>
      </w:pPr>
      <w:r>
        <w:rPr/>
        <w:t>单位：</w:t>
      </w:r>
      <w:r>
        <w:rPr>
          <w:spacing w:val="1"/>
        </w:rPr>
        <w:t> </w:t>
      </w:r>
      <w:r>
        <w:rPr/>
        <w:t>元</w:t>
      </w:r>
    </w:p>
    <w:p>
      <w:pPr>
        <w:spacing w:after="0" w:line="240" w:lineRule="auto"/>
        <w:jc w:val="right"/>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7"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472,317.63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-516,529.92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-516,529.92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-922,654.53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8,032,332.01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69,541.40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69,541.40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338,708.15</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艾科筑业</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76.02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-66,112.09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-66,112.09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-30,737.55</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left"/>
              <w:rPr>
                <w:rFonts w:ascii="宋体" w:hAnsi="宋体" w:cs="宋体" w:eastAsia="宋体" w:hint="default"/>
                <w:sz w:val="18"/>
                <w:szCs w:val="18"/>
              </w:rPr>
            </w:pPr>
            <w:r>
              <w:rPr>
                <w:rFonts w:ascii="宋体" w:hAnsi="宋体" w:cs="宋体" w:eastAsia="宋体" w:hint="default"/>
                <w:sz w:val="18"/>
                <w:szCs w:val="18"/>
              </w:rPr>
              <w:t>常州城建艾 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1,628,600.71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410,137.62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410,137.62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489,435.87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3,326,650.58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141,755.98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141,755.98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-20,479.85</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深圳玖伊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15,406,145.1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-3,739,896.44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-3,739,896.44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-234,100.13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141,160.45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-751,790.23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-751,790.23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-574,942.66</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建信筑和</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-1,644,495.89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-1,644,495.89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-1,578,758.47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e0ffff"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e0ffff"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7"/>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-558,150.57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-115,347.57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-558,150.57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-115,347.57</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3188"/>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13"/>
        <w:rPr>
          <w:rFonts w:ascii="Microsoft JhengHei" w:hAnsi="Microsoft JhengHei" w:cs="Microsoft JhengHei" w:eastAsia="Microsoft JhengHei"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0"/>
        <w:ind w:right="5534"/>
        <w:jc w:val="left"/>
      </w:pPr>
      <w:r>
        <w:rPr/>
        <w:t>在共同经营中的持股比例或享有的份额不同于表决权比例的说明： 共同经营为单独主体的，分类为共同经营的依据：</w:t>
      </w:r>
    </w:p>
    <w:p>
      <w:pPr>
        <w:pStyle w:val="BodyText"/>
        <w:spacing w:line="240" w:lineRule="auto" w:before="27"/>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未纳入合并财务报表范围的结构化主体的相关说明：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十、与金融工具相关的风险</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314" w:lineRule="auto"/>
        <w:ind w:right="1119"/>
        <w:jc w:val="left"/>
      </w:pPr>
      <w:r>
        <w:rPr>
          <w:spacing w:val="-2"/>
        </w:rPr>
        <w:t>本公司的主要金融工具包括应收账款、应付账款等，各项金融工具的详细情况说明见本附注五相关项目。与这些金融工具有</w:t>
      </w:r>
      <w:r>
        <w:rPr>
          <w:spacing w:val="-66"/>
        </w:rPr>
        <w:t> </w:t>
      </w:r>
      <w:r>
        <w:rPr>
          <w:spacing w:val="-66"/>
        </w:rPr>
      </w:r>
      <w:r>
        <w:rPr>
          <w:spacing w:val="-2"/>
        </w:rPr>
        <w:t>关的风险，以及本公司为降低这些风险所采取的风险管理政策如下所述。本公司管理层对这些风险敞口进行管理和监控以确</w:t>
      </w:r>
      <w:r>
        <w:rPr>
          <w:spacing w:val="-64"/>
        </w:rPr>
        <w:t> </w:t>
      </w:r>
      <w:r>
        <w:rPr>
          <w:spacing w:val="-64"/>
        </w:rPr>
      </w:r>
      <w:r>
        <w:rPr/>
        <w:t>保将上述风险控制在限定的范围之内。 本公司风险管理的总体目标是在不过度影响公司竞争力和应变力的情况下，制定尽可能降低风险的风险管理政策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 </w:t>
      </w:r>
      <w:r>
        <w:rPr>
          <w:spacing w:val="-2"/>
        </w:rPr>
        <w:t>信用风险是指金融工具的一方不履行义务，造成另一方发生财务损失的风险。本公司主要面临赊销导致的客户信用风险。在</w:t>
      </w:r>
      <w:r>
        <w:rPr>
          <w:spacing w:val="-63"/>
        </w:rPr>
        <w:t> </w:t>
      </w:r>
      <w:r>
        <w:rPr>
          <w:spacing w:val="-63"/>
        </w:rPr>
      </w:r>
      <w:r>
        <w:rPr>
          <w:spacing w:val="-2"/>
        </w:rPr>
        <w:t>签订新合同之前，本公司会对新客户的信用风险进行评估，包括外部信用评级和在某些情况下的银行资信证明（当此信息可</w:t>
      </w:r>
      <w:r>
        <w:rPr>
          <w:spacing w:val="-63"/>
        </w:rPr>
        <w:t> </w:t>
      </w:r>
      <w:r>
        <w:rPr>
          <w:spacing w:val="-63"/>
        </w:rPr>
      </w:r>
      <w:r>
        <w:rPr/>
        <w:t>获取时）。公司对每一客户均设置了赊销限额，该限额为无需获得额外批准的最大额度。 </w:t>
      </w:r>
      <w:r>
        <w:rPr>
          <w:spacing w:val="-2"/>
        </w:rPr>
        <w:t>公司通过对已有客户信用评级的季度监控以及应收账款账龄分析的月度审核来确保公司的整体信用风险在可控的范围内。在</w:t>
      </w:r>
      <w:r>
        <w:rPr>
          <w:spacing w:val="-64"/>
        </w:rPr>
        <w:t> </w:t>
      </w:r>
      <w:r>
        <w:rPr>
          <w:spacing w:val="-64"/>
        </w:rPr>
      </w:r>
      <w:r>
        <w:rPr>
          <w:spacing w:val="-2"/>
        </w:rPr>
        <w:t>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级别的客户会放在受限制客户名单里，并且只有在</w:t>
      </w:r>
      <w:r>
        <w:rPr>
          <w:spacing w:val="-45"/>
        </w:rPr>
        <w:t> </w:t>
      </w:r>
      <w:r>
        <w:rPr>
          <w:spacing w:val="-45"/>
        </w:rPr>
      </w:r>
      <w:r>
        <w:rPr/>
        <w:t>额外批准的前提下，公司才可在未来期间内对其赊销，否则必须要求其提前支付相应款项。</w:t>
      </w:r>
    </w:p>
    <w:p>
      <w:pPr>
        <w:pStyle w:val="BodyText"/>
        <w:spacing w:line="309" w:lineRule="auto" w:before="21"/>
        <w:ind w:right="111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市场风险</w:t>
      </w:r>
      <w:r>
        <w:rPr>
          <w:w w:val="99"/>
        </w:rPr>
        <w:t> </w:t>
      </w:r>
      <w:r>
        <w:rPr>
          <w:spacing w:val="-2"/>
        </w:rPr>
        <w:t>金融工具的市场风险，是指金融工具的公允价值或未来现金流量因市场价格变动而发生波动的风险，包括汇率风险、利率风</w:t>
      </w:r>
      <w:r>
        <w:rPr>
          <w:spacing w:val="-67"/>
        </w:rPr>
        <w:t> </w:t>
      </w:r>
      <w:r>
        <w:rPr>
          <w:spacing w:val="-67"/>
        </w:rPr>
      </w:r>
      <w:r>
        <w:rPr/>
        <w:t>险和其他价格风险。</w:t>
      </w:r>
    </w:p>
    <w:p>
      <w:pPr>
        <w:pStyle w:val="BodyText"/>
        <w:spacing w:line="304" w:lineRule="auto" w:before="24"/>
        <w:ind w:right="1119"/>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利率风险，是指金融工具的公允价值或未来现金流量因市场利率变动而发生波动的风险。本公司面临的利率风险主要来源于</w:t>
      </w:r>
      <w:r>
        <w:rPr>
          <w:spacing w:val="-64"/>
        </w:rPr>
        <w:t> </w:t>
      </w:r>
      <w:r>
        <w:rPr>
          <w:spacing w:val="-64"/>
        </w:rPr>
      </w:r>
      <w:r>
        <w:rPr/>
        <w:t>银行短期借款。截至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日止，本公司以同期同档次国家基准利率上浮一定百分比的利率计息的银行借款人民币 </w:t>
      </w:r>
      <w:r>
        <w:rPr>
          <w:rFonts w:ascii="Times New Roman" w:hAnsi="Times New Roman" w:cs="Times New Roman" w:eastAsia="Times New Roman" w:hint="default"/>
        </w:rPr>
        <w:t>130,000,000.00</w:t>
      </w:r>
      <w:r>
        <w:rPr/>
        <w:t>元。在其他变量不变的假设下，利率发生合理、可能的</w:t>
      </w:r>
      <w:r>
        <w:rPr>
          <w:rFonts w:ascii="Times New Roman" w:hAnsi="Times New Roman" w:cs="Times New Roman" w:eastAsia="Times New Roman" w:hint="default"/>
        </w:rPr>
        <w:t>50%</w:t>
      </w:r>
      <w:r>
        <w:rPr/>
        <w:t>基准点的变动时，将不会对本公司的利润总额和 股东权益产生重大的影响。</w:t>
      </w:r>
    </w:p>
    <w:p>
      <w:pPr>
        <w:pStyle w:val="BodyText"/>
        <w:spacing w:line="312" w:lineRule="auto" w:before="28"/>
        <w:ind w:right="1119"/>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汇率风险，是指金融工具的公允价值或未来现金流量因外汇汇率变动而发生波动的风险。本公司尽可能将外币收入与外币支</w:t>
      </w:r>
      <w:r>
        <w:rPr>
          <w:spacing w:val="-64"/>
        </w:rPr>
        <w:t> </w:t>
      </w:r>
      <w:r>
        <w:rPr>
          <w:spacing w:val="-64"/>
        </w:rPr>
      </w:r>
      <w:r>
        <w:rPr/>
        <w:t>出相匹配以降低外汇风险。公司的主要经营位于中国境内，主要业务以人民币结算，本公司存在的汇率风险较小。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流动性风险 </w:t>
      </w:r>
      <w:r>
        <w:rPr>
          <w:spacing w:val="-2"/>
        </w:rPr>
        <w:t>流动性风险，是指企业在履行以交付现金或其他金融资产的方式结算的义务时发生资金短缺的风险。本公司的政策是确保拥</w:t>
      </w:r>
      <w:r>
        <w:rPr>
          <w:spacing w:val="-63"/>
        </w:rPr>
        <w:t> </w:t>
      </w:r>
      <w:r>
        <w:rPr>
          <w:spacing w:val="-63"/>
        </w:rPr>
      </w:r>
      <w:r>
        <w:rPr>
          <w:spacing w:val="-2"/>
        </w:rPr>
        <w:t>有充足的现金以偿还到期债务。流动性风险由本公司的财务部门集中控制。财务部门通过监控现金余额、可随时变现的有价</w:t>
      </w:r>
      <w:r>
        <w:rPr>
          <w:spacing w:val="-63"/>
        </w:rPr>
        <w:t> </w:t>
      </w:r>
      <w:r>
        <w:rPr>
          <w:spacing w:val="-63"/>
        </w:rPr>
      </w:r>
      <w:r>
        <w:rPr/>
        <w:t>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after="0" w:line="312" w:lineRule="auto"/>
        <w:jc w:val="left"/>
        <w:sectPr>
          <w:pgSz w:w="11910" w:h="16840"/>
          <w:pgMar w:header="852" w:footer="980" w:top="1280" w:bottom="1160" w:left="980" w:right="0"/>
        </w:sectPr>
      </w:pPr>
    </w:p>
    <w:p>
      <w:pPr>
        <w:pStyle w:val="Heading2"/>
        <w:spacing w:line="240" w:lineRule="auto" w:before="40"/>
        <w:ind w:right="0"/>
        <w:jc w:val="left"/>
        <w:rPr>
          <w:b w:val="0"/>
          <w:bCs w:val="0"/>
        </w:rPr>
      </w:pPr>
      <w:r>
        <w:rPr/>
        <w:t>十一、公允价值的披露</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5"/>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2" w:right="811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深圳市远致投资有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42.86%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42.86%</w:t>
            </w:r>
          </w:p>
        </w:tc>
      </w:tr>
    </w:tbl>
    <w:p>
      <w:pPr>
        <w:pStyle w:val="BodyText"/>
        <w:spacing w:line="240" w:lineRule="auto" w:before="49"/>
        <w:ind w:right="0"/>
        <w:jc w:val="left"/>
      </w:pPr>
      <w:r>
        <w:rPr/>
        <w:t>本企业的母公司情况的说明</w:t>
      </w:r>
    </w:p>
    <w:p>
      <w:pPr>
        <w:pStyle w:val="BodyText"/>
        <w:spacing w:line="300" w:lineRule="auto" w:before="119"/>
        <w:ind w:right="1028"/>
        <w:jc w:val="left"/>
      </w:pPr>
      <w:r>
        <w:rPr/>
        <w:t>深圳市远致投资有限公司是深圳市国资委直属企业，成立于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6</w:t>
      </w:r>
      <w:r>
        <w:rPr/>
        <w:t>月 </w:t>
      </w:r>
      <w:r>
        <w:rPr>
          <w:rFonts w:ascii="Times New Roman" w:hAnsi="Times New Roman" w:cs="Times New Roman" w:eastAsia="Times New Roman" w:hint="default"/>
        </w:rPr>
        <w:t>22 </w:t>
      </w:r>
      <w:r>
        <w:rPr/>
        <w:t>日，注册资本 </w:t>
      </w:r>
      <w:r>
        <w:rPr>
          <w:rFonts w:ascii="Times New Roman" w:hAnsi="Times New Roman" w:cs="Times New Roman" w:eastAsia="Times New Roman" w:hint="default"/>
        </w:rPr>
        <w:t>963,000</w:t>
      </w:r>
      <w:r>
        <w:rPr>
          <w:rFonts w:ascii="Times New Roman" w:hAnsi="Times New Roman" w:cs="Times New Roman" w:eastAsia="Times New Roman" w:hint="default"/>
          <w:spacing w:val="6"/>
        </w:rPr>
        <w:t> </w:t>
      </w:r>
      <w:r>
        <w:rPr/>
        <w:t>万元，法定代表人为陈 志升，公司住所：深圳市福田区深南路投资大厦</w:t>
      </w:r>
      <w:r>
        <w:rPr>
          <w:spacing w:val="-35"/>
        </w:rPr>
        <w:t> </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楼</w:t>
      </w:r>
      <w:r>
        <w:rPr>
          <w:spacing w:val="-36"/>
        </w:rPr>
        <w:t> </w:t>
      </w:r>
      <w:r>
        <w:rPr>
          <w:rFonts w:ascii="Times New Roman" w:hAnsi="Times New Roman" w:cs="Times New Roman" w:eastAsia="Times New Roman" w:hint="default"/>
        </w:rPr>
        <w:t>C1</w:t>
      </w:r>
      <w:r>
        <w:rPr>
          <w:rFonts w:ascii="Times New Roman" w:hAnsi="Times New Roman" w:cs="Times New Roman" w:eastAsia="Times New Roman" w:hint="default"/>
          <w:spacing w:val="7"/>
        </w:rPr>
        <w:t> </w:t>
      </w:r>
      <w:r>
        <w:rPr/>
        <w:t>，经营范围：投资兴办各类实业</w:t>
      </w:r>
      <w:r>
        <w:rPr>
          <w:rFonts w:ascii="Times New Roman" w:hAnsi="Times New Roman" w:cs="Times New Roman" w:eastAsia="Times New Roman" w:hint="default"/>
        </w:rPr>
        <w:t>(</w:t>
      </w:r>
      <w:r>
        <w:rPr/>
        <w:t>具体项目另行申报</w:t>
      </w:r>
      <w:r>
        <w:rPr>
          <w:rFonts w:ascii="Times New Roman" w:hAnsi="Times New Roman" w:cs="Times New Roman" w:eastAsia="Times New Roman" w:hint="default"/>
        </w:rPr>
        <w:t>)</w:t>
      </w:r>
      <w:r>
        <w:rPr/>
        <w:t>；投资业务； 投资管理；资产管理。</w:t>
      </w:r>
    </w:p>
    <w:p>
      <w:pPr>
        <w:pStyle w:val="BodyText"/>
        <w:spacing w:line="360" w:lineRule="auto" w:before="70"/>
        <w:ind w:right="6434"/>
        <w:jc w:val="left"/>
      </w:pPr>
      <w:r>
        <w:rPr/>
        <w:t>本企业最终控制方是深圳市国有资产监督管理委员会。 其他说明：</w:t>
      </w:r>
    </w:p>
    <w:p>
      <w:pPr>
        <w:spacing w:after="0" w:line="36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本企业子公司的情况详见附注附注九、在其他主体中的权益。</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2294"/>
        <w:jc w:val="left"/>
      </w:pPr>
      <w:r>
        <w:rPr/>
        <w:t>本企业重要的合营或联营企业详见附注附注九、在其他主体中的权益。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4"/>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中关村发展集团股份有限公司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深圳市英龙建安（集团）有限公司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北京兴昌高科技发展有限公司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北京中关村软件园发展有限责任公司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北京中关村生命科学园发展有限责任公司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北京中关村电子城建设有限公司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北京金桥科技产业基地开发有限公司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北京光谷科技园开发建设有限公司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北京京石科园置业发展有限公司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北京东方雍和文化创意投资有限公司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北京实创高科技发展有限责任公司（合并）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北京海开房地产集团有限责任公司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北京丰台科技园建设发展有限公司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北京中关村科技创业金融服务集团有限公司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中关村医疗器械园有限公司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中关村科技租赁有限公司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北京中关村生物医药产业投资发展有限公司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北京中关村延庆园建设发展有限公司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北京知识产权运营管理有限公司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北京中关村微纳能源投资有限公司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北京中关村集成电路设计园发展有限责任公司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中关村（国际）控股公司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北京中关村前沿技术产业发展有限公司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中关村芯园（北京）有限公司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北京中关村协同创新投资基金管理有限公司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北京集成电路产业发展股权投资基金有限公司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北京中关村发展创业投资基金管理有限公司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北京怀柔科学城建设发展有限公司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北京中关村国际孵化器有限公司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北京中关村国际环保产业促进中心有限公司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北京中关村京西建设发展有限公司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北京中关村生命科学园生物医药科技孵化有限公司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北京丰科世纪科技孵化器有限公司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石家庄中关村协同发展有限公司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中关村国际控股有限公司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北京中关村信息谷资产管理有限责任公司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深圳市英龙建筑工程劳务有限公司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深圳市英龙设计有限公司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深圳市曦龙机械设备技术有限公司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深圳市英龙生态园林有限公司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深圳市英龙皇御公馆餐饮有限公司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深圳市亿鑫投资有限公司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深业投资发展有限公司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万和证券股份有限公司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深圳市远致创业投资有限公司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荆门玖伊园科技有限公司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深圳市中新赛克科技股份有限公司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广东红土创业投资管理有限公司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东莞红土创业投资管理有限公司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惠州红土投资管理有限公司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吉林省红土创新资本创业投资管理有限公司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青岛红土资本管理有限公司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西安创新投资管理有限公司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深业集团有限公司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叶青出任独立董事的企业</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113" w:hRule="exact"/>
        </w:trPr>
        <w:tc>
          <w:tcPr>
            <w:tcW w:w="4784"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前海科创投控股有限公司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叶青出任董事的企业</w:t>
            </w:r>
          </w:p>
        </w:tc>
      </w:tr>
    </w:tbl>
    <w:p>
      <w:pPr>
        <w:pStyle w:val="BodyText"/>
        <w:spacing w:line="240" w:lineRule="auto" w:before="49"/>
        <w:ind w:left="112"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left="112"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112"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12"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万和证券股份有限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北京中关村国际环 保产业促进中心有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5" w:right="0"/>
              <w:jc w:val="left"/>
              <w:rPr>
                <w:rFonts w:ascii="Times New Roman" w:hAnsi="Times New Roman" w:cs="Times New Roman" w:eastAsia="Times New Roman" w:hint="default"/>
                <w:sz w:val="18"/>
                <w:szCs w:val="18"/>
              </w:rPr>
            </w:pPr>
            <w:r>
              <w:rPr>
                <w:rFonts w:ascii="Times New Roman"/>
                <w:sz w:val="18"/>
              </w:rPr>
              <w:t>67,924.53</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中关村发展集团股 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1,489,392.68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12"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北京丰台科技园建设发展有限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226,415.09</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北京怀柔科学城建设发展有限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382,075.47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2,812,264.15</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北京中关村京西建设发展有限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471,698.11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1,581,132.07</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北京中关村前沿技术产业发展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399,648.49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2,762,384.91</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北京中关村软件园发展有限责 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1,217,339.61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1,373,764.16</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北京中关村生命科学园发展有 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986,606.98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428,015.80</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22"/>
              <w:jc w:val="left"/>
              <w:rPr>
                <w:rFonts w:ascii="宋体" w:hAnsi="宋体" w:cs="宋体" w:eastAsia="宋体" w:hint="default"/>
                <w:sz w:val="18"/>
                <w:szCs w:val="18"/>
              </w:rPr>
            </w:pPr>
            <w:r>
              <w:rPr>
                <w:rFonts w:ascii="宋体" w:hAnsi="宋体" w:cs="宋体" w:eastAsia="宋体" w:hint="default"/>
                <w:sz w:val="18"/>
                <w:szCs w:val="18"/>
              </w:rPr>
              <w:t>北京中关村生命科学园生物医 药科技孵化有限公司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45,283.02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39,150.95</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北京中关村生物医药产业投资 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2,688,679.25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1,126,792.45</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北京中关村微纳能源投资有限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2,926,415.10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107,547.17</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北京中关村延庆园建设发展有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47,169.81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132,075.47</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28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36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荆门玖伊园科技有限公司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1,850,391.21</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340,212.26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414,622.64</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中关村医疗器械园有限公司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537,735.85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452,830.19</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北京海开房地产集团有限责任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56,603.77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北京中关村集成电路设计园发 展有限责任公司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113,207.55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前海科创投控股有限公司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44,339.62</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购销商品、提供和接受劳务的关联交易说明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852" w:footer="980" w:top="1280" w:bottom="1160" w:left="980" w:right="0"/>
        </w:sectPr>
      </w:pPr>
    </w:p>
    <w:p>
      <w:pPr>
        <w:pStyle w:val="BodyText"/>
        <w:spacing w:line="343"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280" w:bottom="1160" w:left="980" w:right="0"/>
          <w:cols w:num="2" w:equalWidth="0">
            <w:col w:w="2544" w:space="628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0"/>
        <w:ind w:right="0"/>
        <w:jc w:val="left"/>
      </w:pPr>
      <w:r>
        <w:rPr/>
        <w:t>关联管理</w:t>
      </w:r>
      <w:r>
        <w:rPr>
          <w:rFonts w:ascii="Times New Roman" w:hAnsi="Times New Roman" w:cs="Times New Roman" w:eastAsia="Times New Roman" w:hint="default"/>
        </w:rPr>
        <w:t>/</w:t>
      </w:r>
      <w:r>
        <w:rPr/>
        <w:t>出包情况说明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本公司作为出租方：</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0"/>
        <w:jc w:val="left"/>
      </w:pPr>
      <w:r>
        <w:rPr/>
        <w:t>本公司作为承租方：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中关村发展集团股份有限公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1,042,574.88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关联租赁情况说明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本公司作为担保方</w:t>
      </w:r>
    </w:p>
    <w:p>
      <w:pPr>
        <w:spacing w:after="0" w:line="240" w:lineRule="auto"/>
        <w:jc w:val="left"/>
        <w:sectPr>
          <w:type w:val="continuous"/>
          <w:pgSz w:w="11910" w:h="16840"/>
          <w:pgMar w:top="1280" w:bottom="1160" w:left="980" w:right="0"/>
        </w:sectPr>
      </w:pPr>
    </w:p>
    <w:p>
      <w:pPr>
        <w:spacing w:line="240" w:lineRule="auto" w:before="0"/>
        <w:rPr>
          <w:rFonts w:ascii="宋体" w:hAnsi="宋体" w:cs="宋体" w:eastAsia="宋体" w:hint="default"/>
          <w:sz w:val="9"/>
          <w:szCs w:val="9"/>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本公司作为被担保方</w:t>
      </w:r>
    </w:p>
    <w:p>
      <w:pPr>
        <w:pStyle w:val="BodyText"/>
        <w:spacing w:line="240" w:lineRule="auto" w:before="119"/>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关联担保情况说明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4,913,300.00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6,844,800.00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北京中关村国际环 保产业促进中心有 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7,400.00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北京丰台科技园建 设发展有限公司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北京怀柔科学城建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设发展有限公司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北京中关村京西建 设发展有限公司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北京中关村软件园 发展有限责任公司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2,097.00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29,640.00</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北京中关村生命科 学园发展有限责任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221,520.00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11,076.00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104,972.50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5,248.63</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北京中关村生命科 学园生物医药科技 孵化有限公司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8"/>
              <w:jc w:val="left"/>
              <w:rPr>
                <w:rFonts w:ascii="宋体" w:hAnsi="宋体" w:cs="宋体" w:eastAsia="宋体" w:hint="default"/>
                <w:sz w:val="18"/>
                <w:szCs w:val="18"/>
              </w:rPr>
            </w:pPr>
            <w:r>
              <w:rPr>
                <w:rFonts w:ascii="宋体" w:hAnsi="宋体" w:cs="宋体" w:eastAsia="宋体" w:hint="default"/>
                <w:sz w:val="18"/>
                <w:szCs w:val="18"/>
              </w:rPr>
              <w:t>北京中关村延庆园 建设发展有限公司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176,600.00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中关村医疗器械园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深圳市创新投资集 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142,450.00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7,122.50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北京中关村前沿技 术产业发展有限公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15,084.00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北京中关村微纳能 源投资有限公司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1,018,000.00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万和证券股份有限公司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深圳市英龙建安（集团）有限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5,800.00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line="376" w:lineRule="auto" w:before="0"/>
        <w:ind w:left="152" w:right="875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pStyle w:val="BodyText"/>
        <w:spacing w:line="240" w:lineRule="auto" w:before="17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2" w:right="835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pStyle w:val="BodyText"/>
        <w:spacing w:line="360" w:lineRule="auto" w:before="174"/>
        <w:ind w:right="3914"/>
        <w:jc w:val="left"/>
      </w:pPr>
      <w:r>
        <w:rPr/>
        <w:t>资产负债表日存在的重要承诺 关于本公司与上海杨浦知识创新区投资发展有限公司房屋租赁的承诺事项，具体如下：</w:t>
      </w:r>
    </w:p>
    <w:p>
      <w:pPr>
        <w:pStyle w:val="BodyText"/>
        <w:spacing w:line="236" w:lineRule="exact"/>
        <w:ind w:right="0"/>
        <w:jc w:val="left"/>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日，本公司与上海杨浦知识创新区投资发展有限公司签订房屋租赁合同，租赁期限自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w:t>
      </w:r>
    </w:p>
    <w:p>
      <w:pPr>
        <w:pStyle w:val="BodyText"/>
        <w:spacing w:line="300" w:lineRule="auto" w:before="63"/>
        <w:ind w:right="1114"/>
        <w:jc w:val="left"/>
      </w:pPr>
      <w:r>
        <w:rPr/>
        <w:t>起至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日止，其中，</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日期间租金按</w:t>
      </w:r>
      <w:r>
        <w:rPr>
          <w:rFonts w:ascii="Times New Roman" w:hAnsi="Times New Roman" w:cs="Times New Roman" w:eastAsia="Times New Roman" w:hint="default"/>
        </w:rPr>
        <w:t>2.50</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天执行，年租金为</w:t>
      </w:r>
      <w:r>
        <w:rPr>
          <w:rFonts w:ascii="Times New Roman" w:hAnsi="Times New Roman" w:cs="Times New Roman" w:eastAsia="Times New Roman" w:hint="default"/>
        </w:rPr>
        <w:t>11,966,369.88 </w:t>
      </w:r>
      <w:r>
        <w:rPr/>
        <w:t>元（但根据补充协议，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日期间租金按</w:t>
      </w:r>
      <w:r>
        <w:rPr>
          <w:rFonts w:ascii="Times New Roman" w:hAnsi="Times New Roman" w:cs="Times New Roman" w:eastAsia="Times New Roman" w:hint="default"/>
        </w:rPr>
        <w:t>1.30</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天执行，该期间租金为</w:t>
      </w:r>
      <w:r>
        <w:rPr>
          <w:rFonts w:ascii="Times New Roman" w:hAnsi="Times New Roman" w:cs="Times New Roman" w:eastAsia="Times New Roman" w:hint="default"/>
        </w:rPr>
        <w:t>3,111,256.16</w:t>
      </w:r>
      <w:r>
        <w:rPr/>
        <w:t>元）；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日期间租金按</w:t>
      </w:r>
      <w:r>
        <w:rPr>
          <w:rFonts w:ascii="Times New Roman" w:hAnsi="Times New Roman" w:cs="Times New Roman" w:eastAsia="Times New Roman" w:hint="default"/>
        </w:rPr>
        <w:t>2.75</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天执行，年租金为</w:t>
      </w:r>
      <w:r>
        <w:rPr>
          <w:rFonts w:ascii="Times New Roman" w:hAnsi="Times New Roman" w:cs="Times New Roman" w:eastAsia="Times New Roman" w:hint="default"/>
        </w:rPr>
        <w:t>13,163,006.86</w:t>
      </w:r>
      <w:r>
        <w:rPr/>
        <w:t>元；</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2</w:t>
      </w:r>
      <w:r>
        <w:rPr/>
        <w:t>月</w:t>
      </w:r>
    </w:p>
    <w:p>
      <w:pPr>
        <w:pStyle w:val="BodyText"/>
        <w:spacing w:line="240" w:lineRule="auto" w:before="13"/>
        <w:ind w:right="0"/>
        <w:jc w:val="left"/>
      </w:pPr>
      <w:r>
        <w:rPr>
          <w:rFonts w:ascii="Times New Roman" w:hAnsi="Times New Roman" w:cs="Times New Roman" w:eastAsia="Times New Roman" w:hint="default"/>
        </w:rPr>
        <w:t>13</w:t>
      </w:r>
      <w:r>
        <w:rPr/>
        <w:t>日期间租金按</w:t>
      </w:r>
      <w:r>
        <w:rPr>
          <w:rFonts w:ascii="Times New Roman" w:hAnsi="Times New Roman" w:cs="Times New Roman" w:eastAsia="Times New Roman" w:hint="default"/>
        </w:rPr>
        <w:t>3.025</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天执行，年租金为</w:t>
      </w:r>
      <w:r>
        <w:rPr>
          <w:rFonts w:ascii="Times New Roman" w:hAnsi="Times New Roman" w:cs="Times New Roman" w:eastAsia="Times New Roman" w:hint="default"/>
        </w:rPr>
        <w:t>14,479,307.55</w:t>
      </w:r>
      <w:r>
        <w:rPr/>
        <w:t>元。</w:t>
      </w:r>
    </w:p>
    <w:p>
      <w:pPr>
        <w:pStyle w:val="BodyText"/>
        <w:spacing w:line="300" w:lineRule="auto" w:before="63"/>
        <w:ind w:right="1124"/>
        <w:jc w:val="left"/>
      </w:pPr>
      <w:r>
        <w:rPr>
          <w:rFonts w:ascii="Times New Roman" w:hAnsi="Times New Roman" w:cs="Times New Roman" w:eastAsia="Times New Roman" w:hint="default"/>
          <w:spacing w:val="-2"/>
        </w:rPr>
        <w:t>2</w:t>
      </w:r>
      <w:r>
        <w:rPr>
          <w:spacing w:val="-2"/>
        </w:rPr>
        <w:t>、因地铁</w:t>
      </w:r>
      <w:r>
        <w:rPr>
          <w:rFonts w:ascii="Times New Roman" w:hAnsi="Times New Roman" w:cs="Times New Roman" w:eastAsia="Times New Roman" w:hint="default"/>
          <w:spacing w:val="-2"/>
        </w:rPr>
        <w:t>18</w:t>
      </w:r>
      <w:r>
        <w:rPr>
          <w:spacing w:val="-2"/>
        </w:rPr>
        <w:t>号线施工需要征借甲方出租范围内的部分土地，双方于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日签订补充协议，租赁期限延长为</w:t>
      </w:r>
      <w:r>
        <w:rPr>
          <w:rFonts w:ascii="Times New Roman" w:hAnsi="Times New Roman" w:cs="Times New Roman" w:eastAsia="Times New Roman" w:hint="default"/>
          <w:spacing w:val="-2"/>
        </w:rPr>
        <w:t>15</w:t>
      </w:r>
      <w:r>
        <w:rPr>
          <w:spacing w:val="-2"/>
        </w:rPr>
        <w:t>年，租</w:t>
      </w:r>
      <w:r>
        <w:rPr>
          <w:spacing w:val="-55"/>
        </w:rPr>
        <w:t> </w:t>
      </w:r>
      <w:r>
        <w:rPr>
          <w:spacing w:val="-55"/>
        </w:rPr>
      </w:r>
      <w:r>
        <w:rPr/>
        <w:t>赁期限自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日起至</w:t>
      </w:r>
      <w:r>
        <w:rPr>
          <w:rFonts w:ascii="Times New Roman" w:hAnsi="Times New Roman" w:cs="Times New Roman" w:eastAsia="Times New Roman" w:hint="default"/>
        </w:rPr>
        <w:t>2029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日止，十五年租赁期内，租金递增条款按原合同执行，即每</w:t>
      </w:r>
      <w:r>
        <w:rPr>
          <w:rFonts w:ascii="Times New Roman" w:hAnsi="Times New Roman" w:cs="Times New Roman" w:eastAsia="Times New Roman" w:hint="default"/>
        </w:rPr>
        <w:t>3</w:t>
      </w:r>
      <w:r>
        <w:rPr/>
        <w:t>年环比递增</w:t>
      </w:r>
      <w:r>
        <w:rPr>
          <w:rFonts w:ascii="Times New Roman" w:hAnsi="Times New Roman" w:cs="Times New Roman" w:eastAsia="Times New Roman" w:hint="default"/>
        </w:rPr>
        <w:t>10%</w:t>
      </w:r>
      <w:r>
        <w:rPr/>
        <w:t>。 </w:t>
      </w:r>
      <w:r>
        <w:rPr>
          <w:rFonts w:ascii="Times New Roman" w:hAnsi="Times New Roman" w:cs="Times New Roman" w:eastAsia="Times New Roman" w:hint="default"/>
        </w:rPr>
        <w:t>3</w:t>
      </w:r>
      <w:r>
        <w:rPr/>
        <w:t>、双方于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月，针对地铁施工，明确轨道建设期间双方的义务和权利，重新签订了补充协议，协议约定在地铁施工 </w:t>
      </w:r>
      <w:r>
        <w:rPr>
          <w:spacing w:val="-2"/>
        </w:rPr>
        <w:t>影响期内，上海杨浦知识创新区投资发展有限公司对公司进行租金减免，减免总额为</w:t>
      </w:r>
      <w:r>
        <w:rPr>
          <w:rFonts w:ascii="Times New Roman" w:hAnsi="Times New Roman" w:cs="Times New Roman" w:eastAsia="Times New Roman" w:hint="default"/>
          <w:spacing w:val="-2"/>
        </w:rPr>
        <w:t>520</w:t>
      </w:r>
      <w:r>
        <w:rPr>
          <w:spacing w:val="-2"/>
        </w:rPr>
        <w:t>万，影响期从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月开始，共</w:t>
      </w:r>
      <w:r>
        <w:rPr>
          <w:rFonts w:ascii="Times New Roman" w:hAnsi="Times New Roman" w:cs="Times New Roman" w:eastAsia="Times New Roman" w:hint="default"/>
          <w:spacing w:val="-2"/>
        </w:rPr>
        <w:t>40</w:t>
      </w:r>
      <w:r>
        <w:rPr>
          <w:rFonts w:ascii="Times New Roman" w:hAnsi="Times New Roman" w:cs="Times New Roman" w:eastAsia="Times New Roman" w:hint="default"/>
          <w:spacing w:val="-11"/>
        </w:rPr>
        <w:t> </w:t>
      </w:r>
      <w:r>
        <w:rPr/>
        <w:t>期。</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2</w:t>
      </w:r>
      <w:r>
        <w:rPr/>
        <w:t>月到期后，公司有权选择是否继续承租至</w:t>
      </w:r>
      <w:r>
        <w:rPr>
          <w:rFonts w:ascii="Times New Roman" w:hAnsi="Times New Roman" w:cs="Times New Roman" w:eastAsia="Times New Roman" w:hint="default"/>
        </w:rPr>
        <w:t>2029</w:t>
      </w:r>
      <w:r>
        <w:rPr/>
        <w:t>年。本协议生效后，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日签订的补充协议自行终止。 除上述事项，本公司无需要披露的承诺事项。</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公司不存在需要披露的重要或有事项。</w:t>
      </w:r>
    </w:p>
    <w:p>
      <w:pPr>
        <w:spacing w:after="0" w:line="240" w:lineRule="auto"/>
        <w:jc w:val="left"/>
        <w:sectPr>
          <w:pgSz w:w="11910" w:h="16840"/>
          <w:pgMar w:header="852" w:footer="980" w:top="1280" w:bottom="1160" w:left="980" w:right="0"/>
        </w:sectPr>
      </w:pPr>
    </w:p>
    <w:p>
      <w:pPr>
        <w:spacing w:line="240" w:lineRule="auto" w:before="1"/>
        <w:rPr>
          <w:rFonts w:ascii="宋体" w:hAnsi="宋体" w:cs="宋体" w:eastAsia="宋体" w:hint="default"/>
          <w:sz w:val="8"/>
          <w:szCs w:val="8"/>
        </w:rPr>
      </w:pPr>
    </w:p>
    <w:p>
      <w:pPr>
        <w:pStyle w:val="Heading3"/>
        <w:spacing w:line="335" w:lineRule="exact"/>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十五、资产负债表日后事项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10,266,669.00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10,266,669.00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2" w:right="76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、其他资产负债表日后事项说明</w:t>
      </w:r>
      <w:r>
        <w:rPr>
          <w:rFonts w:ascii="Microsoft JhengHei" w:hAnsi="Microsoft JhengHei" w:cs="Microsoft JhengHei" w:eastAsia="Microsoft JhengHei" w:hint="default"/>
          <w:b/>
          <w:bCs/>
          <w:spacing w:val="-27"/>
          <w:sz w:val="21"/>
          <w:szCs w:val="21"/>
        </w:rPr>
        <w:t> </w:t>
      </w:r>
      <w:r>
        <w:rPr>
          <w:rFonts w:ascii="Microsoft JhengHei" w:hAnsi="Microsoft JhengHei" w:cs="Microsoft JhengHei" w:eastAsia="Microsoft JhengHei" w:hint="default"/>
          <w:b/>
          <w:bCs/>
          <w:spacing w:val="-27"/>
          <w:sz w:val="21"/>
          <w:szCs w:val="21"/>
        </w:rPr>
      </w:r>
      <w:r>
        <w:rPr>
          <w:rFonts w:ascii="Microsoft JhengHei" w:hAnsi="Microsoft JhengHei" w:cs="Microsoft JhengHei" w:eastAsia="Microsoft JhengHei" w:hint="default"/>
          <w:b/>
          <w:bCs/>
          <w:sz w:val="24"/>
          <w:szCs w:val="24"/>
        </w:rPr>
        <w:t>十六、其他重要事项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sz w:val="21"/>
          <w:szCs w:val="21"/>
        </w:rPr>
      </w:r>
    </w:p>
    <w:p>
      <w:pPr>
        <w:pStyle w:val="Heading3"/>
        <w:spacing w:line="240" w:lineRule="auto" w:before="87"/>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852" w:footer="980" w:top="1280" w:bottom="1160" w:left="980" w:right="0"/>
        </w:sectPr>
      </w:pPr>
    </w:p>
    <w:p>
      <w:pPr>
        <w:spacing w:line="240" w:lineRule="auto" w:before="1"/>
        <w:rPr>
          <w:rFonts w:ascii="Microsoft JhengHei" w:hAnsi="Microsoft JhengHei" w:cs="Microsoft JhengHei" w:eastAsia="Microsoft JhengHei" w:hint="default"/>
          <w:b/>
          <w:bCs/>
          <w:sz w:val="6"/>
          <w:szCs w:val="6"/>
        </w:rPr>
      </w:pPr>
    </w:p>
    <w:p>
      <w:pPr>
        <w:pStyle w:val="Heading3"/>
        <w:spacing w:line="335" w:lineRule="exact"/>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0"/>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2" w:right="691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十七、母公司财务报表主要项目注释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、应收票据及应收账款</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7"/>
          <w:szCs w:val="7"/>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336,674.16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195,937,345.07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173,959,155.90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196,274,019.23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173,959,155.90</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336,674.16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336,674.16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6"/>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49"/>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6"/>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2,273,62</w:t>
            </w:r>
          </w:p>
          <w:p>
            <w:pPr>
              <w:pStyle w:val="TableParagraph"/>
              <w:spacing w:line="240" w:lineRule="auto" w:before="103"/>
              <w:ind w:left="417" w:right="0"/>
              <w:jc w:val="lef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2,273,62</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2,273,6</w:t>
            </w:r>
          </w:p>
          <w:p>
            <w:pPr>
              <w:pStyle w:val="TableParagraph"/>
              <w:spacing w:line="240" w:lineRule="auto" w:before="103"/>
              <w:ind w:left="197" w:right="0"/>
              <w:jc w:val="center"/>
              <w:rPr>
                <w:rFonts w:ascii="Times New Roman" w:hAnsi="Times New Roman" w:cs="Times New Roman" w:eastAsia="Times New Roman" w:hint="default"/>
                <w:sz w:val="18"/>
                <w:szCs w:val="18"/>
              </w:rPr>
            </w:pPr>
            <w:r>
              <w:rPr>
                <w:rFonts w:ascii="Times New Roman"/>
                <w:sz w:val="18"/>
              </w:rPr>
              <w:t>25.00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2,273,625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243,796,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263.93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47,858,9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18.86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19.63%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195,937,3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45.07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209,472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,378.50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98.23%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35,513,22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2.60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173,959,15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5.90</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760,600.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760,600.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1,504,4</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50.00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1,504,450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246,830,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488.93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50,893,1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43.86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20.62%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195,937,3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45.07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213,250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,453.50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39,291,29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7.60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173,959,15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5.90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280" w:bottom="1160" w:left="980" w:right="0"/>
        </w:sectPr>
      </w:pPr>
    </w:p>
    <w:p>
      <w:pPr>
        <w:pStyle w:val="BodyText"/>
        <w:spacing w:line="240" w:lineRule="auto" w:before="49"/>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280" w:bottom="1160" w:left="980" w:right="0"/>
          <w:cols w:num="2" w:equalWidth="0">
            <w:col w:w="4293" w:space="4536"/>
            <w:col w:w="2101"/>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广东创盈房地产开发有 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2,273,625.00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2,273,625.00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预计款项无法收回</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2,273,625.00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2,273,625.00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280" w:bottom="1160" w:left="980" w:right="0"/>
        </w:sectPr>
      </w:pPr>
    </w:p>
    <w:p>
      <w:pPr>
        <w:pStyle w:val="BodyText"/>
        <w:spacing w:line="240" w:lineRule="auto" w:before="49"/>
        <w:ind w:right="-20"/>
        <w:jc w:val="left"/>
      </w:pPr>
      <w:r>
        <w:rPr/>
        <w:t>组合中，按账龄分析法计提坏账准备的应收账款：</w:t>
      </w:r>
    </w:p>
    <w:p>
      <w:pPr>
        <w:pStyle w:val="BodyText"/>
        <w:spacing w:line="240" w:lineRule="auto" w:before="12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280" w:bottom="1160" w:left="980" w:right="0"/>
          <w:cols w:num="2" w:equalWidth="0">
            <w:col w:w="4113" w:space="471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120,038,491.84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6,001,924.59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31,036,813.98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3,103,681.40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15,310,283.98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4,593,085.19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19,947,202.26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9,973,601.13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17,394,632.43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13,915,705.94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10,270,920.61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10,270,920.61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213,998,345.10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47,858,918.86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22.36%</w:t>
            </w:r>
          </w:p>
        </w:tc>
      </w:tr>
    </w:tbl>
    <w:p>
      <w:pPr>
        <w:pStyle w:val="BodyText"/>
        <w:spacing w:line="362" w:lineRule="auto" w:before="49"/>
        <w:ind w:right="6434"/>
        <w:jc w:val="left"/>
      </w:pPr>
      <w:r>
        <w:rPr/>
        <w:t>确定该组合依据的说明： 组合中，采用余额百分比法计提坏账准备的应收账款：</w:t>
      </w:r>
    </w:p>
    <w:p>
      <w:pPr>
        <w:pStyle w:val="BodyText"/>
        <w:spacing w:line="340" w:lineRule="auto" w:before="23"/>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00" w:lineRule="auto" w:before="41"/>
        <w:ind w:right="1191"/>
        <w:jc w:val="left"/>
      </w:pPr>
      <w:r>
        <w:rPr/>
        <w:t>受本公司控制的子公司及本公司控股股东的不计提坏账准备：该类型的应收账款期末账面余额</w:t>
      </w:r>
      <w:r>
        <w:rPr>
          <w:spacing w:val="-22"/>
        </w:rPr>
        <w:t> </w:t>
      </w:r>
      <w:r>
        <w:rPr>
          <w:rFonts w:ascii="Times New Roman" w:hAnsi="Times New Roman" w:cs="Times New Roman" w:eastAsia="Times New Roman" w:hint="default"/>
        </w:rPr>
        <w:t>29,797,918.83</w:t>
      </w:r>
      <w:r>
        <w:rPr/>
        <w:t>元，期初账面 余额</w:t>
      </w:r>
      <w:r>
        <w:rPr>
          <w:rFonts w:ascii="Times New Roman" w:hAnsi="Times New Roman" w:cs="Times New Roman" w:eastAsia="Times New Roman" w:hint="default"/>
        </w:rPr>
        <w:t>17,237,210.86</w:t>
      </w:r>
      <w:r>
        <w:rPr>
          <w:rFonts w:ascii="Times New Roman" w:hAnsi="Times New Roman" w:cs="Times New Roman" w:eastAsia="Times New Roman" w:hint="default"/>
          <w:spacing w:val="24"/>
        </w:rPr>
        <w:t> </w:t>
      </w:r>
      <w:r>
        <w:rPr/>
        <w:t>元。</w:t>
      </w:r>
    </w:p>
    <w:p>
      <w:pPr>
        <w:pStyle w:val="BodyText"/>
        <w:spacing w:line="240" w:lineRule="auto" w:before="51"/>
        <w:ind w:right="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4"/>
        <w:ind w:right="3875"/>
        <w:jc w:val="left"/>
      </w:pPr>
      <w:r>
        <w:rPr/>
        <w:t>本期计提坏账准备金额</w:t>
      </w:r>
      <w:r>
        <w:rPr>
          <w:spacing w:val="-47"/>
        </w:rPr>
        <w:t> </w:t>
      </w:r>
      <w:r>
        <w:rPr>
          <w:rFonts w:ascii="Times New Roman" w:hAnsi="Times New Roman" w:cs="Times New Roman" w:eastAsia="Times New Roman" w:hint="default"/>
        </w:rPr>
        <w:t>12,345,696.26 </w:t>
      </w:r>
      <w:r>
        <w:rPr/>
        <w:t>元；本期收回或转回坏账准备金额</w:t>
      </w:r>
      <w:r>
        <w:rPr>
          <w:spacing w:val="-48"/>
        </w:rPr>
        <w:t> </w:t>
      </w:r>
      <w:r>
        <w:rPr>
          <w:rFonts w:ascii="Times New Roman" w:hAnsi="Times New Roman" w:cs="Times New Roman" w:eastAsia="Times New Roman" w:hint="default"/>
        </w:rPr>
        <w:t>743,850.00</w:t>
      </w:r>
      <w:r>
        <w:rPr>
          <w:rFonts w:ascii="Times New Roman" w:hAnsi="Times New Roman" w:cs="Times New Roman" w:eastAsia="Times New Roman" w:hint="default"/>
          <w:spacing w:val="-1"/>
        </w:rPr>
        <w:t> </w:t>
      </w:r>
      <w:r>
        <w:rPr/>
        <w:t>元。 其中本期坏账准备收回或转回金额重要的：</w:t>
      </w:r>
    </w:p>
    <w:p>
      <w:pPr>
        <w:pStyle w:val="BodyText"/>
        <w:spacing w:line="240" w:lineRule="auto" w:before="3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0"/>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1"/>
        <w:jc w:val="right"/>
      </w:pPr>
      <w:r>
        <w:rPr/>
        <w:t>单位：</w:t>
      </w:r>
      <w:r>
        <w:rPr>
          <w:spacing w:val="1"/>
        </w:rPr>
        <w:t> </w:t>
      </w:r>
      <w:r>
        <w:rPr/>
        <w:t>元</w:t>
      </w:r>
    </w:p>
    <w:p>
      <w:pPr>
        <w:spacing w:after="0" w:line="240" w:lineRule="auto"/>
        <w:jc w:val="right"/>
        <w:sectPr>
          <w:type w:val="continuous"/>
          <w:pgSz w:w="11910" w:h="16840"/>
          <w:pgMar w:top="128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113" w:hRule="exact"/>
        </w:trPr>
        <w:tc>
          <w:tcPr>
            <w:tcW w:w="4982" w:type="dxa"/>
            <w:tcBorders>
              <w:top w:val="single" w:sz="6" w:space="0" w:color="000000"/>
              <w:left w:val="nil" w:sz="6" w:space="0" w:color="auto"/>
              <w:bottom w:val="single" w:sz="4" w:space="0" w:color="000000"/>
              <w:right w:val="nil" w:sz="6" w:space="0" w:color="auto"/>
            </w:tcBorders>
          </w:tcPr>
          <w:p>
            <w:pPr/>
          </w:p>
        </w:tc>
        <w:tc>
          <w:tcPr>
            <w:tcW w:w="45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left="112" w:right="0"/>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left="112" w:right="0"/>
        <w:jc w:val="left"/>
      </w:pPr>
      <w:r>
        <w:rPr/>
        <w:t>应收账款核销说明：</w:t>
      </w:r>
    </w:p>
    <w:p>
      <w:pPr>
        <w:pStyle w:val="BodyText"/>
        <w:spacing w:line="240" w:lineRule="auto" w:before="119"/>
        <w:ind w:left="112"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3313"/>
        <w:gridCol w:w="1646"/>
        <w:gridCol w:w="1594"/>
        <w:gridCol w:w="1841"/>
      </w:tblGrid>
      <w:tr>
        <w:trPr>
          <w:trHeight w:val="434" w:hRule="exact"/>
        </w:trPr>
        <w:tc>
          <w:tcPr>
            <w:tcW w:w="3313" w:type="dxa"/>
            <w:vMerge w:val="restart"/>
            <w:tcBorders>
              <w:top w:val="single" w:sz="6" w:space="0" w:color="000000"/>
              <w:left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08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44" w:hRule="exact"/>
        </w:trPr>
        <w:tc>
          <w:tcPr>
            <w:tcW w:w="3313" w:type="dxa"/>
            <w:vMerge/>
            <w:tcBorders>
              <w:left w:val="single" w:sz="6" w:space="0" w:color="000000"/>
              <w:bottom w:val="single" w:sz="12" w:space="0" w:color="000000"/>
              <w:right w:val="single" w:sz="6" w:space="0" w:color="000000"/>
            </w:tcBorders>
          </w:tcPr>
          <w:p>
            <w:pP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314" w:lineRule="auto" w:before="53"/>
              <w:ind w:left="384" w:right="71"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3" w:hRule="exact"/>
        </w:trPr>
        <w:tc>
          <w:tcPr>
            <w:tcW w:w="33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宋体" w:hAnsi="宋体" w:cs="宋体" w:eastAsia="宋体" w:hint="default"/>
                <w:sz w:val="18"/>
                <w:szCs w:val="18"/>
              </w:rPr>
            </w:pPr>
            <w:r>
              <w:rPr>
                <w:rFonts w:ascii="宋体" w:hAnsi="宋体" w:cs="宋体" w:eastAsia="宋体" w:hint="default"/>
                <w:sz w:val="18"/>
                <w:szCs w:val="18"/>
              </w:rPr>
              <w:t>深圳市建研检测有限公司</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24,828,851.40</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z w:val="18"/>
              </w:rPr>
              <w:t>10.06</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32" w:hRule="exact"/>
        </w:trPr>
        <w:tc>
          <w:tcPr>
            <w:tcW w:w="33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广西柳州市东城投资开发集团有限公司</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12,003,708.60</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
                <w:sz w:val="18"/>
              </w:rPr>
              <w:t>4.86</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1,992,532.88</w:t>
            </w:r>
          </w:p>
        </w:tc>
      </w:tr>
      <w:tr>
        <w:trPr>
          <w:trHeight w:val="432" w:hRule="exact"/>
        </w:trPr>
        <w:tc>
          <w:tcPr>
            <w:tcW w:w="33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中国雄安集团城市发展投资有限公司</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11,473,965.91</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
                <w:sz w:val="18"/>
              </w:rPr>
              <w:t>4.65</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573,698.30</w:t>
            </w:r>
          </w:p>
        </w:tc>
      </w:tr>
      <w:tr>
        <w:trPr>
          <w:trHeight w:val="432" w:hRule="exact"/>
        </w:trPr>
        <w:tc>
          <w:tcPr>
            <w:tcW w:w="33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深圳市建筑设计研究总院有限公司</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8,591,950.84</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
                <w:sz w:val="18"/>
              </w:rPr>
              <w:t>3.48</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3,636,726.62</w:t>
            </w:r>
          </w:p>
        </w:tc>
      </w:tr>
      <w:tr>
        <w:trPr>
          <w:trHeight w:val="432" w:hRule="exact"/>
        </w:trPr>
        <w:tc>
          <w:tcPr>
            <w:tcW w:w="33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深圳市龙岗区建筑工务局</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8,351,371.14</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
                <w:sz w:val="18"/>
              </w:rPr>
              <w:t>3.38</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2,791,454.91</w:t>
            </w:r>
          </w:p>
        </w:tc>
      </w:tr>
      <w:tr>
        <w:trPr>
          <w:trHeight w:val="434" w:hRule="exact"/>
        </w:trPr>
        <w:tc>
          <w:tcPr>
            <w:tcW w:w="33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65,249,847.89</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26.44</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8,994,412.71</w:t>
            </w:r>
          </w:p>
        </w:tc>
      </w:tr>
    </w:tbl>
    <w:p>
      <w:pPr>
        <w:spacing w:line="240" w:lineRule="auto" w:before="2"/>
        <w:rPr>
          <w:rFonts w:ascii="宋体" w:hAnsi="宋体" w:cs="宋体" w:eastAsia="宋体" w:hint="default"/>
          <w:sz w:val="24"/>
          <w:szCs w:val="24"/>
        </w:rPr>
      </w:pPr>
    </w:p>
    <w:p>
      <w:pPr>
        <w:pStyle w:val="BodyText"/>
        <w:spacing w:line="240" w:lineRule="auto" w:before="44"/>
        <w:ind w:left="112"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3"/>
        <w:ind w:left="112"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16"/>
          <w:szCs w:val="16"/>
        </w:rPr>
      </w:pPr>
    </w:p>
    <w:p>
      <w:pPr>
        <w:pStyle w:val="Heading3"/>
        <w:spacing w:line="240" w:lineRule="auto"/>
        <w:ind w:left="112"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14,794.52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11,258,427.52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18,525,536.33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11,273,222.04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18,525,536.33</w:t>
            </w:r>
          </w:p>
        </w:tc>
      </w:tr>
    </w:tbl>
    <w:p>
      <w:pPr>
        <w:spacing w:line="240" w:lineRule="auto" w:before="5"/>
        <w:rPr>
          <w:rFonts w:ascii="宋体" w:hAnsi="宋体" w:cs="宋体" w:eastAsia="宋体" w:hint="default"/>
          <w:sz w:val="19"/>
          <w:szCs w:val="19"/>
        </w:rPr>
      </w:pPr>
    </w:p>
    <w:p>
      <w:pPr>
        <w:pStyle w:val="Heading3"/>
        <w:spacing w:line="335" w:lineRule="exact"/>
        <w:ind w:left="112"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112" w:right="0"/>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14,794.52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12" w:right="0"/>
        <w:jc w:val="left"/>
      </w:pPr>
      <w:r>
        <w:rPr>
          <w:rFonts w:ascii="Times New Roman" w:hAnsi="Times New Roman" w:cs="Times New Roman" w:eastAsia="Times New Roman" w:hint="default"/>
        </w:rPr>
        <w:t>2)</w:t>
      </w:r>
      <w:r>
        <w:rPr/>
        <w:t>重要逾期利息</w:t>
      </w:r>
    </w:p>
    <w:p>
      <w:pPr>
        <w:spacing w:after="0" w:line="240" w:lineRule="auto"/>
        <w:jc w:val="left"/>
        <w:sectPr>
          <w:pgSz w:w="11910" w:h="16840"/>
          <w:pgMar w:header="852" w:footer="980" w:top="128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4"/>
          <w:szCs w:val="4"/>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12,966,9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60.93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1,708,53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13.18%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11,258,42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7.52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19,527,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284.50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1,001,748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18,525,536.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12,966,9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60.93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1,708,53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13.18%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11,258,42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7.52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19,527,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284.50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1,001,748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18,525,536.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28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38" w:lineRule="auto" w:before="119"/>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280" w:bottom="1160" w:left="980" w:right="0"/>
          <w:cols w:num="2" w:equalWidth="0">
            <w:col w:w="4473" w:space="4356"/>
            <w:col w:w="2101"/>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205"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8" w:right="0"/>
              <w:jc w:val="left"/>
              <w:rPr>
                <w:rFonts w:ascii="Times New Roman" w:hAnsi="Times New Roman" w:cs="Times New Roman" w:eastAsia="Times New Roman" w:hint="default"/>
                <w:sz w:val="18"/>
                <w:szCs w:val="18"/>
              </w:rPr>
            </w:pPr>
            <w:r>
              <w:rPr>
                <w:rFonts w:ascii="Times New Roman"/>
                <w:sz w:val="18"/>
              </w:rPr>
              <w:t>5,264,880.78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5" w:right="0"/>
              <w:jc w:val="left"/>
              <w:rPr>
                <w:rFonts w:ascii="Times New Roman" w:hAnsi="Times New Roman" w:cs="Times New Roman" w:eastAsia="Times New Roman" w:hint="default"/>
                <w:sz w:val="18"/>
                <w:szCs w:val="18"/>
              </w:rPr>
            </w:pPr>
            <w:r>
              <w:rPr>
                <w:rFonts w:ascii="Times New Roman"/>
                <w:sz w:val="18"/>
              </w:rPr>
              <w:t>263,244.04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280" w:bottom="1160" w:left="980" w:right="0"/>
        </w:sectPr>
      </w:pPr>
    </w:p>
    <w:p>
      <w:pPr>
        <w:spacing w:line="240" w:lineRule="auto" w:before="8"/>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1,059,619.04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105,961.90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1,603,585.81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481,075.74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100,173.70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50,086.85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113,168.77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90,535.02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717,629.86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717,629.86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8,859,057.96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1,708,533.41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19.29%</w:t>
            </w:r>
          </w:p>
        </w:tc>
      </w:tr>
    </w:tbl>
    <w:p>
      <w:pPr>
        <w:pStyle w:val="BodyText"/>
        <w:spacing w:line="360" w:lineRule="auto" w:before="49"/>
        <w:ind w:right="6254"/>
        <w:jc w:val="left"/>
      </w:pPr>
      <w:r>
        <w:rPr/>
        <w:t>确定该组合依据的说明： 组合中，采用余额百分比法计提坏账准备的其他应收款：</w:t>
      </w:r>
    </w:p>
    <w:p>
      <w:pPr>
        <w:pStyle w:val="BodyText"/>
        <w:spacing w:line="340" w:lineRule="auto" w:before="27"/>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19"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受本公司控制的子公司及本公司控股股东的不计提坏账准备：该类型的其他应收款期末账面余额</w:t>
      </w:r>
      <w:r>
        <w:rPr>
          <w:rFonts w:ascii="Times New Roman" w:hAnsi="Times New Roman" w:cs="Times New Roman" w:eastAsia="Times New Roman" w:hint="default"/>
          <w:spacing w:val="-1"/>
        </w:rPr>
        <w:t>11,264,655.11</w:t>
      </w:r>
      <w:r>
        <w:rPr>
          <w:spacing w:val="-1"/>
        </w:rPr>
        <w:t>元，期初账面</w:t>
      </w:r>
      <w:r>
        <w:rPr>
          <w:spacing w:val="-70"/>
        </w:rPr>
        <w:t> </w:t>
      </w:r>
      <w:r>
        <w:rPr>
          <w:spacing w:val="-70"/>
        </w:rPr>
      </w:r>
      <w:r>
        <w:rPr/>
        <w:t>余额</w:t>
      </w:r>
      <w:r>
        <w:rPr>
          <w:rFonts w:ascii="Times New Roman" w:hAnsi="Times New Roman" w:cs="Times New Roman" w:eastAsia="Times New Roman" w:hint="default"/>
        </w:rPr>
        <w:t>14,842,785.61</w:t>
      </w:r>
      <w:r>
        <w:rPr/>
        <w:t>元。</w:t>
      </w:r>
    </w:p>
    <w:p>
      <w:pPr>
        <w:pStyle w:val="BodyText"/>
        <w:spacing w:line="240" w:lineRule="auto" w:before="35"/>
        <w:ind w:right="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4591"/>
        <w:jc w:val="left"/>
      </w:pPr>
      <w:r>
        <w:rPr/>
        <w:t>本期计提坏账准备金额</w:t>
      </w:r>
      <w:r>
        <w:rPr>
          <w:spacing w:val="-46"/>
        </w:rPr>
        <w:t> </w:t>
      </w:r>
      <w:r>
        <w:rPr>
          <w:rFonts w:ascii="Times New Roman" w:hAnsi="Times New Roman" w:cs="Times New Roman" w:eastAsia="Times New Roman" w:hint="default"/>
        </w:rPr>
        <w:t>155,134.03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pStyle w:val="BodyText"/>
        <w:spacing w:line="240" w:lineRule="auto" w:before="41"/>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pgSz w:w="11910" w:h="16840"/>
          <w:pgMar w:header="852" w:footer="980" w:top="1280" w:bottom="1160" w:left="980" w:right="0"/>
        </w:sectPr>
      </w:pPr>
    </w:p>
    <w:p>
      <w:pPr>
        <w:pStyle w:val="BodyText"/>
        <w:spacing w:line="240" w:lineRule="auto" w:before="49"/>
        <w:ind w:right="-18"/>
        <w:jc w:val="left"/>
      </w:pPr>
      <w:r>
        <w:rPr/>
        <w:t>其他应收款核销说明：</w:t>
      </w:r>
    </w:p>
    <w:p>
      <w:pPr>
        <w:pStyle w:val="BodyText"/>
        <w:spacing w:line="240" w:lineRule="auto" w:before="119"/>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280" w:bottom="1160" w:left="980" w:right="0"/>
          <w:cols w:num="2" w:equalWidth="0">
            <w:col w:w="2825" w:space="6004"/>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4,107,902.97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14,842,785.61</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1,365,960.00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1,180,449.00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3,221,694.04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2,492,579.10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606,793.20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389,306.02</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3,664,610.72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622,164.77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12,966,960.93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19,527,284.50</w:t>
            </w:r>
          </w:p>
        </w:tc>
      </w:tr>
    </w:tbl>
    <w:p>
      <w:pPr>
        <w:pStyle w:val="BodyText"/>
        <w:spacing w:line="240" w:lineRule="auto" w:before="49"/>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1"/>
        <w:jc w:val="right"/>
      </w:pPr>
      <w:r>
        <w:rPr/>
        <w:t>单位：</w:t>
      </w:r>
      <w:r>
        <w:rPr>
          <w:spacing w:val="1"/>
        </w:rPr>
        <w:t> </w:t>
      </w:r>
      <w:r>
        <w:rPr/>
        <w:t>元</w:t>
      </w:r>
    </w:p>
    <w:p>
      <w:pPr>
        <w:spacing w:after="0" w:line="240" w:lineRule="auto"/>
        <w:jc w:val="right"/>
        <w:sectPr>
          <w:type w:val="continuous"/>
          <w:pgSz w:w="11910" w:h="16840"/>
          <w:pgMar w:top="1280" w:bottom="1160" w:left="980" w:right="0"/>
        </w:sectPr>
      </w:pP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9"/>
              <w:jc w:val="left"/>
              <w:rPr>
                <w:rFonts w:ascii="宋体" w:hAnsi="宋体" w:cs="宋体" w:eastAsia="宋体" w:hint="default"/>
                <w:sz w:val="18"/>
                <w:szCs w:val="18"/>
              </w:rPr>
            </w:pPr>
            <w:r>
              <w:rPr>
                <w:rFonts w:ascii="宋体" w:hAnsi="宋体" w:cs="宋体" w:eastAsia="宋体" w:hint="default"/>
                <w:sz w:val="18"/>
                <w:szCs w:val="18"/>
              </w:rPr>
              <w:t>深圳市龙岗区住房和 建设局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代垫工程款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3,335,228.68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166,761.43</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朔黄铁路发展有限责 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1,744,608.75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453,598.28</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9"/>
              <w:jc w:val="left"/>
              <w:rPr>
                <w:rFonts w:ascii="宋体" w:hAnsi="宋体" w:cs="宋体" w:eastAsia="宋体" w:hint="default"/>
                <w:sz w:val="18"/>
                <w:szCs w:val="18"/>
              </w:rPr>
            </w:pPr>
            <w:r>
              <w:rPr>
                <w:rFonts w:ascii="宋体" w:hAnsi="宋体" w:cs="宋体" w:eastAsia="宋体" w:hint="default"/>
                <w:sz w:val="18"/>
                <w:szCs w:val="18"/>
              </w:rPr>
              <w:t>中关村发展集团股份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570,506.92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28,525.35</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柳州市公共资源交易 服务中心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16,500.00</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9"/>
              <w:jc w:val="left"/>
              <w:rPr>
                <w:rFonts w:ascii="宋体" w:hAnsi="宋体" w:cs="宋体" w:eastAsia="宋体" w:hint="default"/>
                <w:sz w:val="18"/>
                <w:szCs w:val="18"/>
              </w:rPr>
            </w:pPr>
            <w:r>
              <w:rPr>
                <w:rFonts w:ascii="宋体" w:hAnsi="宋体" w:cs="宋体" w:eastAsia="宋体" w:hint="default"/>
                <w:sz w:val="18"/>
                <w:szCs w:val="18"/>
              </w:rPr>
              <w:t>深圳市联泰房地产开 发有限公司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291,608.00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29,160.80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6,271,952.35</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694,545.86</w:t>
            </w:r>
          </w:p>
        </w:tc>
      </w:tr>
    </w:tbl>
    <w:p>
      <w:pPr>
        <w:pStyle w:val="BodyText"/>
        <w:spacing w:line="240" w:lineRule="auto" w:before="49"/>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8"/>
        <w:gridCol w:w="1944"/>
      </w:tblGrid>
      <w:tr>
        <w:trPr>
          <w:trHeight w:val="713"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6"/>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52,132,838.03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5,186,451.53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46,946,386.50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31,132,838.03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31,132,838.03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3,326,501.86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3,326,501.86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3,884,652.43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3,884,652.43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55,459,339.89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5,186,451.53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50,272,888.36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35,017,490.46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35,017,490.46</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市政中心</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9,427,838.03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9,427,838.03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艾科筑业</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240,068.31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240,068.31</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深圳艾科城</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983,448.74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983,448.74</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北京艾科城</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建研检测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常州城建艾科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上海爱轲</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498,814.35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498,814.35</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深圳玖伊</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3,464,120.13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3,464,120.13</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雄安玖壹</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绿研检验</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建信筑和</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31,132,838.03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52,132,838.03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5,186,451.53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5,186,451.53</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荆门玖伊 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1,484,066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-266,080.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1,217,986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绿研智库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2,400,585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-292,070.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2,108,514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3,884,652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-558,150.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3,326,501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3,884,652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-558,150.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3,326,501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5"/>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294,125,936.74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165,675,073.06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304,538,140.64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180,280,994.88</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280" w:bottom="1160" w:left="980" w:right="0"/>
        </w:sectPr>
      </w:pPr>
    </w:p>
    <w:p>
      <w:pPr>
        <w:spacing w:line="240" w:lineRule="auto" w:before="8"/>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5"/>
      </w:tblGrid>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294,125,936.74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165,675,073.06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304,538,140.64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180,280,994.88</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5,551,648.62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-558,150.57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-115,347.57</w:t>
            </w: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1,220,968.47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6,214,466.52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-115,347.57</w:t>
            </w:r>
          </w:p>
        </w:tc>
      </w:tr>
    </w:tbl>
    <w:p>
      <w:pPr>
        <w:spacing w:line="240" w:lineRule="auto" w:before="5"/>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十八、补充资料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5,770.00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24,011,542.95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2,112,436.97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743,850.00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-202,402.17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4,156,069.25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1,322.82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22,513,805.68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0" w:lineRule="auto"/>
        <w:jc w:val="left"/>
        <w:sectPr>
          <w:pgSz w:w="11910" w:h="16840"/>
          <w:pgMar w:header="852" w:footer="980" w:top="1280" w:bottom="1160" w:left="980" w:right="0"/>
        </w:sectPr>
      </w:pPr>
    </w:p>
    <w:p>
      <w:pPr>
        <w:spacing w:line="240" w:lineRule="auto" w:before="0"/>
        <w:rPr>
          <w:rFonts w:ascii="宋体" w:hAnsi="宋体" w:cs="宋体" w:eastAsia="宋体" w:hint="default"/>
          <w:sz w:val="9"/>
          <w:szCs w:val="9"/>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4"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0.2361</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0.0797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0.0797</w:t>
            </w:r>
          </w:p>
        </w:tc>
      </w:tr>
    </w:tbl>
    <w:p>
      <w:pPr>
        <w:spacing w:line="240" w:lineRule="auto" w:before="10"/>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5"/>
          <w:szCs w:val="25"/>
        </w:rPr>
      </w:pPr>
    </w:p>
    <w:p>
      <w:pPr>
        <w:pStyle w:val="Heading3"/>
        <w:spacing w:line="314"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6"/>
        </w:rPr>
        <w:t> </w:t>
      </w:r>
      <w:r>
        <w:rPr>
          <w:spacing w:val="26"/>
        </w:rPr>
      </w:r>
      <w:r>
        <w:rPr/>
        <w:t>明该境外机构的名称</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52" w:footer="980" w:top="1280" w:bottom="1160" w:left="980" w:right="0"/>
        </w:sectPr>
      </w:pPr>
    </w:p>
    <w:p>
      <w:pPr>
        <w:spacing w:line="240" w:lineRule="auto" w:before="10"/>
        <w:rPr>
          <w:rFonts w:ascii="Microsoft JhengHei" w:hAnsi="Microsoft JhengHei" w:cs="Microsoft JhengHei" w:eastAsia="Microsoft JhengHei" w:hint="default"/>
          <w:b/>
          <w:bCs/>
          <w:sz w:val="17"/>
          <w:szCs w:val="17"/>
        </w:rPr>
      </w:pPr>
    </w:p>
    <w:p>
      <w:pPr>
        <w:pStyle w:val="Heading1"/>
        <w:spacing w:line="456" w:lineRule="exact"/>
        <w:ind w:left="3285" w:right="0"/>
        <w:jc w:val="left"/>
        <w:rPr>
          <w:b w:val="0"/>
          <w:bCs w:val="0"/>
        </w:rPr>
      </w:pPr>
      <w:bookmarkStart w:name="_bookmark11" w:id="12"/>
      <w:bookmarkEnd w:id="12"/>
      <w:r>
        <w:rPr>
          <w:b w:val="0"/>
          <w:bCs w:val="0"/>
        </w:rPr>
      </w:r>
      <w:r>
        <w:rPr/>
        <w:t>第十二节 </w:t>
      </w:r>
      <w:r>
        <w:rPr>
          <w:spacing w:val="8"/>
        </w:rPr>
        <w:t> </w:t>
      </w:r>
      <w:r>
        <w:rPr/>
        <w:t>备查文件目录</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16" w:lineRule="auto"/>
        <w:ind w:right="2474"/>
        <w:jc w:val="left"/>
      </w:pPr>
      <w:r>
        <w:rPr/>
        <w:t>一、载有公司负责人、主管会计工作负责人、会计机构负责人（会计主管人员）签名并盖章的财务报表。 二、载有会计师事务所盖章、注册会计师签名并盖章的审计报告原件。 三、报告期内在中国证监会指定网站上公开披露过的所有公司文件的正本及公告的原稿。 四、载有法定代表人签名的公司</w:t>
      </w:r>
      <w:r>
        <w:rPr>
          <w:rFonts w:ascii="Times New Roman" w:hAnsi="Times New Roman" w:cs="Times New Roman" w:eastAsia="Times New Roman" w:hint="default"/>
        </w:rPr>
        <w:t>2018</w:t>
      </w:r>
      <w:r>
        <w:rPr/>
        <w:t>年年度报告文本。</w:t>
      </w:r>
    </w:p>
    <w:p>
      <w:pPr>
        <w:pStyle w:val="BodyText"/>
        <w:spacing w:line="316" w:lineRule="auto"/>
        <w:ind w:right="6974"/>
        <w:jc w:val="left"/>
      </w:pPr>
      <w:r>
        <w:rPr/>
        <w:t>五、其他备查文件。 六、以上文件的备置地点：公司董事会办公室。</w:t>
      </w:r>
    </w:p>
    <w:sectPr>
      <w:pgSz w:w="11910" w:h="16840"/>
      <w:pgMar w:header="852" w:footer="980" w:top="128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2128" type="#_x0000_t75" stroked="false">
          <v:imagedata r:id="rId1" o:title=""/>
        </v:shape>
      </w:pict>
    </w:r>
    <w:r>
      <w:rPr/>
      <w:pict>
        <v:shape style="position:absolute;margin-left:533.099976pt;margin-top:795.613892pt;width:6.5pt;height:11pt;mso-position-horizontal-relative:page;mso-position-vertical-relative:page;z-index:-10221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2080" type="#_x0000_t75" stroked="false">
          <v:imagedata r:id="rId1" o:title=""/>
        </v:shape>
      </w:pict>
    </w:r>
    <w:r>
      <w:rPr/>
      <w:pict>
        <v:shape style="position:absolute;margin-left:527.659973pt;margin-top:781.933899pt;width:13.15pt;height:11pt;mso-position-horizontal-relative:page;mso-position-vertical-relative:page;z-index:-1022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1960" type="#_x0000_t75" stroked="false">
          <v:imagedata r:id="rId1" o:title=""/>
        </v:shape>
      </w:pict>
    </w:r>
    <w:r>
      <w:rPr/>
      <w:pict>
        <v:shape style="position:absolute;margin-left:524.099976pt;margin-top:781.933899pt;width:15.7pt;height:11pt;mso-position-horizontal-relative:page;mso-position-vertical-relative:page;z-index:-10219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1912" type="#_x0000_t75" stroked="false">
          <v:imagedata r:id="rId1" o:title=""/>
        </v:shape>
      </w:pict>
    </w:r>
    <w:r>
      <w:rPr/>
      <w:pict>
        <v:shape style="position:absolute;margin-left:523.099976pt;margin-top:781.933899pt;width:17.7pt;height:11pt;mso-position-horizontal-relative:page;mso-position-vertical-relative:page;z-index:-1021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1864" type="#_x0000_t75" stroked="false">
          <v:imagedata r:id="rId1" o:title=""/>
        </v:shape>
      </w:pict>
    </w:r>
    <w:r>
      <w:rPr/>
      <w:pict>
        <v:shape style="position:absolute;margin-left:523.460022pt;margin-top:781.933899pt;width:17.3pt;height:11pt;mso-position-horizontal-relative:page;mso-position-vertical-relative:page;z-index:-1021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1816" type="#_x0000_t75" stroked="false">
          <v:imagedata r:id="rId1" o:title=""/>
        </v:shape>
      </w:pict>
    </w:r>
    <w:r>
      <w:rPr/>
      <w:pict>
        <v:shape style="position:absolute;margin-left:523.460022pt;margin-top:781.933899pt;width:17.3pt;height:11pt;mso-position-horizontal-relative:page;mso-position-vertical-relative:page;z-index:-1021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1768" type="#_x0000_t75" stroked="false">
          <v:imagedata r:id="rId1" o:title=""/>
        </v:shape>
      </w:pict>
    </w:r>
    <w:r>
      <w:rPr/>
      <w:pict>
        <v:shape style="position:absolute;margin-left:523.099976pt;margin-top:781.933899pt;width:17.7pt;height:11pt;mso-position-horizontal-relative:page;mso-position-vertical-relative:page;z-index:-1021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309998pt;margin-top:47.305607pt;width:231.35pt;height:11.5pt;mso-position-horizontal-relative:page;mso-position-vertical-relative:page;z-index:-1022152" type="#_x0000_t202" filled="false" stroked="false">
          <v:textbox inset="0,0,0,0">
            <w:txbxContent>
              <w:p>
                <w:pPr>
                  <w:pStyle w:val="BodyText"/>
                  <w:spacing w:line="214" w:lineRule="exact"/>
                  <w:ind w:left="20" w:right="0"/>
                  <w:jc w:val="left"/>
                </w:pPr>
                <w:r>
                  <w:rPr/>
                  <w:t>深圳市建筑科学研究院股份有限公司</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0002pt;margin-top:42.599983pt;width:36.6pt;height:20.05pt;mso-position-horizontal-relative:page;mso-position-vertical-relative:page;z-index:-1022032" type="#_x0000_t75" stroked="false">
          <v:imagedata r:id="rId1" o:title=""/>
        </v:shape>
      </w:pict>
    </w:r>
    <w:r>
      <w:rPr/>
      <w:pict>
        <v:group style="position:absolute;margin-left:55.200001pt;margin-top:66.599983pt;width:484.9pt;height:.1pt;mso-position-horizontal-relative:page;mso-position-vertical-relative:page;z-index:-1022008" coordorigin="1104,1332" coordsize="9698,2">
          <v:shape style="position:absolute;left:1104;top:1332;width:9698;height:2" coordorigin="1104,1332" coordsize="9698,0" path="m1104,1332l10802,1332e" filled="false" stroked="true" strokeweight=".72pt" strokecolor="#000000">
            <v:path arrowok="t"/>
          </v:shape>
          <w10:wrap type="none"/>
        </v:group>
      </w:pict>
    </w:r>
    <w:r>
      <w:rPr/>
      <w:pict>
        <v:shape style="position:absolute;margin-left:308.309998pt;margin-top:53.905609pt;width:231.35pt;height:11.5pt;mso-position-horizontal-relative:page;mso-position-vertical-relative:page;z-index:-1021984" type="#_x0000_t202" filled="false" stroked="false">
          <v:textbox inset="0,0,0,0">
            <w:txbxContent>
              <w:p>
                <w:pPr>
                  <w:pStyle w:val="BodyText"/>
                  <w:spacing w:line="214" w:lineRule="exact"/>
                  <w:ind w:left="20" w:right="0"/>
                  <w:jc w:val="left"/>
                </w:pPr>
                <w:r>
                  <w:rPr/>
                  <w:t>深圳市建筑科学研究院股份有限公司</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0002pt;margin-top:42.599983pt;width:36.6pt;height:20.05pt;mso-position-horizontal-relative:page;mso-position-vertical-relative:page;z-index:-1021720" type="#_x0000_t75" stroked="false">
          <v:imagedata r:id="rId1" o:title=""/>
        </v:shape>
      </w:pict>
    </w:r>
    <w:r>
      <w:rPr/>
      <w:pict>
        <v:shape style="position:absolute;margin-left:308.309998pt;margin-top:53.905609pt;width:231.35pt;height:11.5pt;mso-position-horizontal-relative:page;mso-position-vertical-relative:page;z-index:-1021696" type="#_x0000_t202" filled="false" stroked="false">
          <v:textbox inset="0,0,0,0">
            <w:txbxContent>
              <w:p>
                <w:pPr>
                  <w:pStyle w:val="BodyText"/>
                  <w:spacing w:line="214" w:lineRule="exact"/>
                  <w:ind w:left="20" w:right="0"/>
                  <w:jc w:val="left"/>
                </w:pPr>
                <w:r>
                  <w:rPr/>
                  <w:t>深圳市建筑科学研究院股份有限公司</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071"/>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szibr.com/" TargetMode="External"/><Relationship Id="rId11" Type="http://schemas.openxmlformats.org/officeDocument/2006/relationships/hyperlink" Target="mailto:ibrir@ibrcn.com" TargetMode="External"/><Relationship Id="rId12" Type="http://schemas.openxmlformats.org/officeDocument/2006/relationships/hyperlink" Target="mailto:Maohw@ibrcn.com" TargetMode="External"/><Relationship Id="rId13" Type="http://schemas.openxmlformats.org/officeDocument/2006/relationships/hyperlink" Target="mailto:Shuyanming@ibrcn.com" TargetMode="External"/><Relationship Id="rId14" Type="http://schemas.openxmlformats.org/officeDocument/2006/relationships/hyperlink" Target="http://www.cninfo.com.cn/" TargetMode="External"/><Relationship Id="rId15" Type="http://schemas.openxmlformats.org/officeDocument/2006/relationships/image" Target="media/image3.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深圳市建筑科学研究院股份有限公司</dc:creator>
  <dc:title>深圳市建筑科学研究院股份有限公司2018年年度报告全文</dc:title>
  <dcterms:created xsi:type="dcterms:W3CDTF">2020-05-04T20:54:55Z</dcterms:created>
  <dcterms:modified xsi:type="dcterms:W3CDTF">2020-05-04T20:54:55Z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Microsoft® Word 2016</vt:lpwstr>
  </property>
  <property fmtid="{D5CDD505-2E9C-101B-9397-08002B2CF9AE}" pid="4" name="LastSaved">
    <vt:filetime>2020-05-04T00:00:00Z</vt:filetime>
  </property>
</Properties>
</file>