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060" w:right="3043" w:firstLine="0"/>
        <w:jc w:val="center"/>
        <w:rPr>
          <w:rFonts w:ascii="宋体" w:hAnsi="宋体" w:cs="宋体" w:eastAsia="宋体" w:hint="default"/>
          <w:sz w:val="36"/>
          <w:szCs w:val="36"/>
        </w:rPr>
      </w:pPr>
      <w:r>
        <w:rPr/>
        <w:pict>
          <v:group style="position:absolute;margin-left:55.200001pt;margin-top:-84.91655pt;width:484.9pt;height:.1pt;mso-position-horizontal-relative:page;mso-position-vertical-relative:paragraph;z-index:0" coordorigin="1104,-1698" coordsize="9698,2">
            <v:shape style="position:absolute;left:1104;top:-1698;width:9698;height:2" coordorigin="1104,-1698" coordsize="9698,0" path="m1104,-1698l10802,-1698e" filled="false" stroked="true" strokeweight=".72pt" strokecolor="#000000">
              <v:path arrowok="t"/>
            </v:shape>
            <w10:wrap type="none"/>
          </v:group>
        </w:pict>
      </w:r>
      <w:r>
        <w:rPr>
          <w:rFonts w:ascii="宋体" w:hAnsi="宋体" w:cs="宋体" w:eastAsia="宋体" w:hint="default"/>
          <w:b/>
          <w:bCs/>
          <w:sz w:val="36"/>
          <w:szCs w:val="36"/>
        </w:rPr>
        <w:t>深圳市建筑科学研究院股份有限公司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0"/>
          <w:szCs w:val="30"/>
        </w:rPr>
      </w:pPr>
    </w:p>
    <w:p>
      <w:pPr>
        <w:spacing w:before="0"/>
        <w:ind w:left="2060" w:right="30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7"/>
        <w:rPr>
          <w:rFonts w:ascii="宋体" w:hAnsi="宋体" w:cs="宋体" w:eastAsia="宋体" w:hint="default"/>
          <w:b/>
          <w:bCs/>
          <w:sz w:val="28"/>
          <w:szCs w:val="28"/>
        </w:rPr>
      </w:pPr>
    </w:p>
    <w:p>
      <w:pPr>
        <w:spacing w:before="0"/>
        <w:ind w:left="2060" w:right="3040" w:firstLine="0"/>
        <w:jc w:val="center"/>
        <w:rPr>
          <w:rFonts w:ascii="宋体" w:hAnsi="宋体" w:cs="宋体" w:eastAsia="宋体" w:hint="default"/>
          <w:sz w:val="32"/>
          <w:szCs w:val="32"/>
        </w:rPr>
      </w:pPr>
      <w:r>
        <w:rPr>
          <w:rFonts w:ascii="宋体" w:hAnsi="宋体" w:cs="宋体" w:eastAsia="宋体" w:hint="default"/>
          <w:b/>
          <w:bCs/>
          <w:sz w:val="32"/>
          <w:szCs w:val="32"/>
        </w:rPr>
        <w:t>（</w:t>
      </w:r>
      <w:r>
        <w:rPr>
          <w:rFonts w:ascii="Times New Roman" w:hAnsi="Times New Roman" w:cs="Times New Roman" w:eastAsia="Times New Roman" w:hint="default"/>
          <w:b/>
          <w:bCs/>
          <w:sz w:val="32"/>
          <w:szCs w:val="32"/>
        </w:rPr>
        <w:t>2020-015</w:t>
      </w:r>
      <w:r>
        <w:rPr>
          <w:rFonts w:ascii="宋体" w:hAnsi="宋体" w:cs="宋体" w:eastAsia="宋体" w:hint="default"/>
          <w:b/>
          <w:bCs/>
          <w:sz w:val="32"/>
          <w:szCs w:val="32"/>
        </w:rPr>
        <w:t>）</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2060" w:right="303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5" w:top="1060" w:bottom="1160" w:left="980" w:right="0"/>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left="2885" w:right="0"/>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公司负责人叶青、主管会计工作负责人叶小平及会计机构负责人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陈友莲声明：保证年度报告中财务报告的真实、准确、完整。</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936"/>
        <w:gridCol w:w="2211"/>
        <w:gridCol w:w="2210"/>
        <w:gridCol w:w="2213"/>
      </w:tblGrid>
      <w:tr>
        <w:trPr>
          <w:trHeight w:val="403"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公务原因</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叶青</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吴硕贤</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公务原因</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林晓春</w:t>
            </w:r>
          </w:p>
        </w:tc>
      </w:tr>
    </w:tbl>
    <w:p>
      <w:pPr>
        <w:spacing w:line="240" w:lineRule="auto" w:before="2"/>
        <w:rPr>
          <w:rFonts w:ascii="宋体" w:hAnsi="宋体" w:cs="宋体" w:eastAsia="宋体" w:hint="default"/>
          <w:b/>
          <w:bCs/>
          <w:sz w:val="13"/>
          <w:szCs w:val="13"/>
        </w:rPr>
      </w:pPr>
    </w:p>
    <w:p>
      <w:pPr>
        <w:spacing w:line="403" w:lineRule="auto" w:before="14"/>
        <w:ind w:left="152" w:right="1133" w:firstLine="562"/>
        <w:jc w:val="both"/>
        <w:rPr>
          <w:rFonts w:ascii="宋体" w:hAnsi="宋体" w:cs="宋体" w:eastAsia="宋体" w:hint="default"/>
          <w:sz w:val="28"/>
          <w:szCs w:val="28"/>
        </w:rPr>
      </w:pPr>
      <w:r>
        <w:rPr>
          <w:rFonts w:ascii="宋体" w:hAnsi="宋体" w:cs="宋体" w:eastAsia="宋体" w:hint="default"/>
          <w:b/>
          <w:bCs/>
          <w:spacing w:val="2"/>
          <w:sz w:val="28"/>
          <w:szCs w:val="28"/>
        </w:rPr>
        <w:t>本年度报告中涉及未来计划或规划等前瞻性陈述的，均不构成公司对投资</w:t>
      </w:r>
      <w:r>
        <w:rPr>
          <w:rFonts w:ascii="宋体" w:hAnsi="宋体" w:cs="宋体" w:eastAsia="宋体" w:hint="default"/>
          <w:b/>
          <w:bCs/>
          <w:w w:val="99"/>
          <w:sz w:val="28"/>
          <w:szCs w:val="28"/>
        </w:rPr>
        <w:t> </w:t>
      </w:r>
      <w:r>
        <w:rPr>
          <w:rFonts w:ascii="宋体" w:hAnsi="宋体" w:cs="宋体" w:eastAsia="宋体" w:hint="default"/>
          <w:b/>
          <w:bCs/>
          <w:spacing w:val="2"/>
          <w:sz w:val="28"/>
          <w:szCs w:val="28"/>
        </w:rPr>
        <w:t>者的实质承诺，投资者及相关人士均应对此保持足够的风险认识，并且应当理</w:t>
      </w:r>
      <w:r>
        <w:rPr>
          <w:rFonts w:ascii="宋体" w:hAnsi="宋体" w:cs="宋体" w:eastAsia="宋体" w:hint="default"/>
          <w:b/>
          <w:bCs/>
          <w:w w:val="99"/>
          <w:sz w:val="28"/>
          <w:szCs w:val="28"/>
        </w:rPr>
        <w:t> </w:t>
      </w:r>
      <w:r>
        <w:rPr>
          <w:rFonts w:ascii="宋体" w:hAnsi="宋体" w:cs="宋体" w:eastAsia="宋体" w:hint="default"/>
          <w:b/>
          <w:bCs/>
          <w:spacing w:val="2"/>
          <w:sz w:val="28"/>
          <w:szCs w:val="28"/>
        </w:rPr>
        <w:t>解计划、预测与承诺之间的差异。敬请投资者注意投资风险。公司不存在因经</w:t>
      </w:r>
      <w:r>
        <w:rPr>
          <w:rFonts w:ascii="宋体" w:hAnsi="宋体" w:cs="宋体" w:eastAsia="宋体" w:hint="default"/>
          <w:b/>
          <w:bCs/>
          <w:w w:val="99"/>
          <w:sz w:val="28"/>
          <w:szCs w:val="28"/>
        </w:rPr>
        <w:t> </w:t>
      </w:r>
      <w:r>
        <w:rPr>
          <w:rFonts w:ascii="宋体" w:hAnsi="宋体" w:cs="宋体" w:eastAsia="宋体" w:hint="default"/>
          <w:b/>
          <w:bCs/>
          <w:spacing w:val="2"/>
          <w:sz w:val="28"/>
          <w:szCs w:val="28"/>
        </w:rPr>
        <w:t>营状况、财务状况和持续盈利能力方面有严重不利影响的风险因素。有关公司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可能面对的风险及公司应对措施等详见本报告第四节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w:t>
      </w:r>
      <w:r>
        <w:rPr>
          <w:rFonts w:ascii="宋体" w:hAnsi="宋体" w:cs="宋体" w:eastAsia="宋体" w:hint="default"/>
          <w:b/>
          <w:bCs/>
          <w:w w:val="99"/>
          <w:sz w:val="28"/>
          <w:szCs w:val="28"/>
        </w:rPr>
        <w:t> </w:t>
      </w:r>
      <w:r>
        <w:rPr>
          <w:rFonts w:ascii="宋体" w:hAnsi="宋体" w:cs="宋体" w:eastAsia="宋体" w:hint="default"/>
          <w:b/>
          <w:bCs/>
          <w:sz w:val="28"/>
          <w:szCs w:val="28"/>
        </w:rPr>
        <w:t>相关内容。</w:t>
      </w:r>
      <w:r>
        <w:rPr>
          <w:rFonts w:ascii="宋体" w:hAnsi="宋体" w:cs="宋体" w:eastAsia="宋体" w:hint="default"/>
          <w:sz w:val="28"/>
          <w:szCs w:val="28"/>
        </w:rPr>
      </w:r>
    </w:p>
    <w:p>
      <w:pPr>
        <w:spacing w:before="165"/>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公司经本次董事会审议通过的利润分配预案为：以总股本</w:t>
      </w:r>
      <w:r>
        <w:rPr>
          <w:rFonts w:ascii="宋体" w:hAnsi="宋体" w:cs="宋体" w:eastAsia="宋体" w:hint="default"/>
          <w:b/>
          <w:bCs/>
          <w:spacing w:val="-101"/>
          <w:sz w:val="28"/>
          <w:szCs w:val="28"/>
        </w:rPr>
        <w:t> </w:t>
      </w:r>
      <w:r>
        <w:rPr>
          <w:rFonts w:ascii="Times New Roman" w:hAnsi="Times New Roman" w:cs="Times New Roman" w:eastAsia="Times New Roman" w:hint="default"/>
          <w:b/>
          <w:bCs/>
          <w:sz w:val="28"/>
          <w:szCs w:val="28"/>
        </w:rPr>
        <w:t>146,666,700</w:t>
      </w:r>
      <w:r>
        <w:rPr>
          <w:rFonts w:ascii="Times New Roman" w:hAnsi="Times New Roman" w:cs="Times New Roman" w:eastAsia="Times New Roman" w:hint="default"/>
          <w:b/>
          <w:bCs/>
          <w:spacing w:val="-32"/>
          <w:sz w:val="28"/>
          <w:szCs w:val="28"/>
        </w:rPr>
        <w:t> </w:t>
      </w:r>
      <w:r>
        <w:rPr>
          <w:rFonts w:ascii="宋体" w:hAnsi="宋体" w:cs="宋体" w:eastAsia="宋体" w:hint="default"/>
          <w:b/>
          <w:bCs/>
          <w:sz w:val="28"/>
          <w:szCs w:val="28"/>
        </w:rPr>
        <w:t>股为</w:t>
      </w:r>
      <w:r>
        <w:rPr>
          <w:rFonts w:ascii="宋体" w:hAnsi="宋体" w:cs="宋体" w:eastAsia="宋体" w:hint="default"/>
          <w:sz w:val="28"/>
          <w:szCs w:val="28"/>
        </w:rPr>
      </w:r>
    </w:p>
    <w:p>
      <w:pPr>
        <w:spacing w:before="237"/>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基数</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向全体股东每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75</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以资本公积金向全体股东每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5" w:header="748" w:top="1060" w:bottom="1160" w:left="980" w:right="0"/>
          <w:pgNumType w:start="2"/>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060" w:right="303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第十三节备查文件目录</w:t>
            </w:r>
            <w:r>
              <w:rPr>
                <w:rFonts w:ascii="Times New Roman" w:hAnsi="Times New Roman" w:cs="Times New Roman" w:eastAsia="Times New Roman" w:hint="default"/>
              </w:rPr>
              <w:tab/>
              <w:t>209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5" w:top="1060" w:bottom="1160" w:left="980" w:right="0"/>
        </w:sectPr>
      </w:pPr>
    </w:p>
    <w:p>
      <w:pPr>
        <w:spacing w:before="942"/>
        <w:ind w:left="2060" w:right="303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公司、本公司、建科院、</w:t>
            </w:r>
            <w:r>
              <w:rPr>
                <w:rFonts w:ascii="Times New Roman" w:hAnsi="Times New Roman" w:cs="Times New Roman" w:eastAsia="Times New Roman" w:hint="default"/>
                <w:sz w:val="18"/>
                <w:szCs w:val="18"/>
              </w:rPr>
              <w:t>IBR</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深圳市建筑科学研究院股份有限公司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控股股东、公司控股股东、远致投资、深圳 资本集团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深圳市资本运营集团有限公司（原深圳市远致投资有限公司）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深圳市国资委、市国资委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深圳市人民政府国有资产监督管理委员会</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市政中心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深圳市市政工程咨询中心有限公司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北京艾科城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北京艾科城工程技术有限公司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深圳艾科城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深圳艾科城工程技术有限公司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艾科筑业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深圳艾科筑业工程技术有限公司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建研检测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深圳市建研检测有限公司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常州城建艾科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常州市城建艾科绿色技术有限公司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上海爱轲</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上海市爱轲城生态科技有限公司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深圳玖伊</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深圳玖伊绿色运营管理有限公司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雄安玖壹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河北雄安玖壹生态科技有限公司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绿研检验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河北雄安绿研检验认证有限公司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迪赛恩</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深圳市迪赛恩科技有限公司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建信筑和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深圳市建信筑和科技有限公司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绿研智库</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雄安绿研智库有限公司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荆门玖伊园</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荆门玖伊园科技有限公司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湖北建胜</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湖北建胜工程技术咨询有限公司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丰天工程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湖北丰天工程技术服务有限公司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图强建设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湖北图强建设工程施工图咨询有限公司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精兴建设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湖北精兴建设工程质量检测有限公司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领航培训</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荆门市领航职业技能培训有限公司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绿色建筑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9"/>
              <w:jc w:val="left"/>
              <w:rPr>
                <w:rFonts w:ascii="宋体" w:hAnsi="宋体" w:cs="宋体" w:eastAsia="宋体" w:hint="default"/>
                <w:sz w:val="18"/>
                <w:szCs w:val="18"/>
              </w:rPr>
            </w:pPr>
            <w:r>
              <w:rPr>
                <w:rFonts w:ascii="宋体" w:hAnsi="宋体" w:cs="宋体" w:eastAsia="宋体" w:hint="default"/>
                <w:sz w:val="18"/>
                <w:szCs w:val="18"/>
              </w:rPr>
              <w:t>在全寿命期内，节约资源、保护环境、减少污染，为人们提供健康、</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p>
      <w:pPr>
        <w:pStyle w:val="BodyText"/>
        <w:spacing w:line="240" w:lineRule="auto" w:before="44"/>
        <w:ind w:left="0" w:right="1139"/>
        <w:jc w:val="right"/>
      </w:pPr>
      <w:r>
        <w:rPr/>
        <w:pict>
          <v:shape style="position:absolute;margin-left:56.400002pt;margin-top:-50.188263pt;width:479.3pt;height:585.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675"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2"/>
                            <w:sz w:val="18"/>
                            <w:szCs w:val="18"/>
                          </w:rPr>
                          <w:t>适用、高效的使用空间，最大限度地实现人与自然和谐共生的高质量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建筑。包括设计、建造、运营、维修、更新、拆除等全过程。</w:t>
                        </w:r>
                      </w:p>
                    </w:tc>
                  </w:tr>
                  <w:tr>
                    <w:trPr>
                      <w:trHeight w:val="196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生态诊断</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
                          <w:jc w:val="left"/>
                          <w:rPr>
                            <w:rFonts w:ascii="宋体" w:hAnsi="宋体" w:cs="宋体" w:eastAsia="宋体" w:hint="default"/>
                            <w:sz w:val="18"/>
                            <w:szCs w:val="18"/>
                          </w:rPr>
                        </w:pPr>
                        <w:r>
                          <w:rPr>
                            <w:rFonts w:ascii="宋体" w:hAnsi="宋体" w:cs="宋体" w:eastAsia="宋体" w:hint="default"/>
                            <w:spacing w:val="-2"/>
                            <w:sz w:val="18"/>
                            <w:szCs w:val="18"/>
                          </w:rPr>
                          <w:t>通过对城市或城区地质安全、生态安全、环境安全、资源条件等方面</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的诊断分析，综合评估其生态敏感性、环境资源承载力、开发适宜性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低影响开发模式、人居健康安全等，判定生态控制基线和环境承载底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线，划定城镇建设生态控制线，建立城市发展与自然生态的平衡点， </w:t>
                        </w:r>
                        <w:r>
                          <w:rPr>
                            <w:rFonts w:ascii="宋体" w:hAnsi="宋体" w:cs="宋体" w:eastAsia="宋体" w:hint="default"/>
                            <w:spacing w:val="-4"/>
                            <w:sz w:val="18"/>
                            <w:szCs w:val="18"/>
                          </w:rPr>
                          <w:t>是生态规划的基础，建科院创造性地把生态诊断技术系统化、模板化</w:t>
                        </w:r>
                        <w:r>
                          <w:rPr>
                            <w:rFonts w:ascii="宋体" w:hAnsi="宋体" w:cs="宋体" w:eastAsia="宋体" w:hint="default"/>
                            <w:sz w:val="18"/>
                            <w:szCs w:val="18"/>
                          </w:rPr>
                          <w:t> 数据化、三维显性化，纳入到生态城市整体建设体系中。</w:t>
                        </w:r>
                      </w:p>
                    </w:tc>
                  </w:tr>
                  <w:tr>
                    <w:trPr>
                      <w:trHeight w:val="258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生态城市规划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利用生态学和现代城市规划理论及方法，重点针对城市生态系统及其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与产业、社会之间的系统关系进行评估，着眼于</w:t>
                        </w:r>
                        <w:r>
                          <w:rPr>
                            <w:rFonts w:ascii="Times New Roman" w:hAnsi="Times New Roman" w:cs="Times New Roman" w:eastAsia="Times New Roman" w:hint="default"/>
                            <w:sz w:val="18"/>
                            <w:szCs w:val="18"/>
                          </w:rPr>
                          <w:t>"</w:t>
                        </w:r>
                        <w:r>
                          <w:rPr>
                            <w:rFonts w:ascii="宋体" w:hAnsi="宋体" w:cs="宋体" w:eastAsia="宋体" w:hint="default"/>
                            <w:sz w:val="18"/>
                            <w:szCs w:val="18"/>
                          </w:rPr>
                          <w:t>生态导向</w:t>
                        </w:r>
                        <w:r>
                          <w:rPr>
                            <w:rFonts w:ascii="Times New Roman" w:hAnsi="Times New Roman" w:cs="Times New Roman" w:eastAsia="Times New Roman" w:hint="default"/>
                            <w:sz w:val="18"/>
                            <w:szCs w:val="18"/>
                          </w:rPr>
                          <w:t>"</w:t>
                        </w:r>
                        <w:r>
                          <w:rPr>
                            <w:rFonts w:ascii="宋体" w:hAnsi="宋体" w:cs="宋体" w:eastAsia="宋体" w:hint="default"/>
                            <w:sz w:val="18"/>
                            <w:szCs w:val="18"/>
                          </w:rPr>
                          <w:t>的整体规 </w:t>
                        </w:r>
                        <w:r>
                          <w:rPr>
                            <w:rFonts w:ascii="宋体" w:hAnsi="宋体" w:cs="宋体" w:eastAsia="宋体" w:hint="default"/>
                            <w:spacing w:val="-2"/>
                            <w:sz w:val="18"/>
                            <w:szCs w:val="18"/>
                          </w:rPr>
                          <w:t>划设计，涵盖生态城市诊断、生态指标体系、生态专项规划（土地集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约利用、生态环境、绿色交通、绿色能源、水资源综合利用、固废利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用、绿色建筑、人文等）及不同层次的相关规划活动。与传统规划的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主要差异在于将人的建设活动和自然生态系统进行平衡规划，关注人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的活动对区域的影响，追求生活、生态、生产三合一，而不是通过大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规模破坏自然体系的建设活动来实现规划意图。</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公信服务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
                          <w:jc w:val="both"/>
                          <w:rPr>
                            <w:rFonts w:ascii="宋体" w:hAnsi="宋体" w:cs="宋体" w:eastAsia="宋体" w:hint="default"/>
                            <w:sz w:val="18"/>
                            <w:szCs w:val="18"/>
                          </w:rPr>
                        </w:pPr>
                        <w:r>
                          <w:rPr>
                            <w:rFonts w:ascii="宋体" w:hAnsi="宋体" w:cs="宋体" w:eastAsia="宋体" w:hint="default"/>
                            <w:spacing w:val="-2"/>
                            <w:sz w:val="18"/>
                            <w:szCs w:val="18"/>
                          </w:rPr>
                          <w:t>以公正、权威的非当事人身份，根据有关法律、标准或合同所进行的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工程、建筑材料或部品、建筑设备、建筑环境等检测、检验、认证、 评估等活动。</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工程设计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根据建设工程和法律法规的要求，对建设工程所需的技术、经济、资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源、环境等条件进行综合分析、论证，编制建设工程设计文件，提供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相关服务的活动。</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工程勘察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1"/>
                          <w:jc w:val="left"/>
                          <w:rPr>
                            <w:rFonts w:ascii="宋体" w:hAnsi="宋体" w:cs="宋体" w:eastAsia="宋体" w:hint="default"/>
                            <w:sz w:val="18"/>
                            <w:szCs w:val="18"/>
                          </w:rPr>
                        </w:pPr>
                        <w:r>
                          <w:rPr>
                            <w:rFonts w:ascii="宋体" w:hAnsi="宋体" w:cs="宋体" w:eastAsia="宋体" w:hint="default"/>
                            <w:spacing w:val="-5"/>
                            <w:sz w:val="18"/>
                            <w:szCs w:val="18"/>
                          </w:rPr>
                          <w:t>根据建设工程和法律法规的要求，查明、分析、评价建设场地的地质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地理环境特征和岩土工程条件，编制建设工程勘察文件的活动。</w:t>
                        </w:r>
                      </w:p>
                    </w:tc>
                  </w:tr>
                  <w:tr>
                    <w:trPr>
                      <w:trHeight w:val="165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工程咨询</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遵循独立、科学、公正的原则，运用工程技术、科学技术、经济管理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和法律法规等多学科方面的知识和经验，为政府部门、项目业主及其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他各类客户的工程建设项目决策和管理提供咨询活动的智力服务，包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括前期立项阶段咨询、勘察设计阶段咨询、施工阶段咨询、投产或交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付使用后的评价等工作。</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绿色综合运营（</w:t>
                        </w:r>
                        <w:r>
                          <w:rPr>
                            <w:rFonts w:ascii="Times New Roman" w:hAnsi="Times New Roman" w:cs="Times New Roman" w:eastAsia="Times New Roman" w:hint="default"/>
                            <w:sz w:val="18"/>
                            <w:szCs w:val="18"/>
                          </w:rPr>
                          <w:t>DOT</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Design-Operation-Transfer</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的缩写，即包含</w:t>
                        </w:r>
                        <w:r>
                          <w:rPr>
                            <w:rFonts w:ascii="Times New Roman" w:hAnsi="Times New Roman" w:cs="Times New Roman" w:eastAsia="Times New Roman" w:hint="default"/>
                            <w:sz w:val="18"/>
                            <w:szCs w:val="18"/>
                          </w:rPr>
                          <w:t>"</w:t>
                        </w:r>
                        <w:r>
                          <w:rPr>
                            <w:rFonts w:ascii="宋体" w:hAnsi="宋体" w:cs="宋体" w:eastAsia="宋体" w:hint="default"/>
                            <w:sz w:val="18"/>
                            <w:szCs w:val="18"/>
                          </w:rPr>
                          <w:t>设计</w:t>
                        </w:r>
                        <w:r>
                          <w:rPr>
                            <w:rFonts w:ascii="Times New Roman" w:hAnsi="Times New Roman" w:cs="Times New Roman" w:eastAsia="Times New Roman" w:hint="default"/>
                            <w:sz w:val="18"/>
                            <w:szCs w:val="18"/>
                          </w:rPr>
                          <w:t>-</w:t>
                        </w:r>
                        <w:r>
                          <w:rPr>
                            <w:rFonts w:ascii="宋体" w:hAnsi="宋体" w:cs="宋体" w:eastAsia="宋体" w:hint="default"/>
                            <w:sz w:val="18"/>
                            <w:szCs w:val="18"/>
                          </w:rPr>
                          <w:t>运营</w:t>
                        </w:r>
                        <w:r>
                          <w:rPr>
                            <w:rFonts w:ascii="Times New Roman" w:hAnsi="Times New Roman" w:cs="Times New Roman" w:eastAsia="Times New Roman" w:hint="default"/>
                            <w:sz w:val="18"/>
                            <w:szCs w:val="18"/>
                          </w:rPr>
                          <w:t>-</w:t>
                        </w:r>
                        <w:r>
                          <w:rPr>
                            <w:rFonts w:ascii="宋体" w:hAnsi="宋体" w:cs="宋体" w:eastAsia="宋体" w:hint="default"/>
                            <w:sz w:val="18"/>
                            <w:szCs w:val="18"/>
                          </w:rPr>
                          <w:t>移交</w:t>
                        </w:r>
                        <w:r>
                          <w:rPr>
                            <w:rFonts w:ascii="Times New Roman" w:hAnsi="Times New Roman" w:cs="Times New Roman" w:eastAsia="Times New Roman" w:hint="default"/>
                            <w:sz w:val="18"/>
                            <w:szCs w:val="18"/>
                          </w:rPr>
                          <w:t>"</w:t>
                        </w:r>
                        <w:r>
                          <w:rPr>
                            <w:rFonts w:ascii="宋体" w:hAnsi="宋体" w:cs="宋体" w:eastAsia="宋体" w:hint="default"/>
                            <w:sz w:val="18"/>
                            <w:szCs w:val="18"/>
                          </w:rPr>
                          <w:t>等三个环 </w:t>
                        </w:r>
                        <w:r>
                          <w:rPr>
                            <w:rFonts w:ascii="宋体" w:hAnsi="宋体" w:cs="宋体" w:eastAsia="宋体" w:hint="default"/>
                            <w:spacing w:val="-2"/>
                            <w:sz w:val="18"/>
                            <w:szCs w:val="18"/>
                          </w:rPr>
                          <w:t>节。提供涵盖规划设计、建设运营全过程的综合服务，为客户减少协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调沟通成本，实现项目绿色运营实效。</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 </w:t>
                        </w:r>
                        <w:r>
                          <w:rPr>
                            <w:rFonts w:ascii="宋体" w:hAnsi="宋体" w:cs="宋体" w:eastAsia="宋体" w:hint="default"/>
                            <w:sz w:val="18"/>
                            <w:szCs w:val="18"/>
                          </w:rPr>
                          <w:t>工程总承包</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w:t>
                        </w:r>
                        <w:r>
                          <w:rPr>
                            <w:rFonts w:ascii="Times New Roman" w:hAnsi="Times New Roman" w:cs="Times New Roman" w:eastAsia="Times New Roman" w:hint="default"/>
                            <w:sz w:val="18"/>
                            <w:szCs w:val="18"/>
                          </w:rPr>
                          <w:t>Engineering Procurement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Construction</w:t>
                        </w:r>
                        <w:r>
                          <w:rPr>
                            <w:rFonts w:ascii="宋体" w:hAnsi="宋体" w:cs="宋体" w:eastAsia="宋体" w:hint="default"/>
                            <w:sz w:val="18"/>
                            <w:szCs w:val="18"/>
                          </w:rPr>
                          <w:t>）是指公司受业主委托，</w:t>
                        </w:r>
                        <w:r>
                          <w:rPr>
                            <w:rFonts w:ascii="宋体" w:hAnsi="宋体" w:cs="宋体" w:eastAsia="宋体" w:hint="default"/>
                            <w:w w:val="99"/>
                            <w:sz w:val="18"/>
                            <w:szCs w:val="18"/>
                          </w:rPr>
                          <w:t> </w:t>
                        </w:r>
                        <w:r>
                          <w:rPr>
                            <w:rFonts w:ascii="宋体" w:hAnsi="宋体" w:cs="宋体" w:eastAsia="宋体" w:hint="default"/>
                            <w:spacing w:val="-2"/>
                            <w:sz w:val="18"/>
                            <w:szCs w:val="18"/>
                          </w:rPr>
                          <w:t>按照合同约定对工程建设项目的设计、采购、施工、试运行等实行全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过程或若干阶段的承包。</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44"/>
        <w:ind w:left="0" w:right="1139"/>
        <w:jc w:val="right"/>
      </w:pPr>
      <w:r>
        <w:rPr/>
        <w:t>、</w:t>
      </w:r>
    </w:p>
    <w:p>
      <w:pPr>
        <w:spacing w:after="0" w:line="240" w:lineRule="auto"/>
        <w:jc w:val="righ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4" w:right="0"/>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shape style="position:absolute;margin-left:138pt;margin-top:114.555603pt;width:396.95pt;height:19.7pt;mso-position-horizontal-relative:page;mso-position-vertical-relative:paragraph;z-index:-1164832" type="#_x0000_t202" filled="false" stroked="false">
            <v:textbox inset="0,0,0,0">
              <w:txbxContent>
                <w:p>
                  <w:pPr>
                    <w:pStyle w:val="BodyText"/>
                    <w:spacing w:line="240" w:lineRule="auto" w:before="51"/>
                    <w:ind w:left="0" w:right="0"/>
                    <w:jc w:val="left"/>
                  </w:pPr>
                  <w:r>
                    <w:rPr/>
                    <w:t>（如有）</w:t>
                  </w:r>
                </w:p>
              </w:txbxContent>
            </v:textbox>
            <w10:wrap type="none"/>
          </v:shape>
        </w:pict>
      </w: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建科院</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300675</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深圳市建筑科学研究院股份有限公司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深圳建科院</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Shenzhen Institute of Building Research Co.,</w:t>
            </w:r>
            <w:r>
              <w:rPr>
                <w:rFonts w:ascii="Times New Roman"/>
                <w:spacing w:val="-12"/>
                <w:sz w:val="18"/>
              </w:rPr>
              <w:t> </w:t>
            </w:r>
            <w:r>
              <w:rPr>
                <w:rFonts w:ascii="Times New Roman"/>
                <w:sz w:val="18"/>
              </w:rPr>
              <w:t>Ltd.</w:t>
            </w:r>
          </w:p>
        </w:tc>
      </w:tr>
      <w:tr>
        <w:trPr>
          <w:trHeight w:val="404"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3"/>
              <w:ind w:left="11" w:right="0"/>
              <w:jc w:val="left"/>
              <w:rPr>
                <w:rFonts w:ascii="Times New Roman" w:hAnsi="Times New Roman" w:cs="Times New Roman" w:eastAsia="Times New Roman" w:hint="default"/>
                <w:sz w:val="18"/>
                <w:szCs w:val="18"/>
              </w:rPr>
            </w:pPr>
            <w:r>
              <w:rPr>
                <w:rFonts w:ascii="Times New Roman"/>
                <w:sz w:val="18"/>
              </w:rPr>
              <w:t>IBR</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叶青</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深圳市福田区梅林梅坳三路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号建科大楼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518049</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深圳市福田区梅林梅坳三路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号建科大楼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518049</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8">
              <w:r>
                <w:rPr>
                  <w:rFonts w:ascii="Times New Roman"/>
                  <w:sz w:val="18"/>
                </w:rPr>
                <w:t>www.szibr.com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9">
              <w:r>
                <w:rPr>
                  <w:rFonts w:ascii="Times New Roman"/>
                  <w:sz w:val="18"/>
                </w:rPr>
                <w:t>ibrir@ibrcn.com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毛洪伟</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深圳市福田区梅林梅坳三路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号建科大 楼</w:t>
            </w:r>
          </w:p>
        </w:tc>
        <w:tc>
          <w:tcPr>
            <w:tcW w:w="3190" w:type="dxa"/>
            <w:vMerge w:val="restart"/>
            <w:tcBorders>
              <w:top w:val="single" w:sz="4" w:space="0" w:color="000000"/>
              <w:left w:val="single" w:sz="4" w:space="0" w:color="000000"/>
              <w:right w:val="single" w:sz="4" w:space="0" w:color="000000"/>
            </w:tcBorders>
          </w:tcPr>
          <w:p>
            <w:pP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0755-23950525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0755-23931800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Maohw@ibrcn.com</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8" w:footer="975" w:top="1060" w:bottom="1160" w:left="980" w:right="0"/>
        </w:sectPr>
      </w:pPr>
    </w:p>
    <w:p>
      <w:pPr>
        <w:spacing w:line="240" w:lineRule="auto" w:before="4"/>
        <w:rPr>
          <w:rFonts w:ascii="宋体" w:hAnsi="宋体" w:cs="宋体" w:eastAsia="宋体" w:hint="default"/>
          <w:sz w:val="28"/>
          <w:szCs w:val="28"/>
        </w:rPr>
      </w:pPr>
      <w:r>
        <w:rPr/>
        <w:pict>
          <v:shape style="position:absolute;margin-left:174.477005pt;margin-top:423.289978pt;width:108.8pt;height:19.7pt;mso-position-horizontal-relative:page;mso-position-vertical-relative:page;z-index:-1164784" type="#_x0000_t202" filled="false" stroked="false">
            <v:textbox inset="0,0,0,0">
              <w:txbxContent>
                <w:p>
                  <w:pPr>
                    <w:pStyle w:val="BodyText"/>
                    <w:spacing w:line="240" w:lineRule="auto" w:before="51"/>
                    <w:ind w:left="0" w:right="0"/>
                    <w:jc w:val="left"/>
                  </w:pPr>
                  <w:r>
                    <w:rPr/>
                    <w:t>（元）</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毕马威华振会计师事务所（特殊普通合伙）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北京市东城区东长安街 </w:t>
            </w:r>
            <w:r>
              <w:rPr>
                <w:rFonts w:ascii="Times New Roman" w:hAnsi="Times New Roman" w:cs="Times New Roman" w:eastAsia="Times New Roman" w:hint="default"/>
                <w:sz w:val="18"/>
                <w:szCs w:val="18"/>
              </w:rPr>
              <w:t>1  </w:t>
            </w:r>
            <w:r>
              <w:rPr>
                <w:rFonts w:ascii="宋体" w:hAnsi="宋体" w:cs="宋体" w:eastAsia="宋体" w:hint="default"/>
                <w:sz w:val="18"/>
                <w:szCs w:val="18"/>
              </w:rPr>
              <w:t>号东方广场东 </w:t>
            </w:r>
            <w:r>
              <w:rPr>
                <w:rFonts w:ascii="Times New Roman" w:hAnsi="Times New Roman" w:cs="Times New Roman" w:eastAsia="Times New Roman" w:hint="default"/>
                <w:sz w:val="18"/>
                <w:szCs w:val="18"/>
              </w:rPr>
              <w:t>2  </w:t>
            </w:r>
            <w:r>
              <w:rPr>
                <w:rFonts w:ascii="宋体" w:hAnsi="宋体" w:cs="宋体" w:eastAsia="宋体" w:hint="default"/>
                <w:sz w:val="18"/>
                <w:szCs w:val="18"/>
              </w:rPr>
              <w:t>座办公楼 </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周永明、陈泳意</w:t>
            </w:r>
          </w:p>
        </w:tc>
      </w:tr>
    </w:tbl>
    <w:p>
      <w:pPr>
        <w:pStyle w:val="BodyText"/>
        <w:spacing w:line="240" w:lineRule="auto" w:before="51"/>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21"/>
        <w:gridCol w:w="2835"/>
        <w:gridCol w:w="1702"/>
        <w:gridCol w:w="1913"/>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申万宏源证券承销保荐有限责任公司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北京市西城区太平桥大街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李志文、梁葳</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2017.7.19-2020.12.31</w:t>
            </w:r>
          </w:p>
        </w:tc>
      </w:tr>
    </w:tbl>
    <w:p>
      <w:pPr>
        <w:pStyle w:val="BodyText"/>
        <w:spacing w:line="240" w:lineRule="auto" w:before="51"/>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pict>
          <v:shape style="position:absolute;margin-left:174.477005pt;margin-top:63.54174pt;width:108.8pt;height:19.7pt;mso-position-horizontal-relative:page;mso-position-vertical-relative:paragraph;z-index:-1164808" type="#_x0000_t202" filled="false" stroked="false">
            <v:textbox inset="0,0,0,0">
              <w:txbxContent>
                <w:p>
                  <w:pPr>
                    <w:pStyle w:val="BodyText"/>
                    <w:spacing w:line="240" w:lineRule="auto" w:before="51"/>
                    <w:ind w:left="0" w:right="0"/>
                    <w:jc w:val="left"/>
                  </w:pPr>
                  <w:r>
                    <w:rPr/>
                    <w:t>（元）</w:t>
                  </w: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5"/>
        <w:gridCol w:w="304"/>
        <w:gridCol w:w="1397"/>
        <w:gridCol w:w="1560"/>
        <w:gridCol w:w="1738"/>
        <w:gridCol w:w="1735"/>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2" w:right="0"/>
              <w:jc w:val="left"/>
              <w:rPr>
                <w:rFonts w:ascii="Times New Roman" w:hAnsi="Times New Roman" w:cs="Times New Roman" w:eastAsia="Times New Roman" w:hint="default"/>
                <w:sz w:val="18"/>
                <w:szCs w:val="18"/>
              </w:rPr>
            </w:pPr>
            <w:r>
              <w:rPr>
                <w:rFonts w:ascii="Times New Roman"/>
                <w:sz w:val="18"/>
              </w:rPr>
              <w:t>467,972,060.82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397,007,934.86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381,831,957.61</w:t>
            </w:r>
          </w:p>
        </w:tc>
      </w:tr>
      <w:tr>
        <w:trPr>
          <w:trHeight w:val="403" w:hRule="exact"/>
        </w:trPr>
        <w:tc>
          <w:tcPr>
            <w:tcW w:w="283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04" w:type="dxa"/>
            <w:tcBorders>
              <w:top w:val="single" w:sz="4" w:space="0" w:color="000000"/>
              <w:left w:val="single" w:sz="13" w:space="0" w:color="FFFFFF"/>
              <w:bottom w:val="single" w:sz="4" w:space="0" w:color="000000"/>
              <w:right w:val="nil" w:sz="6" w:space="0" w:color="auto"/>
            </w:tcBorders>
          </w:tcPr>
          <w:p>
            <w:pPr/>
          </w:p>
        </w:tc>
        <w:tc>
          <w:tcPr>
            <w:tcW w:w="1397"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36,620,943.28</w:t>
            </w:r>
          </w:p>
        </w:tc>
        <w:tc>
          <w:tcPr>
            <w:tcW w:w="1560"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34,630,772.68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33,987,787.76</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0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5" w:right="0"/>
              <w:jc w:val="left"/>
              <w:rPr>
                <w:rFonts w:ascii="Times New Roman" w:hAnsi="Times New Roman" w:cs="Times New Roman" w:eastAsia="Times New Roman" w:hint="default"/>
                <w:sz w:val="18"/>
                <w:szCs w:val="18"/>
              </w:rPr>
            </w:pPr>
            <w:r>
              <w:rPr>
                <w:rFonts w:ascii="Times New Roman"/>
                <w:sz w:val="18"/>
              </w:rPr>
              <w:t>4,562,916.38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12,116,967.00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24,170,554.18</w:t>
            </w:r>
          </w:p>
        </w:tc>
      </w:tr>
      <w:tr>
        <w:trPr>
          <w:trHeight w:val="403" w:hRule="exact"/>
        </w:trPr>
        <w:tc>
          <w:tcPr>
            <w:tcW w:w="283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4" w:type="dxa"/>
            <w:tcBorders>
              <w:top w:val="single" w:sz="4" w:space="0" w:color="000000"/>
              <w:left w:val="single" w:sz="13" w:space="0" w:color="FFFFFF"/>
              <w:bottom w:val="single" w:sz="4" w:space="0" w:color="000000"/>
              <w:right w:val="nil" w:sz="6" w:space="0" w:color="auto"/>
            </w:tcBorders>
          </w:tcPr>
          <w:p>
            <w:pPr/>
          </w:p>
        </w:tc>
        <w:tc>
          <w:tcPr>
            <w:tcW w:w="1397"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63,513,713.47</w:t>
            </w:r>
          </w:p>
        </w:tc>
        <w:tc>
          <w:tcPr>
            <w:tcW w:w="1560"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42,986,794.68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97,410,702.88</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0.2497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0.2361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0.2713</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0.2497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0.2361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0.2713</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个百分比</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11.33%</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8" w:right="0"/>
              <w:jc w:val="left"/>
              <w:rPr>
                <w:rFonts w:ascii="Times New Roman" w:hAnsi="Times New Roman" w:cs="Times New Roman" w:eastAsia="Times New Roman" w:hint="default"/>
                <w:sz w:val="18"/>
                <w:szCs w:val="18"/>
              </w:rPr>
            </w:pPr>
            <w:r>
              <w:rPr>
                <w:rFonts w:ascii="Times New Roman"/>
                <w:sz w:val="18"/>
              </w:rPr>
              <w:t>1,057,460,482.19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847,429,547.90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691,584,901.89</w:t>
            </w:r>
          </w:p>
        </w:tc>
      </w:tr>
      <w:tr>
        <w:trPr>
          <w:trHeight w:val="403" w:hRule="exact"/>
        </w:trPr>
        <w:tc>
          <w:tcPr>
            <w:tcW w:w="283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304" w:type="dxa"/>
            <w:tcBorders>
              <w:top w:val="single" w:sz="4" w:space="0" w:color="000000"/>
              <w:left w:val="single" w:sz="13" w:space="0" w:color="FFFFFF"/>
              <w:bottom w:val="single" w:sz="4" w:space="0" w:color="000000"/>
              <w:right w:val="nil" w:sz="6" w:space="0" w:color="auto"/>
            </w:tcBorders>
          </w:tcPr>
          <w:p>
            <w:pPr/>
          </w:p>
        </w:tc>
        <w:tc>
          <w:tcPr>
            <w:tcW w:w="1397"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469,624,578.88</w:t>
            </w:r>
          </w:p>
        </w:tc>
        <w:tc>
          <w:tcPr>
            <w:tcW w:w="1560"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443,270,304.60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418,172,867.42</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pict>
          <v:shape style="position:absolute;margin-left:174.477005pt;margin-top:-32.084373pt;width:108.8pt;height:19.7pt;mso-position-horizontal-relative:page;mso-position-vertical-relative:paragraph;z-index:-1164760" type="#_x0000_t202" filled="false" stroked="false">
            <v:textbox inset="0,0,0,0">
              <w:txbxContent>
                <w:p>
                  <w:pPr>
                    <w:pStyle w:val="BodyText"/>
                    <w:spacing w:line="240" w:lineRule="auto" w:before="51"/>
                    <w:ind w:left="0" w:right="0"/>
                    <w:jc w:val="left"/>
                  </w:pPr>
                  <w:r>
                    <w:rPr/>
                    <w:t>（元）</w:t>
                  </w:r>
                </w:p>
              </w:txbxContent>
            </v:textbox>
            <w10:wrap type="none"/>
          </v:shape>
        </w:pict>
      </w: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44,665,720.41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115,221,752.01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76,853,295.90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231,231,292.50</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-23,515,497.82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11,140,236.70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-11,850,820.67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60,847,025.07</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-29,920,522.68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4,930,277.01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-16,098,442.68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45,651,604.73</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-4,452,014.70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-15,170,290.85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-18,803,068.18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101,939,087.20</w:t>
            </w:r>
          </w:p>
        </w:tc>
      </w:tr>
    </w:tbl>
    <w:p>
      <w:pPr>
        <w:pStyle w:val="BodyText"/>
        <w:spacing w:line="240" w:lineRule="auto" w:before="51"/>
        <w:ind w:right="0"/>
        <w:jc w:val="left"/>
      </w:pPr>
      <w:r>
        <w:rPr/>
        <w:t>上述财务指标或其加总数是否与公司已披露季度报告、半年度报告相关财务指标存在重大差异</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2"/>
        <w:gridCol w:w="1856"/>
        <w:gridCol w:w="1699"/>
        <w:gridCol w:w="1419"/>
        <w:gridCol w:w="1063"/>
      </w:tblGrid>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7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 准备的冲销部分）</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-7,641.55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5,770.00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-1,866.15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7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计入当期损益的政府补助（与企业业务密切 相关，按照国家统一标准定额或定量享受的 政府补助除外）</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32,618,947.45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24,011,542.95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11,626,595.75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7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 业务外，持有交易性金融资产、衍生金融资 产、交易性金融负债、衍生金融负债产生的 公允价值变动损益，以及处置交易性金融资 产、衍生金融资产、交易性金融负债、衍生 金融负债和其他债权投资取得的投资收益</w:t>
            </w:r>
          </w:p>
        </w:tc>
        <w:tc>
          <w:tcPr>
            <w:tcW w:w="1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2,948,458.44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2,112,436.97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78"/>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单独进行减值测试的应收款项、合同资产减 值准备转回</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2,353,889.40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743,850.00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67,817.03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-202,402.17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49,013.91</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5,907,187.02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4,156,069.25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1,862,109.08</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16,256.85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1,322.82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-5,599.15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32,058,026.90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22,513,805.68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9,817,233.58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0"/>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项目界定为经常性损益的项目的情形。</w:t>
      </w:r>
    </w:p>
    <w:p>
      <w:pPr>
        <w:spacing w:after="0" w:line="240"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0"/>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19"/>
        <w:jc w:val="left"/>
      </w:pPr>
      <w:r>
        <w:rPr>
          <w:spacing w:val="-2"/>
        </w:rPr>
        <w:t>公司以绿色、生态、低碳理念为指导，以本土化、低成本、精细、适宜的技术路线为特色，以全生命周期服务为手段，面向</w:t>
      </w:r>
      <w:r>
        <w:rPr>
          <w:spacing w:val="-65"/>
        </w:rPr>
        <w:t> </w:t>
      </w:r>
      <w:r>
        <w:rPr>
          <w:spacing w:val="-65"/>
        </w:rPr>
      </w:r>
      <w:r>
        <w:rPr>
          <w:spacing w:val="-2"/>
        </w:rPr>
        <w:t>城市绿色发展，提供涵盖科研、规划、设计、咨询、检测、项目管理以及运营等全过程所需综合解决方案，逐步发展成为国</w:t>
      </w:r>
      <w:r>
        <w:rPr>
          <w:spacing w:val="-70"/>
        </w:rPr>
        <w:t> </w:t>
      </w:r>
      <w:r>
        <w:rPr>
          <w:spacing w:val="-70"/>
        </w:rPr>
      </w:r>
      <w:r>
        <w:rPr/>
        <w:t>内知名、领先的绿色建筑和绿色城市技术服务提供者。 公司主营业务集中在</w:t>
      </w:r>
      <w:r>
        <w:rPr>
          <w:rFonts w:ascii="Times New Roman" w:hAnsi="Times New Roman" w:cs="Times New Roman" w:eastAsia="Times New Roman" w:hint="default"/>
        </w:rPr>
        <w:t>“</w:t>
      </w:r>
      <w:r>
        <w:rPr/>
        <w:t>城市绿色发展</w:t>
      </w:r>
      <w:r>
        <w:rPr>
          <w:rFonts w:ascii="Times New Roman" w:hAnsi="Times New Roman" w:cs="Times New Roman" w:eastAsia="Times New Roman" w:hint="default"/>
        </w:rPr>
        <w:t>”</w:t>
      </w:r>
      <w:r>
        <w:rPr/>
        <w:t>服务和</w:t>
      </w:r>
      <w:r>
        <w:rPr>
          <w:rFonts w:ascii="Times New Roman" w:hAnsi="Times New Roman" w:cs="Times New Roman" w:eastAsia="Times New Roman" w:hint="default"/>
        </w:rPr>
        <w:t>“</w:t>
      </w:r>
      <w:r>
        <w:rPr/>
        <w:t>绿色人居公信</w:t>
      </w:r>
      <w:r>
        <w:rPr>
          <w:rFonts w:ascii="Times New Roman" w:hAnsi="Times New Roman" w:cs="Times New Roman" w:eastAsia="Times New Roman" w:hint="default"/>
        </w:rPr>
        <w:t>”</w:t>
      </w:r>
      <w:r>
        <w:rPr/>
        <w:t>服务两大全过程技术服务业务板块： 在城市绿色发展服务板块中，公司提供城市规划、建筑设计等技术咨询服务业务，是公司多年形成的核心主营业务之一： </w:t>
      </w:r>
      <w:r>
        <w:rPr>
          <w:spacing w:val="-2"/>
        </w:rPr>
        <w:t>城市规划业务，是公司基于传统规划，综合生态经济学知识和现代城市规划理论及方法，针对城市生态本底及其与产业、社</w:t>
      </w:r>
      <w:r>
        <w:rPr>
          <w:spacing w:val="-64"/>
        </w:rPr>
        <w:t> </w:t>
      </w:r>
      <w:r>
        <w:rPr>
          <w:spacing w:val="-64"/>
        </w:rPr>
      </w:r>
      <w:r>
        <w:rPr>
          <w:spacing w:val="-1"/>
        </w:rPr>
        <w:t>会、人口之间复杂的系统关系进行生态诊断，并为之提出经济可行的基于</w:t>
      </w:r>
      <w:r>
        <w:rPr>
          <w:rFonts w:ascii="Times New Roman" w:hAnsi="Times New Roman" w:cs="Times New Roman" w:eastAsia="Times New Roman" w:hint="default"/>
          <w:spacing w:val="-1"/>
        </w:rPr>
        <w:t>“</w:t>
      </w:r>
      <w:r>
        <w:rPr>
          <w:spacing w:val="-1"/>
        </w:rPr>
        <w:t>生态导向</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动态平衡</w:t>
      </w:r>
      <w:r>
        <w:rPr>
          <w:rFonts w:ascii="Times New Roman" w:hAnsi="Times New Roman" w:cs="Times New Roman" w:eastAsia="Times New Roman" w:hint="default"/>
          <w:spacing w:val="-1"/>
        </w:rPr>
        <w:t>”</w:t>
      </w:r>
      <w:r>
        <w:rPr>
          <w:spacing w:val="-1"/>
        </w:rPr>
        <w:t>的规划和建设运营整体解</w:t>
      </w:r>
      <w:r>
        <w:rPr>
          <w:spacing w:val="-79"/>
        </w:rPr>
        <w:t> </w:t>
      </w:r>
      <w:r>
        <w:rPr>
          <w:spacing w:val="-2"/>
        </w:rPr>
        <w:t>决方案；而绿色建筑设计业务，是公司基于业务发展所形成的独特的共享设计理念和方法，利用数字化设计，形成独特的设</w:t>
      </w:r>
      <w:r>
        <w:rPr>
          <w:spacing w:val="-64"/>
        </w:rPr>
        <w:t> </w:t>
      </w:r>
      <w:r>
        <w:rPr>
          <w:spacing w:val="-64"/>
        </w:rPr>
      </w:r>
      <w:r>
        <w:rPr>
          <w:spacing w:val="-2"/>
        </w:rPr>
        <w:t>计风格，致力于为客户打造人与自然和谐共生、更加人性化、更加适宜的各类建筑。公司承担的城市规划和建筑设计项目凭</w:t>
      </w:r>
      <w:r>
        <w:rPr>
          <w:spacing w:val="-63"/>
        </w:rPr>
        <w:t> </w:t>
      </w:r>
      <w:r>
        <w:rPr>
          <w:spacing w:val="-63"/>
        </w:rPr>
      </w:r>
      <w:r>
        <w:rPr/>
        <w:t>借出色的技术水平和绿色设计理念，先后获得了多项国家、省市甚至国际组织的奖项。 </w:t>
      </w:r>
      <w:r>
        <w:rPr>
          <w:rFonts w:ascii="Times New Roman" w:hAnsi="Times New Roman" w:cs="Times New Roman" w:eastAsia="Times New Roman" w:hint="default"/>
          <w:spacing w:val="-1"/>
        </w:rPr>
        <w:t>EPC</w:t>
      </w:r>
      <w:r>
        <w:rPr>
          <w:spacing w:val="-1"/>
        </w:rPr>
        <w:t>及项目全过程管理业务，是以绿色建筑交付为目标的工程总包服务业务，整合了公司在规划设计、绿色建筑咨询、检测</w:t>
      </w:r>
      <w:r>
        <w:rPr/>
        <w:t> 服务、项目管理咨询等业务的优势，目前已成为公司的重要业务增长点之一。 绿色建设运营服务业务，如</w:t>
      </w:r>
      <w:r>
        <w:rPr>
          <w:rFonts w:ascii="Times New Roman" w:hAnsi="Times New Roman" w:cs="Times New Roman" w:eastAsia="Times New Roman" w:hint="default"/>
        </w:rPr>
        <w:t>DOT</w:t>
      </w:r>
      <w:r>
        <w:rPr/>
        <w:t>业务，是基于公司所掌握的系统完整的城市和建筑绿色建设运营全过程的集成技术体系， </w:t>
      </w:r>
      <w:r>
        <w:rPr>
          <w:spacing w:val="-2"/>
        </w:rPr>
        <w:t>因地制宜地为不同区域、类型的客户提供具有品质、适宜和能较好实现绿色效益的综合技术服务。目前已形成系统的技术积</w:t>
      </w:r>
      <w:r>
        <w:rPr>
          <w:spacing w:val="-62"/>
        </w:rPr>
        <w:t> </w:t>
      </w:r>
      <w:r>
        <w:rPr>
          <w:spacing w:val="-62"/>
        </w:rPr>
      </w:r>
      <w:r>
        <w:rPr/>
        <w:t>累和较好的行业科技品牌影响力。</w:t>
      </w:r>
    </w:p>
    <w:p>
      <w:pPr>
        <w:pStyle w:val="BodyText"/>
        <w:spacing w:line="314" w:lineRule="auto" w:before="22"/>
        <w:ind w:right="1034"/>
        <w:jc w:val="left"/>
      </w:pPr>
      <w:r>
        <w:rPr/>
        <w:t>在绿色人居公信服务板块中，公信服务业务是公司另一个核心主营业务领域。 以为城市、建筑、家居的安全、健康、舒适、高效、可持续性提供一站式解决方案为目标，公司公信服务是以检测、检验、 </w:t>
      </w:r>
      <w:r>
        <w:rPr>
          <w:spacing w:val="-2"/>
        </w:rPr>
        <w:t>认证为基础，集成绿色建筑设计优化、工程性能质量检测检验认证、综合技术研究咨询于一体的服务模式，包括：绿色建筑</w:t>
      </w:r>
      <w:r>
        <w:rPr>
          <w:spacing w:val="-67"/>
        </w:rPr>
        <w:t> </w:t>
      </w:r>
      <w:r>
        <w:rPr>
          <w:spacing w:val="-67"/>
        </w:rPr>
      </w:r>
      <w:r>
        <w:rPr>
          <w:spacing w:val="-2"/>
        </w:rPr>
        <w:t>综合咨询、能源环境规划咨询、装修污染物全过程控制咨询、既有建筑绿色化改造全过程咨询、建设工程检测和验收全过程</w:t>
      </w:r>
      <w:r>
        <w:rPr>
          <w:spacing w:val="-65"/>
        </w:rPr>
        <w:t> </w:t>
      </w:r>
      <w:r>
        <w:rPr>
          <w:spacing w:val="-65"/>
        </w:rPr>
      </w:r>
      <w:r>
        <w:rPr/>
        <w:t>服务、合成材料运动场地检测及监管、甲方内部质量控制抽检服务、建筑工程质量潜在缺陷保险风险管理服务、产品</w:t>
      </w:r>
      <w:r>
        <w:rPr>
          <w:rFonts w:ascii="Times New Roman" w:hAnsi="Times New Roman" w:cs="Times New Roman" w:eastAsia="Times New Roman" w:hint="default"/>
        </w:rPr>
        <w:t>/</w:t>
      </w:r>
      <w:r>
        <w:rPr/>
        <w:t>体系</w:t>
      </w:r>
      <w:r>
        <w:rPr>
          <w:rFonts w:ascii="Times New Roman" w:hAnsi="Times New Roman" w:cs="Times New Roman" w:eastAsia="Times New Roman" w:hint="default"/>
        </w:rPr>
        <w:t>/ </w:t>
      </w:r>
      <w:r>
        <w:rPr/>
        <w:t>服务认证、绿色生态城区智慧运营监测数据平台建设等内容。</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主要为公司购置业务所需设备所致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增加系公司未来大厦项目投资建设所致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减少系银行理财产品赎回所致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增加系公司客户票据结算增加所致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增加系公司业务应收款项增加所致</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8"/>
        <w:rPr>
          <w:rFonts w:ascii="宋体" w:hAnsi="宋体" w:cs="宋体" w:eastAsia="宋体" w:hint="default"/>
          <w:b/>
          <w:bCs/>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24"/>
        <w:jc w:val="left"/>
      </w:pPr>
      <w:r>
        <w:rPr/>
        <w:t>（一）城市绿色发展领域全过程技术积累和技术创新优势 </w:t>
      </w:r>
      <w:r>
        <w:rPr>
          <w:spacing w:val="-2"/>
        </w:rPr>
        <w:t>公司十多年来积极推动绿色低碳理念和技术的普及，率先开展规模化的建筑节能、绿色建筑和城市绿色发展实践，拥有国家</w:t>
      </w:r>
      <w:r>
        <w:rPr>
          <w:spacing w:val="-63"/>
        </w:rPr>
        <w:t> </w:t>
      </w:r>
      <w:r>
        <w:rPr>
          <w:spacing w:val="-63"/>
        </w:rPr>
      </w:r>
      <w:r>
        <w:rPr>
          <w:spacing w:val="-2"/>
        </w:rPr>
        <w:t>级平台</w:t>
      </w:r>
      <w:r>
        <w:rPr>
          <w:rFonts w:ascii="Times New Roman" w:hAnsi="Times New Roman" w:cs="Times New Roman" w:eastAsia="Times New Roman" w:hint="default"/>
          <w:spacing w:val="-2"/>
        </w:rPr>
        <w:t>3</w:t>
      </w:r>
      <w:r>
        <w:rPr>
          <w:spacing w:val="-2"/>
        </w:rPr>
        <w:t>个、省（市）级技术平台</w:t>
      </w:r>
      <w:r>
        <w:rPr>
          <w:rFonts w:ascii="Times New Roman" w:hAnsi="Times New Roman" w:cs="Times New Roman" w:eastAsia="Times New Roman" w:hint="default"/>
          <w:spacing w:val="-2"/>
        </w:rPr>
        <w:t>10</w:t>
      </w:r>
      <w:r>
        <w:rPr>
          <w:spacing w:val="-2"/>
        </w:rPr>
        <w:t>个，主持国家重点研发计划等在内的国内外各级重点项目（课题）</w:t>
      </w:r>
      <w:r>
        <w:rPr>
          <w:rFonts w:ascii="Times New Roman" w:hAnsi="Times New Roman" w:cs="Times New Roman" w:eastAsia="Times New Roman" w:hint="default"/>
          <w:spacing w:val="-2"/>
        </w:rPr>
        <w:t>180</w:t>
      </w:r>
      <w:r>
        <w:rPr>
          <w:spacing w:val="-2"/>
        </w:rPr>
        <w:t>余项，主、参编国</w:t>
      </w:r>
      <w:r>
        <w:rPr>
          <w:spacing w:val="-64"/>
        </w:rPr>
        <w:t> </w:t>
      </w:r>
      <w:r>
        <w:rPr>
          <w:spacing w:val="-64"/>
        </w:rPr>
      </w:r>
      <w:r>
        <w:rPr/>
        <w:t>家、省、市级和团体标准、规范</w:t>
      </w:r>
      <w:r>
        <w:rPr>
          <w:rFonts w:ascii="Times New Roman" w:hAnsi="Times New Roman" w:cs="Times New Roman" w:eastAsia="Times New Roman" w:hint="default"/>
        </w:rPr>
        <w:t>214</w:t>
      </w:r>
      <w:r>
        <w:rPr/>
        <w:t>项，直接参与和推动了全国建筑节能强制实施和绿色建筑的普及；完成国家级示范工程</w:t>
      </w:r>
      <w:r>
        <w:rPr>
          <w:spacing w:val="-84"/>
        </w:rPr>
        <w:t> </w:t>
      </w:r>
      <w:r>
        <w:rPr>
          <w:spacing w:val="-84"/>
        </w:rPr>
      </w:r>
      <w:r>
        <w:rPr>
          <w:rFonts w:ascii="Times New Roman" w:hAnsi="Times New Roman" w:cs="Times New Roman" w:eastAsia="Times New Roman" w:hint="default"/>
        </w:rPr>
        <w:t>100</w:t>
      </w:r>
      <w:r>
        <w:rPr/>
        <w:t>多个；直接拥有专利</w:t>
      </w:r>
      <w:r>
        <w:rPr>
          <w:rFonts w:ascii="Times New Roman" w:hAnsi="Times New Roman" w:cs="Times New Roman" w:eastAsia="Times New Roman" w:hint="default"/>
        </w:rPr>
        <w:t>84</w:t>
      </w:r>
      <w:r>
        <w:rPr/>
        <w:t>项（含子公司，其中发明专利</w:t>
      </w:r>
      <w:r>
        <w:rPr>
          <w:rFonts w:ascii="Times New Roman" w:hAnsi="Times New Roman" w:cs="Times New Roman" w:eastAsia="Times New Roman" w:hint="default"/>
        </w:rPr>
        <w:t>48</w:t>
      </w:r>
      <w:r>
        <w:rPr/>
        <w:t>项）、计算机软件著作权</w:t>
      </w:r>
      <w:r>
        <w:rPr>
          <w:rFonts w:ascii="Times New Roman" w:hAnsi="Times New Roman" w:cs="Times New Roman" w:eastAsia="Times New Roman" w:hint="default"/>
        </w:rPr>
        <w:t>30</w:t>
      </w:r>
      <w:r>
        <w:rPr/>
        <w:t>项。经过多年的精耕细作，在持续的</w:t>
      </w:r>
      <w:r>
        <w:rPr>
          <w:spacing w:val="-86"/>
        </w:rPr>
        <w:t> </w:t>
      </w:r>
      <w:r>
        <w:rPr>
          <w:spacing w:val="-86"/>
        </w:rPr>
      </w:r>
      <w:r>
        <w:rPr>
          <w:spacing w:val="-2"/>
        </w:rPr>
        <w:t>研发创新、实验、项目实施基础上，公司掌握了系统完整的城市和建筑绿色建设运营全过程的集成技术体系，能因地制宜地</w:t>
      </w:r>
      <w:r>
        <w:rPr>
          <w:spacing w:val="-64"/>
        </w:rPr>
        <w:t> </w:t>
      </w:r>
      <w:r>
        <w:rPr>
          <w:spacing w:val="-64"/>
        </w:rPr>
      </w:r>
      <w:r>
        <w:rPr>
          <w:spacing w:val="-2"/>
        </w:rPr>
        <w:t>为不同区域、类型的客户提供具有品质、特色、适宜、能较好实现绿色效益的综合技术服务，形成了系统的技术积累和较好</w:t>
      </w:r>
      <w:r>
        <w:rPr>
          <w:spacing w:val="-65"/>
        </w:rPr>
        <w:t> </w:t>
      </w:r>
      <w:r>
        <w:rPr>
          <w:spacing w:val="-65"/>
        </w:rPr>
      </w:r>
      <w:r>
        <w:rPr/>
        <w:t>的行业科技品牌影响力。</w:t>
      </w:r>
    </w:p>
    <w:p>
      <w:pPr>
        <w:pStyle w:val="BodyText"/>
        <w:spacing w:line="314" w:lineRule="auto" w:before="24"/>
        <w:ind w:right="0"/>
        <w:jc w:val="left"/>
      </w:pPr>
      <w:r>
        <w:rPr/>
        <w:t>（二）基于研发、实验、数据平台的实证能力优势 </w:t>
      </w:r>
      <w:r>
        <w:rPr>
          <w:spacing w:val="-2"/>
        </w:rPr>
        <w:t>公司具有中国国家认证认可监督管理委员会颁发的检验机构审查认可证书，中国合格评定国家认可委员会颁发的检验机构认</w:t>
      </w:r>
      <w:r>
        <w:rPr>
          <w:spacing w:val="-64"/>
        </w:rPr>
        <w:t> </w:t>
      </w:r>
      <w:r>
        <w:rPr>
          <w:spacing w:val="-64"/>
        </w:rPr>
      </w:r>
      <w:r>
        <w:rPr>
          <w:spacing w:val="-2"/>
        </w:rPr>
        <w:t>可证书、实验室认可证书，广东省质量技术监督局颁发的计量认证证书，以及拥有多个国家及省市级检测平台，具有覆盖多</w:t>
      </w:r>
      <w:r>
        <w:rPr>
          <w:spacing w:val="-62"/>
        </w:rPr>
        <w:t> </w:t>
      </w:r>
      <w:r>
        <w:rPr>
          <w:spacing w:val="-62"/>
        </w:rPr>
      </w:r>
      <w:r>
        <w:rPr>
          <w:spacing w:val="-2"/>
        </w:rPr>
        <w:t>项专业检测项目的核心技术能力。公司还与美国劳伦斯－伯克利国家实验室、美国能源基金会、耶鲁大学、康奈尔大学、雪</w:t>
      </w:r>
      <w:r>
        <w:rPr>
          <w:spacing w:val="-67"/>
        </w:rPr>
        <w:t> </w:t>
      </w:r>
      <w:r>
        <w:rPr>
          <w:spacing w:val="-67"/>
        </w:rPr>
      </w:r>
      <w:r>
        <w:rPr>
          <w:spacing w:val="-2"/>
        </w:rPr>
        <w:t>城大学、牛津大学、荷兰应用科学研究院、欧洲环境基金会、清华大学等国内外知名机构开展绿色城市、绿色建筑领域研发</w:t>
      </w:r>
      <w:r>
        <w:rPr>
          <w:spacing w:val="-67"/>
        </w:rPr>
        <w:t> </w:t>
      </w:r>
      <w:r>
        <w:rPr>
          <w:spacing w:val="-67"/>
        </w:rPr>
      </w:r>
      <w:r>
        <w:rPr/>
        <w:t>合作，建立了</w:t>
      </w:r>
      <w:r>
        <w:rPr>
          <w:rFonts w:ascii="Times New Roman" w:hAnsi="Times New Roman" w:cs="Times New Roman" w:eastAsia="Times New Roman" w:hint="default"/>
        </w:rPr>
        <w:t>IBR</w:t>
      </w:r>
      <w:r>
        <w:rPr/>
        <w:t>－清华大学绿色人居环境研究中心等。上述研究平台、实验室为公司城市、建筑绿色技术的研发和应用发 挥着重要的支撑作用，为公司持续技术创新提供了平台保障。 公司从事建设工程检测业务超过</w:t>
      </w:r>
      <w:r>
        <w:rPr>
          <w:rFonts w:ascii="Times New Roman" w:hAnsi="Times New Roman" w:cs="Times New Roman" w:eastAsia="Times New Roman" w:hint="default"/>
        </w:rPr>
        <w:t>20</w:t>
      </w:r>
      <w:r>
        <w:rPr/>
        <w:t>年，全资子公司建研检测可提供城市建设领域的检测项目</w:t>
      </w:r>
      <w:r>
        <w:rPr>
          <w:rFonts w:ascii="Times New Roman" w:hAnsi="Times New Roman" w:cs="Times New Roman" w:eastAsia="Times New Roman" w:hint="default"/>
        </w:rPr>
        <w:t>/</w:t>
      </w:r>
      <w:r>
        <w:rPr/>
        <w:t>参数</w:t>
      </w:r>
      <w:r>
        <w:rPr>
          <w:rFonts w:ascii="Times New Roman" w:hAnsi="Times New Roman" w:cs="Times New Roman" w:eastAsia="Times New Roman" w:hint="default"/>
        </w:rPr>
        <w:t>3284</w:t>
      </w:r>
      <w:r>
        <w:rPr/>
        <w:t>项。公司通过多年工 </w:t>
      </w:r>
      <w:r>
        <w:rPr>
          <w:spacing w:val="-4"/>
        </w:rPr>
        <w:t>程及材料检测、能耗监测以及绿色建筑、生态城市技术服务业务和研发实验，建立了庞大的涉及城市气候、空气质量、水文、</w:t>
      </w:r>
      <w:r>
        <w:rPr>
          <w:spacing w:val="-43"/>
        </w:rPr>
        <w:t> </w:t>
      </w:r>
      <w:r>
        <w:rPr>
          <w:spacing w:val="-43"/>
        </w:rPr>
      </w:r>
      <w:r>
        <w:rPr>
          <w:spacing w:val="-4"/>
        </w:rPr>
        <w:t>资源、地质、能耗、碳排放、自然植被、交通等城市基底、建筑性能相关数据库。同时建立了具有自有知识产权的城市评估、</w:t>
      </w:r>
      <w:r>
        <w:rPr>
          <w:spacing w:val="-41"/>
        </w:rPr>
        <w:t> </w:t>
      </w:r>
      <w:r>
        <w:rPr>
          <w:spacing w:val="-41"/>
        </w:rPr>
      </w:r>
      <w:r>
        <w:rPr>
          <w:spacing w:val="-2"/>
        </w:rPr>
        <w:t>热岛、能源、碳排放、植物生态数据、生态城评估等软件平台。公司数据库涵盖范围广泛，时间跨度长，较为完备的收集整</w:t>
      </w:r>
      <w:r>
        <w:rPr>
          <w:spacing w:val="-73"/>
        </w:rPr>
        <w:t> </w:t>
      </w:r>
      <w:r>
        <w:rPr>
          <w:spacing w:val="-73"/>
        </w:rPr>
      </w:r>
      <w:r>
        <w:rPr>
          <w:spacing w:val="-2"/>
        </w:rPr>
        <w:t>理了我国绿色建筑研究领域相关数据资料，将为公司未来在全国范围内开展技术服务提供重要的数据支持，形成公司特有的</w:t>
      </w:r>
      <w:r>
        <w:rPr>
          <w:spacing w:val="-64"/>
        </w:rPr>
        <w:t> </w:t>
      </w:r>
      <w:r>
        <w:rPr>
          <w:spacing w:val="-64"/>
        </w:rPr>
      </w:r>
      <w:r>
        <w:rPr/>
        <w:t>差异化竞争优势。</w:t>
      </w:r>
    </w:p>
    <w:p>
      <w:pPr>
        <w:pStyle w:val="BodyText"/>
        <w:spacing w:line="309" w:lineRule="auto" w:before="20"/>
        <w:ind w:right="0"/>
        <w:jc w:val="left"/>
      </w:pPr>
      <w:r>
        <w:rPr/>
        <w:t>（三）灵活、快速响应市场需求的业务模式创新机制优势 </w:t>
      </w:r>
      <w:r>
        <w:rPr>
          <w:spacing w:val="-2"/>
        </w:rPr>
        <w:t>公司倡导</w:t>
      </w:r>
      <w:r>
        <w:rPr>
          <w:rFonts w:ascii="Times New Roman" w:hAnsi="Times New Roman" w:cs="Times New Roman" w:eastAsia="Times New Roman" w:hint="default"/>
          <w:spacing w:val="-2"/>
        </w:rPr>
        <w:t>“</w:t>
      </w:r>
      <w:r>
        <w:rPr>
          <w:spacing w:val="-2"/>
        </w:rPr>
        <w:t>价值共享</w:t>
      </w:r>
      <w:r>
        <w:rPr>
          <w:rFonts w:ascii="Times New Roman" w:hAnsi="Times New Roman" w:cs="Times New Roman" w:eastAsia="Times New Roman" w:hint="default"/>
          <w:spacing w:val="-2"/>
        </w:rPr>
        <w:t>”</w:t>
      </w:r>
      <w:r>
        <w:rPr>
          <w:spacing w:val="-2"/>
        </w:rPr>
        <w:t>理念，建立了多点科技创新、业务链灵活组合业务模式，逐步形成了涵盖科研服务、规划设计、公信服</w:t>
      </w:r>
      <w:r>
        <w:rPr>
          <w:spacing w:val="-46"/>
        </w:rPr>
        <w:t> </w:t>
      </w:r>
      <w:r>
        <w:rPr>
          <w:spacing w:val="-46"/>
        </w:rPr>
      </w:r>
      <w:r>
        <w:rPr/>
        <w:t>务、项目管理以及运营服务等全过程业务链，业务模式创新机制在行业内较有鲜明特色和差异化竞争优势。</w:t>
      </w:r>
    </w:p>
    <w:p>
      <w:pPr>
        <w:pStyle w:val="BodyText"/>
        <w:spacing w:line="307" w:lineRule="auto" w:before="24"/>
        <w:ind w:right="0"/>
        <w:jc w:val="left"/>
      </w:pPr>
      <w:r>
        <w:rPr/>
        <w:t>（四）建设领域的绿色品牌优势 </w:t>
      </w:r>
      <w:r>
        <w:rPr>
          <w:spacing w:val="-2"/>
        </w:rPr>
        <w:t>自</w:t>
      </w:r>
      <w:r>
        <w:rPr>
          <w:rFonts w:ascii="Times New Roman" w:hAnsi="Times New Roman" w:cs="Times New Roman" w:eastAsia="Times New Roman" w:hint="default"/>
          <w:spacing w:val="-2"/>
        </w:rPr>
        <w:t>2000</w:t>
      </w:r>
      <w:r>
        <w:rPr>
          <w:spacing w:val="-2"/>
        </w:rPr>
        <w:t>年建立第一个建筑节能实验室并确立以绿色为核心的发展路线以来，公司一直专注于绿色建筑和生态城市领域技术的</w:t>
      </w:r>
      <w:r>
        <w:rPr>
          <w:spacing w:val="-62"/>
        </w:rPr>
        <w:t> </w:t>
      </w:r>
      <w:r>
        <w:rPr>
          <w:spacing w:val="-62"/>
        </w:rPr>
      </w:r>
      <w:r>
        <w:rPr>
          <w:spacing w:val="-2"/>
        </w:rPr>
        <w:t>研发、创新及工程应用实践，完成了众多优秀项目的设计或技术咨询工作。公司凭借技术创新和市场业务方面的优势，先后</w:t>
      </w:r>
      <w:r>
        <w:rPr>
          <w:spacing w:val="-64"/>
        </w:rPr>
        <w:t> </w:t>
      </w:r>
      <w:r>
        <w:rPr>
          <w:spacing w:val="-64"/>
        </w:rPr>
      </w:r>
      <w:r>
        <w:rPr>
          <w:spacing w:val="-2"/>
        </w:rPr>
        <w:t>获得了</w:t>
      </w:r>
      <w:r>
        <w:rPr>
          <w:rFonts w:ascii="Times New Roman" w:hAnsi="Times New Roman" w:cs="Times New Roman" w:eastAsia="Times New Roman" w:hint="default"/>
          <w:spacing w:val="-2"/>
        </w:rPr>
        <w:t>“</w:t>
      </w:r>
      <w:r>
        <w:rPr>
          <w:spacing w:val="-2"/>
        </w:rPr>
        <w:t>中国企业新纪录</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全国建筑节能技术创新企业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当代中国建筑设计百家名院</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全国绿色建筑先锋奖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广东省</w:t>
      </w:r>
      <w:r>
        <w:rPr>
          <w:spacing w:val="-58"/>
        </w:rPr>
        <w:t> </w:t>
      </w:r>
      <w:r>
        <w:rPr>
          <w:spacing w:val="-58"/>
        </w:rPr>
      </w:r>
      <w:r>
        <w:rPr/>
        <w:t>装配式建筑（设计类、检测类）产业基地</w:t>
      </w:r>
      <w:r>
        <w:rPr>
          <w:rFonts w:ascii="Times New Roman" w:hAnsi="Times New Roman" w:cs="Times New Roman" w:eastAsia="Times New Roman" w:hint="default"/>
        </w:rPr>
        <w:t>”</w:t>
      </w:r>
      <w:r>
        <w:rPr/>
        <w:t>等多项荣誉。公司已发展成为我国绿色建筑、生态城市领域的知名企业，具有很 好的行业品牌影响力。</w:t>
      </w:r>
    </w:p>
    <w:p>
      <w:pPr>
        <w:pStyle w:val="BodyText"/>
        <w:spacing w:line="309" w:lineRule="auto" w:before="26"/>
        <w:ind w:right="1034"/>
        <w:jc w:val="left"/>
      </w:pPr>
      <w:r>
        <w:rPr/>
        <w:t>（五）管理优势 公司多年来一直努力引进、创新各种先进的管理理念和机制，不断提升管理效能，逐步形成了独特的管理机制。 </w:t>
      </w:r>
      <w:r>
        <w:rPr>
          <w:spacing w:val="-2"/>
        </w:rPr>
        <w:t>公司整体上形成了以客户和市场为导向的业务和质量管理组织模式，实施扁平化的组织架构，采用端到端的流程式和矩阵式</w:t>
      </w:r>
      <w:r>
        <w:rPr>
          <w:spacing w:val="-64"/>
        </w:rPr>
        <w:t> </w:t>
      </w:r>
      <w:r>
        <w:rPr>
          <w:spacing w:val="-64"/>
        </w:rPr>
      </w:r>
      <w:r>
        <w:rPr/>
        <w:t>经营管理模式。公司以项目为核心，由项目主任牵头总负责，质控部门进行全过程质量把控，各部门、专业人员密切配合， 充分实现资源、管理的协同。公司建立了</w:t>
      </w:r>
      <w:r>
        <w:rPr>
          <w:rFonts w:ascii="Times New Roman" w:hAnsi="Times New Roman" w:cs="Times New Roman" w:eastAsia="Times New Roman" w:hint="default"/>
        </w:rPr>
        <w:t>“</w:t>
      </w:r>
      <w:r>
        <w:rPr/>
        <w:t>三合一</w:t>
      </w:r>
      <w:r>
        <w:rPr>
          <w:rFonts w:ascii="Times New Roman" w:hAnsi="Times New Roman" w:cs="Times New Roman" w:eastAsia="Times New Roman" w:hint="default"/>
        </w:rPr>
        <w:t>”</w:t>
      </w:r>
      <w:r>
        <w:rPr/>
        <w:t>管理体系（</w:t>
      </w:r>
      <w:r>
        <w:rPr>
          <w:rFonts w:ascii="Times New Roman" w:hAnsi="Times New Roman" w:cs="Times New Roman" w:eastAsia="Times New Roman" w:hint="default"/>
        </w:rPr>
        <w:t>ISO14001</w:t>
      </w:r>
      <w:r>
        <w:rPr/>
        <w:t>：</w:t>
      </w:r>
      <w:r>
        <w:rPr>
          <w:rFonts w:ascii="Times New Roman" w:hAnsi="Times New Roman" w:cs="Times New Roman" w:eastAsia="Times New Roman" w:hint="default"/>
        </w:rPr>
        <w:t>2015</w:t>
      </w:r>
      <w:r>
        <w:rPr/>
        <w:t>环境管理体系认证、</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2015</w:t>
      </w:r>
      <w:r>
        <w:rPr/>
        <w:t>质量管理 体系认证、</w:t>
      </w:r>
      <w:r>
        <w:rPr>
          <w:rFonts w:ascii="Times New Roman" w:hAnsi="Times New Roman" w:cs="Times New Roman" w:eastAsia="Times New Roman" w:hint="default"/>
        </w:rPr>
        <w:t>OHSAS18001</w:t>
      </w:r>
      <w:r>
        <w:rPr/>
        <w:t>：</w:t>
      </w:r>
      <w:r>
        <w:rPr>
          <w:rFonts w:ascii="Times New Roman" w:hAnsi="Times New Roman" w:cs="Times New Roman" w:eastAsia="Times New Roman" w:hint="default"/>
        </w:rPr>
        <w:t>2007</w:t>
      </w:r>
      <w:r>
        <w:rPr/>
        <w:t>职业健康安全管理体系认证），还建立了规范的监督、评估和升级体系，包括管理审计、技 </w:t>
      </w:r>
      <w:r>
        <w:rPr>
          <w:spacing w:val="-3"/>
        </w:rPr>
        <w:t>术审计、财务审计、合同与产品质量的第三方后评估等制度，保障了公司管理体制的有效运行。公司运用平衡积分卡（</w:t>
      </w:r>
      <w:r>
        <w:rPr>
          <w:rFonts w:ascii="Times New Roman" w:hAnsi="Times New Roman" w:cs="Times New Roman" w:eastAsia="Times New Roman" w:hint="default"/>
          <w:spacing w:val="-3"/>
        </w:rPr>
        <w:t>BSC</w:t>
      </w:r>
      <w:r>
        <w:rPr>
          <w:spacing w:val="-3"/>
        </w:rPr>
        <w:t>）</w:t>
      </w:r>
      <w:r>
        <w:rPr>
          <w:spacing w:val="-77"/>
        </w:rPr>
        <w:t> </w:t>
      </w:r>
      <w:r>
        <w:rPr>
          <w:spacing w:val="-2"/>
        </w:rPr>
        <w:t>工具进行战略管理，将战略目标进行分解细化，并进行多维度综合考核评估，注重财务与非财务、长期目标与短期目标、外</w:t>
      </w:r>
    </w:p>
    <w:p>
      <w:pPr>
        <w:spacing w:after="0" w:line="309"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1034"/>
        <w:jc w:val="left"/>
      </w:pPr>
      <w:r>
        <w:rPr/>
        <w:t>部和内部、结果和过程等之间的平衡，确保战略目标的实现。 </w:t>
      </w:r>
      <w:r>
        <w:rPr>
          <w:spacing w:val="-2"/>
        </w:rPr>
        <w:t>公司一直以来十分重视信息化建设，在建立协同办公系统、财务管理系统、科研项目管理系统、档案管理系统、客户资源管</w:t>
      </w:r>
      <w:r>
        <w:rPr>
          <w:spacing w:val="-67"/>
        </w:rPr>
        <w:t> </w:t>
      </w:r>
      <w:r>
        <w:rPr>
          <w:spacing w:val="-67"/>
        </w:rPr>
      </w:r>
      <w:r>
        <w:rPr/>
        <w:t>理（</w:t>
      </w:r>
      <w:r>
        <w:rPr>
          <w:rFonts w:ascii="Times New Roman" w:hAnsi="Times New Roman" w:cs="Times New Roman" w:eastAsia="Times New Roman" w:hint="default"/>
        </w:rPr>
        <w:t>CRM</w:t>
      </w:r>
      <w:r>
        <w:rPr/>
        <w:t>）系统及</w:t>
      </w:r>
      <w:r>
        <w:rPr>
          <w:rFonts w:ascii="Times New Roman" w:hAnsi="Times New Roman" w:cs="Times New Roman" w:eastAsia="Times New Roman" w:hint="default"/>
        </w:rPr>
        <w:t>“</w:t>
      </w:r>
      <w:r>
        <w:rPr/>
        <w:t>乐活</w:t>
      </w:r>
      <w:r>
        <w:rPr>
          <w:rFonts w:ascii="Times New Roman" w:hAnsi="Times New Roman" w:cs="Times New Roman" w:eastAsia="Times New Roman" w:hint="default"/>
        </w:rPr>
        <w:t>”</w:t>
      </w:r>
      <w:r>
        <w:rPr/>
        <w:t>系统后，又继续完善和建设了覆盖深圳、珠海、惠州、上海、雄安的实验室网络的实验室信息管 理系统（</w:t>
      </w:r>
      <w:r>
        <w:rPr>
          <w:rFonts w:ascii="Times New Roman" w:hAnsi="Times New Roman" w:cs="Times New Roman" w:eastAsia="Times New Roman" w:hint="default"/>
        </w:rPr>
        <w:t>LIMS</w:t>
      </w:r>
      <w:r>
        <w:rPr/>
        <w:t>）二期、设计生产管理系统，并实现了各系统之间的有效对接。同时，新增区块链在建设行业应用的</w:t>
      </w:r>
      <w:r>
        <w:rPr>
          <w:rFonts w:ascii="Times New Roman" w:hAnsi="Times New Roman" w:cs="Times New Roman" w:eastAsia="Times New Roman" w:hint="default"/>
        </w:rPr>
        <w:t>“</w:t>
      </w:r>
      <w:r>
        <w:rPr/>
        <w:t>伊</w:t>
      </w:r>
      <w:r>
        <w:rPr>
          <w:rFonts w:ascii="Times New Roman" w:hAnsi="Times New Roman" w:cs="Times New Roman" w:eastAsia="Times New Roman" w:hint="default"/>
        </w:rPr>
        <w:t>OS”</w:t>
      </w:r>
      <w:r>
        <w:rPr>
          <w:rFonts w:ascii="Times New Roman" w:hAnsi="Times New Roman" w:cs="Times New Roman" w:eastAsia="Times New Roman" w:hint="default"/>
          <w:w w:val="100"/>
        </w:rPr>
        <w:t> </w:t>
      </w:r>
      <w:r>
        <w:rPr/>
        <w:t>系统平台，并在多个工程项目中启动应用。此外，通过区块链带来的信用管理，对全员行为信用进行系统自动记录和评价， 结合大数据和</w:t>
      </w:r>
      <w:r>
        <w:rPr>
          <w:rFonts w:ascii="Times New Roman" w:hAnsi="Times New Roman" w:cs="Times New Roman" w:eastAsia="Times New Roman" w:hint="default"/>
        </w:rPr>
        <w:t>AI</w:t>
      </w:r>
      <w:r>
        <w:rPr/>
        <w:t>算法创新迭代，逐步形成知识型团队各类型工作岗位的个人行为肖像，最终实现按不同信用等级采取不同 </w:t>
      </w:r>
      <w:r>
        <w:rPr>
          <w:spacing w:val="-2"/>
        </w:rPr>
        <w:t>外部管理力度和审批程序，分级管理提高效率，把良好的职业行为显性化，与职业发展和考核体系互通，形成正向激励。公</w:t>
      </w:r>
      <w:r>
        <w:rPr>
          <w:spacing w:val="-67"/>
        </w:rPr>
        <w:t> </w:t>
      </w:r>
      <w:r>
        <w:rPr>
          <w:spacing w:val="-67"/>
        </w:rPr>
      </w:r>
      <w:r>
        <w:rPr>
          <w:spacing w:val="-2"/>
        </w:rPr>
        <w:t>司现已基本搭建出一套完整的信息化业务管理体系，有利于更好实现内部信息及时传递、共享，充分发挥各业务、部门协同</w:t>
      </w:r>
      <w:r>
        <w:rPr>
          <w:spacing w:val="-64"/>
        </w:rPr>
        <w:t> </w:t>
      </w:r>
      <w:r>
        <w:rPr>
          <w:spacing w:val="-64"/>
        </w:rPr>
      </w:r>
      <w:r>
        <w:rPr/>
        <w:t>效应，加强内部控制，提升管理效率。</w:t>
      </w:r>
    </w:p>
    <w:p>
      <w:pPr>
        <w:pStyle w:val="BodyText"/>
        <w:spacing w:line="316" w:lineRule="auto" w:before="22"/>
        <w:ind w:right="0"/>
        <w:jc w:val="left"/>
      </w:pPr>
      <w:r>
        <w:rPr/>
        <w:t>（六）资质优势 </w:t>
      </w:r>
      <w:r>
        <w:rPr>
          <w:spacing w:val="-2"/>
        </w:rPr>
        <w:t>公司在发展的过程中不断积累和壮大，取得了各类资质，为公司业务发展提供了重要支撑。目前，公司拥有城乡规划编制甲</w:t>
      </w:r>
      <w:r>
        <w:rPr>
          <w:spacing w:val="-66"/>
        </w:rPr>
        <w:t> </w:t>
      </w:r>
      <w:r>
        <w:rPr>
          <w:spacing w:val="-66"/>
        </w:rPr>
      </w:r>
      <w:r>
        <w:rPr>
          <w:spacing w:val="-4"/>
        </w:rPr>
        <w:t>级、工程设计建筑行业（建筑工程）甲级、房屋建筑工程监理甲级、工程咨询单位甲级咨信、工程设计市政行业（给水工程、</w:t>
      </w:r>
      <w:r>
        <w:rPr>
          <w:spacing w:val="-40"/>
        </w:rPr>
        <w:t> </w:t>
      </w:r>
      <w:r>
        <w:rPr>
          <w:spacing w:val="-40"/>
        </w:rPr>
      </w:r>
      <w:r>
        <w:rPr>
          <w:spacing w:val="-2"/>
        </w:rPr>
        <w:t>桥梁工程、道路工程、排水工程）专业乙级、风景园林工程设计专项乙级、工程勘察专业类（岩土工程）乙级、建设工程质</w:t>
      </w:r>
      <w:r>
        <w:rPr>
          <w:spacing w:val="-65"/>
        </w:rPr>
        <w:t> </w:t>
      </w:r>
      <w:r>
        <w:rPr>
          <w:spacing w:val="-65"/>
        </w:rPr>
      </w:r>
      <w:r>
        <w:rPr>
          <w:spacing w:val="-2"/>
        </w:rPr>
        <w:t>量检测机构资质、计量认证、地质灾害治理工程设计丙级、地质灾害治理工程监理丙级等资质；还获得了中国合格评定国家</w:t>
      </w:r>
      <w:r>
        <w:rPr>
          <w:spacing w:val="-64"/>
        </w:rPr>
        <w:t> </w:t>
      </w:r>
      <w:r>
        <w:rPr>
          <w:spacing w:val="-64"/>
        </w:rPr>
      </w:r>
      <w:r>
        <w:rPr/>
        <w:t>认可委员会的实验室认可证书（</w:t>
      </w:r>
      <w:r>
        <w:rPr>
          <w:rFonts w:ascii="Times New Roman" w:hAnsi="Times New Roman" w:cs="Times New Roman" w:eastAsia="Times New Roman" w:hint="default"/>
        </w:rPr>
        <w:t>CNAS</w:t>
      </w:r>
      <w:r>
        <w:rPr/>
        <w:t>）、检验机构认可证书（</w:t>
      </w:r>
      <w:r>
        <w:rPr>
          <w:rFonts w:ascii="Times New Roman" w:hAnsi="Times New Roman" w:cs="Times New Roman" w:eastAsia="Times New Roman" w:hint="default"/>
        </w:rPr>
        <w:t>CNAS</w:t>
      </w:r>
      <w:r>
        <w:rPr/>
        <w:t>）和国家认监委的检验机构资质认定证书（</w:t>
      </w:r>
      <w:r>
        <w:rPr>
          <w:rFonts w:ascii="Times New Roman" w:hAnsi="Times New Roman" w:cs="Times New Roman" w:eastAsia="Times New Roman" w:hint="default"/>
        </w:rPr>
        <w:t>CMA</w:t>
      </w:r>
      <w:r>
        <w:rPr/>
        <w:t>）。 </w:t>
      </w:r>
      <w:r>
        <w:rPr>
          <w:spacing w:val="-2"/>
        </w:rPr>
        <w:t>完善的资质和认可体系是企业综合实力的体现，特别是在工程技术服务行业中，资质往往是业务开展和项目招投标的基本条</w:t>
      </w:r>
      <w:r>
        <w:rPr>
          <w:spacing w:val="-64"/>
        </w:rPr>
        <w:t> </w:t>
      </w:r>
      <w:r>
        <w:rPr>
          <w:spacing w:val="-64"/>
        </w:rPr>
      </w:r>
      <w:r>
        <w:rPr>
          <w:spacing w:val="-2"/>
        </w:rPr>
        <w:t>件，公司资质和认可涵盖了建筑工程、市政等领域，涉及到设计、咨询、管理和检测等多个环节，为公司全面开拓市场提供</w:t>
      </w:r>
      <w:r>
        <w:rPr>
          <w:spacing w:val="-67"/>
        </w:rPr>
        <w:t> </w:t>
      </w:r>
      <w:r>
        <w:rPr>
          <w:spacing w:val="-67"/>
        </w:rPr>
      </w:r>
      <w:r>
        <w:rPr/>
        <w:t>了强有力的资质保证。</w:t>
      </w:r>
    </w:p>
    <w:p>
      <w:pPr>
        <w:spacing w:after="0" w:line="316"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0"/>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0"/>
        <w:jc w:val="both"/>
      </w:pPr>
      <w:r>
        <w:rPr>
          <w:spacing w:val="-2"/>
        </w:rPr>
        <w:t>在国内经济下行、行业压力增大及业内竞争日益激烈的情况下，公司突出绿色城市生命价值观，坚定公司核心价值定位与内</w:t>
      </w:r>
      <w:r>
        <w:rPr>
          <w:spacing w:val="-63"/>
        </w:rPr>
        <w:t> </w:t>
      </w:r>
      <w:r>
        <w:rPr>
          <w:spacing w:val="-63"/>
        </w:rPr>
      </w:r>
      <w:r>
        <w:rPr/>
        <w:t>涵，从绿色建筑和绿色城市的技术层面转向生命价值观层面，以</w:t>
      </w:r>
      <w:r>
        <w:rPr>
          <w:rFonts w:ascii="Times New Roman" w:hAnsi="Times New Roman" w:cs="Times New Roman" w:eastAsia="Times New Roman" w:hint="default"/>
        </w:rPr>
        <w:t>“</w:t>
      </w:r>
      <w:r>
        <w:rPr/>
        <w:t>平视城市，共享生命精彩</w:t>
      </w:r>
      <w:r>
        <w:rPr>
          <w:rFonts w:ascii="Times New Roman" w:hAnsi="Times New Roman" w:cs="Times New Roman" w:eastAsia="Times New Roman" w:hint="default"/>
        </w:rPr>
        <w:t>”</w:t>
      </w:r>
      <w:r>
        <w:rPr/>
        <w:t>为愿景，围绕</w:t>
      </w:r>
      <w:r>
        <w:rPr>
          <w:rFonts w:ascii="Times New Roman" w:hAnsi="Times New Roman" w:cs="Times New Roman" w:eastAsia="Times New Roman" w:hint="default"/>
        </w:rPr>
        <w:t>“</w:t>
      </w:r>
      <w:r>
        <w:rPr/>
        <w:t>中国绿色城市价 值创造者</w:t>
      </w:r>
      <w:r>
        <w:rPr>
          <w:rFonts w:ascii="Times New Roman" w:hAnsi="Times New Roman" w:cs="Times New Roman" w:eastAsia="Times New Roman" w:hint="default"/>
        </w:rPr>
        <w:t>”</w:t>
      </w:r>
      <w:r>
        <w:rPr/>
        <w:t>的使命，向着国际化绿色科技产业集团的发展目标稳步前行。</w:t>
      </w:r>
      <w:r>
        <w:rPr>
          <w:rFonts w:ascii="Times New Roman" w:hAnsi="Times New Roman" w:cs="Times New Roman" w:eastAsia="Times New Roman" w:hint="default"/>
        </w:rPr>
        <w:t>2019</w:t>
      </w:r>
      <w:r>
        <w:rPr/>
        <w:t>年公司聚焦绿色建筑和城市绿色发展的技术服 </w:t>
      </w:r>
      <w:r>
        <w:rPr>
          <w:spacing w:val="-2"/>
        </w:rPr>
        <w:t>务，在业务模式转型、市场策略创新、科研能力夯实和资本运作试点等方面，齐头并进协同运作，不断增强核心竞争力，实</w:t>
      </w:r>
      <w:r>
        <w:rPr>
          <w:spacing w:val="-70"/>
        </w:rPr>
        <w:t> </w:t>
      </w:r>
      <w:r>
        <w:rPr>
          <w:spacing w:val="-70"/>
        </w:rPr>
      </w:r>
      <w:r>
        <w:rPr/>
        <w:t>现经营业绩稳步增长。</w:t>
      </w:r>
    </w:p>
    <w:p>
      <w:pPr>
        <w:spacing w:line="240" w:lineRule="auto" w:before="10"/>
        <w:rPr>
          <w:rFonts w:ascii="宋体" w:hAnsi="宋体" w:cs="宋体" w:eastAsia="宋体" w:hint="default"/>
          <w:sz w:val="25"/>
          <w:szCs w:val="25"/>
        </w:rPr>
      </w:pPr>
    </w:p>
    <w:p>
      <w:pPr>
        <w:pStyle w:val="BodyText"/>
        <w:spacing w:line="304" w:lineRule="auto"/>
        <w:ind w:right="1034"/>
        <w:jc w:val="left"/>
      </w:pPr>
      <w:r>
        <w:rPr/>
        <w:t>（一）全过程业务加速发展，业务规模实现增长 </w:t>
      </w:r>
      <w:r>
        <w:rPr>
          <w:spacing w:val="-2"/>
        </w:rPr>
        <w:t>报告期内，重点实施了从</w:t>
      </w:r>
      <w:r>
        <w:rPr>
          <w:rFonts w:ascii="Times New Roman" w:hAnsi="Times New Roman" w:cs="Times New Roman" w:eastAsia="Times New Roman" w:hint="default"/>
          <w:spacing w:val="-2"/>
        </w:rPr>
        <w:t>“</w:t>
      </w:r>
      <w:r>
        <w:rPr>
          <w:spacing w:val="-2"/>
        </w:rPr>
        <w:t>单一技术服务</w:t>
      </w:r>
      <w:r>
        <w:rPr>
          <w:rFonts w:ascii="Times New Roman" w:hAnsi="Times New Roman" w:cs="Times New Roman" w:eastAsia="Times New Roman" w:hint="default"/>
          <w:spacing w:val="-2"/>
        </w:rPr>
        <w:t>”</w:t>
      </w:r>
      <w:r>
        <w:rPr>
          <w:spacing w:val="-2"/>
        </w:rPr>
        <w:t>到</w:t>
      </w:r>
      <w:r>
        <w:rPr>
          <w:rFonts w:ascii="Times New Roman" w:hAnsi="Times New Roman" w:cs="Times New Roman" w:eastAsia="Times New Roman" w:hint="default"/>
          <w:spacing w:val="-2"/>
        </w:rPr>
        <w:t>“</w:t>
      </w:r>
      <w:r>
        <w:rPr>
          <w:spacing w:val="-2"/>
        </w:rPr>
        <w:t>全过程综合服务</w:t>
      </w:r>
      <w:r>
        <w:rPr>
          <w:rFonts w:ascii="Times New Roman" w:hAnsi="Times New Roman" w:cs="Times New Roman" w:eastAsia="Times New Roman" w:hint="default"/>
          <w:spacing w:val="-2"/>
        </w:rPr>
        <w:t>”</w:t>
      </w:r>
      <w:r>
        <w:rPr>
          <w:spacing w:val="-2"/>
        </w:rPr>
        <w:t>、从</w:t>
      </w:r>
      <w:r>
        <w:rPr>
          <w:rFonts w:ascii="Times New Roman" w:hAnsi="Times New Roman" w:cs="Times New Roman" w:eastAsia="Times New Roman" w:hint="default"/>
          <w:spacing w:val="-2"/>
        </w:rPr>
        <w:t>“</w:t>
      </w:r>
      <w:r>
        <w:rPr>
          <w:spacing w:val="-2"/>
        </w:rPr>
        <w:t>一次性合同服务</w:t>
      </w:r>
      <w:r>
        <w:rPr>
          <w:rFonts w:ascii="Times New Roman" w:hAnsi="Times New Roman" w:cs="Times New Roman" w:eastAsia="Times New Roman" w:hint="default"/>
          <w:spacing w:val="-2"/>
        </w:rPr>
        <w:t>”</w:t>
      </w:r>
      <w:r>
        <w:rPr>
          <w:spacing w:val="-2"/>
        </w:rPr>
        <w:t>到</w:t>
      </w:r>
      <w:r>
        <w:rPr>
          <w:rFonts w:ascii="Times New Roman" w:hAnsi="Times New Roman" w:cs="Times New Roman" w:eastAsia="Times New Roman" w:hint="default"/>
          <w:spacing w:val="-2"/>
        </w:rPr>
        <w:t>“</w:t>
      </w:r>
      <w:r>
        <w:rPr>
          <w:spacing w:val="-2"/>
        </w:rPr>
        <w:t>全生命周期陪伴服务</w:t>
      </w:r>
      <w:r>
        <w:rPr>
          <w:rFonts w:ascii="Times New Roman" w:hAnsi="Times New Roman" w:cs="Times New Roman" w:eastAsia="Times New Roman" w:hint="default"/>
          <w:spacing w:val="-2"/>
        </w:rPr>
        <w:t>”</w:t>
      </w:r>
      <w:r>
        <w:rPr>
          <w:spacing w:val="-2"/>
        </w:rPr>
        <w:t>、从</w:t>
      </w:r>
      <w:r>
        <w:rPr>
          <w:rFonts w:ascii="Times New Roman" w:hAnsi="Times New Roman" w:cs="Times New Roman" w:eastAsia="Times New Roman" w:hint="default"/>
          <w:spacing w:val="-2"/>
        </w:rPr>
        <w:t>“</w:t>
      </w:r>
      <w:r>
        <w:rPr>
          <w:spacing w:val="-2"/>
        </w:rPr>
        <w:t>简单技术</w:t>
      </w:r>
      <w:r>
        <w:rPr>
          <w:spacing w:val="-58"/>
        </w:rPr>
        <w:t> </w:t>
      </w:r>
      <w:r>
        <w:rPr/>
        <w:t>服务收入</w:t>
      </w:r>
      <w:r>
        <w:rPr>
          <w:rFonts w:ascii="Times New Roman" w:hAnsi="Times New Roman" w:cs="Times New Roman" w:eastAsia="Times New Roman" w:hint="default"/>
        </w:rPr>
        <w:t>”</w:t>
      </w:r>
      <w:r>
        <w:rPr/>
        <w:t>到</w:t>
      </w:r>
      <w:r>
        <w:rPr>
          <w:rFonts w:ascii="Times New Roman" w:hAnsi="Times New Roman" w:cs="Times New Roman" w:eastAsia="Times New Roman" w:hint="default"/>
        </w:rPr>
        <w:t>“</w:t>
      </w:r>
      <w:r>
        <w:rPr/>
        <w:t>价值创造的增值分利</w:t>
      </w:r>
      <w:r>
        <w:rPr>
          <w:rFonts w:ascii="Times New Roman" w:hAnsi="Times New Roman" w:cs="Times New Roman" w:eastAsia="Times New Roman" w:hint="default"/>
        </w:rPr>
        <w:t>”</w:t>
      </w:r>
      <w:r>
        <w:rPr/>
        <w:t>为核心的业务模式变革。 </w:t>
      </w:r>
      <w:r>
        <w:rPr>
          <w:rFonts w:ascii="Times New Roman" w:hAnsi="Times New Roman" w:cs="Times New Roman" w:eastAsia="Times New Roman" w:hint="default"/>
        </w:rPr>
        <w:t>1</w:t>
      </w:r>
      <w:r>
        <w:rPr/>
        <w:t>、加大力度整合城市绿色发展全过程技术服务，具体涵盖城市规划、建筑设计、项目管理、绿色运营等业务单元。</w:t>
      </w:r>
      <w:r>
        <w:rPr>
          <w:rFonts w:ascii="Times New Roman" w:hAnsi="Times New Roman" w:cs="Times New Roman" w:eastAsia="Times New Roman" w:hint="default"/>
        </w:rPr>
        <w:t>2019</w:t>
      </w:r>
      <w:r>
        <w:rPr/>
        <w:t>年 该业务板块范围实现营收合计</w:t>
      </w:r>
      <w:r>
        <w:rPr>
          <w:rFonts w:ascii="Times New Roman" w:hAnsi="Times New Roman" w:cs="Times New Roman" w:eastAsia="Times New Roman" w:hint="default"/>
        </w:rPr>
        <w:t>30,047.68</w:t>
      </w:r>
      <w:r>
        <w:rPr/>
        <w:t>万元，较上年同期增加</w:t>
      </w:r>
      <w:r>
        <w:rPr>
          <w:rFonts w:ascii="Times New Roman" w:hAnsi="Times New Roman" w:cs="Times New Roman" w:eastAsia="Times New Roman" w:hint="default"/>
        </w:rPr>
        <w:t>5,950.04</w:t>
      </w:r>
      <w:r>
        <w:rPr/>
        <w:t>万元，同比增长</w:t>
      </w:r>
      <w:r>
        <w:rPr>
          <w:rFonts w:ascii="Times New Roman" w:hAnsi="Times New Roman" w:cs="Times New Roman" w:eastAsia="Times New Roman" w:hint="default"/>
        </w:rPr>
        <w:t>24.69</w:t>
      </w:r>
      <w:r>
        <w:rPr/>
        <w:t>％，业务规模加速增长。其中全 过程咨询业务（含</w:t>
      </w:r>
      <w:r>
        <w:rPr>
          <w:rFonts w:ascii="Times New Roman" w:hAnsi="Times New Roman" w:cs="Times New Roman" w:eastAsia="Times New Roman" w:hint="default"/>
        </w:rPr>
        <w:t>EPC</w:t>
      </w:r>
      <w:r>
        <w:rPr/>
        <w:t>）实现营业收入</w:t>
      </w:r>
      <w:r>
        <w:rPr>
          <w:rFonts w:ascii="Times New Roman" w:hAnsi="Times New Roman" w:cs="Times New Roman" w:eastAsia="Times New Roman" w:hint="default"/>
        </w:rPr>
        <w:t>10,194.96</w:t>
      </w:r>
      <w:r>
        <w:rPr/>
        <w:t>万元，占全年营收比为</w:t>
      </w:r>
      <w:r>
        <w:rPr>
          <w:rFonts w:ascii="Times New Roman" w:hAnsi="Times New Roman" w:cs="Times New Roman" w:eastAsia="Times New Roman" w:hint="default"/>
        </w:rPr>
        <w:t>21.79%</w:t>
      </w:r>
      <w:r>
        <w:rPr/>
        <w:t>，较上年同期增加</w:t>
      </w:r>
      <w:r>
        <w:rPr>
          <w:rFonts w:ascii="Times New Roman" w:hAnsi="Times New Roman" w:cs="Times New Roman" w:eastAsia="Times New Roman" w:hint="default"/>
        </w:rPr>
        <w:t>6,869.35</w:t>
      </w:r>
      <w:r>
        <w:rPr/>
        <w:t>万元，同比增长 </w:t>
      </w:r>
      <w:r>
        <w:rPr>
          <w:rFonts w:ascii="Times New Roman" w:hAnsi="Times New Roman" w:cs="Times New Roman" w:eastAsia="Times New Roman" w:hint="default"/>
        </w:rPr>
        <w:t>206.56%</w:t>
      </w:r>
      <w:r>
        <w:rPr/>
        <w:t>，使公司在全过程业务上取得了实质性的突破，特别是</w:t>
      </w:r>
      <w:r>
        <w:rPr>
          <w:rFonts w:ascii="Times New Roman" w:hAnsi="Times New Roman" w:cs="Times New Roman" w:eastAsia="Times New Roman" w:hint="default"/>
        </w:rPr>
        <w:t>“</w:t>
      </w:r>
      <w:r>
        <w:rPr/>
        <w:t>雄安商务服务中心全过程咨询项目</w:t>
      </w:r>
      <w:r>
        <w:rPr>
          <w:rFonts w:ascii="Times New Roman" w:hAnsi="Times New Roman" w:cs="Times New Roman" w:eastAsia="Times New Roman" w:hint="default"/>
        </w:rPr>
        <w:t>”</w:t>
      </w:r>
      <w:r>
        <w:rPr/>
        <w:t>是本年行业内同类项目 </w:t>
      </w:r>
      <w:r>
        <w:rPr>
          <w:spacing w:val="-2"/>
        </w:rPr>
        <w:t>中合同额最大的全过程咨询项目之一，为公司在民用建筑领域的全过程咨询业务树立了品牌效应，进一步强化了公司市场竞</w:t>
      </w:r>
      <w:r>
        <w:rPr>
          <w:spacing w:val="-64"/>
        </w:rPr>
        <w:t> </w:t>
      </w:r>
      <w:r>
        <w:rPr>
          <w:spacing w:val="-64"/>
        </w:rPr>
      </w:r>
      <w:r>
        <w:rPr/>
        <w:t>争力和提升了公司知名度。 其他单项业务各有升降，总体保持平稳，其中：城市规划业务实现营收</w:t>
      </w:r>
      <w:r>
        <w:rPr>
          <w:rFonts w:ascii="Times New Roman" w:hAnsi="Times New Roman" w:cs="Times New Roman" w:eastAsia="Times New Roman" w:hint="default"/>
        </w:rPr>
        <w:t>7,953.51</w:t>
      </w:r>
      <w:r>
        <w:rPr/>
        <w:t>万元，较上年同期增加</w:t>
      </w:r>
      <w:r>
        <w:rPr>
          <w:rFonts w:ascii="Times New Roman" w:hAnsi="Times New Roman" w:cs="Times New Roman" w:eastAsia="Times New Roman" w:hint="default"/>
        </w:rPr>
        <w:t>379.69</w:t>
      </w:r>
      <w:r>
        <w:rPr/>
        <w:t>万元，同比增 </w:t>
      </w:r>
      <w:r>
        <w:rPr>
          <w:spacing w:val="-2"/>
        </w:rPr>
        <w:t>长</w:t>
      </w:r>
      <w:r>
        <w:rPr>
          <w:rFonts w:ascii="Times New Roman" w:hAnsi="Times New Roman" w:cs="Times New Roman" w:eastAsia="Times New Roman" w:hint="default"/>
          <w:spacing w:val="-2"/>
        </w:rPr>
        <w:t>5.01%</w:t>
      </w:r>
      <w:r>
        <w:rPr>
          <w:spacing w:val="-2"/>
        </w:rPr>
        <w:t>，主要是受益于公司城市客户战略的实施力度加大；建筑设计实现营收</w:t>
      </w:r>
      <w:r>
        <w:rPr>
          <w:rFonts w:ascii="Times New Roman" w:hAnsi="Times New Roman" w:cs="Times New Roman" w:eastAsia="Times New Roman" w:hint="default"/>
          <w:spacing w:val="-2"/>
        </w:rPr>
        <w:t>8,540.38</w:t>
      </w:r>
      <w:r>
        <w:rPr>
          <w:spacing w:val="-2"/>
        </w:rPr>
        <w:t>万元，较上年同期减少</w:t>
      </w:r>
      <w:r>
        <w:rPr>
          <w:rFonts w:ascii="Times New Roman" w:hAnsi="Times New Roman" w:cs="Times New Roman" w:eastAsia="Times New Roman" w:hint="default"/>
          <w:spacing w:val="-2"/>
        </w:rPr>
        <w:t>2,041.42</w:t>
      </w:r>
      <w:r>
        <w:rPr>
          <w:spacing w:val="-2"/>
        </w:rPr>
        <w:t>万元，</w:t>
      </w:r>
      <w:r>
        <w:rPr>
          <w:spacing w:val="-65"/>
        </w:rPr>
        <w:t> </w:t>
      </w:r>
      <w:r>
        <w:rPr>
          <w:spacing w:val="-65"/>
        </w:rPr>
      </w:r>
      <w:r>
        <w:rPr/>
        <w:t>同比下降</w:t>
      </w:r>
      <w:r>
        <w:rPr>
          <w:rFonts w:ascii="Times New Roman" w:hAnsi="Times New Roman" w:cs="Times New Roman" w:eastAsia="Times New Roman" w:hint="default"/>
        </w:rPr>
        <w:t>19.29%</w:t>
      </w:r>
      <w:r>
        <w:rPr/>
        <w:t>，主要受区域部分客户项目进度波动影响；绿色运营实现营收</w:t>
      </w:r>
      <w:r>
        <w:rPr>
          <w:rFonts w:ascii="Times New Roman" w:hAnsi="Times New Roman" w:cs="Times New Roman" w:eastAsia="Times New Roman" w:hint="default"/>
        </w:rPr>
        <w:t>2,775.03</w:t>
      </w:r>
      <w:r>
        <w:rPr/>
        <w:t>万元，较上年同期增加</w:t>
      </w:r>
      <w:r>
        <w:rPr>
          <w:rFonts w:ascii="Times New Roman" w:hAnsi="Times New Roman" w:cs="Times New Roman" w:eastAsia="Times New Roman" w:hint="default"/>
        </w:rPr>
        <w:t>158.62</w:t>
      </w:r>
      <w:r>
        <w:rPr/>
        <w:t>万元， 同比增长</w:t>
      </w:r>
      <w:r>
        <w:rPr>
          <w:rFonts w:ascii="Times New Roman" w:hAnsi="Times New Roman" w:cs="Times New Roman" w:eastAsia="Times New Roman" w:hint="default"/>
        </w:rPr>
        <w:t>6.06%</w:t>
      </w:r>
      <w:r>
        <w:rPr>
          <w:rFonts w:ascii="Times New Roman" w:hAnsi="Times New Roman" w:cs="Times New Roman" w:eastAsia="Times New Roman" w:hint="default"/>
          <w:spacing w:val="28"/>
        </w:rPr>
        <w:t> </w:t>
      </w:r>
      <w:r>
        <w:rPr/>
        <w:t>。 </w:t>
      </w:r>
      <w:r>
        <w:rPr>
          <w:rFonts w:ascii="Times New Roman" w:hAnsi="Times New Roman" w:cs="Times New Roman" w:eastAsia="Times New Roman" w:hint="default"/>
        </w:rPr>
        <w:t>2</w:t>
      </w:r>
      <w:r>
        <w:rPr/>
        <w:t>、抓住机遇发展绿色人居公信检测全过程技术服务业务，具体涵盖检测、检验、认证、咨询等业务。</w:t>
      </w:r>
      <w:r>
        <w:rPr>
          <w:rFonts w:ascii="Times New Roman" w:hAnsi="Times New Roman" w:cs="Times New Roman" w:eastAsia="Times New Roman" w:hint="default"/>
        </w:rPr>
        <w:t>2019</w:t>
      </w:r>
      <w:r>
        <w:rPr/>
        <w:t>年该业务板块实 现营收合计</w:t>
      </w:r>
      <w:r>
        <w:rPr>
          <w:rFonts w:ascii="Times New Roman" w:hAnsi="Times New Roman" w:cs="Times New Roman" w:eastAsia="Times New Roman" w:hint="default"/>
        </w:rPr>
        <w:t>16,749.53</w:t>
      </w:r>
      <w:r>
        <w:rPr/>
        <w:t>万元，较上年同期增长</w:t>
      </w:r>
      <w:r>
        <w:rPr>
          <w:rFonts w:ascii="Times New Roman" w:hAnsi="Times New Roman" w:cs="Times New Roman" w:eastAsia="Times New Roman" w:hint="default"/>
        </w:rPr>
        <w:t>7.35%</w:t>
      </w:r>
      <w:r>
        <w:rPr/>
        <w:t>。其中建筑咨询实现营收</w:t>
      </w:r>
      <w:r>
        <w:rPr>
          <w:rFonts w:ascii="Times New Roman" w:hAnsi="Times New Roman" w:cs="Times New Roman" w:eastAsia="Times New Roman" w:hint="default"/>
        </w:rPr>
        <w:t>4,082.00</w:t>
      </w:r>
      <w:r>
        <w:rPr/>
        <w:t>万元，较上年同期减少</w:t>
      </w:r>
      <w:r>
        <w:rPr>
          <w:rFonts w:ascii="Times New Roman" w:hAnsi="Times New Roman" w:cs="Times New Roman" w:eastAsia="Times New Roman" w:hint="default"/>
        </w:rPr>
        <w:t>1,107.51</w:t>
      </w:r>
      <w:r>
        <w:rPr/>
        <w:t>万元，同 比下降</w:t>
      </w:r>
      <w:r>
        <w:rPr>
          <w:rFonts w:ascii="Times New Roman" w:hAnsi="Times New Roman" w:cs="Times New Roman" w:eastAsia="Times New Roman" w:hint="default"/>
        </w:rPr>
        <w:t>21.34%</w:t>
      </w:r>
      <w:r>
        <w:rPr/>
        <w:t>，同时公信检测服务实现营收</w:t>
      </w:r>
      <w:r>
        <w:rPr>
          <w:rFonts w:ascii="Times New Roman" w:hAnsi="Times New Roman" w:cs="Times New Roman" w:eastAsia="Times New Roman" w:hint="default"/>
        </w:rPr>
        <w:t>12,667.52</w:t>
      </w:r>
      <w:r>
        <w:rPr/>
        <w:t>万元，占全年营收比</w:t>
      </w:r>
      <w:r>
        <w:rPr>
          <w:rFonts w:ascii="Times New Roman" w:hAnsi="Times New Roman" w:cs="Times New Roman" w:eastAsia="Times New Roman" w:hint="default"/>
        </w:rPr>
        <w:t>27.07%</w:t>
      </w:r>
      <w:r>
        <w:rPr/>
        <w:t>，较上年同期增加</w:t>
      </w:r>
      <w:r>
        <w:rPr>
          <w:rFonts w:ascii="Times New Roman" w:hAnsi="Times New Roman" w:cs="Times New Roman" w:eastAsia="Times New Roman" w:hint="default"/>
        </w:rPr>
        <w:t>2,253.89</w:t>
      </w:r>
      <w:r>
        <w:rPr/>
        <w:t>万元，同比增长 </w:t>
      </w:r>
      <w:r>
        <w:rPr>
          <w:rFonts w:ascii="Times New Roman" w:hAnsi="Times New Roman" w:cs="Times New Roman" w:eastAsia="Times New Roman" w:hint="default"/>
        </w:rPr>
        <w:t>21.64%</w:t>
      </w:r>
      <w:r>
        <w:rPr/>
        <w:t>，业务基本保持平稳增长。但整合工程和材料检测、工程质量管理和技术咨询业务为甲方提供综合第三方公信服务 的</w:t>
      </w:r>
      <w:r>
        <w:rPr>
          <w:rFonts w:ascii="Times New Roman" w:hAnsi="Times New Roman" w:cs="Times New Roman" w:eastAsia="Times New Roman" w:hint="default"/>
        </w:rPr>
        <w:t>“</w:t>
      </w:r>
      <w:r>
        <w:rPr/>
        <w:t>甲控服务</w:t>
      </w:r>
      <w:r>
        <w:rPr>
          <w:rFonts w:ascii="Times New Roman" w:hAnsi="Times New Roman" w:cs="Times New Roman" w:eastAsia="Times New Roman" w:hint="default"/>
        </w:rPr>
        <w:t>”</w:t>
      </w:r>
      <w:r>
        <w:rPr/>
        <w:t>创新业务有新的突破，</w:t>
      </w:r>
      <w:r>
        <w:rPr>
          <w:rFonts w:ascii="Times New Roman" w:hAnsi="Times New Roman" w:cs="Times New Roman" w:eastAsia="Times New Roman" w:hint="default"/>
        </w:rPr>
        <w:t>2019</w:t>
      </w:r>
      <w:r>
        <w:rPr/>
        <w:t>年该业务开始占到检测业务营收的</w:t>
      </w:r>
      <w:r>
        <w:rPr>
          <w:rFonts w:ascii="Times New Roman" w:hAnsi="Times New Roman" w:cs="Times New Roman" w:eastAsia="Times New Roman" w:hint="default"/>
        </w:rPr>
        <w:t>5%</w:t>
      </w:r>
      <w:r>
        <w:rPr/>
        <w:t>。</w:t>
      </w:r>
    </w:p>
    <w:p>
      <w:pPr>
        <w:spacing w:line="240" w:lineRule="auto" w:before="7"/>
        <w:rPr>
          <w:rFonts w:ascii="宋体" w:hAnsi="宋体" w:cs="宋体" w:eastAsia="宋体" w:hint="default"/>
          <w:sz w:val="24"/>
          <w:szCs w:val="24"/>
        </w:rPr>
      </w:pPr>
    </w:p>
    <w:p>
      <w:pPr>
        <w:pStyle w:val="BodyText"/>
        <w:spacing w:line="304" w:lineRule="auto"/>
        <w:ind w:right="1026"/>
        <w:jc w:val="left"/>
      </w:pPr>
      <w:r>
        <w:rPr/>
        <w:t>（二）实施</w:t>
      </w:r>
      <w:r>
        <w:rPr>
          <w:rFonts w:ascii="Times New Roman" w:hAnsi="Times New Roman" w:cs="Times New Roman" w:eastAsia="Times New Roman" w:hint="default"/>
        </w:rPr>
        <w:t>“</w:t>
      </w:r>
      <w:r>
        <w:rPr/>
        <w:t>城市客户</w:t>
      </w:r>
      <w:r>
        <w:rPr>
          <w:rFonts w:ascii="Times New Roman" w:hAnsi="Times New Roman" w:cs="Times New Roman" w:eastAsia="Times New Roman" w:hint="default"/>
        </w:rPr>
        <w:t>”</w:t>
      </w:r>
      <w:r>
        <w:rPr/>
        <w:t>市场战略，提高市场营销效率 </w:t>
      </w:r>
      <w:r>
        <w:rPr>
          <w:spacing w:val="-2"/>
        </w:rPr>
        <w:t>报告期内，公司突出从生态规划、建筑设计、项目管理、公信检测和绿色运营等全过程业务和组合业务的优势，集中力量和</w:t>
      </w:r>
      <w:r>
        <w:rPr>
          <w:spacing w:val="-65"/>
        </w:rPr>
        <w:t> </w:t>
      </w:r>
      <w:r>
        <w:rPr>
          <w:spacing w:val="-65"/>
        </w:rPr>
      </w:r>
      <w:r>
        <w:rPr>
          <w:spacing w:val="-2"/>
        </w:rPr>
        <w:t>资源服务于生态建设和绿色发展业务需求大的重点城市，将城市作为虚拟客户主体，实施以城市绿色发展为目的全过程业务</w:t>
      </w:r>
      <w:r>
        <w:rPr>
          <w:spacing w:val="-64"/>
        </w:rPr>
        <w:t> </w:t>
      </w:r>
      <w:r>
        <w:rPr>
          <w:spacing w:val="-64"/>
        </w:rPr>
      </w:r>
      <w:r>
        <w:rPr/>
        <w:t>和组合业务营销策略，暨</w:t>
      </w:r>
      <w:r>
        <w:rPr>
          <w:rFonts w:ascii="Times New Roman" w:hAnsi="Times New Roman" w:cs="Times New Roman" w:eastAsia="Times New Roman" w:hint="default"/>
        </w:rPr>
        <w:t>“</w:t>
      </w:r>
      <w:r>
        <w:rPr/>
        <w:t>城市客户</w:t>
      </w:r>
      <w:r>
        <w:rPr>
          <w:rFonts w:ascii="Times New Roman" w:hAnsi="Times New Roman" w:cs="Times New Roman" w:eastAsia="Times New Roman" w:hint="default"/>
        </w:rPr>
        <w:t>”</w:t>
      </w:r>
      <w:r>
        <w:rPr/>
        <w:t>市场战略，以更好发挥公司竞争力，提升公司客户的集中度和单个城市业务规模，从而 提高业务运作效率。</w:t>
      </w:r>
      <w:r>
        <w:rPr>
          <w:rFonts w:ascii="Times New Roman" w:hAnsi="Times New Roman" w:cs="Times New Roman" w:eastAsia="Times New Roman" w:hint="default"/>
        </w:rPr>
        <w:t>2019</w:t>
      </w:r>
      <w:r>
        <w:rPr/>
        <w:t>年</w:t>
      </w:r>
      <w:r>
        <w:rPr>
          <w:spacing w:val="-21"/>
        </w:rPr>
        <w:t> </w:t>
      </w:r>
      <w:r>
        <w:rPr>
          <w:rFonts w:ascii="Times New Roman" w:hAnsi="Times New Roman" w:cs="Times New Roman" w:eastAsia="Times New Roman" w:hint="default"/>
        </w:rPr>
        <w:t>“</w:t>
      </w:r>
      <w:r>
        <w:rPr/>
        <w:t>城市客户</w:t>
      </w:r>
      <w:r>
        <w:rPr>
          <w:rFonts w:ascii="Times New Roman" w:hAnsi="Times New Roman" w:cs="Times New Roman" w:eastAsia="Times New Roman" w:hint="default"/>
        </w:rPr>
        <w:t>”</w:t>
      </w:r>
      <w:r>
        <w:rPr/>
        <w:t>体系逐步建立，公司前</w:t>
      </w:r>
      <w:r>
        <w:rPr>
          <w:rFonts w:ascii="Times New Roman" w:hAnsi="Times New Roman" w:cs="Times New Roman" w:eastAsia="Times New Roman" w:hint="default"/>
        </w:rPr>
        <w:t>5</w:t>
      </w:r>
      <w:r>
        <w:rPr/>
        <w:t>个</w:t>
      </w:r>
      <w:r>
        <w:rPr>
          <w:rFonts w:ascii="Times New Roman" w:hAnsi="Times New Roman" w:cs="Times New Roman" w:eastAsia="Times New Roman" w:hint="default"/>
        </w:rPr>
        <w:t>“</w:t>
      </w:r>
      <w:r>
        <w:rPr/>
        <w:t>城市客户</w:t>
      </w:r>
      <w:r>
        <w:rPr>
          <w:rFonts w:ascii="Times New Roman" w:hAnsi="Times New Roman" w:cs="Times New Roman" w:eastAsia="Times New Roman" w:hint="default"/>
        </w:rPr>
        <w:t>”</w:t>
      </w:r>
      <w:r>
        <w:rPr/>
        <w:t>分别是深圳市、雄安新区、荆门市、珠海市、 </w:t>
      </w:r>
      <w:r>
        <w:rPr>
          <w:spacing w:val="-1"/>
        </w:rPr>
        <w:t>上海市，分别实现营收</w:t>
      </w:r>
      <w:r>
        <w:rPr>
          <w:rFonts w:ascii="Times New Roman" w:hAnsi="Times New Roman" w:cs="Times New Roman" w:eastAsia="Times New Roman" w:hint="default"/>
          <w:spacing w:val="-1"/>
        </w:rPr>
        <w:t>28,288.41</w:t>
      </w:r>
      <w:r>
        <w:rPr>
          <w:spacing w:val="-1"/>
        </w:rPr>
        <w:t>万元、</w:t>
      </w:r>
      <w:r>
        <w:rPr>
          <w:rFonts w:ascii="Times New Roman" w:hAnsi="Times New Roman" w:cs="Times New Roman" w:eastAsia="Times New Roman" w:hint="default"/>
          <w:spacing w:val="-1"/>
        </w:rPr>
        <w:t>7,407.30</w:t>
      </w:r>
      <w:r>
        <w:rPr>
          <w:spacing w:val="-1"/>
        </w:rPr>
        <w:t>万元、</w:t>
      </w:r>
      <w:r>
        <w:rPr>
          <w:rFonts w:ascii="Times New Roman" w:hAnsi="Times New Roman" w:cs="Times New Roman" w:eastAsia="Times New Roman" w:hint="default"/>
          <w:spacing w:val="-1"/>
        </w:rPr>
        <w:t>1,511.82</w:t>
      </w:r>
      <w:r>
        <w:rPr>
          <w:spacing w:val="-1"/>
        </w:rPr>
        <w:t>万元、</w:t>
      </w:r>
      <w:r>
        <w:rPr>
          <w:rFonts w:ascii="Times New Roman" w:hAnsi="Times New Roman" w:cs="Times New Roman" w:eastAsia="Times New Roman" w:hint="default"/>
          <w:spacing w:val="-1"/>
        </w:rPr>
        <w:t>1,467.82</w:t>
      </w:r>
      <w:r>
        <w:rPr>
          <w:spacing w:val="-1"/>
        </w:rPr>
        <w:t>万元、</w:t>
      </w:r>
      <w:r>
        <w:rPr>
          <w:rFonts w:ascii="Times New Roman" w:hAnsi="Times New Roman" w:cs="Times New Roman" w:eastAsia="Times New Roman" w:hint="default"/>
          <w:spacing w:val="-1"/>
        </w:rPr>
        <w:t>1,363.96</w:t>
      </w:r>
      <w:r>
        <w:rPr>
          <w:spacing w:val="-1"/>
        </w:rPr>
        <w:t>万元，合计占全年营收</w:t>
      </w:r>
      <w:r>
        <w:rPr>
          <w:rFonts w:ascii="Times New Roman" w:hAnsi="Times New Roman" w:cs="Times New Roman" w:eastAsia="Times New Roman" w:hint="default"/>
          <w:spacing w:val="-1"/>
        </w:rPr>
        <w:t>85.56%</w:t>
      </w:r>
      <w:r>
        <w:rPr>
          <w:spacing w:val="-1"/>
        </w:rPr>
        <w:t>。</w:t>
      </w:r>
      <w:r>
        <w:rPr>
          <w:spacing w:val="-33"/>
        </w:rPr>
        <w:t> </w:t>
      </w:r>
      <w:r>
        <w:rPr>
          <w:spacing w:val="-2"/>
        </w:rPr>
        <w:t>同时还进行了西南和西北区域的潜在</w:t>
      </w:r>
      <w:r>
        <w:rPr>
          <w:rFonts w:ascii="Times New Roman" w:hAnsi="Times New Roman" w:cs="Times New Roman" w:eastAsia="Times New Roman" w:hint="default"/>
          <w:spacing w:val="-2"/>
        </w:rPr>
        <w:t>“</w:t>
      </w:r>
      <w:r>
        <w:rPr>
          <w:spacing w:val="-2"/>
        </w:rPr>
        <w:t>城市客户</w:t>
      </w:r>
      <w:r>
        <w:rPr>
          <w:rFonts w:ascii="Times New Roman" w:hAnsi="Times New Roman" w:cs="Times New Roman" w:eastAsia="Times New Roman" w:hint="default"/>
          <w:spacing w:val="-2"/>
        </w:rPr>
        <w:t>”</w:t>
      </w:r>
      <w:r>
        <w:rPr>
          <w:spacing w:val="-2"/>
        </w:rPr>
        <w:t>的储备，西南区域</w:t>
      </w:r>
      <w:r>
        <w:rPr>
          <w:rFonts w:ascii="Times New Roman" w:hAnsi="Times New Roman" w:cs="Times New Roman" w:eastAsia="Times New Roman" w:hint="default"/>
          <w:spacing w:val="-2"/>
        </w:rPr>
        <w:t>2019</w:t>
      </w:r>
      <w:r>
        <w:rPr>
          <w:spacing w:val="-2"/>
        </w:rPr>
        <w:t>年业务增长</w:t>
      </w:r>
      <w:r>
        <w:rPr>
          <w:rFonts w:ascii="Times New Roman" w:hAnsi="Times New Roman" w:cs="Times New Roman" w:eastAsia="Times New Roman" w:hint="default"/>
          <w:spacing w:val="-2"/>
        </w:rPr>
        <w:t>59.31%</w:t>
      </w:r>
      <w:r>
        <w:rPr>
          <w:spacing w:val="-2"/>
        </w:rPr>
        <w:t>，西北区域业务增长迅速，实现营</w:t>
      </w:r>
      <w:r>
        <w:rPr>
          <w:spacing w:val="-52"/>
        </w:rPr>
        <w:t> </w:t>
      </w:r>
      <w:r>
        <w:rPr>
          <w:spacing w:val="-52"/>
        </w:rPr>
      </w:r>
      <w:r>
        <w:rPr/>
        <w:t>收</w:t>
      </w:r>
      <w:r>
        <w:rPr>
          <w:rFonts w:ascii="Times New Roman" w:hAnsi="Times New Roman" w:cs="Times New Roman" w:eastAsia="Times New Roman" w:hint="default"/>
        </w:rPr>
        <w:t>877.76</w:t>
      </w:r>
      <w:r>
        <w:rPr/>
        <w:t>万元。未来公司以粤港澳大湾区的深圳和京津冀的雄安新区为核心城市客户，同时持续加大其他各区域市场开拓</w:t>
      </w:r>
      <w:r>
        <w:rPr>
          <w:spacing w:val="-37"/>
        </w:rPr>
        <w:t> </w:t>
      </w:r>
      <w:r>
        <w:rPr/>
        <w:t>，</w:t>
      </w:r>
      <w:r>
        <w:rPr/>
        <w:t> 推行</w:t>
      </w:r>
      <w:r>
        <w:rPr>
          <w:rFonts w:ascii="Times New Roman" w:hAnsi="Times New Roman" w:cs="Times New Roman" w:eastAsia="Times New Roman" w:hint="default"/>
        </w:rPr>
        <w:t>“</w:t>
      </w:r>
      <w:r>
        <w:rPr/>
        <w:t>一城一策</w:t>
      </w:r>
      <w:r>
        <w:rPr>
          <w:rFonts w:ascii="Times New Roman" w:hAnsi="Times New Roman" w:cs="Times New Roman" w:eastAsia="Times New Roman" w:hint="default"/>
        </w:rPr>
        <w:t>”</w:t>
      </w:r>
      <w:r>
        <w:rPr/>
        <w:t>的差异性管理，并加强各区域主力城市联动协作，孵化拓展周边城市市场，使城市客户战略更有效的开展， 从而加快业绩增长速度。</w:t>
      </w:r>
    </w:p>
    <w:p>
      <w:pPr>
        <w:spacing w:line="240" w:lineRule="auto" w:before="13"/>
        <w:rPr>
          <w:rFonts w:ascii="宋体" w:hAnsi="宋体" w:cs="宋体" w:eastAsia="宋体" w:hint="default"/>
          <w:sz w:val="25"/>
          <w:szCs w:val="25"/>
        </w:rPr>
      </w:pPr>
    </w:p>
    <w:p>
      <w:pPr>
        <w:pStyle w:val="BodyText"/>
        <w:spacing w:line="240" w:lineRule="auto"/>
        <w:ind w:right="0"/>
        <w:jc w:val="left"/>
      </w:pPr>
      <w:r>
        <w:rPr/>
        <w:t>（三）试点主业并购，加快区域市场布局速度</w:t>
      </w:r>
    </w:p>
    <w:p>
      <w:pPr>
        <w:pStyle w:val="BodyText"/>
        <w:spacing w:line="240" w:lineRule="auto" w:before="76"/>
        <w:ind w:right="0"/>
        <w:jc w:val="left"/>
      </w:pPr>
      <w:r>
        <w:rPr>
          <w:rFonts w:ascii="Times New Roman" w:hAnsi="Times New Roman" w:cs="Times New Roman" w:eastAsia="Times New Roman" w:hint="default"/>
        </w:rPr>
        <w:t>2019</w:t>
      </w:r>
      <w:r>
        <w:rPr/>
        <w:t>年，公司完成了对湖北建胜工程技术咨询有限公司的并购控股。湖北建胜主要从事检测、审图和招标代理等业务，各项</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业务在当地市场占有率第一。并购湖北建胜，完成了公司以武汉为中心、以荆门为生产基地、辐射周边多城市的华中区域布</w:t>
      </w:r>
      <w:r>
        <w:rPr>
          <w:spacing w:val="-65"/>
        </w:rPr>
        <w:t> </w:t>
      </w:r>
      <w:r>
        <w:rPr>
          <w:spacing w:val="-65"/>
        </w:rPr>
      </w:r>
      <w:r>
        <w:rPr/>
        <w:t>局，提高公司在华中区域市场核心竞争力，加速区域业务发展。</w:t>
      </w:r>
    </w:p>
    <w:p>
      <w:pPr>
        <w:spacing w:line="240" w:lineRule="auto" w:before="2"/>
        <w:rPr>
          <w:rFonts w:ascii="宋体" w:hAnsi="宋体" w:cs="宋体" w:eastAsia="宋体" w:hint="default"/>
          <w:sz w:val="25"/>
          <w:szCs w:val="25"/>
        </w:rPr>
      </w:pPr>
    </w:p>
    <w:p>
      <w:pPr>
        <w:pStyle w:val="BodyText"/>
        <w:spacing w:line="304" w:lineRule="auto"/>
        <w:ind w:right="0"/>
        <w:jc w:val="left"/>
      </w:pPr>
      <w:r>
        <w:rPr/>
        <w:t>（四）加大创新平台建设和研发投入，持续增强核心竞争力 公司始终坚持</w:t>
      </w:r>
      <w:r>
        <w:rPr>
          <w:rFonts w:ascii="Times New Roman" w:hAnsi="Times New Roman" w:cs="Times New Roman" w:eastAsia="Times New Roman" w:hint="default"/>
        </w:rPr>
        <w:t>“</w:t>
      </w:r>
      <w:r>
        <w:rPr/>
        <w:t>自主创新</w:t>
      </w:r>
      <w:r>
        <w:rPr>
          <w:rFonts w:ascii="Times New Roman" w:hAnsi="Times New Roman" w:cs="Times New Roman" w:eastAsia="Times New Roman" w:hint="default"/>
        </w:rPr>
        <w:t>”</w:t>
      </w:r>
      <w:r>
        <w:rPr/>
        <w:t>的技术引领战略，继续加大研发投入。报告期内，公司研发投入达到</w:t>
      </w:r>
      <w:r>
        <w:rPr>
          <w:rFonts w:ascii="Times New Roman" w:hAnsi="Times New Roman" w:cs="Times New Roman" w:eastAsia="Times New Roman" w:hint="default"/>
        </w:rPr>
        <w:t>4,312.89</w:t>
      </w:r>
      <w:r>
        <w:rPr/>
        <w:t>万元，占全年营收比 为</w:t>
      </w:r>
      <w:r>
        <w:rPr>
          <w:rFonts w:ascii="Times New Roman" w:hAnsi="Times New Roman" w:cs="Times New Roman" w:eastAsia="Times New Roman" w:hint="default"/>
        </w:rPr>
        <w:t>9.22%</w:t>
      </w:r>
      <w:r>
        <w:rPr/>
        <w:t>，处于行业前列水平；</w:t>
      </w:r>
      <w:r>
        <w:rPr>
          <w:rFonts w:ascii="Times New Roman" w:hAnsi="Times New Roman" w:cs="Times New Roman" w:eastAsia="Times New Roman" w:hint="default"/>
        </w:rPr>
        <w:t>2019</w:t>
      </w:r>
      <w:r>
        <w:rPr/>
        <w:t>年新承担了</w:t>
      </w:r>
      <w:r>
        <w:rPr>
          <w:rFonts w:ascii="Times New Roman" w:hAnsi="Times New Roman" w:cs="Times New Roman" w:eastAsia="Times New Roman" w:hint="default"/>
        </w:rPr>
        <w:t>12</w:t>
      </w:r>
      <w:r>
        <w:rPr/>
        <w:t>项各类课题，完成了</w:t>
      </w:r>
      <w:r>
        <w:rPr>
          <w:rFonts w:ascii="Times New Roman" w:hAnsi="Times New Roman" w:cs="Times New Roman" w:eastAsia="Times New Roman" w:hint="default"/>
        </w:rPr>
        <w:t>15</w:t>
      </w:r>
      <w:r>
        <w:rPr/>
        <w:t>项课题。加大了数字化平台的建设，包括采用</w:t>
      </w:r>
      <w:r>
        <w:rPr>
          <w:spacing w:val="-22"/>
        </w:rPr>
        <w:t> </w:t>
      </w:r>
      <w:r>
        <w:rPr>
          <w:rFonts w:ascii="Times New Roman" w:hAnsi="Times New Roman" w:cs="Times New Roman" w:eastAsia="Times New Roman" w:hint="default"/>
        </w:rPr>
        <w:t>“</w:t>
      </w:r>
      <w:r>
        <w:rPr/>
        <w:t>区 </w:t>
      </w:r>
      <w:r>
        <w:rPr>
          <w:spacing w:val="-1"/>
        </w:rPr>
        <w:t>块链</w:t>
      </w:r>
      <w:r>
        <w:rPr>
          <w:rFonts w:ascii="Times New Roman" w:hAnsi="Times New Roman" w:cs="Times New Roman" w:eastAsia="Times New Roman" w:hint="default"/>
          <w:spacing w:val="-1"/>
        </w:rPr>
        <w:t>”</w:t>
      </w:r>
      <w:r>
        <w:rPr>
          <w:spacing w:val="-1"/>
        </w:rPr>
        <w:t>技术，开发透明建造管理平台（伊</w:t>
      </w:r>
      <w:r>
        <w:rPr>
          <w:rFonts w:ascii="Times New Roman" w:hAnsi="Times New Roman" w:cs="Times New Roman" w:eastAsia="Times New Roman" w:hint="default"/>
          <w:spacing w:val="-1"/>
        </w:rPr>
        <w:t>OS</w:t>
      </w:r>
      <w:r>
        <w:rPr>
          <w:spacing w:val="-1"/>
        </w:rPr>
        <w:t>系统）；以</w:t>
      </w:r>
      <w:r>
        <w:rPr>
          <w:rFonts w:ascii="Times New Roman" w:hAnsi="Times New Roman" w:cs="Times New Roman" w:eastAsia="Times New Roman" w:hint="default"/>
          <w:spacing w:val="-1"/>
        </w:rPr>
        <w:t>“</w:t>
      </w:r>
      <w:r>
        <w:rPr>
          <w:spacing w:val="-1"/>
        </w:rPr>
        <w:t>自组织</w:t>
      </w:r>
      <w:r>
        <w:rPr>
          <w:rFonts w:ascii="Times New Roman" w:hAnsi="Times New Roman" w:cs="Times New Roman" w:eastAsia="Times New Roman" w:hint="default"/>
          <w:spacing w:val="-1"/>
        </w:rPr>
        <w:t>”</w:t>
      </w:r>
      <w:r>
        <w:rPr>
          <w:spacing w:val="-1"/>
        </w:rPr>
        <w:t>为核心，开发集提升项目运营管理、人员管理、项目核算和</w:t>
      </w:r>
      <w:r>
        <w:rPr>
          <w:spacing w:val="-52"/>
        </w:rPr>
        <w:t> </w:t>
      </w:r>
      <w:r>
        <w:rPr>
          <w:spacing w:val="-52"/>
        </w:rPr>
      </w:r>
      <w:r>
        <w:rPr>
          <w:spacing w:val="-2"/>
        </w:rPr>
        <w:t>工作交流等功能于一体的移动互联网</w:t>
      </w:r>
      <w:r>
        <w:rPr>
          <w:rFonts w:ascii="Times New Roman" w:hAnsi="Times New Roman" w:cs="Times New Roman" w:eastAsia="Times New Roman" w:hint="default"/>
          <w:spacing w:val="-2"/>
        </w:rPr>
        <w:t>“</w:t>
      </w:r>
      <w:r>
        <w:rPr>
          <w:spacing w:val="-2"/>
        </w:rPr>
        <w:t>乐活平台</w:t>
      </w:r>
      <w:r>
        <w:rPr>
          <w:rFonts w:ascii="Times New Roman" w:hAnsi="Times New Roman" w:cs="Times New Roman" w:eastAsia="Times New Roman" w:hint="default"/>
          <w:spacing w:val="-2"/>
        </w:rPr>
        <w:t>”</w:t>
      </w:r>
      <w:r>
        <w:rPr>
          <w:spacing w:val="-2"/>
        </w:rPr>
        <w:t>。同时，加快了公司新一代绿色技术集成研发和示范基地</w:t>
      </w:r>
      <w:r>
        <w:rPr>
          <w:rFonts w:ascii="Times New Roman" w:hAnsi="Times New Roman" w:cs="Times New Roman" w:eastAsia="Times New Roman" w:hint="default"/>
          <w:spacing w:val="-2"/>
        </w:rPr>
        <w:t>——</w:t>
      </w:r>
      <w:r>
        <w:rPr>
          <w:spacing w:val="-2"/>
        </w:rPr>
        <w:t>未来大厦的建</w:t>
      </w:r>
      <w:r>
        <w:rPr>
          <w:spacing w:val="-42"/>
        </w:rPr>
        <w:t> </w:t>
      </w:r>
      <w:r>
        <w:rPr/>
        <w:t>设进度，报告期内实现投资</w:t>
      </w:r>
      <w:r>
        <w:rPr>
          <w:rFonts w:ascii="Times New Roman" w:hAnsi="Times New Roman" w:cs="Times New Roman" w:eastAsia="Times New Roman" w:hint="default"/>
        </w:rPr>
        <w:t>10,562.85</w:t>
      </w:r>
      <w:r>
        <w:rPr/>
        <w:t>万，累计投资</w:t>
      </w:r>
      <w:r>
        <w:rPr>
          <w:rFonts w:ascii="Times New Roman" w:hAnsi="Times New Roman" w:cs="Times New Roman" w:eastAsia="Times New Roman" w:hint="default"/>
        </w:rPr>
        <w:t>19,709.95</w:t>
      </w:r>
      <w:r>
        <w:rPr/>
        <w:t>万。</w:t>
      </w:r>
    </w:p>
    <w:p>
      <w:pPr>
        <w:spacing w:line="240" w:lineRule="auto" w:before="7"/>
        <w:rPr>
          <w:rFonts w:ascii="宋体" w:hAnsi="宋体" w:cs="宋体" w:eastAsia="宋体" w:hint="default"/>
          <w:sz w:val="24"/>
          <w:szCs w:val="24"/>
        </w:rPr>
      </w:pPr>
    </w:p>
    <w:p>
      <w:pPr>
        <w:pStyle w:val="BodyText"/>
        <w:spacing w:line="307" w:lineRule="auto"/>
        <w:ind w:right="1169"/>
        <w:jc w:val="left"/>
      </w:pPr>
      <w:r>
        <w:rPr/>
        <w:t>综上举措，公司在报告期内实现营业收入</w:t>
      </w:r>
      <w:r>
        <w:rPr>
          <w:rFonts w:ascii="Times New Roman" w:hAnsi="Times New Roman" w:cs="Times New Roman" w:eastAsia="Times New Roman" w:hint="default"/>
        </w:rPr>
        <w:t>46,797.21</w:t>
      </w:r>
      <w:r>
        <w:rPr/>
        <w:t>万元，营业利润</w:t>
      </w:r>
      <w:r>
        <w:rPr>
          <w:rFonts w:ascii="Times New Roman" w:hAnsi="Times New Roman" w:cs="Times New Roman" w:eastAsia="Times New Roman" w:hint="default"/>
        </w:rPr>
        <w:t>3,796.34</w:t>
      </w:r>
      <w:r>
        <w:rPr/>
        <w:t>万元，</w:t>
      </w:r>
      <w:r>
        <w:rPr>
          <w:spacing w:val="-22"/>
        </w:rPr>
        <w:t> </w:t>
      </w:r>
      <w:r>
        <w:rPr/>
        <w:t>较上年同期分别增长</w:t>
      </w:r>
      <w:r>
        <w:rPr>
          <w:rFonts w:ascii="Times New Roman" w:hAnsi="Times New Roman" w:cs="Times New Roman" w:eastAsia="Times New Roman" w:hint="default"/>
        </w:rPr>
        <w:t>17.87%</w:t>
      </w:r>
      <w:r>
        <w:rPr/>
        <w:t>和</w:t>
      </w:r>
      <w:r>
        <w:rPr>
          <w:rFonts w:ascii="Times New Roman" w:hAnsi="Times New Roman" w:cs="Times New Roman" w:eastAsia="Times New Roman" w:hint="default"/>
        </w:rPr>
        <w:t>51.39%</w:t>
      </w:r>
      <w:r>
        <w:rPr/>
        <w:t>， 归属于母公司股东的净利润为</w:t>
      </w:r>
      <w:r>
        <w:rPr>
          <w:rFonts w:ascii="Times New Roman" w:hAnsi="Times New Roman" w:cs="Times New Roman" w:eastAsia="Times New Roman" w:hint="default"/>
        </w:rPr>
        <w:t>3,662.09</w:t>
      </w:r>
      <w:r>
        <w:rPr/>
        <w:t>万元，较上年同期增长</w:t>
      </w:r>
      <w:r>
        <w:rPr>
          <w:rFonts w:ascii="Times New Roman" w:hAnsi="Times New Roman" w:cs="Times New Roman" w:eastAsia="Times New Roman" w:hint="default"/>
        </w:rPr>
        <w:t>5.75%</w:t>
      </w:r>
      <w:r>
        <w:rPr/>
        <w:t>，净资产收益率为</w:t>
      </w:r>
      <w:r>
        <w:rPr>
          <w:rFonts w:ascii="Times New Roman" w:hAnsi="Times New Roman" w:cs="Times New Roman" w:eastAsia="Times New Roman" w:hint="default"/>
        </w:rPr>
        <w:t>7.98%</w:t>
      </w:r>
      <w:r>
        <w:rPr/>
        <w:t>，较上年同期下降</w:t>
      </w:r>
      <w:r>
        <w:rPr>
          <w:rFonts w:ascii="Times New Roman" w:hAnsi="Times New Roman" w:cs="Times New Roman" w:eastAsia="Times New Roman" w:hint="default"/>
        </w:rPr>
        <w:t>0.08%</w:t>
      </w:r>
      <w:r>
        <w:rPr/>
        <w:t>。净利 润增速相比营业收入增速较慢，主要原因有： </w:t>
      </w:r>
      <w:r>
        <w:rPr>
          <w:rFonts w:ascii="Times New Roman" w:hAnsi="Times New Roman" w:cs="Times New Roman" w:eastAsia="Times New Roman" w:hint="default"/>
        </w:rPr>
        <w:t>1</w:t>
      </w:r>
      <w:r>
        <w:rPr/>
        <w:t>、公司新的区域市场还在拓展和培育期，业务规模在增长，但相应的市场开拓成本也较高；</w:t>
      </w:r>
    </w:p>
    <w:p>
      <w:pPr>
        <w:pStyle w:val="BodyText"/>
        <w:spacing w:line="240" w:lineRule="auto" w:before="7"/>
        <w:ind w:right="0"/>
        <w:jc w:val="left"/>
      </w:pPr>
      <w:r>
        <w:rPr>
          <w:rFonts w:ascii="Times New Roman" w:hAnsi="Times New Roman" w:cs="Times New Roman" w:eastAsia="Times New Roman" w:hint="default"/>
        </w:rPr>
        <w:t>2</w:t>
      </w:r>
      <w:r>
        <w:rPr/>
        <w:t>、培育新业务版块的新设子公司处于初期启动阶段，多处于投入期暂未实现盈利；</w:t>
      </w:r>
    </w:p>
    <w:p>
      <w:pPr>
        <w:pStyle w:val="BodyText"/>
        <w:spacing w:line="309" w:lineRule="auto" w:before="63"/>
        <w:ind w:right="1054"/>
        <w:jc w:val="left"/>
      </w:pPr>
      <w:r>
        <w:rPr>
          <w:rFonts w:ascii="Times New Roman" w:hAnsi="Times New Roman" w:cs="Times New Roman" w:eastAsia="Times New Roman" w:hint="default"/>
        </w:rPr>
        <w:t>3</w:t>
      </w:r>
      <w:r>
        <w:rPr/>
        <w:t>、研发和平台建设投入较大，造成直接成本和财务费用的增加。 </w:t>
      </w:r>
      <w:r>
        <w:rPr>
          <w:spacing w:val="-2"/>
        </w:rPr>
        <w:t>报告期内，公司非经常性损益对净利润的影响金额为</w:t>
      </w:r>
      <w:r>
        <w:rPr>
          <w:rFonts w:ascii="Times New Roman" w:hAnsi="Times New Roman" w:cs="Times New Roman" w:eastAsia="Times New Roman" w:hint="default"/>
          <w:spacing w:val="-2"/>
        </w:rPr>
        <w:t>3,205.80</w:t>
      </w:r>
      <w:r>
        <w:rPr>
          <w:spacing w:val="-2"/>
        </w:rPr>
        <w:t>万元。但其中的</w:t>
      </w:r>
      <w:r>
        <w:rPr>
          <w:rFonts w:ascii="Times New Roman" w:hAnsi="Times New Roman" w:cs="Times New Roman" w:eastAsia="Times New Roman" w:hint="default"/>
          <w:spacing w:val="-2"/>
        </w:rPr>
        <w:t>2,904.16</w:t>
      </w:r>
      <w:r>
        <w:rPr>
          <w:spacing w:val="-2"/>
        </w:rPr>
        <w:t>万元是公司科研业务板块承担国家及地</w:t>
      </w:r>
      <w:r>
        <w:rPr>
          <w:spacing w:val="-51"/>
        </w:rPr>
        <w:t> </w:t>
      </w:r>
      <w:r>
        <w:rPr>
          <w:spacing w:val="-51"/>
        </w:rPr>
      </w:r>
      <w:r>
        <w:rPr>
          <w:spacing w:val="-2"/>
        </w:rPr>
        <w:t>方科研课题服务和政府公共平台建设服务取得的专项经费收入，项目相关的支出已等额计入研发费用，该部分收益，具有可</w:t>
      </w:r>
      <w:r>
        <w:rPr>
          <w:spacing w:val="-66"/>
        </w:rPr>
        <w:t> </w:t>
      </w:r>
      <w:r>
        <w:rPr>
          <w:spacing w:val="-66"/>
        </w:rPr>
      </w:r>
      <w:r>
        <w:rPr/>
        <w:t>持续性，也体现了公司科技特色，科研业务本身就是公司的一种业务服务类型。 报告期内，公司经营性现金流有较大幅度的改善；应收账款为</w:t>
      </w:r>
      <w:r>
        <w:rPr>
          <w:rFonts w:ascii="Times New Roman" w:hAnsi="Times New Roman" w:cs="Times New Roman" w:eastAsia="Times New Roman" w:hint="default"/>
        </w:rPr>
        <w:t>28,885.13</w:t>
      </w:r>
      <w:r>
        <w:rPr/>
        <w:t>万元，同比增长</w:t>
      </w:r>
      <w:r>
        <w:rPr>
          <w:rFonts w:ascii="Times New Roman" w:hAnsi="Times New Roman" w:cs="Times New Roman" w:eastAsia="Times New Roman" w:hint="default"/>
        </w:rPr>
        <w:t>27.62%</w:t>
      </w:r>
      <w:r>
        <w:rPr/>
        <w:t>，略高于营业收入增长率 </w:t>
      </w:r>
      <w:r>
        <w:rPr>
          <w:rFonts w:ascii="Times New Roman" w:hAnsi="Times New Roman" w:cs="Times New Roman" w:eastAsia="Times New Roman" w:hint="default"/>
        </w:rPr>
        <w:t>17.87%</w:t>
      </w:r>
      <w:r>
        <w:rPr/>
        <w:t>，主要系受报告期内经济形势的影响、部分客户的回款周期有所延长所致。公司将加强项目及应收款账的管理，并 优化客户结构，进一步改善公司的应收账款周转率。 </w:t>
      </w:r>
      <w:r>
        <w:rPr>
          <w:spacing w:val="-2"/>
        </w:rPr>
        <w:t>公司目前整体还处于战略投入期，在长期核心竞争力方面投入较大。下一步公司一方面将保持战略投入力度，增强公司核心</w:t>
      </w:r>
      <w:r>
        <w:rPr>
          <w:spacing w:val="-63"/>
        </w:rPr>
        <w:t> </w:t>
      </w:r>
      <w:r>
        <w:rPr>
          <w:spacing w:val="-63"/>
        </w:rPr>
      </w:r>
      <w:r>
        <w:rPr>
          <w:spacing w:val="-2"/>
        </w:rPr>
        <w:t>竞争力，同时增强研发转化能力和业务变现能力，加大对公司业绩增长的支撑作用；另一方面也将坚持全过程服务的业务模</w:t>
      </w:r>
      <w:r>
        <w:rPr>
          <w:spacing w:val="-63"/>
        </w:rPr>
        <w:t> </w:t>
      </w:r>
      <w:r>
        <w:rPr>
          <w:spacing w:val="-63"/>
        </w:rPr>
      </w:r>
      <w:r>
        <w:rPr/>
        <w:t>式转型，实施</w:t>
      </w:r>
      <w:r>
        <w:rPr>
          <w:rFonts w:ascii="Times New Roman" w:hAnsi="Times New Roman" w:cs="Times New Roman" w:eastAsia="Times New Roman" w:hint="default"/>
        </w:rPr>
        <w:t>“</w:t>
      </w:r>
      <w:r>
        <w:rPr/>
        <w:t>城市客户</w:t>
      </w:r>
      <w:r>
        <w:rPr>
          <w:rFonts w:ascii="Times New Roman" w:hAnsi="Times New Roman" w:cs="Times New Roman" w:eastAsia="Times New Roman" w:hint="default"/>
        </w:rPr>
        <w:t>”</w:t>
      </w:r>
      <w:r>
        <w:rPr/>
        <w:t>战略和加大资本运作力度。最终共同推动公司短期业绩能更快增长，并保持足够的长期发展空间。</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6"/>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营业收入整体情况</w:t>
      </w:r>
    </w:p>
    <w:p>
      <w:pPr>
        <w:pStyle w:val="BodyText"/>
        <w:spacing w:line="240" w:lineRule="auto" w:before="118"/>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467,972,060.82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397,007,934.86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8" w:right="0"/>
              <w:jc w:val="left"/>
              <w:rPr>
                <w:rFonts w:ascii="Times New Roman" w:hAnsi="Times New Roman" w:cs="Times New Roman" w:eastAsia="Times New Roman" w:hint="default"/>
                <w:sz w:val="18"/>
                <w:szCs w:val="18"/>
              </w:rPr>
            </w:pPr>
            <w:r>
              <w:rPr>
                <w:rFonts w:ascii="Times New Roman"/>
                <w:sz w:val="18"/>
              </w:rPr>
              <w:t>17.87%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467,972,060.82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397,007,934.86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城市规划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79,535,136.55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75,738,265.68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5.01%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公信服务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126,675,249.97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104,136,383.53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21.64%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85,403,799.16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105,818,030.45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-19.29%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建筑咨询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40,820,006.65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51,895,119.16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-21.34%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EPC </w:t>
            </w:r>
            <w:r>
              <w:rPr>
                <w:rFonts w:ascii="宋体" w:hAnsi="宋体" w:cs="宋体" w:eastAsia="宋体" w:hint="default"/>
                <w:sz w:val="18"/>
                <w:szCs w:val="18"/>
              </w:rPr>
              <w:t>及项目全过程 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101,949,597.64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33,256,072.86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33,588,270.85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26,164,063.18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28.38%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93,095,675.11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38,766,961.45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140.14%</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18,687,969.45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41,726,679.97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-55.21%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326,834,318.80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292,560,102.93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11.72%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15,461,232.84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20,743,205.14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-25.46%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8,777,569.81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5,115,294.81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3,210,985.37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59.31%</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419"/>
        <w:gridCol w:w="1416"/>
        <w:gridCol w:w="932"/>
        <w:gridCol w:w="1366"/>
        <w:gridCol w:w="1369"/>
        <w:gridCol w:w="1370"/>
      </w:tblGrid>
      <w:tr>
        <w:trPr>
          <w:trHeight w:val="71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467,972,060.82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305,442,226.16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城市规划</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79,535,136.55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46,605,681.60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0.42%</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公信服务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126,675,249.97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60,243,316.46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85,403,799.16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57,088,188.58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建筑咨询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40,820,006.65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25,470,747.36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-4.89%</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 </w:t>
            </w:r>
            <w:r>
              <w:rPr>
                <w:rFonts w:ascii="宋体" w:hAnsi="宋体" w:cs="宋体" w:eastAsia="宋体" w:hint="default"/>
                <w:sz w:val="18"/>
                <w:szCs w:val="18"/>
              </w:rPr>
              <w:t>及项目全过程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101,949,597.64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82,466,651.09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19.11%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-4.97%</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33,588,270.85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33,567,641.07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11.69%</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93,095,675.11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78,012,967.71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-27.64%</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18,687,969.45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12,982,686.46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13.92%</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326,834,318.80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192,870,953.12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-0.48%</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15,461,232.84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11,394,477.91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2"/>
        <w:gridCol w:w="1419"/>
        <w:gridCol w:w="1416"/>
        <w:gridCol w:w="932"/>
        <w:gridCol w:w="1366"/>
        <w:gridCol w:w="1369"/>
        <w:gridCol w:w="1370"/>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8,777,569.81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7,632,886.39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5,115,294.81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2,548,254.57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9" w:right="0"/>
              <w:jc w:val="left"/>
              <w:rPr>
                <w:rFonts w:ascii="Times New Roman" w:hAnsi="Times New Roman" w:cs="Times New Roman" w:eastAsia="Times New Roman" w:hint="default"/>
                <w:sz w:val="18"/>
                <w:szCs w:val="18"/>
              </w:rPr>
            </w:pPr>
            <w:r>
              <w:rPr>
                <w:rFonts w:ascii="Times New Roman"/>
                <w:sz w:val="18"/>
              </w:rPr>
              <w:t>59.31%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0" w:right="0"/>
              <w:jc w:val="left"/>
              <w:rPr>
                <w:rFonts w:ascii="Times New Roman" w:hAnsi="Times New Roman" w:cs="Times New Roman" w:eastAsia="Times New Roman" w:hint="default"/>
                <w:sz w:val="18"/>
                <w:szCs w:val="18"/>
              </w:rPr>
            </w:pPr>
            <w:r>
              <w:rPr>
                <w:rFonts w:ascii="Times New Roman"/>
                <w:sz w:val="18"/>
              </w:rPr>
              <w:t>22.60%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4" w:right="0"/>
              <w:jc w:val="left"/>
              <w:rPr>
                <w:rFonts w:ascii="Times New Roman" w:hAnsi="Times New Roman" w:cs="Times New Roman" w:eastAsia="Times New Roman" w:hint="default"/>
                <w:sz w:val="18"/>
                <w:szCs w:val="18"/>
              </w:rPr>
            </w:pPr>
            <w:r>
              <w:rPr>
                <w:rFonts w:ascii="Times New Roman"/>
                <w:sz w:val="18"/>
              </w:rPr>
              <w:t>14.91%</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5" w:type="dxa"/>
        <w:tblLayout w:type="fixed"/>
        <w:tblCellMar>
          <w:top w:w="0" w:type="dxa"/>
          <w:left w:w="0" w:type="dxa"/>
          <w:bottom w:w="0" w:type="dxa"/>
          <w:right w:w="0" w:type="dxa"/>
        </w:tblCellMar>
        <w:tblLook w:val="01E0"/>
      </w:tblPr>
      <w:tblGrid>
        <w:gridCol w:w="1008"/>
        <w:gridCol w:w="1238"/>
        <w:gridCol w:w="836"/>
        <w:gridCol w:w="763"/>
        <w:gridCol w:w="1109"/>
        <w:gridCol w:w="1080"/>
        <w:gridCol w:w="763"/>
        <w:gridCol w:w="764"/>
        <w:gridCol w:w="677"/>
        <w:gridCol w:w="821"/>
      </w:tblGrid>
      <w:tr>
        <w:trPr>
          <w:trHeight w:val="1596"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98"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合同金额</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2" w:right="0"/>
              <w:jc w:val="left"/>
              <w:rPr>
                <w:rFonts w:ascii="宋体" w:hAnsi="宋体" w:cs="宋体" w:eastAsia="宋体" w:hint="default"/>
                <w:sz w:val="20"/>
                <w:szCs w:val="20"/>
              </w:rPr>
            </w:pPr>
            <w:r>
              <w:rPr>
                <w:rFonts w:ascii="宋体" w:hAnsi="宋体" w:cs="宋体" w:eastAsia="宋体" w:hint="default"/>
                <w:sz w:val="20"/>
                <w:szCs w:val="20"/>
              </w:rPr>
              <w:t>业务类型</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76" w:right="72"/>
              <w:jc w:val="left"/>
              <w:rPr>
                <w:rFonts w:ascii="宋体" w:hAnsi="宋体" w:cs="宋体" w:eastAsia="宋体" w:hint="default"/>
                <w:sz w:val="20"/>
                <w:szCs w:val="20"/>
              </w:rPr>
            </w:pPr>
            <w:r>
              <w:rPr>
                <w:rFonts w:ascii="宋体" w:hAnsi="宋体" w:cs="宋体" w:eastAsia="宋体" w:hint="default"/>
                <w:sz w:val="20"/>
                <w:szCs w:val="20"/>
              </w:rPr>
              <w:t>项目执</w:t>
            </w:r>
            <w:r>
              <w:rPr>
                <w:rFonts w:ascii="宋体" w:hAnsi="宋体" w:cs="宋体" w:eastAsia="宋体" w:hint="default"/>
                <w:w w:val="99"/>
                <w:sz w:val="20"/>
                <w:szCs w:val="20"/>
              </w:rPr>
              <w:t> </w:t>
            </w:r>
            <w:r>
              <w:rPr>
                <w:rFonts w:ascii="宋体" w:hAnsi="宋体" w:cs="宋体" w:eastAsia="宋体" w:hint="default"/>
                <w:sz w:val="20"/>
                <w:szCs w:val="20"/>
              </w:rPr>
              <w:t>行进度</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448" w:right="46" w:hanging="401"/>
              <w:jc w:val="left"/>
              <w:rPr>
                <w:rFonts w:ascii="宋体" w:hAnsi="宋体" w:cs="宋体" w:eastAsia="宋体" w:hint="default"/>
                <w:sz w:val="20"/>
                <w:szCs w:val="20"/>
              </w:rPr>
            </w:pPr>
            <w:r>
              <w:rPr>
                <w:rFonts w:ascii="宋体" w:hAnsi="宋体" w:cs="宋体" w:eastAsia="宋体" w:hint="default"/>
                <w:sz w:val="20"/>
                <w:szCs w:val="20"/>
              </w:rPr>
              <w:t>本期确认收</w:t>
            </w:r>
            <w:r>
              <w:rPr>
                <w:rFonts w:ascii="宋体" w:hAnsi="宋体" w:cs="宋体" w:eastAsia="宋体" w:hint="default"/>
                <w:w w:val="99"/>
                <w:sz w:val="20"/>
                <w:szCs w:val="20"/>
              </w:rPr>
              <w:t> </w:t>
            </w:r>
            <w:r>
              <w:rPr>
                <w:rFonts w:ascii="宋体" w:hAnsi="宋体" w:cs="宋体" w:eastAsia="宋体" w:hint="default"/>
                <w:sz w:val="20"/>
                <w:szCs w:val="20"/>
              </w:rPr>
              <w:t>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434" w:right="31" w:hanging="401"/>
              <w:jc w:val="left"/>
              <w:rPr>
                <w:rFonts w:ascii="宋体" w:hAnsi="宋体" w:cs="宋体" w:eastAsia="宋体" w:hint="default"/>
                <w:sz w:val="20"/>
                <w:szCs w:val="20"/>
              </w:rPr>
            </w:pPr>
            <w:r>
              <w:rPr>
                <w:rFonts w:ascii="宋体" w:hAnsi="宋体" w:cs="宋体" w:eastAsia="宋体" w:hint="default"/>
                <w:sz w:val="20"/>
                <w:szCs w:val="20"/>
              </w:rPr>
              <w:t>累计确认收</w:t>
            </w:r>
            <w:r>
              <w:rPr>
                <w:rFonts w:ascii="宋体" w:hAnsi="宋体" w:cs="宋体" w:eastAsia="宋体" w:hint="default"/>
                <w:w w:val="99"/>
                <w:sz w:val="20"/>
                <w:szCs w:val="20"/>
              </w:rPr>
              <w:t> </w:t>
            </w:r>
            <w:r>
              <w:rPr>
                <w:rFonts w:ascii="宋体" w:hAnsi="宋体" w:cs="宋体" w:eastAsia="宋体" w:hint="default"/>
                <w:sz w:val="20"/>
                <w:szCs w:val="20"/>
              </w:rPr>
              <w:t>入</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276" w:right="72" w:hanging="200"/>
              <w:jc w:val="left"/>
              <w:rPr>
                <w:rFonts w:ascii="宋体" w:hAnsi="宋体" w:cs="宋体" w:eastAsia="宋体" w:hint="default"/>
                <w:sz w:val="20"/>
                <w:szCs w:val="20"/>
              </w:rPr>
            </w:pPr>
            <w:r>
              <w:rPr>
                <w:rFonts w:ascii="宋体" w:hAnsi="宋体" w:cs="宋体" w:eastAsia="宋体" w:hint="default"/>
                <w:sz w:val="20"/>
                <w:szCs w:val="20"/>
              </w:rPr>
              <w:t>回款情</w:t>
            </w:r>
            <w:r>
              <w:rPr>
                <w:rFonts w:ascii="宋体" w:hAnsi="宋体" w:cs="宋体" w:eastAsia="宋体" w:hint="default"/>
                <w:w w:val="99"/>
                <w:sz w:val="20"/>
                <w:szCs w:val="20"/>
              </w:rPr>
              <w:t> </w:t>
            </w:r>
            <w:r>
              <w:rPr>
                <w:rFonts w:ascii="宋体" w:hAnsi="宋体" w:cs="宋体" w:eastAsia="宋体" w:hint="default"/>
                <w:sz w:val="20"/>
                <w:szCs w:val="20"/>
              </w:rPr>
              <w:t>况</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76" w:right="74"/>
              <w:jc w:val="both"/>
              <w:rPr>
                <w:rFonts w:ascii="宋体" w:hAnsi="宋体" w:cs="宋体" w:eastAsia="宋体" w:hint="default"/>
                <w:sz w:val="20"/>
                <w:szCs w:val="20"/>
              </w:rPr>
            </w:pPr>
            <w:r>
              <w:rPr>
                <w:rFonts w:ascii="宋体" w:hAnsi="宋体" w:cs="宋体" w:eastAsia="宋体" w:hint="default"/>
                <w:sz w:val="20"/>
                <w:szCs w:val="20"/>
              </w:rPr>
              <w:t>项目进</w:t>
            </w:r>
            <w:r>
              <w:rPr>
                <w:rFonts w:ascii="宋体" w:hAnsi="宋体" w:cs="宋体" w:eastAsia="宋体" w:hint="default"/>
                <w:w w:val="99"/>
                <w:sz w:val="20"/>
                <w:szCs w:val="20"/>
              </w:rPr>
              <w:t> </w:t>
            </w:r>
            <w:r>
              <w:rPr>
                <w:rFonts w:ascii="宋体" w:hAnsi="宋体" w:cs="宋体" w:eastAsia="宋体" w:hint="default"/>
                <w:sz w:val="20"/>
                <w:szCs w:val="20"/>
              </w:rPr>
              <w:t>展是否</w:t>
            </w:r>
            <w:r>
              <w:rPr>
                <w:rFonts w:ascii="宋体" w:hAnsi="宋体" w:cs="宋体" w:eastAsia="宋体" w:hint="default"/>
                <w:w w:val="99"/>
                <w:sz w:val="20"/>
                <w:szCs w:val="20"/>
              </w:rPr>
              <w:t> </w:t>
            </w:r>
            <w:r>
              <w:rPr>
                <w:rFonts w:ascii="宋体" w:hAnsi="宋体" w:cs="宋体" w:eastAsia="宋体" w:hint="default"/>
                <w:sz w:val="20"/>
                <w:szCs w:val="20"/>
              </w:rPr>
              <w:t>达到计</w:t>
            </w:r>
            <w:r>
              <w:rPr>
                <w:rFonts w:ascii="宋体" w:hAnsi="宋体" w:cs="宋体" w:eastAsia="宋体" w:hint="default"/>
                <w:w w:val="99"/>
                <w:sz w:val="20"/>
                <w:szCs w:val="20"/>
              </w:rPr>
              <w:t> </w:t>
            </w:r>
            <w:r>
              <w:rPr>
                <w:rFonts w:ascii="宋体" w:hAnsi="宋体" w:cs="宋体" w:eastAsia="宋体" w:hint="default"/>
                <w:sz w:val="20"/>
                <w:szCs w:val="20"/>
              </w:rPr>
              <w:t>划进度</w:t>
            </w:r>
            <w:r>
              <w:rPr>
                <w:rFonts w:ascii="宋体" w:hAnsi="宋体" w:cs="宋体" w:eastAsia="宋体" w:hint="default"/>
                <w:w w:val="99"/>
                <w:sz w:val="20"/>
                <w:szCs w:val="20"/>
              </w:rPr>
              <w:t> </w:t>
            </w:r>
            <w:r>
              <w:rPr>
                <w:rFonts w:ascii="宋体" w:hAnsi="宋体" w:cs="宋体" w:eastAsia="宋体" w:hint="default"/>
                <w:sz w:val="20"/>
                <w:szCs w:val="20"/>
              </w:rPr>
              <w:t>或预期</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33" w:right="29"/>
              <w:jc w:val="center"/>
              <w:rPr>
                <w:rFonts w:ascii="宋体" w:hAnsi="宋体" w:cs="宋体" w:eastAsia="宋体" w:hint="default"/>
                <w:sz w:val="20"/>
                <w:szCs w:val="20"/>
              </w:rPr>
            </w:pPr>
            <w:r>
              <w:rPr>
                <w:rFonts w:ascii="宋体" w:hAnsi="宋体" w:cs="宋体" w:eastAsia="宋体" w:hint="default"/>
                <w:sz w:val="20"/>
                <w:szCs w:val="20"/>
              </w:rPr>
              <w:t>未达到</w:t>
            </w:r>
            <w:r>
              <w:rPr>
                <w:rFonts w:ascii="宋体" w:hAnsi="宋体" w:cs="宋体" w:eastAsia="宋体" w:hint="default"/>
                <w:w w:val="99"/>
                <w:sz w:val="20"/>
                <w:szCs w:val="20"/>
              </w:rPr>
              <w:t> </w:t>
            </w:r>
            <w:r>
              <w:rPr>
                <w:rFonts w:ascii="宋体" w:hAnsi="宋体" w:cs="宋体" w:eastAsia="宋体" w:hint="default"/>
                <w:sz w:val="20"/>
                <w:szCs w:val="20"/>
              </w:rPr>
              <w:t>计划进</w:t>
            </w:r>
            <w:r>
              <w:rPr>
                <w:rFonts w:ascii="宋体" w:hAnsi="宋体" w:cs="宋体" w:eastAsia="宋体" w:hint="default"/>
                <w:w w:val="99"/>
                <w:sz w:val="20"/>
                <w:szCs w:val="20"/>
              </w:rPr>
              <w:t> </w:t>
            </w:r>
            <w:r>
              <w:rPr>
                <w:rFonts w:ascii="宋体" w:hAnsi="宋体" w:cs="宋体" w:eastAsia="宋体" w:hint="default"/>
                <w:sz w:val="20"/>
                <w:szCs w:val="20"/>
              </w:rPr>
              <w:t>度或预</w:t>
            </w:r>
            <w:r>
              <w:rPr>
                <w:rFonts w:ascii="宋体" w:hAnsi="宋体" w:cs="宋体" w:eastAsia="宋体" w:hint="default"/>
                <w:w w:val="99"/>
                <w:sz w:val="20"/>
                <w:szCs w:val="20"/>
              </w:rPr>
              <w:t> </w:t>
            </w:r>
            <w:r>
              <w:rPr>
                <w:rFonts w:ascii="宋体" w:hAnsi="宋体" w:cs="宋体" w:eastAsia="宋体" w:hint="default"/>
                <w:sz w:val="20"/>
                <w:szCs w:val="20"/>
              </w:rPr>
              <w:t>期的原</w:t>
            </w:r>
            <w:r>
              <w:rPr>
                <w:rFonts w:ascii="宋体" w:hAnsi="宋体" w:cs="宋体" w:eastAsia="宋体" w:hint="default"/>
                <w:w w:val="99"/>
                <w:sz w:val="20"/>
                <w:szCs w:val="20"/>
              </w:rPr>
              <w:t> </w:t>
            </w:r>
            <w:r>
              <w:rPr>
                <w:rFonts w:ascii="宋体" w:hAnsi="宋体" w:cs="宋体" w:eastAsia="宋体" w:hint="default"/>
                <w:sz w:val="20"/>
                <w:szCs w:val="20"/>
              </w:rPr>
              <w:t>因</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6"/>
              <w:ind w:left="203" w:right="2" w:hanging="200"/>
              <w:jc w:val="left"/>
              <w:rPr>
                <w:rFonts w:ascii="宋体" w:hAnsi="宋体" w:cs="宋体" w:eastAsia="宋体" w:hint="default"/>
                <w:sz w:val="20"/>
                <w:szCs w:val="20"/>
              </w:rPr>
            </w:pPr>
            <w:r>
              <w:rPr>
                <w:rFonts w:ascii="宋体" w:hAnsi="宋体" w:cs="宋体" w:eastAsia="宋体" w:hint="default"/>
                <w:sz w:val="20"/>
                <w:szCs w:val="20"/>
              </w:rPr>
              <w:t>合同公告</w:t>
            </w:r>
            <w:r>
              <w:rPr>
                <w:rFonts w:ascii="宋体" w:hAnsi="宋体" w:cs="宋体" w:eastAsia="宋体" w:hint="default"/>
                <w:w w:val="99"/>
                <w:sz w:val="20"/>
                <w:szCs w:val="20"/>
              </w:rPr>
              <w:t> </w:t>
            </w:r>
            <w:r>
              <w:rPr>
                <w:rFonts w:ascii="宋体" w:hAnsi="宋体" w:cs="宋体" w:eastAsia="宋体" w:hint="default"/>
                <w:sz w:val="20"/>
                <w:szCs w:val="20"/>
              </w:rPr>
              <w:t>编号</w:t>
            </w:r>
          </w:p>
        </w:tc>
      </w:tr>
      <w:tr>
        <w:trPr>
          <w:trHeight w:val="1282"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 w:right="43"/>
              <w:jc w:val="both"/>
              <w:rPr>
                <w:rFonts w:ascii="宋体" w:hAnsi="宋体" w:cs="宋体" w:eastAsia="宋体" w:hint="default"/>
                <w:sz w:val="18"/>
                <w:szCs w:val="18"/>
              </w:rPr>
            </w:pPr>
            <w:r>
              <w:rPr>
                <w:rFonts w:ascii="宋体" w:hAnsi="宋体" w:cs="宋体" w:eastAsia="宋体" w:hint="default"/>
                <w:sz w:val="18"/>
                <w:szCs w:val="18"/>
              </w:rPr>
              <w:t>国际低碳城 产业园区配 套住房项目 </w:t>
            </w:r>
            <w:r>
              <w:rPr>
                <w:rFonts w:ascii="Times New Roman" w:hAnsi="Times New Roman" w:cs="Times New Roman" w:eastAsia="Times New Roman" w:hint="default"/>
                <w:sz w:val="18"/>
                <w:szCs w:val="18"/>
              </w:rPr>
              <w:t>EPC</w:t>
            </w:r>
            <w:r>
              <w:rPr>
                <w:rFonts w:ascii="宋体" w:hAnsi="宋体" w:cs="宋体" w:eastAsia="宋体" w:hint="default"/>
                <w:sz w:val="18"/>
                <w:szCs w:val="18"/>
              </w:rPr>
              <w:t>总承包</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399,573,675.00</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52"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及项 目全过程 管理</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8,692,537.41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 w:right="0"/>
              <w:jc w:val="left"/>
              <w:rPr>
                <w:rFonts w:ascii="Times New Roman" w:hAnsi="Times New Roman" w:cs="Times New Roman" w:eastAsia="Times New Roman" w:hint="default"/>
                <w:sz w:val="18"/>
                <w:szCs w:val="18"/>
              </w:rPr>
            </w:pPr>
            <w:r>
              <w:rPr>
                <w:rFonts w:ascii="Times New Roman"/>
                <w:sz w:val="18"/>
              </w:rPr>
              <w:t>19,251,884.13</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6" w:right="11"/>
              <w:jc w:val="both"/>
              <w:rPr>
                <w:rFonts w:ascii="宋体" w:hAnsi="宋体" w:cs="宋体" w:eastAsia="宋体" w:hint="default"/>
                <w:sz w:val="18"/>
                <w:szCs w:val="18"/>
              </w:rPr>
            </w:pPr>
            <w:r>
              <w:rPr>
                <w:rFonts w:ascii="宋体" w:hAnsi="宋体" w:cs="宋体" w:eastAsia="宋体" w:hint="default"/>
                <w:sz w:val="18"/>
                <w:szCs w:val="18"/>
              </w:rPr>
              <w:t>依据合同 及实际项 目进度正 常履行</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77"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4"/>
              <w:jc w:val="right"/>
              <w:rPr>
                <w:rFonts w:ascii="Times New Roman" w:hAnsi="Times New Roman" w:cs="Times New Roman" w:eastAsia="Times New Roman" w:hint="default"/>
                <w:sz w:val="18"/>
                <w:szCs w:val="18"/>
              </w:rPr>
            </w:pPr>
            <w:r>
              <w:rPr>
                <w:rFonts w:ascii="Times New Roman"/>
                <w:spacing w:val="-1"/>
                <w:sz w:val="18"/>
              </w:rPr>
              <w:t>2017-039</w:t>
            </w:r>
          </w:p>
        </w:tc>
      </w:tr>
      <w:tr>
        <w:trPr>
          <w:trHeight w:val="1284"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2"/>
              <w:ind w:left="48" w:right="43"/>
              <w:jc w:val="both"/>
              <w:rPr>
                <w:rFonts w:ascii="宋体" w:hAnsi="宋体" w:cs="宋体" w:eastAsia="宋体" w:hint="default"/>
                <w:sz w:val="18"/>
                <w:szCs w:val="18"/>
              </w:rPr>
            </w:pPr>
            <w:r>
              <w:rPr>
                <w:rFonts w:ascii="宋体" w:hAnsi="宋体" w:cs="宋体" w:eastAsia="宋体" w:hint="default"/>
                <w:sz w:val="18"/>
                <w:szCs w:val="18"/>
              </w:rPr>
              <w:t>雄安商务服 务中心项目 全过程工程 咨询服务</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189,347,500.00</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2"/>
              <w:ind w:left="52"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及项 目全过程 管理</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68,557,461.55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6" w:right="0"/>
              <w:jc w:val="left"/>
              <w:rPr>
                <w:rFonts w:ascii="Times New Roman" w:hAnsi="Times New Roman" w:cs="Times New Roman" w:eastAsia="Times New Roman" w:hint="default"/>
                <w:sz w:val="18"/>
                <w:szCs w:val="18"/>
              </w:rPr>
            </w:pPr>
            <w:r>
              <w:rPr>
                <w:rFonts w:ascii="Times New Roman"/>
                <w:sz w:val="18"/>
              </w:rPr>
              <w:t>68,557,461.55</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2"/>
              <w:ind w:left="16" w:right="11"/>
              <w:jc w:val="both"/>
              <w:rPr>
                <w:rFonts w:ascii="宋体" w:hAnsi="宋体" w:cs="宋体" w:eastAsia="宋体" w:hint="default"/>
                <w:sz w:val="18"/>
                <w:szCs w:val="18"/>
              </w:rPr>
            </w:pPr>
            <w:r>
              <w:rPr>
                <w:rFonts w:ascii="宋体" w:hAnsi="宋体" w:cs="宋体" w:eastAsia="宋体" w:hint="default"/>
                <w:sz w:val="18"/>
                <w:szCs w:val="18"/>
              </w:rPr>
              <w:t>依据合同 及实际项 目进度正 常履行</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77"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4"/>
              <w:jc w:val="right"/>
              <w:rPr>
                <w:rFonts w:ascii="Times New Roman" w:hAnsi="Times New Roman" w:cs="Times New Roman" w:eastAsia="Times New Roman" w:hint="default"/>
                <w:sz w:val="18"/>
                <w:szCs w:val="18"/>
              </w:rPr>
            </w:pPr>
            <w:r>
              <w:rPr>
                <w:rFonts w:ascii="Times New Roman"/>
                <w:spacing w:val="-1"/>
                <w:sz w:val="18"/>
              </w:rPr>
              <w:t>2019-027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产品分类</w:t>
      </w:r>
    </w:p>
    <w:p>
      <w:pPr>
        <w:pStyle w:val="BodyText"/>
        <w:spacing w:line="240" w:lineRule="auto" w:before="115"/>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75"/>
        <w:gridCol w:w="1133"/>
        <w:gridCol w:w="1418"/>
        <w:gridCol w:w="1136"/>
        <w:gridCol w:w="1774"/>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81" w:right="108" w:hanging="269"/>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81" w:right="111" w:hanging="269"/>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77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140,049,127.67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119,630,644.65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48.79%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个百分比</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分包费</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77,863,448.68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43,041,864.71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个百分比</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17,101,979.34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19,533,291.45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7.97%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个百分比</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17,913,096.74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16,166,133.64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6.59%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个百分比</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52,514,573.73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46,838,603.36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个百分比</w:t>
            </w:r>
          </w:p>
        </w:tc>
      </w:tr>
    </w:tbl>
    <w:p>
      <w:pPr>
        <w:pStyle w:val="BodyText"/>
        <w:spacing w:line="240" w:lineRule="auto" w:before="51"/>
        <w:ind w:right="0"/>
        <w:jc w:val="left"/>
      </w:pPr>
      <w:r>
        <w:rPr/>
        <w:t>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364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本期公司新增合并</w:t>
      </w:r>
      <w:r>
        <w:rPr>
          <w:rFonts w:ascii="Times New Roman" w:hAnsi="Times New Roman" w:cs="Times New Roman" w:eastAsia="Times New Roman" w:hint="default"/>
        </w:rPr>
        <w:t>5</w:t>
      </w:r>
      <w:r>
        <w:rPr/>
        <w:t>家子公司，为湖北建胜、精兴建设、图强建设、领航培训、丰天工程。</w:t>
      </w:r>
    </w:p>
    <w:p>
      <w:pPr>
        <w:spacing w:line="240" w:lineRule="auto" w:before="9"/>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106,641,880.49</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22.79%</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客户一（国有企业）</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69,310,669.10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14.81%</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客户二（国有企业）</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10,074,950.94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客户三（政府机构）</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9,875,295.22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客户四（政府机构）</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8,946,782.69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1.91%</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客户五（政府机构）</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8,434,182.54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1.80%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106,641,880.49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22.79%</w:t>
            </w:r>
          </w:p>
        </w:tc>
      </w:tr>
    </w:tbl>
    <w:p>
      <w:pPr>
        <w:pStyle w:val="BodyText"/>
        <w:spacing w:line="240" w:lineRule="auto" w:before="51"/>
        <w:ind w:right="0"/>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124,847,608.58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38.44%</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700"/>
        <w:gridCol w:w="276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96,126,659.56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11,151,389.76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7,891,810.76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4,880,882.71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4,796,865.79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701"/>
        <w:gridCol w:w="2765"/>
      </w:tblGrid>
      <w:tr>
        <w:trPr>
          <w:trHeight w:val="40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3" w:right="0"/>
              <w:jc w:val="left"/>
              <w:rPr>
                <w:rFonts w:ascii="Times New Roman" w:hAnsi="Times New Roman" w:cs="Times New Roman" w:eastAsia="Times New Roman" w:hint="default"/>
                <w:sz w:val="18"/>
                <w:szCs w:val="18"/>
              </w:rPr>
            </w:pPr>
            <w:r>
              <w:rPr>
                <w:rFonts w:ascii="Times New Roman"/>
                <w:sz w:val="18"/>
              </w:rPr>
              <w:t>124,847,608.58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38.44%</w:t>
            </w:r>
          </w:p>
        </w:tc>
      </w:tr>
    </w:tbl>
    <w:p>
      <w:pPr>
        <w:pStyle w:val="BodyText"/>
        <w:spacing w:line="240" w:lineRule="auto" w:before="51"/>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59,577,973.30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57,461,140.24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46,564,216.17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44,626,412.91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3,430,553.35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3,001,018.40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主要为银行借款利息增加</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37,387,758.04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14,447,108.15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380"/>
              <w:jc w:val="both"/>
              <w:rPr>
                <w:rFonts w:ascii="宋体" w:hAnsi="宋体" w:cs="宋体" w:eastAsia="宋体" w:hint="default"/>
                <w:sz w:val="18"/>
                <w:szCs w:val="18"/>
              </w:rPr>
            </w:pPr>
            <w:r>
              <w:rPr>
                <w:rFonts w:ascii="宋体" w:hAnsi="宋体" w:cs="宋体" w:eastAsia="宋体" w:hint="default"/>
                <w:spacing w:val="12"/>
                <w:sz w:val="18"/>
                <w:szCs w:val="18"/>
              </w:rPr>
              <w:t>系公司承担国家及地方科研任</w:t>
            </w:r>
            <w:r>
              <w:rPr>
                <w:rFonts w:ascii="宋体" w:hAnsi="宋体" w:cs="宋体" w:eastAsia="宋体" w:hint="default"/>
                <w:sz w:val="18"/>
                <w:szCs w:val="18"/>
              </w:rPr>
              <w:t> </w:t>
            </w:r>
            <w:r>
              <w:rPr>
                <w:rFonts w:ascii="宋体" w:hAnsi="宋体" w:cs="宋体" w:eastAsia="宋体" w:hint="default"/>
                <w:spacing w:val="-2"/>
                <w:sz w:val="18"/>
                <w:szCs w:val="18"/>
              </w:rPr>
              <w:t>务、政府公共平台建设项目以及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自主研发</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39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本年度公司在研课题</w:t>
      </w:r>
      <w:r>
        <w:rPr>
          <w:rFonts w:ascii="Times New Roman" w:hAnsi="Times New Roman" w:cs="Times New Roman" w:eastAsia="Times New Roman" w:hint="default"/>
        </w:rPr>
        <w:t>51</w:t>
      </w:r>
      <w:r>
        <w:rPr/>
        <w:t>项，其中国家、省市级科技计划项目、课题、子课题合计</w:t>
      </w:r>
      <w:r>
        <w:rPr>
          <w:rFonts w:ascii="Times New Roman" w:hAnsi="Times New Roman" w:cs="Times New Roman" w:eastAsia="Times New Roman" w:hint="default"/>
        </w:rPr>
        <w:t>30</w:t>
      </w:r>
      <w:r>
        <w:rPr/>
        <w:t>项。</w:t>
      </w:r>
    </w:p>
    <w:p>
      <w:pPr>
        <w:pStyle w:val="BodyText"/>
        <w:spacing w:line="215" w:lineRule="exact"/>
        <w:ind w:right="0"/>
        <w:jc w:val="left"/>
      </w:pPr>
      <w:r>
        <w:rPr/>
        <w:t>本年度研究方向聚焦在优地指数与未来大厦两个方向。优地指数从诞生到不断迭代更新，已经走过十个年头，对六十多个省</w:t>
      </w:r>
    </w:p>
    <w:p>
      <w:pPr>
        <w:pStyle w:val="BodyText"/>
        <w:spacing w:line="309" w:lineRule="auto" w:before="76"/>
        <w:ind w:right="1034"/>
        <w:jc w:val="left"/>
      </w:pPr>
      <w:r>
        <w:rPr/>
        <w:t>市开展评价，建立了一个包含</w:t>
      </w:r>
      <w:r>
        <w:rPr>
          <w:rFonts w:ascii="Times New Roman" w:hAnsi="Times New Roman" w:cs="Times New Roman" w:eastAsia="Times New Roman" w:hint="default"/>
        </w:rPr>
        <w:t>90</w:t>
      </w:r>
      <w:r>
        <w:rPr/>
        <w:t>多万条数据信息的数据库，为全国地级以上城市寻找生态定位，在城市群、都市圈、城市、 </w:t>
      </w:r>
      <w:r>
        <w:rPr>
          <w:spacing w:val="-2"/>
        </w:rPr>
        <w:t>社区多尺度下拓展其功能，助力城市绿色生态转型。同时，作为国家重点研发计划政府间国际科技创新合作重点专项子任务</w:t>
      </w:r>
      <w:r>
        <w:rPr>
          <w:spacing w:val="-65"/>
        </w:rPr>
        <w:t> </w:t>
      </w:r>
      <w:r>
        <w:rPr>
          <w:spacing w:val="-65"/>
        </w:rPr>
      </w:r>
      <w:r>
        <w:rPr>
          <w:rFonts w:ascii="Times New Roman" w:hAnsi="Times New Roman" w:cs="Times New Roman" w:eastAsia="Times New Roman" w:hint="default"/>
        </w:rPr>
        <w:t>“</w:t>
      </w:r>
      <w:r>
        <w:rPr/>
        <w:t>夏热冬暖地区净零能耗建筑关联技术综合性工程示范</w:t>
      </w:r>
      <w:r>
        <w:rPr>
          <w:rFonts w:ascii="Times New Roman" w:hAnsi="Times New Roman" w:cs="Times New Roman" w:eastAsia="Times New Roman" w:hint="default"/>
        </w:rPr>
        <w:t>”</w:t>
      </w:r>
      <w:r>
        <w:rPr/>
        <w:t>课题示范项目，未来大厦</w:t>
      </w:r>
      <w:r>
        <w:rPr>
          <w:rFonts w:ascii="Times New Roman" w:hAnsi="Times New Roman" w:cs="Times New Roman" w:eastAsia="Times New Roman" w:hint="default"/>
        </w:rPr>
        <w:t>R3</w:t>
      </w:r>
      <w:r>
        <w:rPr/>
        <w:t>楼作为第一个走出实验室、规模化应用 的全直流建筑，被遴选为全国</w:t>
      </w:r>
      <w:r>
        <w:rPr>
          <w:rFonts w:ascii="Times New Roman" w:hAnsi="Times New Roman" w:cs="Times New Roman" w:eastAsia="Times New Roman" w:hint="default"/>
        </w:rPr>
        <w:t>40</w:t>
      </w:r>
      <w:r>
        <w:rPr/>
        <w:t>个科技代表性成果之一，参展了中国驻美使馆在华盛顿举办的</w:t>
      </w:r>
      <w:r>
        <w:rPr>
          <w:rFonts w:ascii="Times New Roman" w:hAnsi="Times New Roman" w:cs="Times New Roman" w:eastAsia="Times New Roman" w:hint="default"/>
        </w:rPr>
        <w:t>“</w:t>
      </w:r>
      <w:r>
        <w:rPr/>
        <w:t>发展中的中国</w:t>
      </w:r>
      <w:r>
        <w:rPr>
          <w:rFonts w:ascii="Times New Roman" w:hAnsi="Times New Roman" w:cs="Times New Roman" w:eastAsia="Times New Roman" w:hint="default"/>
        </w:rPr>
        <w:t>”</w:t>
      </w:r>
      <w:r>
        <w:rPr/>
        <w:t>使馆开放日活 动。 </w:t>
      </w:r>
      <w:r>
        <w:rPr>
          <w:spacing w:val="-4"/>
        </w:rPr>
        <w:t>此外，在科研管理方面，科研服务在线化已被广泛运用，经费、进度、成果实现完全在线，为课题负责人实时掌握课题进展、</w:t>
      </w:r>
      <w:r>
        <w:rPr>
          <w:spacing w:val="-42"/>
        </w:rPr>
        <w:t> </w:t>
      </w:r>
      <w:r>
        <w:rPr>
          <w:spacing w:val="-42"/>
        </w:rPr>
      </w:r>
      <w:r>
        <w:rPr/>
        <w:t>提高科研服务质量和效率提供有力的支撑。</w:t>
      </w:r>
    </w:p>
    <w:p>
      <w:pPr>
        <w:pStyle w:val="BodyText"/>
        <w:spacing w:line="240" w:lineRule="auto" w:before="65"/>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6"/>
        <w:gridCol w:w="2268"/>
        <w:gridCol w:w="1985"/>
        <w:gridCol w:w="1771"/>
      </w:tblGrid>
      <w:tr>
        <w:trPr>
          <w:trHeight w:val="402"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119</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17.62%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19.01%</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43,128,912.23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36,161,301.95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33,922,160.18</w:t>
            </w:r>
          </w:p>
        </w:tc>
      </w:tr>
      <w:tr>
        <w:trPr>
          <w:trHeight w:val="404"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9.11%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8.88%</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5,741,154.19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1,019,279.18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3,755,849.63</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2.82%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11.07%</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11.05%</w:t>
            </w:r>
          </w:p>
        </w:tc>
      </w:tr>
    </w:tbl>
    <w:p>
      <w:pPr>
        <w:pStyle w:val="BodyText"/>
        <w:spacing w:line="240" w:lineRule="auto" w:before="51"/>
        <w:ind w:right="0"/>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spacing w:after="0" w:line="3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96"/>
        <w:gridCol w:w="2268"/>
        <w:gridCol w:w="2268"/>
        <w:gridCol w:w="2338"/>
      </w:tblGrid>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466,091,681.55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465,210,112.74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0.19%</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402,577,968.08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422,223,318.06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-4.65%</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63,513,713.47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42,986,794.68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47.75%</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109,516,611.22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169,226,938.47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-35.28%</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178,403,218.71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374,297,408.49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-52.34%</w:t>
            </w: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-68,886,607.49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-205,070,470.02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68.85%</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250,160,000.00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-16.05%</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149,427,066.99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162,958,769.05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-8.30%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60,572,933.01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87,201,230.95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-30.54%</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55,200,038.99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-74,881,744.42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173.72%</w:t>
            </w:r>
          </w:p>
        </w:tc>
      </w:tr>
    </w:tbl>
    <w:p>
      <w:pPr>
        <w:pStyle w:val="BodyText"/>
        <w:spacing w:line="240" w:lineRule="auto" w:before="51"/>
        <w:ind w:right="0"/>
        <w:jc w:val="left"/>
      </w:pPr>
      <w:r>
        <w:rPr/>
        <w:t>相关数据同比发生重大变动的主要影响因素说明</w:t>
      </w:r>
    </w:p>
    <w:p>
      <w:pPr>
        <w:pStyle w:val="BodyText"/>
        <w:spacing w:line="340" w:lineRule="auto" w:before="115"/>
        <w:ind w:right="4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报告期内公司经营活动产生的现金净流量与本年度净利润存在重大差异的原因说明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738"/>
        <w:gridCol w:w="1623"/>
        <w:gridCol w:w="2309"/>
        <w:gridCol w:w="2199"/>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9"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1,643,630.20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7"/>
                <w:sz w:val="18"/>
                <w:szCs w:val="18"/>
              </w:rPr>
              <w:t>主要为股权投资收益，银行理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财产品收益</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715,804.10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1.65%</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结构性存款利息收入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5,407,110.52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12.47%</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3"/>
              <w:jc w:val="left"/>
              <w:rPr>
                <w:rFonts w:ascii="宋体" w:hAnsi="宋体" w:cs="宋体" w:eastAsia="宋体" w:hint="default"/>
                <w:sz w:val="18"/>
                <w:szCs w:val="18"/>
              </w:rPr>
            </w:pPr>
            <w:r>
              <w:rPr>
                <w:rFonts w:ascii="宋体" w:hAnsi="宋体" w:cs="宋体" w:eastAsia="宋体" w:hint="default"/>
                <w:sz w:val="18"/>
                <w:szCs w:val="18"/>
              </w:rPr>
              <w:t>主要为收到的产业专项资金 等政府补助资金</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3,114.26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0.01%</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租车利息补偿</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6,940,749.39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16.00%</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应收账款预期信用损失</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29,041,643.74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66.97%</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主要为研发课题和政府公共 平台建设经费</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8" w:footer="97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四、资产及负债状况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5"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702"/>
        <w:gridCol w:w="850"/>
        <w:gridCol w:w="1419"/>
        <w:gridCol w:w="850"/>
        <w:gridCol w:w="852"/>
        <w:gridCol w:w="2338"/>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3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2" w:type="dxa"/>
            <w:vMerge/>
            <w:tcBorders>
              <w:left w:val="single" w:sz="4" w:space="0" w:color="000000"/>
              <w:bottom w:val="single" w:sz="4" w:space="0" w:color="000000"/>
              <w:right w:val="single" w:sz="4" w:space="0" w:color="000000"/>
            </w:tcBorders>
            <w:shd w:val="clear" w:color="auto" w:fill="D2D2D2"/>
          </w:tcPr>
          <w:p>
            <w:pPr/>
          </w:p>
        </w:tc>
        <w:tc>
          <w:tcPr>
            <w:tcW w:w="233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210,860,381.95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146,375,945.17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288,851,268.48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226,338,644.69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20"/>
              <w:jc w:val="left"/>
              <w:rPr>
                <w:rFonts w:ascii="宋体" w:hAnsi="宋体" w:cs="宋体" w:eastAsia="宋体" w:hint="default"/>
                <w:sz w:val="18"/>
                <w:szCs w:val="18"/>
              </w:rPr>
            </w:pPr>
            <w:r>
              <w:rPr>
                <w:rFonts w:ascii="宋体" w:hAnsi="宋体" w:cs="宋体" w:eastAsia="宋体" w:hint="default"/>
                <w:spacing w:val="-5"/>
                <w:sz w:val="18"/>
                <w:szCs w:val="18"/>
              </w:rPr>
              <w:t>营业收入增长，项目应收款增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加所致</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70,916.15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100,899.80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9,503,556.70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投资性房地产转回固定资产</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3,737,477.72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3,326,501.86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116,127,414.24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87,247,624.00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投资性房地产转回固定资产， 以及固定资产新增购置所致</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197,099,469.04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91,470,942.13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未来大厦项目建设投资所致</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100,146,875.00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130,174,638.89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归还银行借款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42"/>
              <w:jc w:val="left"/>
              <w:rPr>
                <w:rFonts w:ascii="宋体" w:hAnsi="宋体" w:cs="宋体" w:eastAsia="宋体" w:hint="default"/>
                <w:sz w:val="18"/>
                <w:szCs w:val="18"/>
              </w:rPr>
            </w:pPr>
            <w:r>
              <w:rPr>
                <w:rFonts w:ascii="宋体" w:hAnsi="宋体" w:cs="宋体" w:eastAsia="宋体" w:hint="default"/>
                <w:sz w:val="18"/>
                <w:szCs w:val="18"/>
              </w:rPr>
              <w:t>未来大厦在建工程项目固贷 增加所致</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43,779,895.89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118,891,468.50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赎回闲置资金银行理财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7500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万元所致</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274"/>
        <w:gridCol w:w="994"/>
        <w:gridCol w:w="991"/>
        <w:gridCol w:w="850"/>
        <w:gridCol w:w="1277"/>
        <w:gridCol w:w="1277"/>
        <w:gridCol w:w="559"/>
        <w:gridCol w:w="1212"/>
      </w:tblGrid>
      <w:tr>
        <w:trPr>
          <w:trHeight w:val="1027"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1"/>
              <w:jc w:val="right"/>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1" w:right="58"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资产（不含衍 生金融资产）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118,891,468.50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715,804.10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105,827,376.71</w:t>
            </w:r>
          </w:p>
        </w:tc>
        <w:tc>
          <w:tcPr>
            <w:tcW w:w="55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43,779,895.89</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1"/>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118,891,468.50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715,804.10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105,827,376.71</w:t>
            </w:r>
          </w:p>
        </w:tc>
        <w:tc>
          <w:tcPr>
            <w:tcW w:w="55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43,779,895.89</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1"/>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5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1"/>
        <w:ind w:right="0"/>
        <w:jc w:val="left"/>
      </w:pPr>
      <w:r>
        <w:rPr/>
        <w:t>其他变动的内容</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报告期内公司主要资产计量属性是否发生重大变化</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104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3"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10,075,354.76</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保函保证金、代建户监管资金</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12,621,343.00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56,168,845.53</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28" w:hRule="exact"/>
        </w:trPr>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78,865,543.29</w:t>
            </w:r>
          </w:p>
        </w:tc>
        <w:tc>
          <w:tcPr>
            <w:tcW w:w="319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149,043,926.91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190,394,139.38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-21.72%</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583"/>
        <w:gridCol w:w="566"/>
        <w:gridCol w:w="1133"/>
        <w:gridCol w:w="710"/>
        <w:gridCol w:w="348"/>
        <w:gridCol w:w="785"/>
        <w:gridCol w:w="528"/>
        <w:gridCol w:w="466"/>
        <w:gridCol w:w="991"/>
        <w:gridCol w:w="994"/>
        <w:gridCol w:w="425"/>
        <w:gridCol w:w="619"/>
        <w:gridCol w:w="722"/>
      </w:tblGrid>
      <w:tr>
        <w:trPr>
          <w:trHeight w:val="1337"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2"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5" w:right="105"/>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1"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7"/>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7" w:right="4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00" w:right="41"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24"/>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90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z w:val="18"/>
                <w:szCs w:val="18"/>
              </w:rPr>
              <w:t>湖北建 胜及其 子公司</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 w:right="187"/>
              <w:jc w:val="left"/>
              <w:rPr>
                <w:rFonts w:ascii="宋体" w:hAnsi="宋体" w:cs="宋体" w:eastAsia="宋体" w:hint="default"/>
                <w:sz w:val="18"/>
                <w:szCs w:val="18"/>
              </w:rPr>
            </w:pPr>
            <w:r>
              <w:rPr>
                <w:rFonts w:ascii="宋体" w:hAnsi="宋体" w:cs="宋体" w:eastAsia="宋体" w:hint="default"/>
                <w:sz w:val="18"/>
                <w:szCs w:val="18"/>
              </w:rPr>
              <w:t>工程 服务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70"/>
              <w:jc w:val="right"/>
              <w:rPr>
                <w:rFonts w:ascii="宋体" w:hAnsi="宋体" w:cs="宋体" w:eastAsia="宋体" w:hint="default"/>
                <w:sz w:val="18"/>
                <w:szCs w:val="18"/>
              </w:rPr>
            </w:pPr>
            <w:r>
              <w:rPr>
                <w:rFonts w:ascii="宋体" w:hAnsi="宋体" w:cs="宋体" w:eastAsia="宋体" w:hint="default"/>
                <w:sz w:val="18"/>
                <w:szCs w:val="18"/>
              </w:rPr>
              <w:t>收购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12,415,400.00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40.00%</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自 有</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3" w:right="29"/>
              <w:jc w:val="both"/>
              <w:rPr>
                <w:rFonts w:ascii="宋体" w:hAnsi="宋体" w:cs="宋体" w:eastAsia="宋体" w:hint="default"/>
                <w:sz w:val="18"/>
                <w:szCs w:val="18"/>
              </w:rPr>
            </w:pPr>
            <w:r>
              <w:rPr>
                <w:rFonts w:ascii="宋体" w:hAnsi="宋体" w:cs="宋体" w:eastAsia="宋体" w:hint="default"/>
                <w:sz w:val="18"/>
                <w:szCs w:val="18"/>
              </w:rPr>
              <w:t>湖北荆门 城建集团 有限公司</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8"/>
              <w:jc w:val="center"/>
              <w:rPr>
                <w:rFonts w:ascii="宋体" w:hAnsi="宋体" w:cs="宋体" w:eastAsia="宋体" w:hint="default"/>
                <w:sz w:val="18"/>
                <w:szCs w:val="18"/>
              </w:rPr>
            </w:pPr>
            <w:r>
              <w:rPr>
                <w:rFonts w:ascii="宋体" w:hAnsi="宋体" w:cs="宋体" w:eastAsia="宋体" w:hint="default"/>
                <w:sz w:val="18"/>
                <w:szCs w:val="18"/>
              </w:rPr>
              <w:t>长期</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886,280.05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886,280.05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6"/>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350" w:lineRule="auto" w:before="19"/>
              <w:ind w:left="24" w:right="44"/>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sz w:val="18"/>
                <w:szCs w:val="18"/>
              </w:rPr>
              <w:t> nfo.com.</w:t>
            </w:r>
          </w:p>
          <w:p>
            <w:pPr>
              <w:pStyle w:val="TableParagraph"/>
              <w:spacing w:line="221" w:lineRule="exact"/>
              <w:ind w:left="24"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pacing w:val="-92"/>
                <w:sz w:val="18"/>
                <w:szCs w:val="18"/>
              </w:rPr>
              <w:t>）</w:t>
            </w:r>
            <w:r>
              <w:rPr>
                <w:rFonts w:ascii="宋体" w:hAnsi="宋体" w:cs="宋体" w:eastAsia="宋体" w:hint="default"/>
                <w:sz w:val="18"/>
                <w:szCs w:val="18"/>
              </w:rPr>
              <w:t>，公</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告编号：</w:t>
            </w:r>
          </w:p>
          <w:p>
            <w:pPr>
              <w:pStyle w:val="TableParagraph"/>
              <w:spacing w:line="240" w:lineRule="auto" w:before="118"/>
              <w:ind w:left="24" w:right="0"/>
              <w:jc w:val="both"/>
              <w:rPr>
                <w:rFonts w:ascii="Times New Roman" w:hAnsi="Times New Roman" w:cs="Times New Roman" w:eastAsia="Times New Roman" w:hint="default"/>
                <w:sz w:val="18"/>
                <w:szCs w:val="18"/>
              </w:rPr>
            </w:pPr>
            <w:r>
              <w:rPr>
                <w:rFonts w:ascii="Times New Roman"/>
                <w:sz w:val="18"/>
              </w:rPr>
              <w:t>2019-03</w:t>
            </w:r>
          </w:p>
          <w:p>
            <w:pPr>
              <w:pStyle w:val="TableParagraph"/>
              <w:spacing w:line="240" w:lineRule="auto" w:before="105"/>
              <w:ind w:left="24" w:right="0"/>
              <w:jc w:val="both"/>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6"/>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center"/>
              <w:rPr>
                <w:rFonts w:ascii="Times New Roman" w:hAnsi="Times New Roman" w:cs="Times New Roman" w:eastAsia="Times New Roman" w:hint="default"/>
                <w:sz w:val="18"/>
                <w:szCs w:val="18"/>
              </w:rPr>
            </w:pPr>
            <w:r>
              <w:rPr>
                <w:rFonts w:ascii="Times New Roman"/>
                <w:sz w:val="18"/>
              </w:rPr>
              <w:t>12,415,400.00</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886,280.05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886,280.05</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566"/>
        <w:gridCol w:w="425"/>
        <w:gridCol w:w="566"/>
        <w:gridCol w:w="1277"/>
        <w:gridCol w:w="1255"/>
        <w:gridCol w:w="730"/>
        <w:gridCol w:w="708"/>
        <w:gridCol w:w="581"/>
        <w:gridCol w:w="653"/>
        <w:gridCol w:w="653"/>
        <w:gridCol w:w="650"/>
        <w:gridCol w:w="653"/>
      </w:tblGrid>
      <w:tr>
        <w:trPr>
          <w:trHeight w:val="1649"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24"/>
              <w:jc w:val="both"/>
              <w:rPr>
                <w:rFonts w:ascii="宋体" w:hAnsi="宋体" w:cs="宋体" w:eastAsia="宋体" w:hint="default"/>
                <w:sz w:val="18"/>
                <w:szCs w:val="18"/>
              </w:rPr>
            </w:pPr>
            <w:r>
              <w:rPr>
                <w:rFonts w:ascii="宋体" w:hAnsi="宋体" w:cs="宋体" w:eastAsia="宋体" w:hint="default"/>
                <w:sz w:val="18"/>
                <w:szCs w:val="18"/>
              </w:rPr>
              <w:t>是否 为固 定资 产投 资</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投资 项目 涉及 行业</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4" w:right="92" w:hanging="361"/>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3" w:right="79"/>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9" w:right="89"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5" w:right="103"/>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0"/>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 w:right="50"/>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0" w:right="4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4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建科院未 来大厦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0"/>
              <w:jc w:val="right"/>
              <w:rPr>
                <w:rFonts w:ascii="宋体" w:hAnsi="宋体" w:cs="宋体" w:eastAsia="宋体" w:hint="default"/>
                <w:sz w:val="18"/>
                <w:szCs w:val="18"/>
              </w:rPr>
            </w:pPr>
            <w:r>
              <w:rPr>
                <w:rFonts w:ascii="宋体" w:hAnsi="宋体" w:cs="宋体" w:eastAsia="宋体" w:hint="default"/>
                <w:sz w:val="18"/>
                <w:szCs w:val="18"/>
              </w:rPr>
              <w:t>自建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09"/>
              <w:jc w:val="righ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建筑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105,628,526.91</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197,099,469.04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自有资 </w:t>
            </w:r>
            <w:r>
              <w:rPr>
                <w:rFonts w:ascii="宋体" w:hAnsi="宋体" w:cs="宋体" w:eastAsia="宋体" w:hint="default"/>
                <w:spacing w:val="-13"/>
                <w:sz w:val="18"/>
                <w:szCs w:val="18"/>
              </w:rPr>
              <w:t>金、银行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借款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41.11%</w:t>
            </w:r>
          </w:p>
        </w:tc>
        <w:tc>
          <w:tcPr>
            <w:tcW w:w="58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16"/>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44"/>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105,628,526.91</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197,099,469.04</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5"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7"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67"/>
        <w:gridCol w:w="1277"/>
        <w:gridCol w:w="1133"/>
        <w:gridCol w:w="994"/>
        <w:gridCol w:w="1275"/>
        <w:gridCol w:w="1277"/>
        <w:gridCol w:w="1136"/>
        <w:gridCol w:w="1133"/>
        <w:gridCol w:w="780"/>
      </w:tblGrid>
      <w:tr>
        <w:trPr>
          <w:trHeight w:val="1026"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3"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12" w:right="11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 w:right="38"/>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53" w:right="89"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55" w:right="89" w:hanging="360"/>
              <w:jc w:val="left"/>
              <w:rPr>
                <w:rFonts w:ascii="宋体" w:hAnsi="宋体" w:cs="宋体" w:eastAsia="宋体" w:hint="default"/>
                <w:sz w:val="18"/>
                <w:szCs w:val="18"/>
              </w:rPr>
            </w:pPr>
            <w:r>
              <w:rPr>
                <w:rFonts w:ascii="宋体" w:hAnsi="宋体" w:cs="宋体" w:eastAsia="宋体" w:hint="default"/>
                <w:sz w:val="18"/>
                <w:szCs w:val="18"/>
              </w:rPr>
              <w:t>报告期内售出 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72" w:right="111"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118,000,000.00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715,804.10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105,827,376.71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2,232,654.34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43,779,895.89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4"/>
              <w:jc w:val="both"/>
              <w:rPr>
                <w:rFonts w:ascii="宋体" w:hAnsi="宋体" w:cs="宋体" w:eastAsia="宋体" w:hint="default"/>
                <w:sz w:val="18"/>
                <w:szCs w:val="18"/>
              </w:rPr>
            </w:pPr>
            <w:r>
              <w:rPr>
                <w:rFonts w:ascii="宋体" w:hAnsi="宋体" w:cs="宋体" w:eastAsia="宋体" w:hint="default"/>
                <w:sz w:val="18"/>
                <w:szCs w:val="18"/>
              </w:rPr>
              <w:t>闲置募集 资金、自 有资金</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118,000,000.00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715,804.10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center"/>
              <w:rPr>
                <w:rFonts w:ascii="Times New Roman" w:hAnsi="Times New Roman" w:cs="Times New Roman" w:eastAsia="Times New Roman" w:hint="default"/>
                <w:sz w:val="18"/>
                <w:szCs w:val="18"/>
              </w:rPr>
            </w:pPr>
            <w:r>
              <w:rPr>
                <w:rFonts w:ascii="Times New Roman"/>
                <w:sz w:val="18"/>
              </w:rPr>
              <w:t>105,827,376.71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2,232,654.34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center"/>
              <w:rPr>
                <w:rFonts w:ascii="Times New Roman" w:hAnsi="Times New Roman" w:cs="Times New Roman" w:eastAsia="Times New Roman" w:hint="default"/>
                <w:sz w:val="18"/>
                <w:szCs w:val="18"/>
              </w:rPr>
            </w:pPr>
            <w:r>
              <w:rPr>
                <w:rFonts w:ascii="Times New Roman"/>
                <w:sz w:val="18"/>
              </w:rPr>
              <w:t>43,779,895.89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98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4" w:right="0"/>
              <w:jc w:val="left"/>
              <w:rPr>
                <w:rFonts w:ascii="Times New Roman" w:hAnsi="Times New Roman" w:cs="Times New Roman" w:eastAsia="Times New Roman" w:hint="default"/>
                <w:sz w:val="18"/>
                <w:szCs w:val="18"/>
              </w:rPr>
            </w:pPr>
            <w:r>
              <w:rPr>
                <w:rFonts w:ascii="Times New Roman"/>
                <w:sz w:val="18"/>
              </w:rPr>
              <w:t>2017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4" w:lineRule="auto"/>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发行股份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17" w:right="0"/>
              <w:jc w:val="left"/>
              <w:rPr>
                <w:rFonts w:ascii="Times New Roman" w:hAnsi="Times New Roman" w:cs="Times New Roman" w:eastAsia="Times New Roman" w:hint="default"/>
                <w:sz w:val="18"/>
                <w:szCs w:val="18"/>
              </w:rPr>
            </w:pPr>
            <w:r>
              <w:rPr>
                <w:rFonts w:ascii="Times New Roman"/>
                <w:sz w:val="18"/>
              </w:rPr>
              <w:t>10,739.76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45" w:right="0"/>
              <w:jc w:val="left"/>
              <w:rPr>
                <w:rFonts w:ascii="Times New Roman" w:hAnsi="Times New Roman" w:cs="Times New Roman" w:eastAsia="Times New Roman" w:hint="default"/>
                <w:sz w:val="18"/>
                <w:szCs w:val="18"/>
              </w:rPr>
            </w:pPr>
            <w:r>
              <w:rPr>
                <w:rFonts w:ascii="Times New Roman"/>
                <w:sz w:val="18"/>
              </w:rPr>
              <w:t>910.81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06" w:right="0"/>
              <w:jc w:val="left"/>
              <w:rPr>
                <w:rFonts w:ascii="Times New Roman" w:hAnsi="Times New Roman" w:cs="Times New Roman" w:eastAsia="Times New Roman" w:hint="default"/>
                <w:sz w:val="18"/>
                <w:szCs w:val="18"/>
              </w:rPr>
            </w:pPr>
            <w:r>
              <w:rPr>
                <w:rFonts w:ascii="Times New Roman"/>
                <w:sz w:val="18"/>
              </w:rPr>
              <w:t>7,682.35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71"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06" w:right="0"/>
              <w:jc w:val="left"/>
              <w:rPr>
                <w:rFonts w:ascii="Times New Roman" w:hAnsi="Times New Roman" w:cs="Times New Roman" w:eastAsia="Times New Roman" w:hint="default"/>
                <w:sz w:val="18"/>
                <w:szCs w:val="18"/>
              </w:rPr>
            </w:pPr>
            <w:r>
              <w:rPr>
                <w:rFonts w:ascii="Times New Roman"/>
                <w:sz w:val="18"/>
              </w:rPr>
              <w:t>3,057.41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暂时闲置 的募集资 金用于购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r>
        <w:rPr/>
        <w:pict>
          <v:shape style="position:absolute;margin-left:74.757004pt;margin-top:664.899963pt;width:460.2pt;height:50.8pt;mso-position-horizontal-relative:page;mso-position-vertical-relative:page;z-index:-11647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（分具体项目）</w:t>
                  </w:r>
                </w:p>
              </w:txbxContent>
            </v:textbox>
            <w10:wrap type="none"/>
          </v:shape>
        </w:pict>
      </w:r>
      <w:r>
        <w:rPr/>
        <w:pict>
          <v:group style="position:absolute;margin-left:135.020004pt;margin-top:707.859985pt;width:399.95pt;height:7.8pt;mso-position-horizontal-relative:page;mso-position-vertical-relative:page;z-index:-1164688" coordorigin="2700,14157" coordsize="7999,156">
            <v:shape style="position:absolute;left:2700;top:14157;width:7999;height:156" coordorigin="2700,14157" coordsize="7999,156" path="m2700,14313l10699,14313,10699,14157,2700,14157,2700,14313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675"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15"/>
              <w:jc w:val="left"/>
              <w:rPr>
                <w:rFonts w:ascii="宋体" w:hAnsi="宋体" w:cs="宋体" w:eastAsia="宋体" w:hint="default"/>
                <w:sz w:val="18"/>
                <w:szCs w:val="18"/>
              </w:rPr>
            </w:pPr>
            <w:r>
              <w:rPr>
                <w:rFonts w:ascii="宋体" w:hAnsi="宋体" w:cs="宋体" w:eastAsia="宋体" w:hint="default"/>
                <w:sz w:val="18"/>
                <w:szCs w:val="18"/>
              </w:rPr>
              <w:t>买银行理 财产品</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10,739.76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910.81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6" w:right="0"/>
              <w:jc w:val="left"/>
              <w:rPr>
                <w:rFonts w:ascii="Times New Roman" w:hAnsi="Times New Roman" w:cs="Times New Roman" w:eastAsia="Times New Roman" w:hint="default"/>
                <w:sz w:val="18"/>
                <w:szCs w:val="18"/>
              </w:rPr>
            </w:pPr>
            <w:r>
              <w:rPr>
                <w:rFonts w:ascii="Times New Roman"/>
                <w:sz w:val="18"/>
              </w:rPr>
              <w:t>7,682.35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1"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6" w:right="0"/>
              <w:jc w:val="left"/>
              <w:rPr>
                <w:rFonts w:ascii="Times New Roman" w:hAnsi="Times New Roman" w:cs="Times New Roman" w:eastAsia="Times New Roman" w:hint="default"/>
                <w:sz w:val="18"/>
                <w:szCs w:val="18"/>
              </w:rPr>
            </w:pPr>
            <w:r>
              <w:rPr>
                <w:rFonts w:ascii="Times New Roman"/>
                <w:sz w:val="18"/>
              </w:rPr>
              <w:t>3,057.41</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90"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日，公司对募集资金项目累计投入人民币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7,682.35 </w:t>
            </w:r>
            <w:r>
              <w:rPr>
                <w:rFonts w:ascii="宋体" w:hAnsi="宋体" w:cs="宋体" w:eastAsia="宋体" w:hint="default"/>
                <w:sz w:val="18"/>
                <w:szCs w:val="18"/>
              </w:rPr>
              <w:t>万元，其中：公司于募集资金到位之前利用自有</w:t>
            </w:r>
          </w:p>
          <w:p>
            <w:pPr>
              <w:pStyle w:val="TableParagraph"/>
              <w:spacing w:line="300" w:lineRule="auto" w:before="63"/>
              <w:ind w:left="24" w:right="57"/>
              <w:jc w:val="both"/>
              <w:rPr>
                <w:rFonts w:ascii="宋体" w:hAnsi="宋体" w:cs="宋体" w:eastAsia="宋体" w:hint="default"/>
                <w:sz w:val="18"/>
                <w:szCs w:val="18"/>
              </w:rPr>
            </w:pPr>
            <w:r>
              <w:rPr>
                <w:rFonts w:ascii="宋体" w:hAnsi="宋体" w:cs="宋体" w:eastAsia="宋体" w:hint="default"/>
                <w:sz w:val="18"/>
                <w:szCs w:val="18"/>
              </w:rPr>
              <w:t>资金先期投入募集资金项目人民币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4,819.44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万元，该自筹投入资金经立信会计师事务所（特殊普通合伙）出具</w:t>
            </w:r>
            <w:r>
              <w:rPr>
                <w:rFonts w:ascii="Times New Roman" w:hAnsi="Times New Roman" w:cs="Times New Roman" w:eastAsia="Times New Roman" w:hint="default"/>
                <w:sz w:val="18"/>
                <w:szCs w:val="18"/>
              </w:rPr>
              <w:t>“</w:t>
            </w:r>
            <w:r>
              <w:rPr>
                <w:rFonts w:ascii="宋体" w:hAnsi="宋体" w:cs="宋体" w:eastAsia="宋体" w:hint="default"/>
                <w:sz w:val="18"/>
                <w:szCs w:val="18"/>
              </w:rPr>
              <w:t>信会师报 字</w:t>
            </w:r>
            <w:r>
              <w:rPr>
                <w:rFonts w:ascii="Times New Roman" w:hAnsi="Times New Roman" w:cs="Times New Roman" w:eastAsia="Times New Roman" w:hint="default"/>
                <w:sz w:val="18"/>
                <w:szCs w:val="18"/>
              </w:rPr>
              <w:t>[2017]10675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鉴证报告确认。募集资金专户收到利息收入（含理财收益）扣除手续费净额人民币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234.252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万元。资金 使用完毕的两个项目募集资金专户销户余额转出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日，募集资金账户余额为人民币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291.11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万元，用于理财的闲置募集资金</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566"/>
        <w:gridCol w:w="850"/>
        <w:gridCol w:w="852"/>
        <w:gridCol w:w="708"/>
        <w:gridCol w:w="852"/>
        <w:gridCol w:w="850"/>
        <w:gridCol w:w="708"/>
        <w:gridCol w:w="711"/>
        <w:gridCol w:w="708"/>
        <w:gridCol w:w="566"/>
        <w:gridCol w:w="638"/>
      </w:tblGrid>
      <w:tr>
        <w:trPr>
          <w:trHeight w:val="196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26" w:right="53"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69" w:right="65"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9" w:right="58"/>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7" w:right="41"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0"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28"/>
              <w:ind w:left="60" w:right="5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9" w:right="80"/>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1"/>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上海钢琴厂低碳化 升级改造及运营</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DOT</w:t>
            </w:r>
            <w:r>
              <w:rPr>
                <w:rFonts w:ascii="宋体" w:hAnsi="宋体" w:cs="宋体" w:eastAsia="宋体" w:hint="default"/>
                <w:sz w:val="18"/>
                <w:szCs w:val="18"/>
              </w:rPr>
              <w:t>）项目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6,032</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6,044.42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366.33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线上运营平台及乐 活系统建设项目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910.81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1,628.97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89" w:right="96"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低碳建筑研究及社 区级应用服务实验 基地项目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9" w:right="96"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10,739.76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10,739.76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910.81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7,682.35</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96.88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366.33</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10,739.76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10,739.76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910.81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7,682.35</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96.88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366.33</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w:t>
            </w:r>
          </w:p>
        </w:tc>
        <w:tc>
          <w:tcPr>
            <w:tcW w:w="80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3"/>
              <w:jc w:val="left"/>
              <w:rPr>
                <w:rFonts w:ascii="宋体" w:hAnsi="宋体" w:cs="宋体" w:eastAsia="宋体" w:hint="default"/>
                <w:sz w:val="18"/>
                <w:szCs w:val="18"/>
              </w:rPr>
            </w:pPr>
            <w:r>
              <w:rPr>
                <w:rFonts w:ascii="宋体" w:hAnsi="宋体" w:cs="宋体" w:eastAsia="宋体" w:hint="default"/>
                <w:sz w:val="18"/>
                <w:szCs w:val="18"/>
              </w:rPr>
              <w:t>线上运 的延期</w:t>
            </w:r>
          </w:p>
          <w:p>
            <w:pPr>
              <w:pStyle w:val="TableParagraph"/>
              <w:spacing w:line="156" w:lineRule="exact"/>
              <w:ind w:left="2"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399.95pt;height:7.8pt;mso-position-horizontal-relative:char;mso-position-vertical-relative:line" coordorigin="0,0" coordsize="7999,156">
                  <v:group style="position:absolute;left:0;top:0;width:7999;height:156" coordorigin="0,0" coordsize="7999,156">
                    <v:shape style="position:absolute;left:0;top:0;width:7999;height:156" coordorigin="0,0" coordsize="7999,156" path="m0,156l7998,156,7998,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97" w:lineRule="auto" w:before="51"/>
              <w:ind w:left="563" w:right="19"/>
              <w:jc w:val="left"/>
              <w:rPr>
                <w:rFonts w:ascii="宋体" w:hAnsi="宋体" w:cs="宋体" w:eastAsia="宋体" w:hint="default"/>
                <w:sz w:val="18"/>
                <w:szCs w:val="18"/>
              </w:rPr>
            </w:pPr>
            <w:r>
              <w:rPr>
                <w:rFonts w:ascii="宋体" w:hAnsi="宋体" w:cs="宋体" w:eastAsia="宋体" w:hint="default"/>
                <w:sz w:val="18"/>
                <w:szCs w:val="18"/>
              </w:rPr>
              <w:t>营平台及乐活系统建设项目，预计达到预定可使用状态日期延期至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日。该项目</w:t>
            </w:r>
            <w:r>
              <w:rPr>
                <w:rFonts w:ascii="宋体" w:hAnsi="宋体" w:cs="宋体" w:eastAsia="宋体" w:hint="default"/>
                <w:sz w:val="18"/>
                <w:szCs w:val="18"/>
              </w:rPr>
              <w:t> 议案经提交董事会审议通过后，公司将继续按建设计划实施。</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0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0" w:right="1136"/>
        <w:jc w:val="right"/>
      </w:pPr>
      <w:r>
        <w:rPr/>
        <w:pict>
          <v:shape style="position:absolute;margin-left:56.459999pt;margin-top:-239.698273pt;width:479.2pt;height:464.7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9"/>
                    <w:gridCol w:w="8010"/>
                  </w:tblGrid>
                  <w:tr>
                    <w:trPr>
                      <w:trHeight w:val="401"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559" w:type="dxa"/>
                        <w:vMerge/>
                        <w:tcBorders>
                          <w:left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4" w:lineRule="auto"/>
                          <w:ind w:left="22" w:right="84"/>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559" w:type="dxa"/>
                        <w:vMerge/>
                        <w:tcBorders>
                          <w:left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7"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公司于募集资金到位之前利用自有资金先期投入募集资金项目人民币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48,194,430.82 </w:t>
                        </w:r>
                        <w:r>
                          <w:rPr>
                            <w:rFonts w:ascii="宋体" w:hAnsi="宋体" w:cs="宋体" w:eastAsia="宋体" w:hint="default"/>
                            <w:sz w:val="18"/>
                            <w:szCs w:val="18"/>
                          </w:rPr>
                          <w:t>元，经公司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日召开的第二届董事会第二次定期会议、第二届监事会第三次会议审议通过，并经保荐人核</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查同意，公司以募集资金置换预先已投入募集资金投资项目的自筹资金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48,194,430.82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元，上述置换事 </w:t>
                        </w:r>
                        <w:r>
                          <w:rPr>
                            <w:rFonts w:ascii="宋体" w:hAnsi="宋体" w:cs="宋体" w:eastAsia="宋体" w:hint="default"/>
                            <w:spacing w:val="-3"/>
                            <w:sz w:val="18"/>
                            <w:szCs w:val="18"/>
                          </w:rPr>
                          <w:t>项及置换金额业经立信会计师事务所（特殊普通合伙）出具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信会师报字</w:t>
                        </w:r>
                        <w:r>
                          <w:rPr>
                            <w:rFonts w:ascii="Times New Roman" w:hAnsi="Times New Roman" w:cs="Times New Roman" w:eastAsia="Times New Roman" w:hint="default"/>
                            <w:spacing w:val="-3"/>
                            <w:sz w:val="18"/>
                            <w:szCs w:val="18"/>
                          </w:rPr>
                          <w:t>[2017]10675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鉴证报告确认</w:t>
                        </w:r>
                      </w:p>
                    </w:tc>
                  </w:tr>
                  <w:tr>
                    <w:trPr>
                      <w:trHeight w:val="403"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2" w:right="84"/>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01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经公司董事会批准，同意使用额度不超过</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万元的闲置募集资金进行现金管理，截至本报告期末</w:t>
                        </w:r>
                      </w:p>
                      <w:p>
                        <w:pPr>
                          <w:pStyle w:val="TableParagraph"/>
                          <w:spacing w:line="300" w:lineRule="auto" w:before="61"/>
                          <w:ind w:left="23" w:right="54"/>
                          <w:jc w:val="left"/>
                          <w:rPr>
                            <w:rFonts w:ascii="宋体" w:hAnsi="宋体" w:cs="宋体" w:eastAsia="宋体" w:hint="default"/>
                            <w:sz w:val="18"/>
                            <w:szCs w:val="18"/>
                          </w:rPr>
                        </w:pPr>
                        <w:r>
                          <w:rPr>
                            <w:rFonts w:ascii="宋体" w:hAnsi="宋体" w:cs="宋体" w:eastAsia="宋体" w:hint="default"/>
                            <w:sz w:val="18"/>
                            <w:szCs w:val="18"/>
                          </w:rPr>
                          <w:t>公司使用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万元闲置募集资金购买银行理财产品，其余尚未使用的募集资金存放于募集资金专 户中。公司将根据项目进度妥善安排募集资金的使用。</w:t>
                        </w:r>
                      </w:p>
                    </w:tc>
                  </w:tr>
                  <w:tr>
                    <w:trPr>
                      <w:trHeight w:val="1027"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44"/>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2"/>
        <w:rPr>
          <w:rFonts w:ascii="宋体" w:hAnsi="宋体" w:cs="宋体" w:eastAsia="宋体" w:hint="default"/>
          <w:sz w:val="8"/>
          <w:szCs w:val="8"/>
        </w:rPr>
      </w:pPr>
    </w:p>
    <w:tbl>
      <w:tblPr>
        <w:tblW w:w="0" w:type="auto"/>
        <w:jc w:val="left"/>
        <w:tblInd w:w="172" w:type="dxa"/>
        <w:tblLayout w:type="fixed"/>
        <w:tblCellMar>
          <w:top w:w="0" w:type="dxa"/>
          <w:left w:w="0" w:type="dxa"/>
          <w:bottom w:w="0" w:type="dxa"/>
          <w:right w:w="0" w:type="dxa"/>
        </w:tblCellMar>
        <w:tblLook w:val="01E0"/>
      </w:tblPr>
      <w:tblGrid>
        <w:gridCol w:w="828"/>
        <w:gridCol w:w="566"/>
        <w:gridCol w:w="1133"/>
        <w:gridCol w:w="1135"/>
        <w:gridCol w:w="1277"/>
        <w:gridCol w:w="1133"/>
        <w:gridCol w:w="1274"/>
        <w:gridCol w:w="1136"/>
        <w:gridCol w:w="1085"/>
      </w:tblGrid>
      <w:tr>
        <w:trPr>
          <w:trHeight w:val="754"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8"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6"/>
              <w:jc w:val="center"/>
              <w:rPr>
                <w:rFonts w:ascii="宋体" w:hAnsi="宋体" w:cs="宋体" w:eastAsia="宋体" w:hint="default"/>
                <w:sz w:val="18"/>
                <w:szCs w:val="18"/>
              </w:rPr>
            </w:pPr>
            <w:r>
              <w:rPr>
                <w:rFonts w:ascii="宋体" w:hAnsi="宋体" w:cs="宋体" w:eastAsia="宋体" w:hint="default"/>
                <w:sz w:val="18"/>
                <w:szCs w:val="18"/>
              </w:rPr>
              <w:t>建研检测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1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 w:right="41"/>
              <w:jc w:val="both"/>
              <w:rPr>
                <w:rFonts w:ascii="宋体" w:hAnsi="宋体" w:cs="宋体" w:eastAsia="宋体" w:hint="default"/>
                <w:sz w:val="18"/>
                <w:szCs w:val="18"/>
              </w:rPr>
            </w:pPr>
            <w:r>
              <w:rPr>
                <w:rFonts w:ascii="宋体" w:hAnsi="宋体" w:cs="宋体" w:eastAsia="宋体" w:hint="default"/>
                <w:sz w:val="18"/>
                <w:szCs w:val="18"/>
              </w:rPr>
              <w:t>建筑工程、建 筑材料及部品 检测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100,096,397.58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28,590,831.76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102,218,679.35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11,423,881.99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9,679,204.84</w:t>
            </w:r>
          </w:p>
        </w:tc>
      </w:tr>
      <w:tr>
        <w:trPr>
          <w:trHeight w:val="713"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市政中心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1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41"/>
              <w:jc w:val="left"/>
              <w:rPr>
                <w:rFonts w:ascii="宋体" w:hAnsi="宋体" w:cs="宋体" w:eastAsia="宋体" w:hint="default"/>
                <w:sz w:val="18"/>
                <w:szCs w:val="18"/>
              </w:rPr>
            </w:pPr>
            <w:r>
              <w:rPr>
                <w:rFonts w:ascii="宋体" w:hAnsi="宋体" w:cs="宋体" w:eastAsia="宋体" w:hint="default"/>
                <w:sz w:val="18"/>
                <w:szCs w:val="18"/>
              </w:rPr>
              <w:t>市政建设及规 划咨询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47,811,669.67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32,471,649.96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48,027,763.17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10,695,622.26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10,484,278.52</w:t>
            </w:r>
          </w:p>
        </w:tc>
      </w:tr>
      <w:tr>
        <w:trPr>
          <w:trHeight w:val="715"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深圳玖伊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1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41"/>
              <w:jc w:val="left"/>
              <w:rPr>
                <w:rFonts w:ascii="宋体" w:hAnsi="宋体" w:cs="宋体" w:eastAsia="宋体" w:hint="default"/>
                <w:sz w:val="18"/>
                <w:szCs w:val="18"/>
              </w:rPr>
            </w:pPr>
            <w:r>
              <w:rPr>
                <w:rFonts w:ascii="宋体" w:hAnsi="宋体" w:cs="宋体" w:eastAsia="宋体" w:hint="default"/>
                <w:sz w:val="18"/>
                <w:szCs w:val="18"/>
              </w:rPr>
              <w:t>绿色建筑与园 区运营管理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4,499,999.93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-3,278,233.99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19,253,710.69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-4,286,090.98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-4,246,547.32</w:t>
            </w:r>
          </w:p>
        </w:tc>
      </w:tr>
      <w:tr>
        <w:trPr>
          <w:trHeight w:val="401"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center"/>
              <w:rPr>
                <w:rFonts w:ascii="宋体" w:hAnsi="宋体" w:cs="宋体" w:eastAsia="宋体" w:hint="default"/>
                <w:sz w:val="18"/>
                <w:szCs w:val="18"/>
              </w:rPr>
            </w:pPr>
            <w:r>
              <w:rPr>
                <w:rFonts w:ascii="宋体" w:hAnsi="宋体" w:cs="宋体" w:eastAsia="宋体" w:hint="default"/>
                <w:sz w:val="18"/>
                <w:szCs w:val="18"/>
              </w:rPr>
              <w:t>绿研检验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4"/>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工程检测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9,340,096.84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5,114,914.56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pacing w:val="-1"/>
                <w:sz w:val="18"/>
              </w:rPr>
              <w:t>1,577,586.31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-3,934,778.05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-3,936,837.87</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湖北建胜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购买日至期末的实现归属于母公司股东 的净利润为 </w:t>
            </w:r>
            <w:r>
              <w:rPr>
                <w:rFonts w:ascii="Times New Roman" w:hAnsi="Times New Roman" w:cs="Times New Roman" w:eastAsia="Times New Roman" w:hint="default"/>
                <w:sz w:val="18"/>
                <w:szCs w:val="18"/>
              </w:rPr>
              <w:t>886,280.05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240" w:lineRule="auto" w:before="51"/>
        <w:ind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254"/>
        <w:jc w:val="left"/>
      </w:pPr>
      <w:r>
        <w:rPr>
          <w:rFonts w:ascii="Times New Roman" w:hAnsi="Times New Roman" w:cs="Times New Roman" w:eastAsia="Times New Roman" w:hint="default"/>
        </w:rPr>
        <w:t>(</w:t>
      </w:r>
      <w:r>
        <w:rPr/>
        <w:t>一）行业发展趋势</w:t>
      </w:r>
      <w:r>
        <w:rPr>
          <w:w w:val="99"/>
        </w:rPr>
        <w:t> </w:t>
      </w:r>
      <w:r>
        <w:rPr>
          <w:rFonts w:ascii="Times New Roman" w:hAnsi="Times New Roman" w:cs="Times New Roman" w:eastAsia="Times New Roman" w:hint="default"/>
        </w:rPr>
        <w:t>1</w:t>
      </w:r>
      <w:r>
        <w:rPr/>
        <w:t>、国家政策层面</w:t>
      </w:r>
    </w:p>
    <w:p>
      <w:pPr>
        <w:pStyle w:val="BodyText"/>
        <w:spacing w:line="316" w:lineRule="auto" w:before="13"/>
        <w:ind w:right="1034"/>
        <w:jc w:val="left"/>
      </w:pPr>
      <w:r>
        <w:rPr>
          <w:spacing w:val="-2"/>
        </w:rPr>
        <w:t>十八大以来，国家陆续出台了一系列国家政策，新型城镇化、城市绿色发展等成为发展的重点。如《中共中央国务院关于进</w:t>
      </w:r>
      <w:r>
        <w:rPr>
          <w:spacing w:val="-66"/>
        </w:rPr>
        <w:t> </w:t>
      </w:r>
      <w:r>
        <w:rPr>
          <w:spacing w:val="-66"/>
        </w:rPr>
      </w:r>
      <w:r>
        <w:rPr>
          <w:spacing w:val="-2"/>
        </w:rPr>
        <w:t>一步加强城市规划建设管理工作的若干意见》指出牢固树立和贯彻落实创新、协调、绿色、开放、共享的发展理念，走中国</w:t>
      </w:r>
      <w:r>
        <w:rPr>
          <w:spacing w:val="-68"/>
        </w:rPr>
        <w:t> </w:t>
      </w:r>
      <w:r>
        <w:rPr>
          <w:spacing w:val="-68"/>
        </w:rPr>
      </w:r>
      <w:r>
        <w:rPr>
          <w:spacing w:val="-2"/>
        </w:rPr>
        <w:t>特色城市发展道路要求，为建设领域企业未来业务空间提出了指引，特别是城市生态规划、绿色与工业化建筑、建筑性能和</w:t>
      </w:r>
      <w:r>
        <w:rPr>
          <w:spacing w:val="-64"/>
        </w:rPr>
        <w:t> </w:t>
      </w:r>
      <w:r>
        <w:rPr>
          <w:spacing w:val="-64"/>
        </w:rPr>
      </w:r>
      <w:r>
        <w:rPr>
          <w:spacing w:val="-4"/>
        </w:rPr>
        <w:t>安全管理、水安全和生态市政、绿色交通和智能城市和城市生态安全等方面将迎来重大历史机遇。同时，行业监管政策表明，</w:t>
      </w:r>
      <w:r>
        <w:rPr>
          <w:spacing w:val="-46"/>
        </w:rPr>
        <w:t> </w:t>
      </w:r>
      <w:r>
        <w:rPr>
          <w:spacing w:val="-46"/>
        </w:rPr>
      </w:r>
      <w:r>
        <w:rPr/>
        <w:t>未来建设领域招投标管理和政府采购制度向更市场化方向转变；行业资质准入制度进一步放开，国内市场竞争将更趋激烈； 工程建设一体化服务、工程总承包服务成为新趋势。</w:t>
      </w:r>
    </w:p>
    <w:p>
      <w:pPr>
        <w:pStyle w:val="BodyText"/>
        <w:spacing w:line="300" w:lineRule="auto" w:before="18"/>
        <w:ind w:right="0"/>
        <w:jc w:val="left"/>
      </w:pPr>
      <w:r>
        <w:rPr>
          <w:rFonts w:ascii="Times New Roman" w:hAnsi="Times New Roman" w:cs="Times New Roman" w:eastAsia="Times New Roman" w:hint="default"/>
        </w:rPr>
        <w:t>2</w:t>
      </w:r>
      <w:r>
        <w:rPr/>
        <w:t>、国家战略层面 </w:t>
      </w:r>
      <w:r>
        <w:rPr>
          <w:spacing w:val="-2"/>
        </w:rPr>
        <w:t>中共中央、国务院关于《粤港澳大湾区发展规划纲要》《关于支持深圳建设中国特色社会主义先行示范区的意见》等重大的</w:t>
      </w:r>
    </w:p>
    <w:p>
      <w:pPr>
        <w:spacing w:after="0" w:line="30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国家战略计划相继出台，为公司未来在大湾区业务开展、科技创新平台建设、国际化合作和高端人才引进等各方面都创造了</w:t>
      </w:r>
      <w:r>
        <w:rPr>
          <w:spacing w:val="-63"/>
        </w:rPr>
        <w:t> </w:t>
      </w:r>
      <w:r>
        <w:rPr>
          <w:spacing w:val="-63"/>
        </w:rPr>
      </w:r>
      <w:r>
        <w:rPr>
          <w:spacing w:val="-2"/>
        </w:rPr>
        <w:t>良好环境，是公司重大的战略机遇。同时，国家的雄安新区战略实施进入了第三年，各项建设规划进入实施阶段，使公司雄</w:t>
      </w:r>
      <w:r>
        <w:rPr>
          <w:spacing w:val="-67"/>
        </w:rPr>
        <w:t> </w:t>
      </w:r>
      <w:r>
        <w:rPr>
          <w:spacing w:val="-67"/>
        </w:rPr>
      </w:r>
      <w:r>
        <w:rPr/>
        <w:t>安区域总部的区域业务规模化拓展条件日渐成熟。</w:t>
      </w:r>
    </w:p>
    <w:p>
      <w:pPr>
        <w:pStyle w:val="BodyText"/>
        <w:spacing w:line="314" w:lineRule="auto" w:before="17"/>
        <w:ind w:right="0"/>
        <w:jc w:val="left"/>
      </w:pPr>
      <w:r>
        <w:rPr>
          <w:rFonts w:ascii="Times New Roman" w:hAnsi="Times New Roman" w:cs="Times New Roman" w:eastAsia="Times New Roman" w:hint="default"/>
        </w:rPr>
        <w:t>3</w:t>
      </w:r>
      <w:r>
        <w:rPr/>
        <w:t>、行业发展层面 </w:t>
      </w:r>
      <w:r>
        <w:rPr>
          <w:spacing w:val="-2"/>
        </w:rPr>
        <w:t>宏观经济和行业发展的市场化改革进入深水区，以增强内生动力为方向的质量效益型发展方式成为必然选择。随着市场化进</w:t>
      </w:r>
      <w:r>
        <w:rPr>
          <w:spacing w:val="-64"/>
        </w:rPr>
        <w:t> </w:t>
      </w:r>
      <w:r>
        <w:rPr>
          <w:spacing w:val="-64"/>
        </w:rPr>
      </w:r>
      <w:r>
        <w:rPr>
          <w:spacing w:val="-2"/>
        </w:rPr>
        <w:t>程的加快，政府部门从监管部门向服务部门转变，行业格局将产生较大的变化。建立公平开放透明的市场规则，由市场决定</w:t>
      </w:r>
      <w:r>
        <w:rPr>
          <w:spacing w:val="-65"/>
        </w:rPr>
        <w:t> </w:t>
      </w:r>
      <w:r>
        <w:rPr>
          <w:spacing w:val="-65"/>
        </w:rPr>
      </w:r>
      <w:r>
        <w:rPr/>
        <w:t>价格将加剧竞争，这要求企业转变增长方式，提升创新能力，实现资源配置的效益最大化和效率最优化。 </w:t>
      </w:r>
      <w:r>
        <w:rPr>
          <w:spacing w:val="-2"/>
        </w:rPr>
        <w:t>国家加强地方政府性债务管理，地方政府举债能力减弱，平台融资能力受限，固定资产投资不足，增速持续减缓，使得在公</w:t>
      </w:r>
      <w:r>
        <w:rPr>
          <w:spacing w:val="-67"/>
        </w:rPr>
        <w:t> </w:t>
      </w:r>
      <w:r>
        <w:rPr>
          <w:spacing w:val="-67"/>
        </w:rPr>
      </w:r>
      <w:r>
        <w:rPr>
          <w:spacing w:val="-2"/>
        </w:rPr>
        <w:t>共服务、资源环境、生态建设、基础设施等领域进一步创新投融资机制、充分发挥社会资本的作用愈发重要，这为建科院切</w:t>
      </w:r>
      <w:r>
        <w:rPr>
          <w:spacing w:val="-67"/>
        </w:rPr>
        <w:t> </w:t>
      </w:r>
      <w:r>
        <w:rPr>
          <w:spacing w:val="-67"/>
        </w:rPr>
      </w:r>
      <w:r>
        <w:rPr/>
        <w:t>入市场提供了契机。</w:t>
      </w:r>
    </w:p>
    <w:p>
      <w:pPr>
        <w:pStyle w:val="BodyText"/>
        <w:spacing w:line="307" w:lineRule="auto" w:before="20"/>
        <w:ind w:right="0"/>
        <w:jc w:val="left"/>
      </w:pPr>
      <w:r>
        <w:rPr>
          <w:rFonts w:ascii="Times New Roman" w:hAnsi="Times New Roman" w:cs="Times New Roman" w:eastAsia="Times New Roman" w:hint="default"/>
        </w:rPr>
        <w:t>4</w:t>
      </w:r>
      <w:r>
        <w:rPr/>
        <w:t>、国资改革层面 </w:t>
      </w:r>
      <w:r>
        <w:rPr>
          <w:spacing w:val="-2"/>
        </w:rPr>
        <w:t>深圳是全国开展区域性国资国企综合改革试验的两个城市之一。目前，深圳国资国企综合改革试验进入全面实施阶段，同时</w:t>
      </w:r>
      <w:r>
        <w:rPr>
          <w:spacing w:val="-65"/>
        </w:rPr>
        <w:t> </w:t>
      </w:r>
      <w:r>
        <w:rPr>
          <w:spacing w:val="-65"/>
        </w:rPr>
      </w:r>
      <w:r>
        <w:rPr>
          <w:spacing w:val="-2"/>
        </w:rPr>
        <w:t>公司初步入选国务院国资委</w:t>
      </w:r>
      <w:r>
        <w:rPr>
          <w:rFonts w:ascii="Times New Roman" w:hAnsi="Times New Roman" w:cs="Times New Roman" w:eastAsia="Times New Roman" w:hint="default"/>
          <w:spacing w:val="-2"/>
        </w:rPr>
        <w:t>“</w:t>
      </w:r>
      <w:r>
        <w:rPr>
          <w:spacing w:val="-2"/>
        </w:rPr>
        <w:t>科改示范行动</w:t>
      </w:r>
      <w:r>
        <w:rPr>
          <w:rFonts w:ascii="Times New Roman" w:hAnsi="Times New Roman" w:cs="Times New Roman" w:eastAsia="Times New Roman" w:hint="default"/>
          <w:spacing w:val="-2"/>
        </w:rPr>
        <w:t>”</w:t>
      </w:r>
      <w:r>
        <w:rPr>
          <w:spacing w:val="-2"/>
        </w:rPr>
        <w:t>企业。国资改革的有力推进，将会促进公司治理机制更加完善，科技型企业激励</w:t>
      </w:r>
      <w:r>
        <w:rPr>
          <w:spacing w:val="-46"/>
        </w:rPr>
        <w:t> </w:t>
      </w:r>
      <w:r>
        <w:rPr>
          <w:spacing w:val="-46"/>
        </w:rPr>
      </w:r>
      <w:r>
        <w:rPr/>
        <w:t>机制更加有效，资本运作工作更加高效。</w:t>
      </w:r>
    </w:p>
    <w:p>
      <w:pPr>
        <w:pStyle w:val="BodyText"/>
        <w:spacing w:line="312" w:lineRule="auto" w:before="26"/>
        <w:ind w:right="0"/>
        <w:jc w:val="left"/>
      </w:pPr>
      <w:r>
        <w:rPr>
          <w:rFonts w:ascii="Times New Roman" w:hAnsi="Times New Roman" w:cs="Times New Roman" w:eastAsia="Times New Roman" w:hint="default"/>
        </w:rPr>
        <w:t>5</w:t>
      </w:r>
      <w:r>
        <w:rPr/>
        <w:t>、技术发展层面 </w:t>
      </w:r>
      <w:r>
        <w:rPr>
          <w:spacing w:val="-2"/>
        </w:rPr>
        <w:t>国家全面深化改革对工程建设行业提出了转型发展的新要求，住宅产业现代化、新型建筑工业化和建筑产业化成为发展的趋</w:t>
      </w:r>
      <w:r>
        <w:rPr>
          <w:spacing w:val="-64"/>
        </w:rPr>
        <w:t> </w:t>
      </w:r>
      <w:r>
        <w:rPr>
          <w:spacing w:val="-64"/>
        </w:rPr>
      </w:r>
      <w:r>
        <w:rPr>
          <w:spacing w:val="-2"/>
        </w:rPr>
        <w:t>势，信息化与建筑工业化的深度融合，基础性技术、标准的研究和制定，建筑工业化、产业化标准体系与实施机制的研究正</w:t>
      </w:r>
      <w:r>
        <w:rPr>
          <w:spacing w:val="-67"/>
        </w:rPr>
        <w:t> </w:t>
      </w:r>
      <w:r>
        <w:rPr>
          <w:spacing w:val="-67"/>
        </w:rPr>
      </w:r>
      <w:r>
        <w:rPr/>
        <w:t>在不断深化，这要求建科院紧跟行业技术前沿，不断提升技术创新能力。</w:t>
      </w:r>
    </w:p>
    <w:p>
      <w:pPr>
        <w:spacing w:line="240" w:lineRule="auto" w:before="7"/>
        <w:rPr>
          <w:rFonts w:ascii="宋体" w:hAnsi="宋体" w:cs="宋体" w:eastAsia="宋体" w:hint="default"/>
          <w:sz w:val="25"/>
          <w:szCs w:val="25"/>
        </w:rPr>
      </w:pPr>
    </w:p>
    <w:p>
      <w:pPr>
        <w:pStyle w:val="BodyText"/>
        <w:spacing w:line="304" w:lineRule="auto"/>
        <w:ind w:right="0"/>
        <w:jc w:val="left"/>
      </w:pPr>
      <w:r>
        <w:rPr>
          <w:rFonts w:ascii="Times New Roman" w:hAnsi="Times New Roman" w:cs="Times New Roman" w:eastAsia="Times New Roman" w:hint="default"/>
        </w:rPr>
        <w:t>(</w:t>
      </w:r>
      <w:r>
        <w:rPr/>
        <w:t>二）公司发展战略及经营计划</w:t>
      </w:r>
      <w:r>
        <w:rPr>
          <w:w w:val="99"/>
        </w:rPr>
        <w:t> </w:t>
      </w:r>
      <w:r>
        <w:rPr>
          <w:spacing w:val="-2"/>
        </w:rPr>
        <w:t>公司突出绿色城市生命价值观，坚定公司核心价值定位与内涵，从绿色建筑和绿色城市的技术层面转向生命价值观层面，以</w:t>
      </w:r>
      <w:r>
        <w:rPr>
          <w:spacing w:val="-64"/>
        </w:rPr>
        <w:t> </w:t>
      </w:r>
      <w:r>
        <w:rPr>
          <w:spacing w:val="-64"/>
        </w:rPr>
      </w:r>
      <w:r>
        <w:rPr>
          <w:rFonts w:ascii="Times New Roman" w:hAnsi="Times New Roman" w:cs="Times New Roman" w:eastAsia="Times New Roman" w:hint="default"/>
          <w:spacing w:val="-1"/>
        </w:rPr>
        <w:t>“</w:t>
      </w:r>
      <w:r>
        <w:rPr>
          <w:spacing w:val="-1"/>
        </w:rPr>
        <w:t>平视城市，共享生命精彩</w:t>
      </w:r>
      <w:r>
        <w:rPr>
          <w:rFonts w:ascii="Times New Roman" w:hAnsi="Times New Roman" w:cs="Times New Roman" w:eastAsia="Times New Roman" w:hint="default"/>
          <w:spacing w:val="-1"/>
        </w:rPr>
        <w:t>”</w:t>
      </w:r>
      <w:r>
        <w:rPr>
          <w:spacing w:val="-1"/>
        </w:rPr>
        <w:t>为愿景，围绕</w:t>
      </w:r>
      <w:r>
        <w:rPr>
          <w:rFonts w:ascii="Times New Roman" w:hAnsi="Times New Roman" w:cs="Times New Roman" w:eastAsia="Times New Roman" w:hint="default"/>
          <w:spacing w:val="-1"/>
        </w:rPr>
        <w:t>“</w:t>
      </w:r>
      <w:r>
        <w:rPr>
          <w:spacing w:val="-1"/>
        </w:rPr>
        <w:t>中国绿色城市价值创造者</w:t>
      </w:r>
      <w:r>
        <w:rPr>
          <w:rFonts w:ascii="Times New Roman" w:hAnsi="Times New Roman" w:cs="Times New Roman" w:eastAsia="Times New Roman" w:hint="default"/>
          <w:spacing w:val="-1"/>
        </w:rPr>
        <w:t>”</w:t>
      </w:r>
      <w:r>
        <w:rPr>
          <w:spacing w:val="-1"/>
        </w:rPr>
        <w:t>的使命，持续推进城市绿色发展和绿色建筑领域全过程</w:t>
      </w:r>
      <w:r>
        <w:rPr>
          <w:spacing w:val="-78"/>
        </w:rPr>
        <w:t> </w:t>
      </w:r>
      <w:r>
        <w:rPr>
          <w:spacing w:val="-78"/>
        </w:rPr>
      </w:r>
      <w:r>
        <w:rPr>
          <w:spacing w:val="-2"/>
        </w:rPr>
        <w:t>技术服务能力的创新，使公司的科技创新能力、市场服务能力和资源整合能力迈上一个新的台阶，为开启公司</w:t>
      </w:r>
      <w:r>
        <w:rPr>
          <w:rFonts w:ascii="Times New Roman" w:hAnsi="Times New Roman" w:cs="Times New Roman" w:eastAsia="Times New Roman" w:hint="default"/>
          <w:spacing w:val="-2"/>
        </w:rPr>
        <w:t>“</w:t>
      </w:r>
      <w:r>
        <w:rPr>
          <w:spacing w:val="-2"/>
        </w:rPr>
        <w:t>十四五</w:t>
      </w:r>
      <w:r>
        <w:rPr>
          <w:rFonts w:ascii="Times New Roman" w:hAnsi="Times New Roman" w:cs="Times New Roman" w:eastAsia="Times New Roman" w:hint="default"/>
          <w:spacing w:val="-2"/>
        </w:rPr>
        <w:t>”</w:t>
      </w:r>
      <w:r>
        <w:rPr>
          <w:spacing w:val="-2"/>
        </w:rPr>
        <w:t>战略</w:t>
      </w:r>
      <w:r>
        <w:rPr>
          <w:spacing w:val="-44"/>
        </w:rPr>
        <w:t> </w:t>
      </w:r>
      <w:r>
        <w:rPr/>
        <w:t>发展提供重要支撑。具体如下：</w:t>
      </w:r>
    </w:p>
    <w:p>
      <w:pPr>
        <w:spacing w:line="240" w:lineRule="auto" w:before="0"/>
        <w:rPr>
          <w:rFonts w:ascii="宋体" w:hAnsi="宋体" w:cs="宋体" w:eastAsia="宋体" w:hint="default"/>
          <w:sz w:val="26"/>
          <w:szCs w:val="26"/>
        </w:rPr>
      </w:pPr>
    </w:p>
    <w:p>
      <w:pPr>
        <w:pStyle w:val="BodyText"/>
        <w:spacing w:line="309" w:lineRule="auto"/>
        <w:ind w:right="1119"/>
        <w:jc w:val="left"/>
      </w:pPr>
      <w:r>
        <w:rPr>
          <w:rFonts w:ascii="Times New Roman" w:hAnsi="Times New Roman" w:cs="Times New Roman" w:eastAsia="Times New Roman" w:hint="default"/>
        </w:rPr>
        <w:t>1</w:t>
      </w:r>
      <w:r>
        <w:rPr/>
        <w:t>、加大全过程业务市场推广力度，增强资本运作，扩大公司规模及转变增长方式。 </w:t>
      </w:r>
      <w:r>
        <w:rPr>
          <w:spacing w:val="-2"/>
        </w:rPr>
        <w:t>公司将加大力度继续推动现有的规划、设计、检测、咨询、项目管理等单一业务有机整合，形成绿色发展全过程咨询服务主</w:t>
      </w:r>
      <w:r>
        <w:rPr>
          <w:spacing w:val="-64"/>
        </w:rPr>
        <w:t> </w:t>
      </w:r>
      <w:r>
        <w:rPr>
          <w:spacing w:val="-64"/>
        </w:rPr>
      </w:r>
      <w:r>
        <w:rPr>
          <w:spacing w:val="-2"/>
        </w:rPr>
        <w:t>营业务线，并以此为依托，实施以提供城市绿色发展整体服务为目的</w:t>
      </w:r>
      <w:r>
        <w:rPr>
          <w:rFonts w:ascii="Times New Roman" w:hAnsi="Times New Roman" w:cs="Times New Roman" w:eastAsia="Times New Roman" w:hint="default"/>
          <w:spacing w:val="-2"/>
        </w:rPr>
        <w:t>“</w:t>
      </w:r>
      <w:r>
        <w:rPr>
          <w:spacing w:val="-2"/>
        </w:rPr>
        <w:t>城市客户</w:t>
      </w:r>
      <w:r>
        <w:rPr>
          <w:rFonts w:ascii="Times New Roman" w:hAnsi="Times New Roman" w:cs="Times New Roman" w:eastAsia="Times New Roman" w:hint="default"/>
          <w:spacing w:val="-2"/>
        </w:rPr>
        <w:t>”</w:t>
      </w:r>
      <w:r>
        <w:rPr>
          <w:spacing w:val="-2"/>
        </w:rPr>
        <w:t>市场战略，提升市场规模扩张效率。以社会</w:t>
      </w:r>
      <w:r>
        <w:rPr>
          <w:spacing w:val="-45"/>
        </w:rPr>
        <w:t> </w:t>
      </w:r>
      <w:r>
        <w:rPr>
          <w:spacing w:val="-45"/>
        </w:rPr>
      </w:r>
      <w:r>
        <w:rPr>
          <w:spacing w:val="-2"/>
        </w:rPr>
        <w:t>主义先行示范区、粤港澳大湾区内具有良好的客户和业务基础的区域城市为重点，制定专项市场计划，提供城市绿色发展全</w:t>
      </w:r>
      <w:r>
        <w:rPr>
          <w:spacing w:val="-63"/>
        </w:rPr>
        <w:t> </w:t>
      </w:r>
      <w:r>
        <w:rPr>
          <w:spacing w:val="-63"/>
        </w:rPr>
      </w:r>
      <w:r>
        <w:rPr>
          <w:spacing w:val="-2"/>
        </w:rPr>
        <w:t>过程服务陪伴式服务，全方面拓展业务；同时把握雄安新区进入大规模建设的机遇，依托已建立的业务分子公司平台，加快</w:t>
      </w:r>
      <w:r>
        <w:rPr>
          <w:spacing w:val="-65"/>
        </w:rPr>
        <w:t> </w:t>
      </w:r>
      <w:r>
        <w:rPr>
          <w:spacing w:val="-65"/>
        </w:rPr>
      </w:r>
      <w:r>
        <w:rPr>
          <w:spacing w:val="-3"/>
        </w:rPr>
        <w:t>开展规划研究、规划设计、公信检测及全过程服务等拓展，并辐射张家口、秦皇岛、成都等城市。此外，公司将积极落实</w:t>
      </w:r>
      <w:r>
        <w:rPr>
          <w:rFonts w:ascii="Times New Roman" w:hAnsi="Times New Roman" w:cs="Times New Roman" w:eastAsia="Times New Roman" w:hint="default"/>
          <w:spacing w:val="-3"/>
        </w:rPr>
        <w:t>“</w:t>
      </w:r>
      <w:r>
        <w:rPr>
          <w:spacing w:val="-3"/>
        </w:rPr>
        <w:t>上</w:t>
      </w:r>
      <w:r>
        <w:rPr>
          <w:spacing w:val="-86"/>
        </w:rPr>
        <w:t> </w:t>
      </w:r>
      <w:r>
        <w:rPr/>
        <w:t>市公司</w:t>
      </w:r>
      <w:r>
        <w:rPr>
          <w:rFonts w:ascii="Times New Roman" w:hAnsi="Times New Roman" w:cs="Times New Roman" w:eastAsia="Times New Roman" w:hint="default"/>
        </w:rPr>
        <w:t>+”</w:t>
      </w:r>
      <w:r>
        <w:rPr/>
        <w:t>战略，依托全过程咨询服务主营业务线，开展以主业并购为核心的资本运作。 </w:t>
      </w:r>
      <w:r>
        <w:rPr>
          <w:rFonts w:ascii="Times New Roman" w:hAnsi="Times New Roman" w:cs="Times New Roman" w:eastAsia="Times New Roman" w:hint="default"/>
        </w:rPr>
        <w:t>2</w:t>
      </w:r>
      <w:r>
        <w:rPr/>
        <w:t>、打造国家级绿色科技创新中心，提升公司核心竞争力。 </w:t>
      </w:r>
      <w:r>
        <w:rPr>
          <w:spacing w:val="-2"/>
        </w:rPr>
        <w:t>进一步完善</w:t>
      </w:r>
      <w:r>
        <w:rPr>
          <w:rFonts w:ascii="Times New Roman" w:hAnsi="Times New Roman" w:cs="Times New Roman" w:eastAsia="Times New Roman" w:hint="default"/>
          <w:spacing w:val="-2"/>
        </w:rPr>
        <w:t>“</w:t>
      </w:r>
      <w:r>
        <w:rPr>
          <w:spacing w:val="-2"/>
        </w:rPr>
        <w:t>市场与技术专业委员会</w:t>
      </w:r>
      <w:r>
        <w:rPr>
          <w:rFonts w:ascii="Times New Roman" w:hAnsi="Times New Roman" w:cs="Times New Roman" w:eastAsia="Times New Roman" w:hint="default"/>
          <w:spacing w:val="-2"/>
        </w:rPr>
        <w:t>”</w:t>
      </w:r>
      <w:r>
        <w:rPr>
          <w:spacing w:val="-2"/>
        </w:rPr>
        <w:t>架构，与公司价值中心（市场拓展）、城市绿色发展研究院（创新研发）、总师室（技</w:t>
      </w:r>
      <w:r>
        <w:rPr>
          <w:spacing w:val="-49"/>
        </w:rPr>
        <w:t> </w:t>
      </w:r>
      <w:r>
        <w:rPr>
          <w:spacing w:val="-49"/>
        </w:rPr>
      </w:r>
      <w:r>
        <w:rPr/>
        <w:t>术保障）构成系统的市场和技术战略管理机制，对公司重大市场策略和计划、研发战略和计划提供决策咨询和实施监督。 </w:t>
      </w:r>
      <w:r>
        <w:rPr>
          <w:spacing w:val="-1"/>
        </w:rPr>
        <w:t>依托绿色技术中试场景平台</w:t>
      </w:r>
      <w:r>
        <w:rPr>
          <w:rFonts w:ascii="Times New Roman" w:hAnsi="Times New Roman" w:cs="Times New Roman" w:eastAsia="Times New Roman" w:hint="default"/>
          <w:spacing w:val="-1"/>
        </w:rPr>
        <w:t>“</w:t>
      </w:r>
      <w:r>
        <w:rPr>
          <w:spacing w:val="-1"/>
        </w:rPr>
        <w:t>建科大楼</w:t>
      </w:r>
      <w:r>
        <w:rPr>
          <w:rFonts w:ascii="Times New Roman" w:hAnsi="Times New Roman" w:cs="Times New Roman" w:eastAsia="Times New Roman" w:hint="default"/>
          <w:spacing w:val="-1"/>
        </w:rPr>
        <w:t>”“</w:t>
      </w:r>
      <w:r>
        <w:rPr>
          <w:spacing w:val="-1"/>
        </w:rPr>
        <w:t>未来大厦</w:t>
      </w:r>
      <w:r>
        <w:rPr>
          <w:rFonts w:ascii="Times New Roman" w:hAnsi="Times New Roman" w:cs="Times New Roman" w:eastAsia="Times New Roman" w:hint="default"/>
          <w:spacing w:val="-1"/>
        </w:rPr>
        <w:t>”</w:t>
      </w:r>
      <w:r>
        <w:rPr>
          <w:spacing w:val="-1"/>
        </w:rPr>
        <w:t>，建立和完善集</w:t>
      </w:r>
      <w:r>
        <w:rPr>
          <w:rFonts w:ascii="Times New Roman" w:hAnsi="Times New Roman" w:cs="Times New Roman" w:eastAsia="Times New Roman" w:hint="default"/>
          <w:spacing w:val="-1"/>
        </w:rPr>
        <w:t>“</w:t>
      </w:r>
      <w:r>
        <w:rPr>
          <w:spacing w:val="-1"/>
        </w:rPr>
        <w:t>技术集成研究、中试研发、场景推广和孵化投资</w:t>
      </w:r>
      <w:r>
        <w:rPr>
          <w:rFonts w:ascii="Times New Roman" w:hAnsi="Times New Roman" w:cs="Times New Roman" w:eastAsia="Times New Roman" w:hint="default"/>
          <w:spacing w:val="-1"/>
        </w:rPr>
        <w:t>”</w:t>
      </w:r>
      <w:r>
        <w:rPr>
          <w:spacing w:val="-1"/>
        </w:rPr>
        <w:t>为一体</w:t>
      </w:r>
      <w:r>
        <w:rPr>
          <w:spacing w:val="-61"/>
        </w:rPr>
        <w:t> </w:t>
      </w:r>
      <w:r>
        <w:rPr>
          <w:spacing w:val="-2"/>
        </w:rPr>
        <w:t>的科技创新孵化业务模式。利用公司已有的科研平台、行业技术资源和影响力，实施国家级企业技术中心的建设计划。加强</w:t>
      </w:r>
      <w:r>
        <w:rPr>
          <w:spacing w:val="-64"/>
        </w:rPr>
        <w:t> </w:t>
      </w:r>
      <w:r>
        <w:rPr>
          <w:spacing w:val="-64"/>
        </w:rPr>
      </w:r>
      <w:r>
        <w:rPr>
          <w:spacing w:val="-2"/>
        </w:rPr>
        <w:t>对领军人才、学科带头人的引入和培育，实施科技创新人才团队建设计划及培养体系搭建，持续推进面向城市绿色发展领域</w:t>
      </w:r>
      <w:r>
        <w:rPr>
          <w:spacing w:val="-63"/>
        </w:rPr>
        <w:t> </w:t>
      </w:r>
      <w:r>
        <w:rPr>
          <w:spacing w:val="-63"/>
        </w:rPr>
      </w:r>
      <w:r>
        <w:rPr/>
        <w:t>的一流科技人才队伍的建设。</w:t>
      </w:r>
    </w:p>
    <w:p>
      <w:pPr>
        <w:pStyle w:val="BodyText"/>
        <w:spacing w:line="309" w:lineRule="auto" w:before="24"/>
        <w:ind w:right="0"/>
        <w:jc w:val="left"/>
      </w:pPr>
      <w:r>
        <w:rPr>
          <w:rFonts w:ascii="Times New Roman" w:hAnsi="Times New Roman" w:cs="Times New Roman" w:eastAsia="Times New Roman" w:hint="default"/>
        </w:rPr>
        <w:t>3</w:t>
      </w:r>
      <w:r>
        <w:rPr/>
        <w:t>、创新多层次的薪酬激励机制，激发公司内在活力。 启动以</w:t>
      </w:r>
      <w:r>
        <w:rPr>
          <w:rFonts w:ascii="Times New Roman" w:hAnsi="Times New Roman" w:cs="Times New Roman" w:eastAsia="Times New Roman" w:hint="default"/>
        </w:rPr>
        <w:t>“IBR</w:t>
      </w:r>
      <w:r>
        <w:rPr/>
        <w:t>蜜蜂激励模型</w:t>
      </w:r>
      <w:r>
        <w:rPr>
          <w:rFonts w:ascii="Times New Roman" w:hAnsi="Times New Roman" w:cs="Times New Roman" w:eastAsia="Times New Roman" w:hint="default"/>
        </w:rPr>
        <w:t>”</w:t>
      </w:r>
      <w:r>
        <w:rPr/>
        <w:t>为核心的薪酬和绩效考核制度改革，突出</w:t>
      </w:r>
      <w:r>
        <w:rPr>
          <w:rFonts w:ascii="Times New Roman" w:hAnsi="Times New Roman" w:cs="Times New Roman" w:eastAsia="Times New Roman" w:hint="default"/>
        </w:rPr>
        <w:t>“</w:t>
      </w:r>
      <w:r>
        <w:rPr/>
        <w:t>短中长</w:t>
      </w:r>
      <w:r>
        <w:rPr>
          <w:rFonts w:ascii="Times New Roman" w:hAnsi="Times New Roman" w:cs="Times New Roman" w:eastAsia="Times New Roman" w:hint="default"/>
        </w:rPr>
        <w:t>”</w:t>
      </w:r>
      <w:r>
        <w:rPr/>
        <w:t>期有机结合、激励与约束并重的特点，提高薪 </w:t>
      </w:r>
      <w:r>
        <w:rPr>
          <w:spacing w:val="-4"/>
        </w:rPr>
        <w:t>酬投入产出效率，突出以知识型技术人才为主体的创新科技型企业特色；针对领军人才、学科带头人等高水平骨干科技人才，</w:t>
      </w:r>
      <w:r>
        <w:rPr>
          <w:spacing w:val="-44"/>
        </w:rPr>
        <w:t> </w:t>
      </w:r>
      <w:r>
        <w:rPr>
          <w:spacing w:val="-44"/>
        </w:rPr>
      </w:r>
      <w:r>
        <w:rPr/>
        <w:t>推进薪酬单列管理，激发人才积极性，保障公司在科技创新领域的长效发展。 </w:t>
      </w:r>
      <w:r>
        <w:rPr>
          <w:spacing w:val="-2"/>
        </w:rPr>
        <w:t>在</w:t>
      </w:r>
      <w:r>
        <w:rPr>
          <w:rFonts w:ascii="Times New Roman" w:hAnsi="Times New Roman" w:cs="Times New Roman" w:eastAsia="Times New Roman" w:hint="default"/>
          <w:spacing w:val="-2"/>
        </w:rPr>
        <w:t>2012</w:t>
      </w:r>
      <w:r>
        <w:rPr>
          <w:spacing w:val="-2"/>
        </w:rPr>
        <w:t>年开发的</w:t>
      </w:r>
      <w:r>
        <w:rPr>
          <w:rFonts w:ascii="Times New Roman" w:hAnsi="Times New Roman" w:cs="Times New Roman" w:eastAsia="Times New Roman" w:hint="default"/>
          <w:spacing w:val="-2"/>
        </w:rPr>
        <w:t>“</w:t>
      </w:r>
      <w:r>
        <w:rPr>
          <w:spacing w:val="-2"/>
        </w:rPr>
        <w:t>乐活平台</w:t>
      </w:r>
      <w:r>
        <w:rPr>
          <w:rFonts w:ascii="Times New Roman" w:hAnsi="Times New Roman" w:cs="Times New Roman" w:eastAsia="Times New Roman" w:hint="default"/>
          <w:spacing w:val="-2"/>
        </w:rPr>
        <w:t>”</w:t>
      </w:r>
      <w:r>
        <w:rPr>
          <w:spacing w:val="-2"/>
        </w:rPr>
        <w:t>基础上，提升为集成</w:t>
      </w:r>
      <w:r>
        <w:rPr>
          <w:rFonts w:ascii="Times New Roman" w:hAnsi="Times New Roman" w:cs="Times New Roman" w:eastAsia="Times New Roman" w:hint="default"/>
          <w:spacing w:val="-2"/>
        </w:rPr>
        <w:t>“</w:t>
      </w:r>
      <w:r>
        <w:rPr>
          <w:spacing w:val="-2"/>
        </w:rPr>
        <w:t>流程管理</w:t>
      </w:r>
      <w:r>
        <w:rPr>
          <w:rFonts w:ascii="Times New Roman" w:hAnsi="Times New Roman" w:cs="Times New Roman" w:eastAsia="Times New Roman" w:hint="default"/>
          <w:spacing w:val="-2"/>
        </w:rPr>
        <w:t>+</w:t>
      </w:r>
      <w:r>
        <w:rPr>
          <w:spacing w:val="-2"/>
        </w:rPr>
        <w:t>企业社交</w:t>
      </w:r>
      <w:r>
        <w:rPr>
          <w:rFonts w:ascii="Times New Roman" w:hAnsi="Times New Roman" w:cs="Times New Roman" w:eastAsia="Times New Roman" w:hint="default"/>
          <w:spacing w:val="-2"/>
        </w:rPr>
        <w:t>+</w:t>
      </w:r>
      <w:r>
        <w:rPr>
          <w:spacing w:val="-2"/>
        </w:rPr>
        <w:t>人人交付</w:t>
      </w:r>
      <w:r>
        <w:rPr>
          <w:rFonts w:ascii="Times New Roman" w:hAnsi="Times New Roman" w:cs="Times New Roman" w:eastAsia="Times New Roman" w:hint="default"/>
          <w:spacing w:val="-2"/>
        </w:rPr>
        <w:t>”</w:t>
      </w:r>
      <w:r>
        <w:rPr>
          <w:spacing w:val="-2"/>
        </w:rPr>
        <w:t>创新组织模式的移动互联网平台，实现企业</w:t>
      </w:r>
    </w:p>
    <w:p>
      <w:pPr>
        <w:spacing w:after="0" w:line="309"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和个人价值共塑造和共享的新型工作模式，释放知识型、创新型员工能动性、创造性。</w:t>
      </w:r>
    </w:p>
    <w:p>
      <w:pPr>
        <w:spacing w:line="240" w:lineRule="auto" w:before="0"/>
        <w:rPr>
          <w:rFonts w:ascii="宋体" w:hAnsi="宋体" w:cs="宋体" w:eastAsia="宋体" w:hint="default"/>
          <w:sz w:val="18"/>
          <w:szCs w:val="18"/>
        </w:rPr>
      </w:pPr>
    </w:p>
    <w:p>
      <w:pPr>
        <w:pStyle w:val="BodyText"/>
        <w:spacing w:line="307" w:lineRule="auto" w:before="153"/>
        <w:ind w:right="0"/>
        <w:jc w:val="left"/>
      </w:pPr>
      <w:r>
        <w:rPr>
          <w:rFonts w:ascii="Times New Roman" w:hAnsi="Times New Roman" w:cs="Times New Roman" w:eastAsia="Times New Roman" w:hint="default"/>
        </w:rPr>
        <w:t>4</w:t>
      </w:r>
      <w:r>
        <w:rPr/>
        <w:t>、健全契约化管理市场化选人用人机制。 完善分类考核机制，对经理层全面实现职业经理人制，并创新采用</w:t>
      </w:r>
      <w:r>
        <w:rPr>
          <w:rFonts w:ascii="Times New Roman" w:hAnsi="Times New Roman" w:cs="Times New Roman" w:eastAsia="Times New Roman" w:hint="default"/>
        </w:rPr>
        <w:t>“</w:t>
      </w:r>
      <w:r>
        <w:rPr/>
        <w:t>战略期</w:t>
      </w:r>
      <w:r>
        <w:rPr>
          <w:rFonts w:ascii="Times New Roman" w:hAnsi="Times New Roman" w:cs="Times New Roman" w:eastAsia="Times New Roman" w:hint="default"/>
        </w:rPr>
        <w:t>+</w:t>
      </w:r>
      <w:r>
        <w:rPr/>
        <w:t>任期</w:t>
      </w:r>
      <w:r>
        <w:rPr>
          <w:rFonts w:ascii="Times New Roman" w:hAnsi="Times New Roman" w:cs="Times New Roman" w:eastAsia="Times New Roman" w:hint="default"/>
        </w:rPr>
        <w:t>”</w:t>
      </w:r>
      <w:r>
        <w:rPr/>
        <w:t>相结合的方式签订聘任合同，兼顾经营业 </w:t>
      </w:r>
      <w:r>
        <w:rPr>
          <w:spacing w:val="-2"/>
        </w:rPr>
        <w:t>绩的任期目标和体现公司长远发展的战略考核目标。建立员工职业发展体系，有效识别核心技术人才，建立以双赢协议为核</w:t>
      </w:r>
      <w:r>
        <w:rPr>
          <w:spacing w:val="-63"/>
        </w:rPr>
        <w:t> </w:t>
      </w:r>
      <w:r>
        <w:rPr>
          <w:spacing w:val="-63"/>
        </w:rPr>
      </w:r>
      <w:r>
        <w:rPr/>
        <w:t>心的个人高效生产力体系，促进人岗匹配，畅通员工晋升与退出渠道。</w:t>
      </w:r>
    </w:p>
    <w:p>
      <w:pPr>
        <w:spacing w:line="240" w:lineRule="auto" w:before="11"/>
        <w:rPr>
          <w:rFonts w:ascii="宋体" w:hAnsi="宋体" w:cs="宋体" w:eastAsia="宋体" w:hint="default"/>
          <w:sz w:val="25"/>
          <w:szCs w:val="25"/>
        </w:rPr>
      </w:pPr>
    </w:p>
    <w:p>
      <w:pPr>
        <w:pStyle w:val="BodyText"/>
        <w:spacing w:line="307" w:lineRule="auto"/>
        <w:ind w:right="0"/>
        <w:jc w:val="left"/>
      </w:pPr>
      <w:r>
        <w:rPr>
          <w:rFonts w:ascii="Times New Roman" w:hAnsi="Times New Roman" w:cs="Times New Roman" w:eastAsia="Times New Roman" w:hint="default"/>
        </w:rPr>
        <w:t>5</w:t>
      </w:r>
      <w:r>
        <w:rPr/>
        <w:t>、完善公司治理机制和授权体系，提升战略决策力和实施执行力。 完善公司重大事项专业委员会前置指导机制，并在完成公司</w:t>
      </w:r>
      <w:r>
        <w:rPr>
          <w:rFonts w:ascii="Times New Roman" w:hAnsi="Times New Roman" w:cs="Times New Roman" w:eastAsia="Times New Roman" w:hint="default"/>
        </w:rPr>
        <w:t>“</w:t>
      </w:r>
      <w:r>
        <w:rPr/>
        <w:t>十四五</w:t>
      </w:r>
      <w:r>
        <w:rPr>
          <w:rFonts w:ascii="Times New Roman" w:hAnsi="Times New Roman" w:cs="Times New Roman" w:eastAsia="Times New Roman" w:hint="default"/>
        </w:rPr>
        <w:t>”</w:t>
      </w:r>
      <w:r>
        <w:rPr/>
        <w:t>规划制定工作的基础上，完善董事会对战略规划编制、 </w:t>
      </w:r>
      <w:r>
        <w:rPr>
          <w:spacing w:val="-4"/>
        </w:rPr>
        <w:t>回顾和滚动管理的机制。健全公司本部及下属企业的董事、监事和高管的管理机制，并结合公司工程类业务和国企管理特点，</w:t>
      </w:r>
      <w:r>
        <w:rPr>
          <w:spacing w:val="-44"/>
        </w:rPr>
        <w:t> </w:t>
      </w:r>
      <w:r>
        <w:rPr>
          <w:spacing w:val="-44"/>
        </w:rPr>
      </w:r>
      <w:r>
        <w:rPr/>
        <w:t>进一步优化授权体系。</w:t>
      </w:r>
    </w:p>
    <w:p>
      <w:pPr>
        <w:spacing w:line="240" w:lineRule="auto" w:before="11"/>
        <w:rPr>
          <w:rFonts w:ascii="宋体" w:hAnsi="宋体" w:cs="宋体" w:eastAsia="宋体" w:hint="default"/>
          <w:sz w:val="25"/>
          <w:szCs w:val="25"/>
        </w:rPr>
      </w:pPr>
    </w:p>
    <w:p>
      <w:pPr>
        <w:pStyle w:val="BodyText"/>
        <w:spacing w:line="304" w:lineRule="auto"/>
        <w:ind w:right="0"/>
        <w:jc w:val="left"/>
      </w:pPr>
      <w:r>
        <w:rPr>
          <w:rFonts w:ascii="Times New Roman" w:hAnsi="Times New Roman" w:cs="Times New Roman" w:eastAsia="Times New Roman" w:hint="default"/>
        </w:rPr>
        <w:t>6</w:t>
      </w:r>
      <w:r>
        <w:rPr/>
        <w:t>、强化公司品牌建设和企业社会责任工作，提升公司综合价值和影响力。 </w:t>
      </w:r>
      <w:r>
        <w:rPr>
          <w:spacing w:val="-1"/>
        </w:rPr>
        <w:t>启动以</w:t>
      </w:r>
      <w:r>
        <w:rPr>
          <w:rFonts w:ascii="Times New Roman" w:hAnsi="Times New Roman" w:cs="Times New Roman" w:eastAsia="Times New Roman" w:hint="default"/>
          <w:spacing w:val="-1"/>
        </w:rPr>
        <w:t>“</w:t>
      </w:r>
      <w:r>
        <w:rPr>
          <w:spacing w:val="-1"/>
        </w:rPr>
        <w:t>绿色价值创造</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科技创新</w:t>
      </w:r>
      <w:r>
        <w:rPr>
          <w:rFonts w:ascii="Times New Roman" w:hAnsi="Times New Roman" w:cs="Times New Roman" w:eastAsia="Times New Roman" w:hint="default"/>
          <w:spacing w:val="-1"/>
        </w:rPr>
        <w:t>”</w:t>
      </w:r>
      <w:r>
        <w:rPr>
          <w:spacing w:val="-1"/>
        </w:rPr>
        <w:t>为鲜明标识的企业品牌建设，系统及全方位提升公司品牌价值和影响力，助力公司实现</w:t>
      </w:r>
      <w:r>
        <w:rPr>
          <w:spacing w:val="-81"/>
        </w:rPr>
        <w:t> </w:t>
      </w:r>
      <w:r>
        <w:rPr>
          <w:spacing w:val="-81"/>
        </w:rPr>
      </w:r>
      <w:r>
        <w:rPr>
          <w:rFonts w:ascii="Times New Roman" w:hAnsi="Times New Roman" w:cs="Times New Roman" w:eastAsia="Times New Roman" w:hint="default"/>
          <w:spacing w:val="-1"/>
        </w:rPr>
        <w:t>“</w:t>
      </w:r>
      <w:r>
        <w:rPr>
          <w:spacing w:val="-1"/>
        </w:rPr>
        <w:t>绿色科技产业集团</w:t>
      </w:r>
      <w:r>
        <w:rPr>
          <w:rFonts w:ascii="Times New Roman" w:hAnsi="Times New Roman" w:cs="Times New Roman" w:eastAsia="Times New Roman" w:hint="default"/>
          <w:spacing w:val="-1"/>
        </w:rPr>
        <w:t>”</w:t>
      </w:r>
      <w:r>
        <w:rPr>
          <w:spacing w:val="-1"/>
        </w:rPr>
        <w:t>战略目标。同时，融合</w:t>
      </w:r>
      <w:r>
        <w:rPr>
          <w:rFonts w:ascii="Times New Roman" w:hAnsi="Times New Roman" w:cs="Times New Roman" w:eastAsia="Times New Roman" w:hint="default"/>
          <w:spacing w:val="-1"/>
        </w:rPr>
        <w:t>“</w:t>
      </w:r>
      <w:r>
        <w:rPr>
          <w:spacing w:val="-1"/>
        </w:rPr>
        <w:t>绿色</w:t>
      </w:r>
      <w:r>
        <w:rPr>
          <w:rFonts w:ascii="Times New Roman" w:hAnsi="Times New Roman" w:cs="Times New Roman" w:eastAsia="Times New Roman" w:hint="default"/>
          <w:spacing w:val="-1"/>
        </w:rPr>
        <w:t>”“</w:t>
      </w:r>
      <w:r>
        <w:rPr>
          <w:spacing w:val="-1"/>
        </w:rPr>
        <w:t>国企</w:t>
      </w:r>
      <w:r>
        <w:rPr>
          <w:rFonts w:ascii="Times New Roman" w:hAnsi="Times New Roman" w:cs="Times New Roman" w:eastAsia="Times New Roman" w:hint="default"/>
          <w:spacing w:val="-1"/>
        </w:rPr>
        <w:t>”</w:t>
      </w:r>
      <w:r>
        <w:rPr>
          <w:spacing w:val="-1"/>
        </w:rPr>
        <w:t>基因，创新科学评价方法，充分发掘公司绿色科技和城市绿色发展</w:t>
      </w:r>
      <w:r>
        <w:rPr>
          <w:spacing w:val="-56"/>
        </w:rPr>
        <w:t> </w:t>
      </w:r>
      <w:r>
        <w:rPr>
          <w:spacing w:val="-56"/>
        </w:rPr>
      </w:r>
      <w:r>
        <w:rPr>
          <w:spacing w:val="-2"/>
        </w:rPr>
        <w:t>事业的环境和社会效益；承担科普推广活动，出具社会责任报告，结合品牌建设进行社会责任宣传，提升公众及资本市场对</w:t>
      </w:r>
      <w:r>
        <w:rPr>
          <w:spacing w:val="-65"/>
        </w:rPr>
        <w:t> </w:t>
      </w:r>
      <w:r>
        <w:rPr>
          <w:spacing w:val="-65"/>
        </w:rPr>
      </w:r>
      <w:r>
        <w:rPr/>
        <w:t>公司综合价值认同和发展信心。</w:t>
      </w:r>
    </w:p>
    <w:p>
      <w:pPr>
        <w:pStyle w:val="BodyText"/>
        <w:spacing w:line="314" w:lineRule="auto" w:before="28"/>
        <w:ind w:right="1034"/>
        <w:jc w:val="left"/>
      </w:pPr>
      <w:r>
        <w:rPr/>
        <w:t>（三）面临的主要风险及对策 </w:t>
      </w:r>
      <w:r>
        <w:rPr>
          <w:rFonts w:ascii="Times New Roman" w:hAnsi="Times New Roman" w:cs="Times New Roman" w:eastAsia="Times New Roman" w:hint="default"/>
        </w:rPr>
        <w:t>1</w:t>
      </w:r>
      <w:r>
        <w:rPr/>
        <w:t>、政策风险：十九大报告指出，中国经济已由高速增长阶段转向高质量发展阶段，正处在转变发展方式、优化经济结构、 </w:t>
      </w:r>
      <w:r>
        <w:rPr>
          <w:spacing w:val="-2"/>
        </w:rPr>
        <w:t>转换增长动力的攻关期。继续深化供给侧结构性改革，推动经济高质量发展，要深化要素市场化配置改革、完善国企国资改</w:t>
      </w:r>
      <w:r>
        <w:rPr>
          <w:spacing w:val="-65"/>
        </w:rPr>
        <w:t> </w:t>
      </w:r>
      <w:r>
        <w:rPr>
          <w:spacing w:val="-65"/>
        </w:rPr>
      </w:r>
      <w:r>
        <w:rPr>
          <w:spacing w:val="-2"/>
        </w:rPr>
        <w:t>革方案、实施区域协调发展战略，加快推进生态文明建设，围绕国家在经济转型、创新驱动、经济结构调整、产业结构优化</w:t>
      </w:r>
      <w:r>
        <w:rPr>
          <w:spacing w:val="-67"/>
        </w:rPr>
        <w:t> </w:t>
      </w:r>
      <w:r>
        <w:rPr>
          <w:spacing w:val="-67"/>
        </w:rPr>
      </w:r>
      <w:r>
        <w:rPr>
          <w:spacing w:val="-2"/>
        </w:rPr>
        <w:t>等方面所提出的目标和政策，行业市场竞争格局发生着深刻变化，新技术、新业态、新模式、新经济都将对公司发展产生影</w:t>
      </w:r>
      <w:r>
        <w:rPr>
          <w:spacing w:val="-65"/>
        </w:rPr>
        <w:t> </w:t>
      </w:r>
      <w:r>
        <w:rPr>
          <w:spacing w:val="-65"/>
        </w:rPr>
      </w:r>
      <w:r>
        <w:rPr>
          <w:spacing w:val="-2"/>
        </w:rPr>
        <w:t>响，这将对公司的环境适配能力提出新的挑战。风险应对策略：及时应对这些政策变化、积极响应国家政策导向、抓住新的</w:t>
      </w:r>
      <w:r>
        <w:rPr>
          <w:spacing w:val="-67"/>
        </w:rPr>
        <w:t> </w:t>
      </w:r>
      <w:r>
        <w:rPr>
          <w:spacing w:val="-67"/>
        </w:rPr>
      </w:r>
      <w:r>
        <w:rPr/>
        <w:t>行业发展机遇。 </w:t>
      </w:r>
      <w:r>
        <w:rPr>
          <w:rFonts w:ascii="Times New Roman" w:hAnsi="Times New Roman" w:cs="Times New Roman" w:eastAsia="Times New Roman" w:hint="default"/>
        </w:rPr>
        <w:t>2</w:t>
      </w:r>
      <w:r>
        <w:rPr/>
        <w:t>、市场竞争风险：行业受行业政策、业主需求变化等因素的直接影响。此外，随着行业资质管理改革的深入，行业市场化 </w:t>
      </w:r>
      <w:r>
        <w:rPr>
          <w:spacing w:val="-2"/>
        </w:rPr>
        <w:t>进程将进一步推进，新成立的企业不断进入，公司将面临更为激烈的市场竞争环境，存在因市场竞争加剧导致盈利水平下降</w:t>
      </w:r>
      <w:r>
        <w:rPr>
          <w:spacing w:val="-61"/>
        </w:rPr>
        <w:t> </w:t>
      </w:r>
      <w:r>
        <w:rPr>
          <w:spacing w:val="-61"/>
        </w:rPr>
      </w:r>
      <w:r>
        <w:rPr>
          <w:spacing w:val="-2"/>
        </w:rPr>
        <w:t>的风险。风险应对策略：建立规范的市场战略管理机制。每年对公司战略和市场战略规划执行情况进行检查与评估，及时发</w:t>
      </w:r>
      <w:r>
        <w:rPr>
          <w:spacing w:val="-64"/>
        </w:rPr>
        <w:t> </w:t>
      </w:r>
      <w:r>
        <w:rPr>
          <w:spacing w:val="-64"/>
        </w:rPr>
      </w:r>
      <w:r>
        <w:rPr>
          <w:spacing w:val="-2"/>
        </w:rPr>
        <w:t>现总体规划实施过程中存在的问题，并提出改进建议。如遇到外部环境（如宏观经济形势和行业政策等）或内部条件发生重</w:t>
      </w:r>
      <w:r>
        <w:rPr>
          <w:spacing w:val="-64"/>
        </w:rPr>
        <w:t> </w:t>
      </w:r>
      <w:r>
        <w:rPr>
          <w:spacing w:val="-64"/>
        </w:rPr>
      </w:r>
      <w:r>
        <w:rPr/>
        <w:t>大变化的情形，适时对战略规划进行适当修订；同时，将按照三年周期，对规划进行滚动调整。 </w:t>
      </w:r>
      <w:r>
        <w:rPr>
          <w:rFonts w:ascii="Times New Roman" w:hAnsi="Times New Roman" w:cs="Times New Roman" w:eastAsia="Times New Roman" w:hint="default"/>
        </w:rPr>
        <w:t>3</w:t>
      </w:r>
      <w:r>
        <w:rPr/>
        <w:t>、技术风险：科研成果以及转化是重要的业务创新支撑，也意味着要保持一定的技术投入，但客观上也面临技术投入无法 </w:t>
      </w:r>
      <w:r>
        <w:rPr>
          <w:spacing w:val="-2"/>
        </w:rPr>
        <w:t>转化成技术成果或者科研产业化失败的风险。风险应对策略：完善公司研发管理体系和技术成果转化的业务体系对接，包括</w:t>
      </w:r>
      <w:r>
        <w:rPr>
          <w:spacing w:val="-61"/>
        </w:rPr>
        <w:t> </w:t>
      </w:r>
      <w:r>
        <w:rPr>
          <w:spacing w:val="-61"/>
        </w:rPr>
      </w:r>
      <w:r>
        <w:rPr/>
        <w:t>决策程序、过程控制和成果评估。注重决策风险控制，强化过程监督，完善成果的审查机制。 </w:t>
      </w:r>
      <w:r>
        <w:rPr>
          <w:rFonts w:ascii="Times New Roman" w:hAnsi="Times New Roman" w:cs="Times New Roman" w:eastAsia="Times New Roman" w:hint="default"/>
          <w:spacing w:val="-2"/>
        </w:rPr>
        <w:t>4</w:t>
      </w:r>
      <w:r>
        <w:rPr>
          <w:spacing w:val="-2"/>
        </w:rPr>
        <w:t>、业务运作风险：不同于传统的设计咨询项目，未来的项目类型更加多元化，新的工程项目、运营项目、投资项目受市场、</w:t>
      </w:r>
      <w:r>
        <w:rPr>
          <w:spacing w:val="-67"/>
        </w:rPr>
        <w:t> </w:t>
      </w:r>
      <w:r>
        <w:rPr>
          <w:spacing w:val="-67"/>
        </w:rPr>
      </w:r>
      <w:r>
        <w:rPr>
          <w:spacing w:val="-2"/>
        </w:rPr>
        <w:t>政策、管理等方面的因素影响，周期长、协调环节多、运作更为复杂，客观存在项目运作风险。风险应对策略：健全全面风</w:t>
      </w:r>
      <w:r>
        <w:rPr>
          <w:spacing w:val="-73"/>
        </w:rPr>
        <w:t> </w:t>
      </w:r>
      <w:r>
        <w:rPr>
          <w:spacing w:val="-73"/>
        </w:rPr>
      </w:r>
      <w:r>
        <w:rPr>
          <w:spacing w:val="-2"/>
        </w:rPr>
        <w:t>险与内控管理制度体系，形成公司风险管理手册，有效指导日常工作。以风险信息收集、风险辨识为着力点，全面促进各业</w:t>
      </w:r>
      <w:r>
        <w:rPr>
          <w:spacing w:val="-67"/>
        </w:rPr>
        <w:t> </w:t>
      </w:r>
      <w:r>
        <w:rPr>
          <w:spacing w:val="-67"/>
        </w:rPr>
      </w:r>
      <w:r>
        <w:rPr/>
        <w:t>务单元风险管控体系建设和风险评估工作开展，督促风险管理策略有效落实，确保公司整体风险可控受控。</w:t>
      </w:r>
      <w:r>
        <w:rPr/>
        <w:t> </w:t>
      </w:r>
      <w:r>
        <w:rPr>
          <w:rFonts w:ascii="Times New Roman" w:hAnsi="Times New Roman" w:cs="Times New Roman" w:eastAsia="Times New Roman" w:hint="default"/>
        </w:rPr>
        <w:t>5</w:t>
      </w:r>
      <w:r>
        <w:rPr/>
        <w:t>、项目管理风险：在国家推行</w:t>
      </w:r>
      <w:r>
        <w:rPr>
          <w:rFonts w:ascii="Times New Roman" w:hAnsi="Times New Roman" w:cs="Times New Roman" w:eastAsia="Times New Roman" w:hint="default"/>
        </w:rPr>
        <w:t>“</w:t>
      </w:r>
      <w:r>
        <w:rPr/>
        <w:t>建筑师负责制</w:t>
      </w:r>
      <w:r>
        <w:rPr>
          <w:rFonts w:ascii="Times New Roman" w:hAnsi="Times New Roman" w:cs="Times New Roman" w:eastAsia="Times New Roman" w:hint="default"/>
        </w:rPr>
        <w:t>”</w:t>
      </w:r>
      <w:r>
        <w:rPr/>
        <w:t>的背景下，建筑师在工程项目全过程中被赋予了更为关键的对设计质量把控 </w:t>
      </w:r>
      <w:r>
        <w:rPr>
          <w:spacing w:val="-2"/>
        </w:rPr>
        <w:t>和管理的职责，对建筑师在质量、成本、进度、跨专业协调、采购、施工等的项目管理能力提出了更高的要求。公司不断加</w:t>
      </w:r>
      <w:r>
        <w:rPr>
          <w:spacing w:val="-73"/>
        </w:rPr>
        <w:t> </w:t>
      </w:r>
      <w:r>
        <w:rPr>
          <w:spacing w:val="-73"/>
        </w:rPr>
      </w:r>
      <w:r>
        <w:rPr>
          <w:spacing w:val="-2"/>
        </w:rPr>
        <w:t>强集成化服务能力，在行业领域的水平扩张和产业价值链的垂直整合过程中，全国化拓展和跨区域经营的资源整合、项目管</w:t>
      </w:r>
      <w:r>
        <w:rPr>
          <w:spacing w:val="-63"/>
        </w:rPr>
        <w:t> </w:t>
      </w:r>
      <w:r>
        <w:rPr>
          <w:spacing w:val="-63"/>
        </w:rPr>
      </w:r>
      <w:r>
        <w:rPr/>
        <w:t>理能力需要有效管理和无缝对接。信息、项目、人力资源、资金等内部资源的调配和管理，与客户、政府部门、施工单位、 监理单位等外部合作单位之间的沟通和协调，都对公司的管理能力提出了更高要求。随着</w:t>
      </w:r>
      <w:r>
        <w:rPr>
          <w:rFonts w:ascii="Times New Roman" w:hAnsi="Times New Roman" w:cs="Times New Roman" w:eastAsia="Times New Roman" w:hint="default"/>
        </w:rPr>
        <w:t>EPC</w:t>
      </w:r>
      <w:r>
        <w:rPr/>
        <w:t>工程总承包业务的扩大，公司 </w:t>
      </w:r>
      <w:r>
        <w:rPr>
          <w:spacing w:val="-2"/>
        </w:rPr>
        <w:t>不但面临项目管理、合同管理、进度管理、采购及施工分包等方面的风险因素。风险应对策略：提升项目管理水平，严格把</w:t>
      </w:r>
      <w:r>
        <w:rPr>
          <w:spacing w:val="-68"/>
        </w:rPr>
        <w:t> </w:t>
      </w:r>
      <w:r>
        <w:rPr>
          <w:spacing w:val="-68"/>
        </w:rPr>
      </w:r>
      <w:r>
        <w:rPr/>
        <w:t>控项目进展，以优质的服务提升客户及市场的满意度。 </w:t>
      </w:r>
      <w:r>
        <w:rPr>
          <w:rFonts w:ascii="Times New Roman" w:hAnsi="Times New Roman" w:cs="Times New Roman" w:eastAsia="Times New Roman" w:hint="default"/>
          <w:spacing w:val="-2"/>
        </w:rPr>
        <w:t>6</w:t>
      </w:r>
      <w:r>
        <w:rPr>
          <w:spacing w:val="-2"/>
        </w:rPr>
        <w:t>、人才风险分析：科技企业转型面临的科技人才激励不足，公司新的业务模式需要大量的新型人才，重点包括资本类人才、</w:t>
      </w:r>
    </w:p>
    <w:p>
      <w:pPr>
        <w:spacing w:after="0" w:line="314"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4" w:lineRule="auto" w:before="44"/>
        <w:ind w:right="1034"/>
        <w:jc w:val="left"/>
      </w:pPr>
      <w:r>
        <w:rPr/>
        <w:t>产业运营类人才、高级研发人才等，这类人才的特点与现有的技术类人才有较大的差异性，客观上存在人才的招募、激励、 使用等方面的风险。风险应对策略：加强人力资源管理，健全骨干人才培养体系，促进现有人员提升视野、专业创新能力、 </w:t>
      </w:r>
      <w:r>
        <w:rPr>
          <w:spacing w:val="-2"/>
        </w:rPr>
        <w:t>职业化和效率；建立科学的人才引进、选拔、适用的竞争机制，加大具有创业意识和能力、国际视野和职业化水平的人员引</w:t>
      </w:r>
      <w:r>
        <w:rPr>
          <w:spacing w:val="-67"/>
        </w:rPr>
        <w:t> </w:t>
      </w:r>
      <w:r>
        <w:rPr>
          <w:spacing w:val="-67"/>
        </w:rPr>
      </w:r>
      <w:r>
        <w:rPr/>
        <w:t>入；继续推动管理者素质评估和战斗力；改革公司薪酬和激励机制。 </w:t>
      </w:r>
      <w:r>
        <w:rPr>
          <w:rFonts w:ascii="Times New Roman" w:hAnsi="Times New Roman" w:cs="Times New Roman" w:eastAsia="Times New Roman" w:hint="default"/>
        </w:rPr>
        <w:t>7</w:t>
      </w:r>
      <w:r>
        <w:rPr/>
        <w:t>、新冠疫情等重大不确定因素影响的风险。新冠疫情的发展和后续对社会、经济环境的影响，会对公司市场业务开拓、经 营生产组织产生干扰，存在影响公司未来业绩目标实现的风险。</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038"/>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报告期内，公司为了充分维护全体股东的利益，严格按照《公司章程》相关利润分配政策和审议程序审议利润分配方案，分</w:t>
      </w:r>
      <w:r>
        <w:rPr>
          <w:spacing w:val="-67"/>
        </w:rPr>
        <w:t> </w:t>
      </w:r>
      <w:r>
        <w:rPr>
          <w:spacing w:val="-67"/>
        </w:rPr>
      </w:r>
      <w:r>
        <w:rPr/>
        <w:t>红标准和分红比例明确清晰，相关的决策程序和机制完备。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日召开第二届董事会第五次定期会议及第二届监事会第十二次会议，于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日召开公司</w:t>
      </w:r>
      <w:r>
        <w:rPr>
          <w:rFonts w:ascii="Times New Roman" w:hAnsi="Times New Roman" w:cs="Times New Roman" w:eastAsia="Times New Roman" w:hint="default"/>
          <w:spacing w:val="-2"/>
        </w:rPr>
        <w:t>2018</w:t>
      </w:r>
      <w:r>
        <w:rPr>
          <w:spacing w:val="-2"/>
        </w:rPr>
        <w:t>年度</w:t>
      </w:r>
      <w:r>
        <w:rPr>
          <w:spacing w:val="-49"/>
        </w:rPr>
        <w:t> </w:t>
      </w:r>
      <w:r>
        <w:rPr/>
        <w:t>股东大会，审议通过了《关于</w:t>
      </w:r>
      <w:r>
        <w:rPr>
          <w:rFonts w:ascii="Times New Roman" w:hAnsi="Times New Roman" w:cs="Times New Roman" w:eastAsia="Times New Roman" w:hint="default"/>
        </w:rPr>
        <w:t>&lt;2018</w:t>
      </w:r>
      <w:r>
        <w:rPr/>
        <w:t>年度利润分配方案</w:t>
      </w:r>
      <w:r>
        <w:rPr>
          <w:rFonts w:ascii="Times New Roman" w:hAnsi="Times New Roman" w:cs="Times New Roman" w:eastAsia="Times New Roman" w:hint="default"/>
        </w:rPr>
        <w:t>&gt;</w:t>
      </w:r>
      <w:r>
        <w:rPr/>
        <w:t>的议案》：以公司现有总股本</w:t>
      </w:r>
      <w:r>
        <w:rPr>
          <w:rFonts w:ascii="Times New Roman" w:hAnsi="Times New Roman" w:cs="Times New Roman" w:eastAsia="Times New Roman" w:hint="default"/>
        </w:rPr>
        <w:t>146,666,700</w:t>
      </w:r>
      <w:r>
        <w:rPr/>
        <w:t>股为基数，向全体股东每</w:t>
      </w:r>
    </w:p>
    <w:p>
      <w:pPr>
        <w:pStyle w:val="BodyText"/>
        <w:spacing w:line="300" w:lineRule="auto"/>
        <w:ind w:right="1050"/>
        <w:jc w:val="left"/>
      </w:pP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0.70</w:t>
      </w:r>
      <w:r>
        <w:rPr/>
        <w:t>元人民币现金（含税）。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日，公司在巨潮资讯网（</w:t>
      </w:r>
      <w:hyperlink r:id="rId11">
        <w:r>
          <w:rPr>
            <w:rFonts w:ascii="Times New Roman" w:hAnsi="Times New Roman" w:cs="Times New Roman" w:eastAsia="Times New Roman" w:hint="default"/>
          </w:rPr>
          <w:t>http://www.cninfo.com.cn</w:t>
        </w:r>
      </w:hyperlink>
      <w:r>
        <w:rPr/>
        <w:t>）披露了《</w:t>
      </w:r>
      <w:r>
        <w:rPr>
          <w:rFonts w:ascii="Times New Roman" w:hAnsi="Times New Roman" w:cs="Times New Roman" w:eastAsia="Times New Roman" w:hint="default"/>
        </w:rPr>
        <w:t>2018</w:t>
      </w:r>
      <w:r>
        <w:rPr/>
        <w:t>年年度权 益分派实施公告》（公告编号：</w:t>
      </w:r>
      <w:r>
        <w:rPr>
          <w:rFonts w:ascii="Times New Roman" w:hAnsi="Times New Roman" w:cs="Times New Roman" w:eastAsia="Times New Roman" w:hint="default"/>
        </w:rPr>
        <w:t>2019-042</w:t>
      </w:r>
      <w:r>
        <w:rPr/>
        <w:t>），权益分派的股权登记日为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日，除权除息日为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 公司</w:t>
      </w:r>
      <w:r>
        <w:rPr>
          <w:rFonts w:ascii="Times New Roman" w:hAnsi="Times New Roman" w:cs="Times New Roman" w:eastAsia="Times New Roman" w:hint="default"/>
        </w:rPr>
        <w:t>2018</w:t>
      </w:r>
      <w:r>
        <w:rPr/>
        <w:t>年度利润分配方案严格按照《公司章程》中关于现金分红政策执行，经公司董事会、监事会和股东大会审议通过， 独立董事发表了专项意见，履行了相关决策程序，并在规定的时间内实施，切实保证了全体股东的利益。</w:t>
      </w: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7089"/>
        <w:gridCol w:w="2482"/>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7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48" w:type="dxa"/>
        <w:tblLayout w:type="fixed"/>
        <w:tblCellMar>
          <w:top w:w="0" w:type="dxa"/>
          <w:left w:w="0" w:type="dxa"/>
          <w:bottom w:w="0" w:type="dxa"/>
          <w:right w:w="0" w:type="dxa"/>
        </w:tblCellMar>
        <w:tblLook w:val="01E0"/>
      </w:tblPr>
      <w:tblGrid>
        <w:gridCol w:w="5531"/>
        <w:gridCol w:w="4040"/>
      </w:tblGrid>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0.75</w:t>
            </w:r>
          </w:p>
        </w:tc>
      </w:tr>
      <w:tr>
        <w:trPr>
          <w:trHeight w:val="40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146,666,700</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11,000,002.50</w:t>
            </w:r>
          </w:p>
        </w:tc>
      </w:tr>
      <w:tr>
        <w:trPr>
          <w:trHeight w:val="40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11,000,002.50</w:t>
            </w:r>
          </w:p>
        </w:tc>
      </w:tr>
      <w:tr>
        <w:trPr>
          <w:trHeight w:val="40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131,081,237.77</w:t>
            </w:r>
          </w:p>
        </w:tc>
      </w:tr>
      <w:tr>
        <w:trPr>
          <w:trHeight w:val="407"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2"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pStyle w:val="BodyText"/>
        <w:spacing w:line="319" w:lineRule="auto" w:before="51"/>
        <w:ind w:right="1079"/>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年度利润分配方案（预案） 根据毕马威华振会计师事务所（特殊普通合伙）为公司出具的《</w:t>
      </w:r>
      <w:r>
        <w:rPr>
          <w:rFonts w:ascii="Times New Roman" w:hAnsi="Times New Roman" w:cs="Times New Roman" w:eastAsia="Times New Roman" w:hint="default"/>
        </w:rPr>
        <w:t>2019</w:t>
      </w:r>
      <w:r>
        <w:rPr/>
        <w:t>年度审计报告》，母公司实现净利润</w:t>
      </w:r>
      <w:r>
        <w:rPr>
          <w:rFonts w:ascii="Times New Roman" w:hAnsi="Times New Roman" w:cs="Times New Roman" w:eastAsia="Times New Roman" w:hint="default"/>
        </w:rPr>
        <w:t>14,475,945.90</w:t>
      </w:r>
      <w:r>
        <w:rPr/>
        <w:t>元，</w:t>
      </w:r>
    </w:p>
    <w:p>
      <w:pPr>
        <w:pStyle w:val="BodyText"/>
        <w:spacing w:line="300" w:lineRule="auto"/>
        <w:ind w:right="0"/>
        <w:jc w:val="left"/>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日，母公司可供股东分配利润</w:t>
      </w:r>
      <w:r>
        <w:rPr>
          <w:rFonts w:ascii="Times New Roman" w:hAnsi="Times New Roman" w:cs="Times New Roman" w:eastAsia="Times New Roman" w:hint="default"/>
          <w:spacing w:val="-2"/>
        </w:rPr>
        <w:t>131,081,237.77</w:t>
      </w:r>
      <w:r>
        <w:rPr>
          <w:spacing w:val="-2"/>
        </w:rPr>
        <w:t>元，以每</w:t>
      </w:r>
      <w:r>
        <w:rPr>
          <w:rFonts w:ascii="Times New Roman" w:hAnsi="Times New Roman" w:cs="Times New Roman" w:eastAsia="Times New Roman" w:hint="default"/>
          <w:spacing w:val="-2"/>
        </w:rPr>
        <w:t>10</w:t>
      </w:r>
      <w:r>
        <w:rPr>
          <w:spacing w:val="-2"/>
        </w:rPr>
        <w:t>股分配现金股利</w:t>
      </w:r>
      <w:r>
        <w:rPr>
          <w:rFonts w:ascii="Times New Roman" w:hAnsi="Times New Roman" w:cs="Times New Roman" w:eastAsia="Times New Roman" w:hint="default"/>
          <w:spacing w:val="-2"/>
        </w:rPr>
        <w:t>0.75</w:t>
      </w:r>
      <w:r>
        <w:rPr>
          <w:spacing w:val="-2"/>
        </w:rPr>
        <w:t>元人民币现金（含税）向全体</w:t>
      </w:r>
      <w:r>
        <w:rPr>
          <w:spacing w:val="-43"/>
        </w:rPr>
        <w:t> </w:t>
      </w:r>
      <w:r>
        <w:rPr>
          <w:spacing w:val="-43"/>
        </w:rPr>
      </w:r>
      <w:r>
        <w:rPr/>
        <w:t>股东现金分红，合计分配股利</w:t>
      </w:r>
      <w:r>
        <w:rPr>
          <w:rFonts w:ascii="Times New Roman" w:hAnsi="Times New Roman" w:cs="Times New Roman" w:eastAsia="Times New Roman" w:hint="default"/>
        </w:rPr>
        <w:t>11,000,002.50</w:t>
      </w:r>
      <w:r>
        <w:rPr/>
        <w:t>元。</w:t>
      </w:r>
    </w:p>
    <w:p>
      <w:pPr>
        <w:pStyle w:val="BodyText"/>
        <w:spacing w:line="300" w:lineRule="auto" w:before="13"/>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年度利润分配方案 </w:t>
      </w:r>
      <w:r>
        <w:rPr>
          <w:spacing w:val="-4"/>
        </w:rPr>
        <w:t>根据立信会计师事务所（特殊普通合伙）为公司出具的《</w:t>
      </w:r>
      <w:r>
        <w:rPr>
          <w:rFonts w:ascii="Times New Roman" w:hAnsi="Times New Roman" w:cs="Times New Roman" w:eastAsia="Times New Roman" w:hint="default"/>
          <w:spacing w:val="-4"/>
        </w:rPr>
        <w:t>2018</w:t>
      </w:r>
      <w:r>
        <w:rPr>
          <w:spacing w:val="-4"/>
        </w:rPr>
        <w:t>年度审计报告》，母公司实现净利润</w:t>
      </w:r>
      <w:r>
        <w:rPr>
          <w:rFonts w:ascii="Times New Roman" w:hAnsi="Times New Roman" w:cs="Times New Roman" w:eastAsia="Times New Roman" w:hint="default"/>
          <w:spacing w:val="-4"/>
        </w:rPr>
        <w:t>27,319,096.04</w:t>
      </w:r>
      <w:r>
        <w:rPr>
          <w:spacing w:val="-4"/>
        </w:rPr>
        <w:t>元，截至</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日，母公司可供股东分配利润</w:t>
      </w:r>
      <w:r>
        <w:rPr>
          <w:rFonts w:ascii="Times New Roman" w:hAnsi="Times New Roman" w:cs="Times New Roman" w:eastAsia="Times New Roman" w:hint="default"/>
          <w:spacing w:val="-2"/>
        </w:rPr>
        <w:t>128,319,555.46</w:t>
      </w:r>
      <w:r>
        <w:rPr>
          <w:spacing w:val="-2"/>
        </w:rPr>
        <w:t>元，以每</w:t>
      </w:r>
      <w:r>
        <w:rPr>
          <w:rFonts w:ascii="Times New Roman" w:hAnsi="Times New Roman" w:cs="Times New Roman" w:eastAsia="Times New Roman" w:hint="default"/>
          <w:spacing w:val="-2"/>
        </w:rPr>
        <w:t>10</w:t>
      </w:r>
      <w:r>
        <w:rPr>
          <w:spacing w:val="-2"/>
        </w:rPr>
        <w:t>股分配现金股利</w:t>
      </w:r>
      <w:r>
        <w:rPr>
          <w:rFonts w:ascii="Times New Roman" w:hAnsi="Times New Roman" w:cs="Times New Roman" w:eastAsia="Times New Roman" w:hint="default"/>
          <w:spacing w:val="-2"/>
        </w:rPr>
        <w:t>0.70</w:t>
      </w:r>
      <w:r>
        <w:rPr>
          <w:spacing w:val="-2"/>
        </w:rPr>
        <w:t>元人民币现金（含税向全体股东现金分</w:t>
      </w:r>
      <w:r>
        <w:rPr>
          <w:spacing w:val="-51"/>
        </w:rPr>
        <w:t> </w:t>
      </w:r>
      <w:r>
        <w:rPr>
          <w:spacing w:val="-51"/>
        </w:rPr>
      </w:r>
      <w:r>
        <w:rPr/>
        <w:t>红），合计分配股利</w:t>
      </w:r>
      <w:r>
        <w:rPr>
          <w:rFonts w:ascii="Times New Roman" w:hAnsi="Times New Roman" w:cs="Times New Roman" w:eastAsia="Times New Roman" w:hint="default"/>
        </w:rPr>
        <w:t>10,266,669.00</w:t>
      </w:r>
      <w:r>
        <w:rPr/>
        <w:t>元。</w:t>
      </w:r>
    </w:p>
    <w:p>
      <w:pPr>
        <w:pStyle w:val="BodyText"/>
        <w:spacing w:line="300" w:lineRule="auto" w:before="13"/>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年度利润分配方案 </w:t>
      </w:r>
      <w:r>
        <w:rPr>
          <w:spacing w:val="-4"/>
        </w:rPr>
        <w:t>根据立信会计师事务所（特殊普通合伙）为公司出具的《</w:t>
      </w:r>
      <w:r>
        <w:rPr>
          <w:rFonts w:ascii="Times New Roman" w:hAnsi="Times New Roman" w:cs="Times New Roman" w:eastAsia="Times New Roman" w:hint="default"/>
          <w:spacing w:val="-4"/>
        </w:rPr>
        <w:t>2017</w:t>
      </w:r>
      <w:r>
        <w:rPr>
          <w:spacing w:val="-4"/>
        </w:rPr>
        <w:t>年度审计报告》，母公司实现净利润</w:t>
      </w:r>
      <w:r>
        <w:rPr>
          <w:rFonts w:ascii="Times New Roman" w:hAnsi="Times New Roman" w:cs="Times New Roman" w:eastAsia="Times New Roman" w:hint="default"/>
          <w:spacing w:val="-4"/>
        </w:rPr>
        <w:t>22,558,672.52</w:t>
      </w:r>
      <w:r>
        <w:rPr>
          <w:spacing w:val="-4"/>
        </w:rPr>
        <w:t>元，截至</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日，母公司可供股东分配利润</w:t>
      </w:r>
      <w:r>
        <w:rPr>
          <w:rFonts w:ascii="Times New Roman" w:hAnsi="Times New Roman" w:cs="Times New Roman" w:eastAsia="Times New Roman" w:hint="default"/>
          <w:spacing w:val="-2"/>
        </w:rPr>
        <w:t>113,265,704.52</w:t>
      </w:r>
      <w:r>
        <w:rPr>
          <w:spacing w:val="-2"/>
        </w:rPr>
        <w:t>元，以每</w:t>
      </w:r>
      <w:r>
        <w:rPr>
          <w:rFonts w:ascii="Times New Roman" w:hAnsi="Times New Roman" w:cs="Times New Roman" w:eastAsia="Times New Roman" w:hint="default"/>
          <w:spacing w:val="-2"/>
        </w:rPr>
        <w:t>10</w:t>
      </w:r>
      <w:r>
        <w:rPr>
          <w:spacing w:val="-2"/>
        </w:rPr>
        <w:t>股分配现金股利</w:t>
      </w:r>
      <w:r>
        <w:rPr>
          <w:rFonts w:ascii="Times New Roman" w:hAnsi="Times New Roman" w:cs="Times New Roman" w:eastAsia="Times New Roman" w:hint="default"/>
          <w:spacing w:val="-2"/>
        </w:rPr>
        <w:t>0.65</w:t>
      </w:r>
      <w:r>
        <w:rPr>
          <w:spacing w:val="-2"/>
        </w:rPr>
        <w:t>元人民币现金（含税向全体股东现金分</w:t>
      </w:r>
      <w:r>
        <w:rPr>
          <w:spacing w:val="-51"/>
        </w:rPr>
        <w:t> </w:t>
      </w:r>
      <w:r>
        <w:rPr>
          <w:spacing w:val="-51"/>
        </w:rPr>
      </w:r>
      <w:r>
        <w:rPr/>
        <w:t>红），合计分配股利</w:t>
      </w:r>
      <w:r>
        <w:rPr>
          <w:rFonts w:ascii="Times New Roman" w:hAnsi="Times New Roman" w:cs="Times New Roman" w:eastAsia="Times New Roman" w:hint="default"/>
        </w:rPr>
        <w:t>9,533,335.50</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3"/>
        <w:gridCol w:w="1399"/>
        <w:gridCol w:w="1294"/>
        <w:gridCol w:w="1416"/>
        <w:gridCol w:w="878"/>
        <w:gridCol w:w="1195"/>
        <w:gridCol w:w="1196"/>
        <w:gridCol w:w="1198"/>
      </w:tblGrid>
      <w:tr>
        <w:trPr>
          <w:trHeight w:val="227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99"/>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4" w:right="70"/>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 w:right="23"/>
              <w:jc w:val="center"/>
              <w:rPr>
                <w:rFonts w:ascii="宋体" w:hAnsi="宋体" w:cs="宋体" w:eastAsia="宋体" w:hint="default"/>
                <w:sz w:val="18"/>
                <w:szCs w:val="18"/>
              </w:rPr>
            </w:pPr>
            <w:r>
              <w:rPr>
                <w:rFonts w:ascii="宋体" w:hAnsi="宋体" w:cs="宋体" w:eastAsia="宋体" w:hint="default"/>
                <w:sz w:val="18"/>
                <w:szCs w:val="18"/>
              </w:rPr>
              <w:t>以其他方 </w:t>
            </w:r>
            <w:r>
              <w:rPr>
                <w:rFonts w:ascii="宋体" w:hAnsi="宋体" w:cs="宋体" w:eastAsia="宋体" w:hint="default"/>
                <w:spacing w:val="-16"/>
                <w:sz w:val="18"/>
                <w:szCs w:val="18"/>
              </w:rPr>
              <w:t>式（如回购</w:t>
            </w:r>
            <w:r>
              <w:rPr>
                <w:rFonts w:ascii="宋体" w:hAnsi="宋体" w:cs="宋体" w:eastAsia="宋体" w:hint="default"/>
                <w:sz w:val="18"/>
                <w:szCs w:val="18"/>
              </w:rPr>
              <w:t> </w:t>
            </w:r>
            <w:r>
              <w:rPr>
                <w:rFonts w:ascii="宋体" w:hAnsi="宋体" w:cs="宋体" w:eastAsia="宋体" w:hint="default"/>
                <w:spacing w:val="-16"/>
                <w:sz w:val="18"/>
                <w:szCs w:val="18"/>
              </w:rPr>
              <w:t>股份）现金</w:t>
            </w:r>
            <w:r>
              <w:rPr>
                <w:rFonts w:ascii="宋体" w:hAnsi="宋体" w:cs="宋体" w:eastAsia="宋体" w:hint="default"/>
                <w:sz w:val="18"/>
                <w:szCs w:val="18"/>
              </w:rPr>
              <w:t> 分红的金 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413" w:right="140"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1"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11,000,025.00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36,620,943.28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11,000,025.00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30.04%</w:t>
            </w:r>
          </w:p>
        </w:tc>
      </w:tr>
      <w:tr>
        <w:trPr>
          <w:trHeight w:val="40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10,266,669.00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34,630,772.68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29.65%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10,266,669.00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29.65%</w:t>
            </w:r>
          </w:p>
        </w:tc>
      </w:tr>
      <w:tr>
        <w:trPr>
          <w:trHeight w:val="40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9,533,335.50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33,987,787.76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9,533,335.50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28.05%</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二、承诺事项履行情况</w:t>
      </w:r>
      <w:r>
        <w:rPr>
          <w:b w:val="0"/>
          <w:bCs w:val="0"/>
        </w:rPr>
      </w:r>
    </w:p>
    <w:p>
      <w:pPr>
        <w:spacing w:line="240" w:lineRule="auto" w:before="10"/>
        <w:rPr>
          <w:rFonts w:ascii="宋体" w:hAnsi="宋体" w:cs="宋体" w:eastAsia="宋体" w:hint="default"/>
          <w:b/>
          <w:bCs/>
          <w:sz w:val="24"/>
          <w:szCs w:val="24"/>
        </w:rPr>
      </w:pPr>
    </w:p>
    <w:p>
      <w:pPr>
        <w:pStyle w:val="Heading6"/>
        <w:spacing w:line="256"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3"/>
        </w:rPr>
        <w:t> </w:t>
      </w:r>
      <w:r>
        <w:rPr>
          <w:spacing w:val="-63"/>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76"/>
        <w:gridCol w:w="1419"/>
        <w:gridCol w:w="708"/>
        <w:gridCol w:w="4395"/>
        <w:gridCol w:w="708"/>
        <w:gridCol w:w="566"/>
        <w:gridCol w:w="494"/>
      </w:tblGrid>
      <w:tr>
        <w:trPr>
          <w:trHeight w:val="161"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59" w:right="77"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59" w:right="77"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2" w:right="6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4"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r>
      <w:tr>
        <w:trPr>
          <w:trHeight w:val="16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收购报告书或</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2.690002pt;margin-top:141.86998pt;width:149.1pt;height:144.5pt;mso-position-horizontal-relative:page;mso-position-vertical-relative:page;z-index:-1164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4"/>
                      <w:szCs w:val="14"/>
                    </w:rPr>
                  </w:pPr>
                </w:p>
                <w:p>
                  <w:pPr>
                    <w:pStyle w:val="BodyText"/>
                    <w:spacing w:line="240" w:lineRule="auto"/>
                    <w:ind w:left="0" w:right="0"/>
                    <w:jc w:val="left"/>
                  </w:pPr>
                  <w:r>
                    <w:rPr/>
                    <w:t>增发新股等除权除息事项的，</w:t>
                  </w:r>
                </w:p>
              </w:txbxContent>
            </v:textbox>
            <w10:wrap type="none"/>
          </v:shape>
        </w:pict>
      </w:r>
      <w:r>
        <w:rPr/>
        <w:pict>
          <v:shape style="position:absolute;margin-left:440.953003pt;margin-top:416.089996pt;width:40.85pt;height:269.350pt;mso-position-horizontal-relative:page;mso-position-vertical-relative:page;z-index:-1164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419"/>
        <w:gridCol w:w="708"/>
        <w:gridCol w:w="4395"/>
        <w:gridCol w:w="708"/>
        <w:gridCol w:w="566"/>
        <w:gridCol w:w="494"/>
      </w:tblGrid>
      <w:tr>
        <w:trPr>
          <w:trHeight w:val="67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权益变动报告 书中所作承诺</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深圳市资本运营 </w:t>
            </w:r>
            <w:r>
              <w:rPr>
                <w:rFonts w:ascii="宋体" w:hAnsi="宋体" w:cs="宋体" w:eastAsia="宋体" w:hint="default"/>
                <w:spacing w:val="-10"/>
                <w:sz w:val="18"/>
                <w:szCs w:val="18"/>
              </w:rPr>
              <w:t>集团有限公司（原</w:t>
            </w:r>
            <w:r>
              <w:rPr>
                <w:rFonts w:ascii="宋体" w:hAnsi="宋体" w:cs="宋体" w:eastAsia="宋体" w:hint="default"/>
                <w:sz w:val="18"/>
                <w:szCs w:val="18"/>
              </w:rPr>
              <w:t> 深圳市远致投资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32"/>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、自发行人股票上市之日起三十六个月内，不转让或 者委托他人管理所持有的发行人公开发行股份前已发行 </w:t>
            </w:r>
            <w:r>
              <w:rPr>
                <w:rFonts w:ascii="宋体" w:hAnsi="宋体" w:cs="宋体" w:eastAsia="宋体" w:hint="default"/>
                <w:spacing w:val="-3"/>
                <w:sz w:val="18"/>
                <w:szCs w:val="18"/>
              </w:rPr>
              <w:t>的股份，也不由发行人回购该等股份；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、发行人股票上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市后六个月内如公司股票连续二十个交易日的收盘价均 低于发行价（发行人股票上市后六个月内如有派息、送 </w:t>
            </w:r>
            <w:r>
              <w:rPr>
                <w:rFonts w:ascii="宋体" w:hAnsi="宋体" w:cs="宋体" w:eastAsia="宋体" w:hint="default"/>
                <w:spacing w:val="-3"/>
                <w:sz w:val="18"/>
                <w:szCs w:val="18"/>
              </w:rPr>
              <w:t>股、资本公积金转增股本、</w:t>
            </w:r>
            <w:r>
              <w:rPr>
                <w:rFonts w:ascii="宋体" w:hAnsi="宋体" w:cs="宋体" w:eastAsia="宋体" w:hint="default"/>
                <w:sz w:val="18"/>
                <w:szCs w:val="18"/>
              </w:rPr>
              <w:t> </w:t>
            </w:r>
            <w:r>
              <w:rPr>
                <w:rFonts w:ascii="宋体" w:hAnsi="宋体" w:cs="宋体" w:eastAsia="宋体" w:hint="default"/>
                <w:spacing w:val="-7"/>
                <w:sz w:val="18"/>
                <w:szCs w:val="18"/>
              </w:rPr>
              <w:t>发行价将相应进行调整，下同），或者上市后六个月期末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收盘价低于发行价，本公司持有发行人股票的锁定期限 在原有锁定期限基础上自动延长六个月。</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89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7"/>
                <w:sz w:val="20"/>
                <w:szCs w:val="20"/>
              </w:rPr>
              <w:pict>
                <v:group style="width:34.950pt;height:144.5pt;mso-position-horizontal-relative:char;mso-position-vertical-relative:line" coordorigin="0,0" coordsize="699,2890">
                  <v:group style="position:absolute;left:0;top:0;width:699;height:2890" coordorigin="0,0" coordsize="699,2890">
                    <v:shape style="position:absolute;left:0;top:0;width:699;height:2890" coordorigin="0,0" coordsize="699,2890" path="m0,2890l698,2890,698,0,0,0,0,2890xe" filled="true" fillcolor="#ffffff" stroked="false">
                      <v:path arrowok="t"/>
                      <v:fill type="solid"/>
                    </v:shape>
                  </v:group>
                  <v:group style="position:absolute;left:24;top:936;width:653;height:353" coordorigin="24,936" coordsize="653,353">
                    <v:shape style="position:absolute;left:24;top:936;width:653;height:353" coordorigin="24,936" coordsize="653,353" path="m24,1289l677,1289,677,936,24,936,24,1289xe" filled="true" fillcolor="#ffffff" stroked="false">
                      <v:path arrowok="t"/>
                      <v:fill type="solid"/>
                    </v:shape>
                  </v:group>
                  <v:group style="position:absolute;left:24;top:1289;width:653;height:312" coordorigin="24,1289" coordsize="653,312">
                    <v:shape style="position:absolute;left:24;top:1289;width:653;height:312" coordorigin="24,1289" coordsize="653,312" path="m24,1601l677,1601,677,1289,24,1289,24,1601xe" filled="true" fillcolor="#ffffff" stroked="false">
                      <v:path arrowok="t"/>
                      <v:fill type="solid"/>
                    </v:shape>
                  </v:group>
                  <v:group style="position:absolute;left:24;top:1601;width:653;height:353" coordorigin="24,1601" coordsize="653,353">
                    <v:shape style="position:absolute;left:24;top:1601;width:653;height:353" coordorigin="24,1601" coordsize="653,353" path="m24,1953l677,1953,677,1601,24,1601,24,1953xe" filled="true" fillcolor="#ffffff" stroked="false">
                      <v:path arrowok="t"/>
                      <v:fill type="solid"/>
                    </v:shape>
                  </v:group>
                </v:group>
              </w:pict>
            </w:r>
            <w:r>
              <w:rPr>
                <w:rFonts w:ascii="Times New Roman" w:hAnsi="Times New Roman" w:cs="Times New Roman" w:eastAsia="Times New Roman" w:hint="default"/>
                <w:position w:val="-57"/>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Times New Roman" w:hAnsi="Times New Roman" w:cs="Times New Roman" w:eastAsia="Times New Roman" w:hint="default"/>
                <w:sz w:val="18"/>
                <w:szCs w:val="18"/>
              </w:rPr>
            </w:pPr>
            <w:r>
              <w:rPr>
                <w:rFonts w:ascii="Times New Roman"/>
                <w:sz w:val="18"/>
              </w:rPr>
              <w:t>2020-0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7-18</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2585"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深圳市创新投资 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圳市建科投资股 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市英龙建安（集 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 关村发展集团有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32"/>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39"/>
              <w:jc w:val="left"/>
              <w:rPr>
                <w:rFonts w:ascii="宋体" w:hAnsi="宋体" w:cs="宋体" w:eastAsia="宋体" w:hint="default"/>
                <w:sz w:val="18"/>
                <w:szCs w:val="18"/>
              </w:rPr>
            </w:pPr>
            <w:r>
              <w:rPr>
                <w:rFonts w:ascii="宋体" w:hAnsi="宋体" w:cs="宋体" w:eastAsia="宋体" w:hint="default"/>
                <w:sz w:val="18"/>
                <w:szCs w:val="18"/>
              </w:rPr>
              <w:t>自发行人股票上市之日起十二个月内，不转让或者委托 他人管理所持有的发行人公开发行股份前已发行的股 份，也不由发行人回购该等股份。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7-18</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已履 行完 毕</w:t>
            </w:r>
          </w:p>
        </w:tc>
      </w:tr>
      <w:tr>
        <w:trPr>
          <w:trHeight w:val="5396"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3" w:right="22"/>
              <w:jc w:val="left"/>
              <w:rPr>
                <w:rFonts w:ascii="宋体" w:hAnsi="宋体" w:cs="宋体" w:eastAsia="宋体" w:hint="default"/>
                <w:sz w:val="18"/>
                <w:szCs w:val="18"/>
              </w:rPr>
            </w:pPr>
            <w:r>
              <w:rPr>
                <w:rFonts w:ascii="宋体" w:hAnsi="宋体" w:cs="宋体" w:eastAsia="宋体" w:hint="default"/>
                <w:sz w:val="18"/>
                <w:szCs w:val="18"/>
              </w:rPr>
              <w:t>陈泽广</w:t>
            </w:r>
            <w:r>
              <w:rPr>
                <w:rFonts w:ascii="Times New Roman" w:hAnsi="Times New Roman" w:cs="Times New Roman" w:eastAsia="Times New Roman" w:hint="default"/>
                <w:sz w:val="18"/>
                <w:szCs w:val="18"/>
              </w:rPr>
              <w:t>;</w:t>
            </w:r>
            <w:r>
              <w:rPr>
                <w:rFonts w:ascii="宋体" w:hAnsi="宋体" w:cs="宋体" w:eastAsia="宋体" w:hint="default"/>
                <w:sz w:val="18"/>
                <w:szCs w:val="18"/>
              </w:rPr>
              <w:t>蓝虹</w:t>
            </w:r>
            <w:r>
              <w:rPr>
                <w:rFonts w:ascii="Times New Roman" w:hAnsi="Times New Roman" w:cs="Times New Roman" w:eastAsia="Times New Roman" w:hint="default"/>
                <w:sz w:val="18"/>
                <w:szCs w:val="18"/>
              </w:rPr>
              <w:t>;</w:t>
            </w:r>
            <w:r>
              <w:rPr>
                <w:rFonts w:ascii="宋体" w:hAnsi="宋体" w:cs="宋体" w:eastAsia="宋体" w:hint="default"/>
                <w:sz w:val="18"/>
                <w:szCs w:val="18"/>
              </w:rPr>
              <w:t>刘俊 跃</w:t>
            </w:r>
            <w:r>
              <w:rPr>
                <w:rFonts w:ascii="Times New Roman" w:hAnsi="Times New Roman" w:cs="Times New Roman" w:eastAsia="Times New Roman" w:hint="default"/>
                <w:sz w:val="18"/>
                <w:szCs w:val="18"/>
              </w:rPr>
              <w:t>;</w:t>
            </w:r>
            <w:r>
              <w:rPr>
                <w:rFonts w:ascii="宋体" w:hAnsi="宋体" w:cs="宋体" w:eastAsia="宋体" w:hint="default"/>
                <w:sz w:val="18"/>
                <w:szCs w:val="18"/>
              </w:rPr>
              <w:t>毛洪伟</w:t>
            </w:r>
            <w:r>
              <w:rPr>
                <w:rFonts w:ascii="Times New Roman" w:hAnsi="Times New Roman" w:cs="Times New Roman" w:eastAsia="Times New Roman" w:hint="default"/>
                <w:sz w:val="18"/>
                <w:szCs w:val="18"/>
              </w:rPr>
              <w:t>;</w:t>
            </w:r>
            <w:r>
              <w:rPr>
                <w:rFonts w:ascii="宋体" w:hAnsi="宋体" w:cs="宋体" w:eastAsia="宋体" w:hint="default"/>
                <w:sz w:val="18"/>
                <w:szCs w:val="18"/>
              </w:rPr>
              <w:t>莫福 光</w:t>
            </w:r>
            <w:r>
              <w:rPr>
                <w:rFonts w:ascii="Times New Roman" w:hAnsi="Times New Roman" w:cs="Times New Roman" w:eastAsia="Times New Roman" w:hint="default"/>
                <w:sz w:val="18"/>
                <w:szCs w:val="18"/>
              </w:rPr>
              <w:t>;</w:t>
            </w:r>
            <w:r>
              <w:rPr>
                <w:rFonts w:ascii="宋体" w:hAnsi="宋体" w:cs="宋体" w:eastAsia="宋体" w:hint="default"/>
                <w:sz w:val="18"/>
                <w:szCs w:val="18"/>
              </w:rPr>
              <w:t>姚培</w:t>
            </w:r>
            <w:r>
              <w:rPr>
                <w:rFonts w:ascii="Times New Roman" w:hAnsi="Times New Roman" w:cs="Times New Roman" w:eastAsia="Times New Roman" w:hint="default"/>
                <w:sz w:val="18"/>
                <w:szCs w:val="18"/>
              </w:rPr>
              <w:t>;</w:t>
            </w:r>
            <w:r>
              <w:rPr>
                <w:rFonts w:ascii="宋体" w:hAnsi="宋体" w:cs="宋体" w:eastAsia="宋体" w:hint="default"/>
                <w:sz w:val="18"/>
                <w:szCs w:val="18"/>
              </w:rPr>
              <w:t>叶青</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32"/>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、自发行人股票上市之日起十二个月内，不转让或者 委托他人管理本人间接持有的发行人公开发行股份前已 </w:t>
            </w:r>
            <w:r>
              <w:rPr>
                <w:rFonts w:ascii="宋体" w:hAnsi="宋体" w:cs="宋体" w:eastAsia="宋体" w:hint="default"/>
                <w:spacing w:val="-3"/>
                <w:sz w:val="18"/>
                <w:szCs w:val="18"/>
              </w:rPr>
              <w:t>发行的股份，也不由发行人回购该等股份；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、在上述期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限届满后，本人在发行人任职期间每年转让直接或间接 持有发行人股份不超过本人直接或间接持有建科院股份 总数的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、在离职半年内，本人不转让所直接或间</w:t>
            </w:r>
            <w:r>
              <w:rPr>
                <w:rFonts w:ascii="宋体" w:hAnsi="宋体" w:cs="宋体" w:eastAsia="宋体" w:hint="default"/>
                <w:sz w:val="18"/>
                <w:szCs w:val="18"/>
              </w:rPr>
              <w:t> </w:t>
            </w:r>
            <w:r>
              <w:rPr>
                <w:rFonts w:ascii="宋体" w:hAnsi="宋体" w:cs="宋体" w:eastAsia="宋体" w:hint="default"/>
                <w:spacing w:val="-3"/>
                <w:sz w:val="18"/>
                <w:szCs w:val="18"/>
              </w:rPr>
              <w:t>接持有的发行人股份；</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、在发行人股票上市之日起六个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月内本人申报离职的，自申报离职之日起十八个月内不 转让本人直接或间接持有的发行人股份；在建科院股票 上市之日起七个月至十二个月之间申报离职的，自申报 离职之日起十二个月内本人不转让直接或间接持有的发 </w:t>
            </w:r>
            <w:r>
              <w:rPr>
                <w:rFonts w:ascii="宋体" w:hAnsi="宋体" w:cs="宋体" w:eastAsia="宋体" w:hint="default"/>
                <w:spacing w:val="-3"/>
                <w:sz w:val="18"/>
                <w:szCs w:val="18"/>
              </w:rPr>
              <w:t>行人股份；</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、发行人上市后六个月内如股票连续二十个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交易日的收盘价均低于发行价，或者上市后六个月期末 收盘价低于发行价，上述锁定期限届满后自动延长六个 </w:t>
            </w:r>
            <w:r>
              <w:rPr>
                <w:rFonts w:ascii="宋体" w:hAnsi="宋体" w:cs="宋体" w:eastAsia="宋体" w:hint="default"/>
                <w:spacing w:val="-3"/>
                <w:sz w:val="18"/>
                <w:szCs w:val="18"/>
              </w:rPr>
              <w:t>月的锁定期；</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、所持发行人股票在锁定期满后两年内减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持的，其减持价格不低于发行价；</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、本人不因职务变更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离职等原因而放弃履行该承诺。</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538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7"/>
                <w:sz w:val="20"/>
                <w:szCs w:val="20"/>
              </w:rPr>
              <w:pict>
                <v:group style="width:34.950pt;height:269.350pt;mso-position-horizontal-relative:char;mso-position-vertical-relative:line" coordorigin="0,0" coordsize="699,5387">
                  <v:group style="position:absolute;left:0;top:0;width:699;height:5387" coordorigin="0,0" coordsize="699,5387">
                    <v:shape style="position:absolute;left:0;top:0;width:699;height:5387" coordorigin="0,0" coordsize="699,5387" path="m0,5387l698,5387,698,0,0,0,0,5387xe" filled="true" fillcolor="#ffffff" stroked="false">
                      <v:path arrowok="t"/>
                      <v:fill type="solid"/>
                    </v:shape>
                  </v:group>
                  <v:group style="position:absolute;left:24;top:2184;width:653;height:353" coordorigin="24,2184" coordsize="653,353">
                    <v:shape style="position:absolute;left:24;top:2184;width:653;height:353" coordorigin="24,2184" coordsize="653,353" path="m24,2537l677,2537,677,2184,24,2184,24,2537xe" filled="true" fillcolor="#ffffff" stroked="false">
                      <v:path arrowok="t"/>
                      <v:fill type="solid"/>
                    </v:shape>
                  </v:group>
                  <v:group style="position:absolute;left:24;top:2537;width:653;height:312" coordorigin="24,2537" coordsize="653,312">
                    <v:shape style="position:absolute;left:24;top:2537;width:653;height:312" coordorigin="24,2537" coordsize="653,312" path="m24,2849l677,2849,677,2537,24,2537,24,2849xe" filled="true" fillcolor="#ffffff" stroked="false">
                      <v:path arrowok="t"/>
                      <v:fill type="solid"/>
                    </v:shape>
                  </v:group>
                  <v:group style="position:absolute;left:24;top:2849;width:653;height:353" coordorigin="24,2849" coordsize="653,353">
                    <v:shape style="position:absolute;left:24;top:2849;width:653;height:353" coordorigin="24,2849" coordsize="653,353" path="m24,3202l677,3202,677,2849,24,2849,24,3202xe" filled="true" fillcolor="#ffffff" stroked="false">
                      <v:path arrowok="t"/>
                      <v:fill type="solid"/>
                    </v:shape>
                  </v:group>
                </v:group>
              </w:pict>
            </w:r>
            <w:r>
              <w:rPr>
                <w:rFonts w:ascii="Times New Roman" w:hAnsi="Times New Roman" w:cs="Times New Roman" w:eastAsia="Times New Roman" w:hint="default"/>
                <w:position w:val="-107"/>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2-31</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1610"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深圳市资本运营 </w:t>
            </w:r>
            <w:r>
              <w:rPr>
                <w:rFonts w:ascii="宋体" w:hAnsi="宋体" w:cs="宋体" w:eastAsia="宋体" w:hint="default"/>
                <w:spacing w:val="-10"/>
                <w:sz w:val="18"/>
                <w:szCs w:val="18"/>
              </w:rPr>
              <w:t>集团有限公司（原</w:t>
            </w:r>
            <w:r>
              <w:rPr>
                <w:rFonts w:ascii="宋体" w:hAnsi="宋体" w:cs="宋体" w:eastAsia="宋体" w:hint="default"/>
                <w:sz w:val="18"/>
                <w:szCs w:val="18"/>
              </w:rPr>
              <w:t> 深圳市远致投资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4" w:lineRule="auto"/>
              <w:ind w:left="23" w:right="132"/>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9"/>
              <w:jc w:val="both"/>
              <w:rPr>
                <w:rFonts w:ascii="宋体" w:hAnsi="宋体" w:cs="宋体" w:eastAsia="宋体" w:hint="default"/>
                <w:sz w:val="18"/>
                <w:szCs w:val="18"/>
              </w:rPr>
            </w:pPr>
            <w:r>
              <w:rPr>
                <w:rFonts w:ascii="宋体" w:hAnsi="宋体" w:cs="宋体" w:eastAsia="宋体" w:hint="default"/>
                <w:sz w:val="18"/>
                <w:szCs w:val="18"/>
              </w:rPr>
              <w:t>本公司对发行人的发展前景充满信心，拟长期持有发行 人的股份。在股份锁定期满后两年内，本公司无减持所 持有的发行人股票的计划。但若出现法律法规、政策变 化、自然灾害等自身无法控制的客观原因，本公司需在 锁定期满后两年内减持的，减持价格将不低于发行价，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2-31</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46.859985pt;margin-top:333.645996pt;width:34.950pt;height:423.3pt;mso-position-horizontal-relative:page;mso-position-vertical-relative:page;z-index:-1164544" coordorigin="8937,6673" coordsize="699,8466">
            <v:group style="position:absolute;left:8937;top:6673;width:699;height:8466" coordorigin="8937,6673" coordsize="699,8466">
              <v:shape style="position:absolute;left:8937;top:6673;width:699;height:8466" coordorigin="8937,6673" coordsize="699,8466" path="m8937,15139l9636,15139,9636,6673,8937,6673,8937,15139xe" filled="true" fillcolor="#ffffff" stroked="false">
                <v:path arrowok="t"/>
                <v:fill type="solid"/>
              </v:shape>
            </v:group>
            <v:group style="position:absolute;left:8961;top:10398;width:653;height:351" coordorigin="8961,10398" coordsize="653,351">
              <v:shape style="position:absolute;left:8961;top:10398;width:653;height:351" coordorigin="8961,10398" coordsize="653,351" path="m8961,10749l9614,10749,9614,10398,8961,10398,8961,10749xe" filled="true" fillcolor="#ffffff" stroked="false">
                <v:path arrowok="t"/>
                <v:fill type="solid"/>
              </v:shape>
            </v:group>
            <v:group style="position:absolute;left:8961;top:10749;width:653;height:312" coordorigin="8961,10749" coordsize="653,312">
              <v:shape style="position:absolute;left:8961;top:10749;width:653;height:312" coordorigin="8961,10749" coordsize="653,312" path="m8961,11061l9614,11061,9614,10749,8961,10749,8961,11061xe" filled="true" fillcolor="#ffffff" stroked="false">
                <v:path arrowok="t"/>
                <v:fill type="solid"/>
              </v:shape>
            </v:group>
            <v:group style="position:absolute;left:8961;top:11061;width:653;height:353" coordorigin="8961,11061" coordsize="653,353">
              <v:shape style="position:absolute;left:8961;top:11061;width:653;height:353" coordorigin="8961,11061" coordsize="653,353" path="m8961,11413l9614,11413,9614,11061,8961,11061,8961,11413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419"/>
        <w:gridCol w:w="708"/>
        <w:gridCol w:w="4395"/>
        <w:gridCol w:w="708"/>
        <w:gridCol w:w="566"/>
        <w:gridCol w:w="497"/>
      </w:tblGrid>
      <w:tr>
        <w:trPr>
          <w:trHeight w:val="1299"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39"/>
              <w:jc w:val="both"/>
              <w:rPr>
                <w:rFonts w:ascii="宋体" w:hAnsi="宋体" w:cs="宋体" w:eastAsia="宋体" w:hint="default"/>
                <w:sz w:val="18"/>
                <w:szCs w:val="18"/>
              </w:rPr>
            </w:pPr>
            <w:r>
              <w:rPr>
                <w:rFonts w:ascii="宋体" w:hAnsi="宋体" w:cs="宋体" w:eastAsia="宋体" w:hint="default"/>
                <w:sz w:val="18"/>
                <w:szCs w:val="18"/>
              </w:rPr>
              <w:t>并将通过深圳证券交易所竞价交易系统、大宗交易平台 或深圳证券交易所允许的其他转让方式合法转让发行人 股票，实施减持时将提前三个交易日通过发行人予以公 告。</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z w:val="18"/>
                <w:szCs w:val="18"/>
              </w:rPr>
              <w:t>深圳市建科投资 股份有限公司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本公司对发行人的发展前景充满信心，拟长期持有发行 人的股份。本公司所持发行人股票锁定期届满后的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个月内，减持股票数量不超过本公司所持发行人股票锁 定期届满时本公司持有可减持股票数量的</w:t>
            </w:r>
            <w:r>
              <w:rPr>
                <w:rFonts w:ascii="宋体" w:hAnsi="宋体" w:cs="宋体" w:eastAsia="宋体" w:hint="default"/>
                <w:spacing w:val="1"/>
                <w:sz w:val="18"/>
                <w:szCs w:val="18"/>
              </w:rPr>
              <w:t> </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；锁定期</w:t>
            </w:r>
            <w:r>
              <w:rPr>
                <w:rFonts w:ascii="宋体" w:hAnsi="宋体" w:cs="宋体" w:eastAsia="宋体" w:hint="default"/>
                <w:sz w:val="18"/>
                <w:szCs w:val="18"/>
              </w:rPr>
              <w:t> 届满后的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个月内，本公司减持股票数量不超过锁定 期届满时本公司持有可减持股票数量的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7-18</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1964"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 </w:t>
            </w:r>
            <w:r>
              <w:rPr>
                <w:rFonts w:ascii="宋体" w:hAnsi="宋体" w:cs="宋体" w:eastAsia="宋体" w:hint="default"/>
                <w:spacing w:val="-10"/>
                <w:sz w:val="18"/>
                <w:szCs w:val="18"/>
              </w:rPr>
              <w:t>圳市英龙建安（集</w:t>
            </w:r>
            <w:r>
              <w:rPr>
                <w:rFonts w:ascii="宋体" w:hAnsi="宋体" w:cs="宋体" w:eastAsia="宋体" w:hint="default"/>
                <w:sz w:val="18"/>
                <w:szCs w:val="18"/>
              </w:rPr>
              <w:t> 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 关村发展集团股 份有限公司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39"/>
              <w:jc w:val="both"/>
              <w:rPr>
                <w:rFonts w:ascii="宋体" w:hAnsi="宋体" w:cs="宋体" w:eastAsia="宋体" w:hint="default"/>
                <w:sz w:val="18"/>
                <w:szCs w:val="18"/>
              </w:rPr>
            </w:pPr>
            <w:r>
              <w:rPr>
                <w:rFonts w:ascii="宋体" w:hAnsi="宋体" w:cs="宋体" w:eastAsia="宋体" w:hint="default"/>
                <w:sz w:val="18"/>
                <w:szCs w:val="18"/>
              </w:rPr>
              <w:t>本公司对发行人的发展前景充满信心，拟长期持有发行 人的股份。如因自身资金需求、实现投资收益、公司股 票价格波动等原因，在不违反本公司在本次公开发行时 所作出的公开承诺的前提下，本公司可依法减持发行人 公开发行股票前所持有发行人的股份。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2-31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8475"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z w:val="18"/>
                <w:szCs w:val="18"/>
              </w:rPr>
              <w:t>深圳市建筑科学 研究院股份有限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3" w:right="132"/>
              <w:jc w:val="left"/>
              <w:rPr>
                <w:rFonts w:ascii="宋体" w:hAnsi="宋体" w:cs="宋体" w:eastAsia="宋体" w:hint="default"/>
                <w:sz w:val="18"/>
                <w:szCs w:val="18"/>
              </w:rPr>
            </w:pPr>
            <w:r>
              <w:rPr>
                <w:rFonts w:ascii="宋体" w:hAnsi="宋体" w:cs="宋体" w:eastAsia="宋体" w:hint="default"/>
                <w:sz w:val="18"/>
                <w:szCs w:val="18"/>
              </w:rPr>
              <w:t>分红承 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本次发行后的利润分配政策和股东分红回报规划（一） 本次发行前滚存利润分配方案根据公司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 大会审议通过的《关于公司本次发行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股前滚存利润分 </w:t>
            </w:r>
            <w:r>
              <w:rPr>
                <w:rFonts w:ascii="宋体" w:hAnsi="宋体" w:cs="宋体" w:eastAsia="宋体" w:hint="default"/>
                <w:spacing w:val="-7"/>
                <w:sz w:val="18"/>
                <w:szCs w:val="18"/>
              </w:rPr>
              <w:t>配方案的议案》，公司首次公开发行股票前的滚存利润由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7"/>
                <w:sz w:val="18"/>
                <w:szCs w:val="18"/>
              </w:rPr>
              <w:t>发行后的新老股东按照发行后的股份比例共享。（二）本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次发行后利润分配政策根据公司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 </w:t>
            </w:r>
            <w:r>
              <w:rPr>
                <w:rFonts w:ascii="宋体" w:hAnsi="宋体" w:cs="宋体" w:eastAsia="宋体" w:hint="default"/>
                <w:spacing w:val="-8"/>
                <w:sz w:val="18"/>
                <w:szCs w:val="18"/>
              </w:rPr>
              <w:t>议通过的《公司章程（草案）》，公司发行后的利润分配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政策如下：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、基本原则公司应着眼于长远和可持续发展</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以股东利益最大化为公司价值目标</w:t>
            </w:r>
            <w:r>
              <w:rPr>
                <w:rFonts w:ascii="Times New Roman" w:hAnsi="Times New Roman" w:cs="Times New Roman" w:eastAsia="Times New Roman" w:hint="default"/>
                <w:sz w:val="18"/>
                <w:szCs w:val="18"/>
              </w:rPr>
              <w:t>,</w:t>
            </w:r>
            <w:r>
              <w:rPr>
                <w:rFonts w:ascii="宋体" w:hAnsi="宋体" w:cs="宋体" w:eastAsia="宋体" w:hint="default"/>
                <w:sz w:val="18"/>
                <w:szCs w:val="18"/>
              </w:rPr>
              <w:t>持续采取积极的现 金及股票股利分配政策</w:t>
            </w:r>
            <w:r>
              <w:rPr>
                <w:rFonts w:ascii="Times New Roman" w:hAnsi="Times New Roman" w:cs="Times New Roman" w:eastAsia="Times New Roman" w:hint="default"/>
                <w:sz w:val="18"/>
                <w:szCs w:val="18"/>
              </w:rPr>
              <w:t>,</w:t>
            </w:r>
            <w:r>
              <w:rPr>
                <w:rFonts w:ascii="宋体" w:hAnsi="宋体" w:cs="宋体" w:eastAsia="宋体" w:hint="default"/>
                <w:sz w:val="18"/>
                <w:szCs w:val="18"/>
              </w:rPr>
              <w:t>注重对投资者回报</w:t>
            </w:r>
            <w:r>
              <w:rPr>
                <w:rFonts w:ascii="Times New Roman" w:hAnsi="Times New Roman" w:cs="Times New Roman" w:eastAsia="Times New Roman" w:hint="default"/>
                <w:sz w:val="18"/>
                <w:szCs w:val="18"/>
              </w:rPr>
              <w:t>,</w:t>
            </w:r>
            <w:r>
              <w:rPr>
                <w:rFonts w:ascii="宋体" w:hAnsi="宋体" w:cs="宋体" w:eastAsia="宋体" w:hint="default"/>
                <w:sz w:val="18"/>
                <w:szCs w:val="18"/>
              </w:rPr>
              <w:t>切实履行上 </w:t>
            </w:r>
            <w:r>
              <w:rPr>
                <w:rFonts w:ascii="宋体" w:hAnsi="宋体" w:cs="宋体" w:eastAsia="宋体" w:hint="default"/>
                <w:spacing w:val="-9"/>
                <w:sz w:val="18"/>
                <w:szCs w:val="18"/>
              </w:rPr>
              <w:t>市公司社会责任</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严格按照《公司法》、《证券法》以及中</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国证监会、证券交易所有关规定</w:t>
            </w:r>
            <w:r>
              <w:rPr>
                <w:rFonts w:ascii="Times New Roman" w:hAnsi="Times New Roman" w:cs="Times New Roman" w:eastAsia="Times New Roman" w:hint="default"/>
                <w:sz w:val="18"/>
                <w:szCs w:val="18"/>
              </w:rPr>
              <w:t>,</w:t>
            </w:r>
            <w:r>
              <w:rPr>
                <w:rFonts w:ascii="宋体" w:hAnsi="宋体" w:cs="宋体" w:eastAsia="宋体" w:hint="default"/>
                <w:sz w:val="18"/>
                <w:szCs w:val="18"/>
              </w:rPr>
              <w:t>建立对投资者持续、稳 定、科学的回报机制。公司利润分配应注重对股东的合 理投资回报并兼顾公司的持续发展</w:t>
            </w:r>
            <w:r>
              <w:rPr>
                <w:rFonts w:ascii="Times New Roman" w:hAnsi="Times New Roman" w:cs="Times New Roman" w:eastAsia="Times New Roman" w:hint="default"/>
                <w:sz w:val="18"/>
                <w:szCs w:val="18"/>
              </w:rPr>
              <w:t>,</w:t>
            </w:r>
            <w:r>
              <w:rPr>
                <w:rFonts w:ascii="宋体" w:hAnsi="宋体" w:cs="宋体" w:eastAsia="宋体" w:hint="default"/>
                <w:sz w:val="18"/>
                <w:szCs w:val="18"/>
              </w:rPr>
              <w:t>主要采取现金分红 的方式进行</w:t>
            </w:r>
            <w:r>
              <w:rPr>
                <w:rFonts w:ascii="Times New Roman" w:hAnsi="Times New Roman" w:cs="Times New Roman" w:eastAsia="Times New Roman" w:hint="default"/>
                <w:sz w:val="18"/>
                <w:szCs w:val="18"/>
              </w:rPr>
              <w:t>,</w:t>
            </w:r>
            <w:r>
              <w:rPr>
                <w:rFonts w:ascii="宋体" w:hAnsi="宋体" w:cs="宋体" w:eastAsia="宋体" w:hint="default"/>
                <w:sz w:val="18"/>
                <w:szCs w:val="18"/>
              </w:rPr>
              <w:t>利润分配政策应保持连续性和稳定性。公司 当年未分配利润将用于生产经营或者留待以后年度进行 </w:t>
            </w:r>
            <w:r>
              <w:rPr>
                <w:rFonts w:ascii="宋体" w:hAnsi="宋体" w:cs="宋体" w:eastAsia="宋体" w:hint="default"/>
                <w:spacing w:val="-3"/>
                <w:sz w:val="18"/>
                <w:szCs w:val="18"/>
              </w:rPr>
              <w:t>分配。</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、利润分配的形式和比例、发放股票股利的条件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以及利润分配的期间间隔公司采用现金、股票、现金与 股票相结合或者法律、法规允许的其他方式分配股利</w:t>
            </w:r>
            <w:r>
              <w:rPr>
                <w:rFonts w:ascii="Times New Roman" w:hAnsi="Times New Roman" w:cs="Times New Roman" w:eastAsia="Times New Roman" w:hint="default"/>
                <w:sz w:val="18"/>
                <w:szCs w:val="18"/>
              </w:rPr>
              <w:t>, </w:t>
            </w:r>
            <w:r>
              <w:rPr>
                <w:rFonts w:ascii="宋体" w:hAnsi="宋体" w:cs="宋体" w:eastAsia="宋体" w:hint="default"/>
                <w:sz w:val="18"/>
                <w:szCs w:val="18"/>
              </w:rPr>
              <w:t>并优先采用现金方式分配：公司每年以现金形式分配的 利润不少于当年实现的可供分配利润的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，且分配金 额不低于按合并会计报表口径计算的当年实现的可分配 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；在完成上述现金股利分配后，若公司未分 配利润达到或超过股本的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时，公司可实施股票股利 分配，采用股票股利进行利润分配的，应当具有公司成 长性、每股净资产的摊薄等真实合理因素；除上述年度 股利分配外，公司可进行中期现金分红。公司发展阶段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2-31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0.690002pt;margin-top:72.475983pt;width:131.1pt;height:686.5pt;mso-position-horizontal-relative:page;mso-position-vertical-relative:page;z-index:-1164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8"/>
                    <w:ind w:left="0" w:right="639"/>
                    <w:jc w:val="right"/>
                  </w:pPr>
                  <w:r>
                    <w:rPr/>
                    <w:t>并直接提交董事会审议，</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316" w:lineRule="auto"/>
                    <w:ind w:left="0" w:right="639" w:firstLine="900"/>
                    <w:jc w:val="right"/>
                  </w:pPr>
                  <w:r>
                    <w:rPr/>
                    <w:t>监事会审议， 涉及股利分配相关议案，</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pStyle w:val="BodyText"/>
                    <w:spacing w:line="240" w:lineRule="auto"/>
                    <w:ind w:left="0" w:right="639"/>
                    <w:jc w:val="right"/>
                  </w:pPr>
                  <w:r>
                    <w:rPr/>
                    <w:t>建立对投资者持续、</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636"/>
                    <w:jc w:val="right"/>
                  </w:pPr>
                  <w:r>
                    <w:rPr/>
                    <w:t>、</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419"/>
        <w:gridCol w:w="708"/>
        <w:gridCol w:w="4395"/>
        <w:gridCol w:w="708"/>
        <w:gridCol w:w="566"/>
        <w:gridCol w:w="494"/>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属成熟期且无重大资金支出安排的，进行利润分配时，</w:t>
            </w:r>
          </w:p>
        </w:tc>
        <w:tc>
          <w:tcPr>
            <w:tcW w:w="708"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34.950pt;height:686.5pt;mso-position-horizontal-relative:char;mso-position-vertical-relative:line" coordorigin="0,0" coordsize="699,13730">
                  <v:group style="position:absolute;left:0;top:0;width:699;height:13730" coordorigin="0,0" coordsize="699,13730">
                    <v:shape style="position:absolute;left:0;top:0;width:699;height:13730" coordorigin="0,0" coordsize="699,13730" path="m0,13730l698,13730,698,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566" w:type="dxa"/>
            <w:vMerge w:val="restart"/>
            <w:tcBorders>
              <w:top w:val="single" w:sz="4" w:space="0" w:color="000000"/>
              <w:left w:val="single" w:sz="4" w:space="0" w:color="000000"/>
              <w:right w:val="single" w:sz="4" w:space="0" w:color="000000"/>
            </w:tcBorders>
          </w:tcPr>
          <w:p>
            <w:pPr/>
          </w:p>
        </w:tc>
        <w:tc>
          <w:tcPr>
            <w:tcW w:w="494" w:type="dxa"/>
            <w:vMerge w:val="restart"/>
            <w:tcBorders>
              <w:top w:val="single" w:sz="4" w:space="0" w:color="000000"/>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现金分红在该次利润分配中所占比例最低应达到</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公司发展阶段属成熟期且有重大资金支出安排的，进行</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利润分配时，现金分红在该次利润分配中所占比例最低</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应达到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；公司发展阶段属成长期或不易区分且有重</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大资金支出安排的，进行利润分配时，现金分红在该次</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利润分配中所占比例最低应达到 </w:t>
            </w:r>
            <w:r>
              <w:rPr>
                <w:rFonts w:ascii="Times New Roman" w:hAnsi="Times New Roman" w:cs="Times New Roman" w:eastAsia="Times New Roman" w:hint="default"/>
                <w:sz w:val="18"/>
                <w:szCs w:val="18"/>
              </w:rPr>
              <w:t>20%</w:t>
            </w:r>
            <w:r>
              <w:rPr>
                <w:rFonts w:ascii="宋体" w:hAnsi="宋体" w:cs="宋体" w:eastAsia="宋体" w:hint="default"/>
                <w:sz w:val="18"/>
                <w:szCs w:val="18"/>
              </w:rPr>
              <w:t>。本条所称</w:t>
            </w:r>
            <w:r>
              <w:rPr>
                <w:rFonts w:ascii="Times New Roman" w:hAnsi="Times New Roman" w:cs="Times New Roman" w:eastAsia="Times New Roman" w:hint="default"/>
                <w:sz w:val="18"/>
                <w:szCs w:val="18"/>
              </w:rPr>
              <w:t>“</w:t>
            </w:r>
            <w:r>
              <w:rPr>
                <w:rFonts w:ascii="宋体" w:hAnsi="宋体" w:cs="宋体" w:eastAsia="宋体" w:hint="default"/>
                <w:sz w:val="18"/>
                <w:szCs w:val="18"/>
              </w:rPr>
              <w:t>重大</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资金支出</w:t>
            </w:r>
            <w:r>
              <w:rPr>
                <w:rFonts w:ascii="Times New Roman" w:hAnsi="Times New Roman" w:cs="Times New Roman" w:eastAsia="Times New Roman" w:hint="default"/>
                <w:sz w:val="18"/>
                <w:szCs w:val="18"/>
              </w:rPr>
              <w:t>”</w:t>
            </w:r>
            <w:r>
              <w:rPr>
                <w:rFonts w:ascii="宋体" w:hAnsi="宋体" w:cs="宋体" w:eastAsia="宋体" w:hint="default"/>
                <w:sz w:val="18"/>
                <w:szCs w:val="18"/>
              </w:rPr>
              <w:t>指预计在未来一个会计年度一次性或累计资</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金支出超过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万元。公司董事会未作出现金分配预</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案的，应当在定期报告中披露原因及留存资金的具体用</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途，独立董事应当对此发表独立意见。</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、股利分配的决</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策程序公司在每个会计年度结束后，由公司董事会提出</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公司及全资子公司的利润分配议案，董事会应当认真研</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究和论证公司现金分红的时机、条件、最低比例、调整</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的条件及其决策程序要求等事宜，独立董事可以征集中</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小股东的意见，提出分红提案，</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公司董事会在利润分配方案论证过程中，需与独立董事</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充分讨论，董事会在考虑对全体股东持续、稳定、科学</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的回报基础上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形成利润分配预案；在经公司二分之一以</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上独立董事同意后，方能提交公司董事会、</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并最终提交股东大会审议表决。</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公司独立董事可在股东大会召开前向公司社会公众股股</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东征集其在股东大会上的投票权，独立董事行使上述职</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权应当取得全体独立董事的二分之一以上同意；公司审</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议利润分配方案时，应为股东提供网络投票方式。</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、利</w:t>
            </w:r>
            <w:r>
              <w:rPr>
                <w:rFonts w:ascii="宋体" w:hAnsi="宋体" w:cs="宋体" w:eastAsia="宋体" w:hint="default"/>
                <w:sz w:val="18"/>
                <w:szCs w:val="18"/>
              </w:rPr>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润分配政策调整程序公司如需调整利润分配政策，调整</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后的利润分配政策不得违反中国证监会和证券交易所的</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有关规定；有关调整利润分配政策的议案需经二分之一</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以上独立董事同意后提交董事会、监事会和股东大会批</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准。公司审议利润分配政策变更事项时，应为股东提供</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网络投票方式</w:t>
            </w:r>
            <w:r>
              <w:rPr>
                <w:rFonts w:ascii="宋体" w:hAnsi="宋体" w:cs="宋体" w:eastAsia="宋体" w:hint="default"/>
                <w:spacing w:val="-128"/>
                <w:sz w:val="18"/>
                <w:szCs w:val="18"/>
              </w:rPr>
              <w:t>。</w:t>
            </w:r>
            <w:r>
              <w:rPr>
                <w:rFonts w:ascii="宋体" w:hAnsi="宋体" w:cs="宋体" w:eastAsia="宋体" w:hint="default"/>
                <w:sz w:val="18"/>
                <w:szCs w:val="18"/>
              </w:rPr>
              <w:t>（三</w:t>
            </w:r>
            <w:r>
              <w:rPr>
                <w:rFonts w:ascii="宋体" w:hAnsi="宋体" w:cs="宋体" w:eastAsia="宋体" w:hint="default"/>
                <w:spacing w:val="-36"/>
                <w:sz w:val="18"/>
                <w:szCs w:val="18"/>
              </w:rPr>
              <w:t>）</w:t>
            </w:r>
            <w:r>
              <w:rPr>
                <w:rFonts w:ascii="宋体" w:hAnsi="宋体" w:cs="宋体" w:eastAsia="宋体" w:hint="default"/>
                <w:sz w:val="18"/>
                <w:szCs w:val="18"/>
              </w:rPr>
              <w:t>上市后</w:t>
            </w:r>
            <w:r>
              <w:rPr>
                <w:rFonts w:ascii="宋体" w:hAnsi="宋体" w:cs="宋体" w:eastAsia="宋体" w:hint="default"/>
                <w:spacing w:val="2"/>
                <w:sz w:val="18"/>
                <w:szCs w:val="18"/>
              </w:rPr>
              <w:t>未</w:t>
            </w:r>
            <w:r>
              <w:rPr>
                <w:rFonts w:ascii="宋体" w:hAnsi="宋体" w:cs="宋体" w:eastAsia="宋体" w:hint="default"/>
                <w:sz w:val="18"/>
                <w:szCs w:val="18"/>
              </w:rPr>
              <w:t>来三年股利分配规划为明</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确公司股东分红回报规划</w:t>
            </w:r>
            <w:r>
              <w:rPr>
                <w:rFonts w:ascii="宋体" w:hAnsi="宋体" w:cs="宋体" w:eastAsia="宋体" w:hint="default"/>
                <w:spacing w:val="-24"/>
                <w:sz w:val="18"/>
                <w:szCs w:val="18"/>
              </w:rPr>
              <w:t>，</w:t>
            </w:r>
            <w:r>
              <w:rPr>
                <w:rFonts w:ascii="宋体" w:hAnsi="宋体" w:cs="宋体" w:eastAsia="宋体" w:hint="default"/>
                <w:sz w:val="18"/>
                <w:szCs w:val="18"/>
              </w:rPr>
              <w:t>进一步细</w:t>
            </w:r>
            <w:r>
              <w:rPr>
                <w:rFonts w:ascii="宋体" w:hAnsi="宋体" w:cs="宋体" w:eastAsia="宋体" w:hint="default"/>
                <w:spacing w:val="-24"/>
                <w:sz w:val="18"/>
                <w:szCs w:val="18"/>
              </w:rPr>
              <w:t>化</w:t>
            </w:r>
            <w:r>
              <w:rPr>
                <w:rFonts w:ascii="宋体" w:hAnsi="宋体" w:cs="宋体" w:eastAsia="宋体" w:hint="default"/>
                <w:sz w:val="18"/>
                <w:szCs w:val="18"/>
              </w:rPr>
              <w:t>《公司章程</w:t>
            </w:r>
            <w:r>
              <w:rPr>
                <w:rFonts w:ascii="宋体" w:hAnsi="宋体" w:cs="宋体" w:eastAsia="宋体" w:hint="default"/>
                <w:spacing w:val="-116"/>
                <w:sz w:val="18"/>
                <w:szCs w:val="18"/>
              </w:rPr>
              <w:t>》</w:t>
            </w:r>
            <w:r>
              <w:rPr>
                <w:rFonts w:ascii="宋体" w:hAnsi="宋体" w:cs="宋体" w:eastAsia="宋体" w:hint="default"/>
                <w:sz w:val="18"/>
                <w:szCs w:val="18"/>
              </w:rPr>
              <w:t>（草</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案）中利润分配条款，公司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了《上市后未来三年股东分红回报规划》对上市后未来</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三年的股利分配进行了规划，具体内容如下：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、制定股</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东回报规划的考虑因素公司着眼于长远和可持续发展，</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综合考虑公司盈利情况、经营发展目标、股东回报、社</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会资金成本及外部融资环境等因素，</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稳定、科学的回报规划制度，以保证股利分配政策的连</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续性和稳定性。</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、制定股东回报规划的原则公司股东回</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报规划充分考虑和听取股</w:t>
            </w:r>
            <w:r>
              <w:rPr>
                <w:rFonts w:ascii="宋体" w:hAnsi="宋体" w:cs="宋体" w:eastAsia="宋体" w:hint="default"/>
                <w:spacing w:val="-36"/>
                <w:sz w:val="18"/>
                <w:szCs w:val="18"/>
              </w:rPr>
              <w:t>东</w:t>
            </w:r>
            <w:r>
              <w:rPr>
                <w:rFonts w:ascii="宋体" w:hAnsi="宋体" w:cs="宋体" w:eastAsia="宋体" w:hint="default"/>
                <w:sz w:val="18"/>
                <w:szCs w:val="18"/>
              </w:rPr>
              <w:t>（特别是公众投资者</w:t>
            </w:r>
            <w:r>
              <w:rPr>
                <w:rFonts w:ascii="宋体" w:hAnsi="宋体" w:cs="宋体" w:eastAsia="宋体" w:hint="default"/>
                <w:spacing w:val="-92"/>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独立</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董事和监事的意见</w:t>
            </w:r>
            <w:r>
              <w:rPr>
                <w:rFonts w:ascii="宋体" w:hAnsi="宋体" w:cs="宋体" w:eastAsia="宋体" w:hint="default"/>
                <w:spacing w:val="-82"/>
                <w:sz w:val="18"/>
                <w:szCs w:val="18"/>
              </w:rPr>
              <w:t>，</w:t>
            </w:r>
            <w:r>
              <w:rPr>
                <w:rFonts w:ascii="宋体" w:hAnsi="宋体" w:cs="宋体" w:eastAsia="宋体" w:hint="default"/>
                <w:sz w:val="18"/>
                <w:szCs w:val="18"/>
              </w:rPr>
              <w:t>坚持现金</w:t>
            </w:r>
            <w:r>
              <w:rPr>
                <w:rFonts w:ascii="宋体" w:hAnsi="宋体" w:cs="宋体" w:eastAsia="宋体" w:hint="default"/>
                <w:spacing w:val="2"/>
                <w:sz w:val="18"/>
                <w:szCs w:val="18"/>
              </w:rPr>
              <w:t>分</w:t>
            </w:r>
            <w:r>
              <w:rPr>
                <w:rFonts w:ascii="宋体" w:hAnsi="宋体" w:cs="宋体" w:eastAsia="宋体" w:hint="default"/>
                <w:sz w:val="18"/>
                <w:szCs w:val="18"/>
              </w:rPr>
              <w:t>红为主这一基本原则</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3</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股东回报规划审阅与修改程序公司至少每三年重新审阅</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24"/>
                <w:sz w:val="18"/>
                <w:szCs w:val="18"/>
              </w:rPr>
              <w:t>次</w:t>
            </w:r>
            <w:r>
              <w:rPr>
                <w:rFonts w:ascii="宋体" w:hAnsi="宋体" w:cs="宋体" w:eastAsia="宋体" w:hint="default"/>
                <w:sz w:val="18"/>
                <w:szCs w:val="18"/>
              </w:rPr>
              <w:t>《股东分红回报规划</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pacing w:val="2"/>
                <w:sz w:val="18"/>
                <w:szCs w:val="18"/>
              </w:rPr>
              <w:t>结</w:t>
            </w:r>
            <w:r>
              <w:rPr>
                <w:rFonts w:ascii="宋体" w:hAnsi="宋体" w:cs="宋体" w:eastAsia="宋体" w:hint="default"/>
                <w:sz w:val="18"/>
                <w:szCs w:val="18"/>
              </w:rPr>
              <w:t>合股</w:t>
            </w:r>
            <w:r>
              <w:rPr>
                <w:rFonts w:ascii="宋体" w:hAnsi="宋体" w:cs="宋体" w:eastAsia="宋体" w:hint="default"/>
                <w:spacing w:val="-24"/>
                <w:sz w:val="18"/>
                <w:szCs w:val="18"/>
              </w:rPr>
              <w:t>东</w:t>
            </w:r>
            <w:r>
              <w:rPr>
                <w:rFonts w:ascii="宋体" w:hAnsi="宋体" w:cs="宋体" w:eastAsia="宋体" w:hint="default"/>
                <w:sz w:val="18"/>
                <w:szCs w:val="18"/>
              </w:rPr>
              <w:t>（特别是公众投资</w:t>
            </w: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3.690002pt;margin-top:72.47998pt;width:158.1pt;height:345.3pt;mso-position-horizontal-relative:page;mso-position-vertical-relative:page;z-index:-11644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1"/>
                      <w:szCs w:val="21"/>
                    </w:rPr>
                  </w:pPr>
                </w:p>
                <w:p>
                  <w:pPr>
                    <w:pStyle w:val="BodyText"/>
                    <w:spacing w:line="240" w:lineRule="auto"/>
                    <w:ind w:left="0" w:right="0"/>
                    <w:jc w:val="left"/>
                  </w:pPr>
                  <w:r>
                    <w:rPr/>
                    <w:t>及时答复中小股东关心的问题。</w:t>
                  </w:r>
                </w:p>
              </w:txbxContent>
            </v:textbox>
            <w10:wrap type="none"/>
          </v:shape>
        </w:pict>
      </w:r>
      <w:r>
        <w:rPr/>
        <w:pict>
          <v:shape style="position:absolute;margin-left:350.690002pt;margin-top:418.245972pt;width:131.1pt;height:345.3pt;mso-position-horizontal-relative:page;mso-position-vertical-relative:page;z-index:-1164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3"/>
                      <w:szCs w:val="23"/>
                    </w:rPr>
                  </w:pPr>
                </w:p>
                <w:p>
                  <w:pPr>
                    <w:pStyle w:val="BodyText"/>
                    <w:spacing w:line="240" w:lineRule="auto"/>
                    <w:ind w:left="0" w:right="0"/>
                    <w:jc w:val="left"/>
                  </w:pPr>
                  <w:r>
                    <w:rPr/>
                    <w:t>相似或构成竞争的业务，</w:t>
                  </w:r>
                </w:p>
              </w:txbxContent>
            </v:textbox>
            <w10:wrap type="none"/>
          </v:shape>
        </w:pict>
      </w:r>
      <w:r>
        <w:rPr/>
        <w:pict>
          <v:group style="position:absolute;margin-left:445.299988pt;margin-top:72.47998pt;width:36.5pt;height:691.1pt;mso-position-horizontal-relative:page;mso-position-vertical-relative:page;z-index:-1164424" coordorigin="8906,1450" coordsize="730,13822">
            <v:group style="position:absolute;left:8937;top:1450;width:699;height:6906" coordorigin="8937,1450" coordsize="699,6906">
              <v:shape style="position:absolute;left:8937;top:1450;width:699;height:6906" coordorigin="8937,1450" coordsize="699,6906" path="m8937,8355l9636,8355,9636,1450,8937,1450,8937,8355xe" filled="true" fillcolor="#ffffff" stroked="false">
                <v:path arrowok="t"/>
                <v:fill type="solid"/>
              </v:shape>
            </v:group>
            <v:group style="position:absolute;left:8906;top:14959;width:22;height:312" coordorigin="8906,14959" coordsize="22,312">
              <v:shape style="position:absolute;left:8906;top:14959;width:22;height:312" coordorigin="8906,14959" coordsize="22,312" path="m8906,15271l8928,15271,8928,14959,8906,14959,8906,15271xe" filled="true" fillcolor="#ffffff" stroked="false">
                <v:path arrowok="t"/>
                <v:fill type="solid"/>
              </v:shape>
            </v:group>
            <v:group style="position:absolute;left:8937;top:8365;width:699;height:6906" coordorigin="8937,8365" coordsize="699,6906">
              <v:shape style="position:absolute;left:8937;top:8365;width:699;height:6906" coordorigin="8937,8365" coordsize="699,6906" path="m8937,15271l9636,15271,9636,8365,8937,8365,8937,15271xe" filled="true" fillcolor="#ffffff" stroked="false">
                <v:path arrowok="t"/>
                <v:fill type="solid"/>
              </v:shape>
            </v:group>
            <v:group style="position:absolute;left:8961;top:11310;width:653;height:351" coordorigin="8961,11310" coordsize="653,351">
              <v:shape style="position:absolute;left:8961;top:11310;width:653;height:351" coordorigin="8961,11310" coordsize="653,351" path="m8961,11661l9614,11661,9614,11310,8961,11310,8961,11661xe" filled="true" fillcolor="#ffffff" stroked="false">
                <v:path arrowok="t"/>
                <v:fill type="solid"/>
              </v:shape>
            </v:group>
            <v:group style="position:absolute;left:8961;top:11661;width:653;height:312" coordorigin="8961,11661" coordsize="653,312">
              <v:shape style="position:absolute;left:8961;top:11661;width:653;height:312" coordorigin="8961,11661" coordsize="653,312" path="m8961,11973l9614,11973,9614,11661,8961,11661,8961,11973xe" filled="true" fillcolor="#ffffff" stroked="false">
                <v:path arrowok="t"/>
                <v:fill type="solid"/>
              </v:shape>
            </v:group>
            <v:group style="position:absolute;left:8961;top:11973;width:653;height:353" coordorigin="8961,11973" coordsize="653,353">
              <v:shape style="position:absolute;left:8961;top:11973;width:653;height:353" coordorigin="8961,11973" coordsize="653,353" path="m8961,12325l9614,12325,9614,11973,8961,11973,8961,12325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419"/>
        <w:gridCol w:w="708"/>
        <w:gridCol w:w="4395"/>
        <w:gridCol w:w="708"/>
        <w:gridCol w:w="566"/>
        <w:gridCol w:w="494"/>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w:t>
            </w:r>
            <w:r>
              <w:rPr>
                <w:rFonts w:ascii="宋体" w:hAnsi="宋体" w:cs="宋体" w:eastAsia="宋体" w:hint="default"/>
                <w:spacing w:val="-92"/>
                <w:sz w:val="18"/>
                <w:szCs w:val="18"/>
              </w:rPr>
              <w:t>）</w:t>
            </w:r>
            <w:r>
              <w:rPr>
                <w:rFonts w:ascii="宋体" w:hAnsi="宋体" w:cs="宋体" w:eastAsia="宋体" w:hint="default"/>
                <w:spacing w:val="-72"/>
                <w:sz w:val="18"/>
                <w:szCs w:val="18"/>
              </w:rPr>
              <w:t>、</w:t>
            </w:r>
            <w:r>
              <w:rPr>
                <w:rFonts w:ascii="宋体" w:hAnsi="宋体" w:cs="宋体" w:eastAsia="宋体" w:hint="default"/>
                <w:sz w:val="18"/>
                <w:szCs w:val="18"/>
              </w:rPr>
              <w:t>独立董事和监事的意见</w:t>
            </w:r>
            <w:r>
              <w:rPr>
                <w:rFonts w:ascii="宋体" w:hAnsi="宋体" w:cs="宋体" w:eastAsia="宋体" w:hint="default"/>
                <w:spacing w:val="2"/>
                <w:sz w:val="18"/>
                <w:szCs w:val="18"/>
              </w:rPr>
              <w:t>对</w:t>
            </w:r>
            <w:r>
              <w:rPr>
                <w:rFonts w:ascii="宋体" w:hAnsi="宋体" w:cs="宋体" w:eastAsia="宋体" w:hint="default"/>
                <w:sz w:val="18"/>
                <w:szCs w:val="18"/>
              </w:rPr>
              <w:t>公司正在实施的股利分配</w:t>
            </w:r>
          </w:p>
        </w:tc>
        <w:tc>
          <w:tcPr>
            <w:tcW w:w="70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94"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政策作出适当且必要的修改，确定该时段的股东分红回</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报计划，但公司保证调整后的股东分红回报计划不得违</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反公司章程确定的利润分配政策。</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、上市后三年股东分</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红回报计划公司利润分配可采取现金、股票、现金与股</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票相结合或者法律、法规允许的其他方式。公司盈利年</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度在满足正常生产经营和重大投资的资金需求情况下，</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公司应当采取现金方式分配股利，以现金方式分配的利</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润不少于当年实现的可供分配利润的</w:t>
            </w:r>
            <w:r>
              <w:rPr>
                <w:rFonts w:ascii="宋体" w:hAnsi="宋体" w:cs="宋体" w:eastAsia="宋体" w:hint="default"/>
                <w:spacing w:val="-41"/>
                <w:sz w:val="18"/>
                <w:szCs w:val="18"/>
              </w:rPr>
              <w:t> </w:t>
            </w:r>
            <w:r>
              <w:rPr>
                <w:rFonts w:ascii="Times New Roman" w:hAnsi="Times New Roman" w:cs="Times New Roman" w:eastAsia="Times New Roman" w:hint="default"/>
                <w:spacing w:val="-9"/>
                <w:sz w:val="18"/>
                <w:szCs w:val="18"/>
              </w:rPr>
              <w:t>20%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、利润分配</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方案的制定及执行公司董事会结合具体经营数据，充分</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考虑公司盈利规模、现金流量状况、发展阶段及当期资</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金需求</w:t>
            </w:r>
            <w:r>
              <w:rPr>
                <w:rFonts w:ascii="宋体" w:hAnsi="宋体" w:cs="宋体" w:eastAsia="宋体" w:hint="default"/>
                <w:spacing w:val="-24"/>
                <w:sz w:val="18"/>
                <w:szCs w:val="18"/>
              </w:rPr>
              <w:t>，</w:t>
            </w:r>
            <w:r>
              <w:rPr>
                <w:rFonts w:ascii="宋体" w:hAnsi="宋体" w:cs="宋体" w:eastAsia="宋体" w:hint="default"/>
                <w:sz w:val="18"/>
                <w:szCs w:val="18"/>
              </w:rPr>
              <w:t>并结合股</w:t>
            </w:r>
            <w:r>
              <w:rPr>
                <w:rFonts w:ascii="宋体" w:hAnsi="宋体" w:cs="宋体" w:eastAsia="宋体" w:hint="default"/>
                <w:spacing w:val="-24"/>
                <w:sz w:val="18"/>
                <w:szCs w:val="18"/>
              </w:rPr>
              <w:t>东</w:t>
            </w:r>
            <w:r>
              <w:rPr>
                <w:rFonts w:ascii="宋体" w:hAnsi="宋体" w:cs="宋体" w:eastAsia="宋体" w:hint="default"/>
                <w:sz w:val="18"/>
                <w:szCs w:val="18"/>
              </w:rPr>
              <w:t>（特别是公众投资者</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独立董事和</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监事的意见，制定年度或中期分红方案，并经公司股东</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大会表决通过后实施。在制定现金分红具体方案时，董</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事会应当认真研究和论证公司现金分红的时机、条件、</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最低比例、调整的条件及其决策程序要求等事宜，独立</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董事应当发表明确意见。独立董事可以征集中小股东的</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意见，提出分红提案，并直接提交董事会审议。股东大</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会对现金分红具体方案进行审议前，应当通过多种渠道</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主动与股东特别是中小股东进行沟通和交流，充分听取</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中小股东的意见和诉求，</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53"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r>
        <w:trPr>
          <w:trHeight w:val="363"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（一）关于避免同业竞争的承诺为避免未来可能发生的</w:t>
            </w: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同业竞争，公司控股股东远致投资向本公司出具《关于</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避免同业竞争的承诺函</w:t>
            </w:r>
            <w:r>
              <w:rPr>
                <w:rFonts w:ascii="宋体" w:hAnsi="宋体" w:cs="宋体" w:eastAsia="宋体" w:hint="default"/>
                <w:spacing w:val="-92"/>
                <w:sz w:val="18"/>
                <w:szCs w:val="18"/>
              </w:rPr>
              <w:t>》</w:t>
            </w:r>
            <w:r>
              <w:rPr>
                <w:rFonts w:ascii="宋体" w:hAnsi="宋体" w:cs="宋体" w:eastAsia="宋体" w:hint="default"/>
                <w:sz w:val="18"/>
                <w:szCs w:val="18"/>
              </w:rPr>
              <w:t>，向</w:t>
            </w:r>
            <w:r>
              <w:rPr>
                <w:rFonts w:ascii="宋体" w:hAnsi="宋体" w:cs="宋体" w:eastAsia="宋体" w:hint="default"/>
                <w:spacing w:val="2"/>
                <w:sz w:val="18"/>
                <w:szCs w:val="18"/>
              </w:rPr>
              <w:t>本</w:t>
            </w:r>
            <w:r>
              <w:rPr>
                <w:rFonts w:ascii="宋体" w:hAnsi="宋体" w:cs="宋体" w:eastAsia="宋体" w:hint="default"/>
                <w:sz w:val="18"/>
                <w:szCs w:val="18"/>
              </w:rPr>
              <w:t>公司做出如下承诺</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在本承诺函签署之日，本企业不存在且不从事任何与建</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科院及其子公司主营业务相同、</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也未直接或间接经营任何与建科院及其子公司的主营业</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务相同、相似或构成竞争的业务；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、自本承诺函签署之</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1934"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深圳市资本运营 </w:t>
            </w:r>
            <w:r>
              <w:rPr>
                <w:rFonts w:ascii="宋体" w:hAnsi="宋体" w:cs="宋体" w:eastAsia="宋体" w:hint="default"/>
                <w:spacing w:val="-10"/>
                <w:sz w:val="18"/>
                <w:szCs w:val="18"/>
              </w:rPr>
              <w:t>集团有限公司（原</w:t>
            </w:r>
            <w:r>
              <w:rPr>
                <w:rFonts w:ascii="宋体" w:hAnsi="宋体" w:cs="宋体" w:eastAsia="宋体" w:hint="default"/>
                <w:sz w:val="18"/>
                <w:szCs w:val="18"/>
              </w:rPr>
              <w:t> 深圳市远致投资 有限公司）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3" w:right="19"/>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面的承</w:t>
            </w: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日起，本企业将不以任何方式从事，包括与他人合作直</w:t>
            </w:r>
          </w:p>
          <w:p>
            <w:pPr>
              <w:pStyle w:val="TableParagraph"/>
              <w:spacing w:line="185" w:lineRule="exact" w:before="76"/>
              <w:ind w:left="23" w:right="0"/>
              <w:jc w:val="both"/>
              <w:rPr>
                <w:rFonts w:ascii="宋体" w:hAnsi="宋体" w:cs="宋体" w:eastAsia="宋体" w:hint="default"/>
                <w:sz w:val="18"/>
                <w:szCs w:val="18"/>
              </w:rPr>
            </w:pPr>
            <w:r>
              <w:rPr>
                <w:rFonts w:ascii="宋体" w:hAnsi="宋体" w:cs="宋体" w:eastAsia="宋体" w:hint="default"/>
                <w:sz w:val="18"/>
                <w:szCs w:val="18"/>
              </w:rPr>
              <w:t>接或间接从事与建科院及其子公司相同、相似或在任何</w:t>
            </w:r>
          </w:p>
          <w:p>
            <w:pPr>
              <w:pStyle w:val="TableParagraph"/>
              <w:spacing w:line="156"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20" w:lineRule="exact"/>
              <w:ind w:left="23" w:right="0"/>
              <w:jc w:val="both"/>
              <w:rPr>
                <w:rFonts w:ascii="宋体" w:hAnsi="宋体" w:cs="宋体" w:eastAsia="宋体" w:hint="default"/>
                <w:sz w:val="18"/>
                <w:szCs w:val="18"/>
              </w:rPr>
            </w:pPr>
            <w:r>
              <w:rPr>
                <w:rFonts w:ascii="宋体" w:hAnsi="宋体" w:cs="宋体" w:eastAsia="宋体" w:hint="default"/>
                <w:spacing w:val="-3"/>
                <w:sz w:val="18"/>
                <w:szCs w:val="18"/>
              </w:rPr>
              <w:t>方面构成竞争的业务；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、自本承诺函签署之日起，本企</w:t>
            </w:r>
          </w:p>
          <w:p>
            <w:pPr>
              <w:pStyle w:val="TableParagraph"/>
              <w:spacing w:line="316"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业将尽一切可能之努力使本企业其他关联企业不从事与 建科院及其子公司相同、相似或在任何方面构成竞争的 </w:t>
            </w:r>
            <w:r>
              <w:rPr>
                <w:rFonts w:ascii="宋体" w:hAnsi="宋体" w:cs="宋体" w:eastAsia="宋体" w:hint="default"/>
                <w:spacing w:val="-3"/>
                <w:sz w:val="18"/>
                <w:szCs w:val="18"/>
              </w:rPr>
              <w:t>业务；</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、自本承诺函签署之日起，本企业不投资控股于</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2-31</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5"/>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业务与建科院及其子公司相同、相似或在任何方面构成</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250"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竞争的公司、企业或其他机构、组织；</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、自本承诺函签</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署之日起，本企业不向其他业务与建科院及其子公司相</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同、相似或在任何方面构成竞争的公司、企业或其他机</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构、组织或个人提供专有技术或提供销售渠道、客户信</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息等商业秘密；</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、自本承诺函签署之日起，如果未来本</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企业拟从事的业务可能与建科院及其子公司存在同业竞</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争，将本着建科院及其子公司优先的原则与建科院协商</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10" w:space="0" w:color="FFFFFF"/>
            </w:tcBorders>
          </w:tcPr>
          <w:p>
            <w:pPr/>
          </w:p>
        </w:tc>
        <w:tc>
          <w:tcPr>
            <w:tcW w:w="4395" w:type="dxa"/>
            <w:tcBorders>
              <w:top w:val="nil" w:sz="6" w:space="0" w:color="auto"/>
              <w:left w:val="single" w:sz="10" w:space="0" w:color="FFFFFF"/>
              <w:bottom w:val="single" w:sz="4" w:space="0" w:color="000000"/>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pacing w:val="-3"/>
                <w:sz w:val="18"/>
                <w:szCs w:val="18"/>
              </w:rPr>
              <w:t>解决；</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、不利用建科院的控股股东的地位直接或通过本</w:t>
            </w: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69.690002pt;margin-top:72.47998pt;width:212.1pt;height:548.15pt;mso-position-horizontal-relative:page;mso-position-vertical-relative:page;z-index:-1164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ind w:left="0" w:right="0"/>
                    <w:jc w:val="left"/>
                  </w:pPr>
                  <w:r>
                    <w:rPr/>
                    <w:t>本企业将向建科院赔偿一切直接和间接损失，</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1620" w:right="0"/>
                    <w:jc w:val="left"/>
                  </w:pPr>
                  <w:r>
                    <w:rPr/>
                    <w:t>法规的规定建立了规范、</w:t>
                  </w:r>
                </w:p>
              </w:txbxContent>
            </v:textbox>
            <w10:wrap type="none"/>
          </v:shape>
        </w:pict>
      </w:r>
      <w:r>
        <w:rPr/>
        <w:pict>
          <v:group style="position:absolute;margin-left:446.859985pt;margin-top:72.47998pt;width:34.950pt;height:548.15pt;mso-position-horizontal-relative:page;mso-position-vertical-relative:page;z-index:-1164376" coordorigin="8937,1450" coordsize="699,10963">
            <v:shape style="position:absolute;left:8937;top:1450;width:699;height:10963" coordorigin="8937,1450" coordsize="699,10963" path="m8937,12412l9636,12412,9636,1450,8937,1450,8937,12412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419"/>
        <w:gridCol w:w="708"/>
        <w:gridCol w:w="4395"/>
        <w:gridCol w:w="708"/>
        <w:gridCol w:w="566"/>
        <w:gridCol w:w="494"/>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企业控制的其他企业以借款、代偿债务、代垫款项或者</w:t>
            </w: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94"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其他方式占用建科院资金；若因建科院与本企业控制的</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其他企业之间的资金往来致使建科院遭受任何责任或处</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罚，或因此给建科院造成任何损失的，均由本企业承担</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全部责任；</w:t>
            </w:r>
            <w:r>
              <w:rPr>
                <w:rFonts w:ascii="Times New Roman" w:hAnsi="Times New Roman" w:cs="Times New Roman" w:eastAsia="Times New Roman" w:hint="default"/>
                <w:sz w:val="18"/>
                <w:szCs w:val="18"/>
              </w:rPr>
              <w:t>8</w:t>
            </w:r>
            <w:r>
              <w:rPr>
                <w:rFonts w:ascii="宋体" w:hAnsi="宋体" w:cs="宋体" w:eastAsia="宋体" w:hint="default"/>
                <w:sz w:val="18"/>
                <w:szCs w:val="18"/>
              </w:rPr>
              <w:t>、在本企业作为建科院股东或关联方期间</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本承诺函为有效之承诺。如上述承诺被证明是不真实或</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未被遵守，</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并承担相应的法律责任</w:t>
            </w:r>
            <w:r>
              <w:rPr>
                <w:rFonts w:ascii="宋体" w:hAnsi="宋体" w:cs="宋体" w:eastAsia="宋体" w:hint="default"/>
                <w:spacing w:val="-128"/>
                <w:sz w:val="18"/>
                <w:szCs w:val="18"/>
              </w:rPr>
              <w:t>。</w:t>
            </w:r>
            <w:r>
              <w:rPr>
                <w:rFonts w:ascii="宋体" w:hAnsi="宋体" w:cs="宋体" w:eastAsia="宋体" w:hint="default"/>
                <w:sz w:val="18"/>
                <w:szCs w:val="18"/>
              </w:rPr>
              <w:t>（二</w:t>
            </w:r>
            <w:r>
              <w:rPr>
                <w:rFonts w:ascii="宋体" w:hAnsi="宋体" w:cs="宋体" w:eastAsia="宋体" w:hint="default"/>
                <w:spacing w:val="-34"/>
                <w:sz w:val="18"/>
                <w:szCs w:val="18"/>
              </w:rPr>
              <w:t>）</w:t>
            </w:r>
            <w:r>
              <w:rPr>
                <w:rFonts w:ascii="宋体" w:hAnsi="宋体" w:cs="宋体" w:eastAsia="宋体" w:hint="default"/>
                <w:sz w:val="18"/>
                <w:szCs w:val="18"/>
              </w:rPr>
              <w:t>规范和减少关联交易的措</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施公司根据《公司法》等法律、</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健全的法人治理结构，公司制定的《公司章程</w:t>
            </w:r>
            <w:r>
              <w:rPr>
                <w:rFonts w:ascii="宋体" w:hAnsi="宋体" w:cs="宋体" w:eastAsia="宋体" w:hint="default"/>
                <w:spacing w:val="-92"/>
                <w:sz w:val="18"/>
                <w:szCs w:val="18"/>
              </w:rPr>
              <w:t>》、</w:t>
            </w:r>
            <w:r>
              <w:rPr>
                <w:rFonts w:ascii="宋体" w:hAnsi="宋体" w:cs="宋体" w:eastAsia="宋体" w:hint="default"/>
                <w:sz w:val="18"/>
                <w:szCs w:val="18"/>
              </w:rPr>
              <w:t>《股东</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大会议事规则</w:t>
            </w:r>
            <w:r>
              <w:rPr>
                <w:rFonts w:ascii="宋体" w:hAnsi="宋体" w:cs="宋体" w:eastAsia="宋体" w:hint="default"/>
                <w:spacing w:val="-92"/>
                <w:sz w:val="18"/>
                <w:szCs w:val="18"/>
              </w:rPr>
              <w:t>》、</w:t>
            </w:r>
            <w:r>
              <w:rPr>
                <w:rFonts w:ascii="宋体" w:hAnsi="宋体" w:cs="宋体" w:eastAsia="宋体" w:hint="default"/>
                <w:sz w:val="18"/>
                <w:szCs w:val="18"/>
              </w:rPr>
              <w:t>《董事会议</w:t>
            </w:r>
            <w:r>
              <w:rPr>
                <w:rFonts w:ascii="宋体" w:hAnsi="宋体" w:cs="宋体" w:eastAsia="宋体" w:hint="default"/>
                <w:spacing w:val="2"/>
                <w:sz w:val="18"/>
                <w:szCs w:val="18"/>
              </w:rPr>
              <w:t>事</w:t>
            </w:r>
            <w:r>
              <w:rPr>
                <w:rFonts w:ascii="宋体" w:hAnsi="宋体" w:cs="宋体" w:eastAsia="宋体" w:hint="default"/>
                <w:sz w:val="18"/>
                <w:szCs w:val="18"/>
              </w:rPr>
              <w:t>规则</w:t>
            </w:r>
            <w:r>
              <w:rPr>
                <w:rFonts w:ascii="宋体" w:hAnsi="宋体" w:cs="宋体" w:eastAsia="宋体" w:hint="default"/>
                <w:spacing w:val="-92"/>
                <w:sz w:val="18"/>
                <w:szCs w:val="18"/>
              </w:rPr>
              <w:t>》、</w:t>
            </w:r>
            <w:r>
              <w:rPr>
                <w:rFonts w:ascii="宋体" w:hAnsi="宋体" w:cs="宋体" w:eastAsia="宋体" w:hint="default"/>
                <w:sz w:val="18"/>
                <w:szCs w:val="18"/>
              </w:rPr>
              <w:t>《独立董事工作制</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92"/>
                <w:sz w:val="18"/>
                <w:szCs w:val="18"/>
              </w:rPr>
              <w:t>》、</w:t>
            </w:r>
            <w:r>
              <w:rPr>
                <w:rFonts w:ascii="宋体" w:hAnsi="宋体" w:cs="宋体" w:eastAsia="宋体" w:hint="default"/>
                <w:sz w:val="18"/>
                <w:szCs w:val="18"/>
              </w:rPr>
              <w:t>《关联交易管理制度》</w:t>
            </w:r>
            <w:r>
              <w:rPr>
                <w:rFonts w:ascii="宋体" w:hAnsi="宋体" w:cs="宋体" w:eastAsia="宋体" w:hint="default"/>
                <w:spacing w:val="2"/>
                <w:sz w:val="18"/>
                <w:szCs w:val="18"/>
              </w:rPr>
              <w:t>等</w:t>
            </w:r>
            <w:r>
              <w:rPr>
                <w:rFonts w:ascii="宋体" w:hAnsi="宋体" w:cs="宋体" w:eastAsia="宋体" w:hint="default"/>
                <w:sz w:val="18"/>
                <w:szCs w:val="18"/>
              </w:rPr>
              <w:t>规章制度，对关联交易的</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决策权限、决策程序及信息披露进行了详细的规定，有</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利于公司规范和减少关联交易，保证关联交易的公平、</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公开、公正。此外，本公司控股股东远致投资已向本公</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司出</w:t>
            </w:r>
            <w:r>
              <w:rPr>
                <w:rFonts w:ascii="宋体" w:hAnsi="宋体" w:cs="宋体" w:eastAsia="宋体" w:hint="default"/>
                <w:spacing w:val="-15"/>
                <w:sz w:val="18"/>
                <w:szCs w:val="18"/>
              </w:rPr>
              <w:t>具</w:t>
            </w:r>
            <w:r>
              <w:rPr>
                <w:rFonts w:ascii="宋体" w:hAnsi="宋体" w:cs="宋体" w:eastAsia="宋体" w:hint="default"/>
                <w:sz w:val="18"/>
                <w:szCs w:val="18"/>
              </w:rPr>
              <w:t>《关于规范关联交易的承诺函</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承诺</w:t>
            </w:r>
            <w:r>
              <w:rPr>
                <w:rFonts w:ascii="宋体" w:hAnsi="宋体" w:cs="宋体" w:eastAsia="宋体" w:hint="default"/>
                <w:spacing w:val="-14"/>
                <w:sz w:val="18"/>
                <w:szCs w:val="18"/>
              </w:rPr>
              <w:t>：</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1"/>
                <w:w w:val="100"/>
                <w:sz w:val="18"/>
                <w:szCs w:val="18"/>
              </w:rPr>
              <w:t>1</w:t>
            </w:r>
            <w:r>
              <w:rPr>
                <w:rFonts w:ascii="宋体" w:hAnsi="宋体" w:cs="宋体" w:eastAsia="宋体" w:hint="default"/>
                <w:spacing w:val="-15"/>
                <w:sz w:val="18"/>
                <w:szCs w:val="18"/>
              </w:rPr>
              <w:t>、</w:t>
            </w:r>
            <w:r>
              <w:rPr>
                <w:rFonts w:ascii="宋体" w:hAnsi="宋体" w:cs="宋体" w:eastAsia="宋体" w:hint="default"/>
                <w:sz w:val="18"/>
                <w:szCs w:val="18"/>
              </w:rPr>
              <w:t>截至</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本承诺函出具之日，除已经披露的情形外，本公司及本</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公司控制的企业与建科院之间不存在其他关联交易。本</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公司将善意履行作为建科院控股股东的义务，不利用控</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股股东地位影响建科院的独立性、故意促使建科院对与</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本公司及本公司控制的其他企业的任何关联交易采取任</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何行动、故意促使建科院的股东大会或董事会做出侵犯</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其他股东合法权益的决议。如果建科院必须与本公司及</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本公司控制的其他企业发生任何关联交易，则本公司承</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诺将促使上述交易按照公平合理和正常商业交易的条件</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进行，本公司及本公司控制的其他企业将不会要求或接</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受建科院给予比在任何一项市场公平交易中第三者更优</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惠的条件。</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、本公司及本公司控制的其他企业将严格和</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善意地履行与建科院签订的各种关联交易协议。本公司</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承诺将不会向建科院谋求任何超出上述协议规定以外的</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利益或收益。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、本公司对上述承诺的真实性及合法性负</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全部法律责任，如果本公司及本公司控制的其他企业违</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反上述声明、保证与承诺，并造成建科院经济损失的，</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本公司同意赔偿相应的损失。</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、本承诺将持续有效，直</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53"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至本公司不再作为建科院的股东。</w:t>
            </w:r>
            <w:r>
              <w:rPr>
                <w:rFonts w:ascii="Times New Roman" w:hAnsi="Times New Roman" w:cs="Times New Roman" w:eastAsia="Times New Roman" w:hint="default"/>
                <w:sz w:val="18"/>
                <w:szCs w:val="18"/>
              </w:rPr>
              <w:t>”"</w:t>
            </w: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r>
        <w:trPr>
          <w:trHeight w:val="363"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曹翔</w:t>
            </w:r>
            <w:r>
              <w:rPr>
                <w:rFonts w:ascii="Times New Roman" w:hAnsi="Times New Roman" w:cs="Times New Roman" w:eastAsia="Times New Roman" w:hint="default"/>
                <w:sz w:val="18"/>
                <w:szCs w:val="18"/>
              </w:rPr>
              <w:t>;</w:t>
            </w:r>
            <w:r>
              <w:rPr>
                <w:rFonts w:ascii="宋体" w:hAnsi="宋体" w:cs="宋体" w:eastAsia="宋体" w:hint="default"/>
                <w:sz w:val="18"/>
                <w:szCs w:val="18"/>
              </w:rPr>
              <w:t>陈泽广</w:t>
            </w:r>
            <w:r>
              <w:rPr>
                <w:rFonts w:ascii="Times New Roman" w:hAnsi="Times New Roman" w:cs="Times New Roman" w:eastAsia="Times New Roman" w:hint="default"/>
                <w:sz w:val="18"/>
                <w:szCs w:val="18"/>
              </w:rPr>
              <w:t>;</w:t>
            </w:r>
            <w:r>
              <w:rPr>
                <w:rFonts w:ascii="宋体" w:hAnsi="宋体" w:cs="宋体" w:eastAsia="宋体" w:hint="default"/>
                <w:sz w:val="18"/>
                <w:szCs w:val="18"/>
              </w:rPr>
              <w:t>蓝</w:t>
            </w:r>
          </w:p>
        </w:tc>
        <w:tc>
          <w:tcPr>
            <w:tcW w:w="708" w:type="dxa"/>
            <w:tcBorders>
              <w:top w:val="single" w:sz="4" w:space="0" w:color="000000"/>
              <w:left w:val="single" w:sz="4" w:space="0" w:color="000000"/>
              <w:bottom w:val="nil" w:sz="6" w:space="0" w:color="auto"/>
              <w:right w:val="single" w:sz="4" w:space="0" w:color="000000"/>
            </w:tcBorders>
          </w:tcPr>
          <w:p>
            <w:pPr/>
          </w:p>
        </w:tc>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（一）稳定股价预案的启动条件公司上市后三年内，如</w:t>
            </w: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虹</w:t>
            </w:r>
            <w:r>
              <w:rPr>
                <w:rFonts w:ascii="Times New Roman" w:hAnsi="Times New Roman" w:cs="Times New Roman" w:eastAsia="Times New Roman" w:hint="default"/>
                <w:sz w:val="18"/>
                <w:szCs w:val="18"/>
              </w:rPr>
              <w:t>;</w:t>
            </w:r>
            <w:r>
              <w:rPr>
                <w:rFonts w:ascii="宋体" w:hAnsi="宋体" w:cs="宋体" w:eastAsia="宋体" w:hint="default"/>
                <w:sz w:val="18"/>
                <w:szCs w:val="18"/>
              </w:rPr>
              <w:t>林晓春</w:t>
            </w:r>
            <w:r>
              <w:rPr>
                <w:rFonts w:ascii="Times New Roman" w:hAnsi="Times New Roman" w:cs="Times New Roman" w:eastAsia="Times New Roman" w:hint="default"/>
                <w:sz w:val="18"/>
                <w:szCs w:val="18"/>
              </w:rPr>
              <w:t>;</w:t>
            </w:r>
            <w:r>
              <w:rPr>
                <w:rFonts w:ascii="宋体" w:hAnsi="宋体" w:cs="宋体" w:eastAsia="宋体" w:hint="default"/>
                <w:sz w:val="18"/>
                <w:szCs w:val="18"/>
              </w:rPr>
              <w:t>刘俊</w:t>
            </w: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果公司股票收盘价连续二十个交易日低于上一会计年度</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跃</w:t>
            </w:r>
            <w:r>
              <w:rPr>
                <w:rFonts w:ascii="Times New Roman" w:hAnsi="Times New Roman" w:cs="Times New Roman" w:eastAsia="Times New Roman" w:hint="default"/>
                <w:sz w:val="18"/>
                <w:szCs w:val="18"/>
              </w:rPr>
              <w:t>;</w:t>
            </w:r>
            <w:r>
              <w:rPr>
                <w:rFonts w:ascii="宋体" w:hAnsi="宋体" w:cs="宋体" w:eastAsia="宋体" w:hint="default"/>
                <w:sz w:val="18"/>
                <w:szCs w:val="18"/>
              </w:rPr>
              <w:t>刘丽</w:t>
            </w:r>
            <w:r>
              <w:rPr>
                <w:rFonts w:ascii="Times New Roman" w:hAnsi="Times New Roman" w:cs="Times New Roman" w:eastAsia="Times New Roman" w:hint="default"/>
                <w:sz w:val="18"/>
                <w:szCs w:val="18"/>
              </w:rPr>
              <w:t>;</w:t>
            </w:r>
            <w:r>
              <w:rPr>
                <w:rFonts w:ascii="宋体" w:hAnsi="宋体" w:cs="宋体" w:eastAsia="宋体" w:hint="default"/>
                <w:sz w:val="18"/>
                <w:szCs w:val="18"/>
              </w:rPr>
              <w:t>毛洪伟</w:t>
            </w:r>
            <w:r>
              <w:rPr>
                <w:rFonts w:ascii="Times New Roman" w:hAnsi="Times New Roman" w:cs="Times New Roman" w:eastAsia="Times New Roman" w:hint="default"/>
                <w:sz w:val="18"/>
                <w:szCs w:val="18"/>
              </w:rPr>
              <w:t>;</w:t>
            </w: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经审计的每股净资产（因利润分配、资本公积金转增股</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309" w:lineRule="auto" w:before="15"/>
              <w:ind w:left="23" w:right="22"/>
              <w:jc w:val="left"/>
              <w:rPr>
                <w:rFonts w:ascii="宋体" w:hAnsi="宋体" w:cs="宋体" w:eastAsia="宋体" w:hint="default"/>
                <w:sz w:val="18"/>
                <w:szCs w:val="18"/>
              </w:rPr>
            </w:pPr>
            <w:r>
              <w:rPr>
                <w:rFonts w:ascii="宋体" w:hAnsi="宋体" w:cs="宋体" w:eastAsia="宋体" w:hint="default"/>
                <w:sz w:val="18"/>
                <w:szCs w:val="18"/>
              </w:rPr>
              <w:t>莫福光</w:t>
            </w:r>
            <w:r>
              <w:rPr>
                <w:rFonts w:ascii="Times New Roman" w:hAnsi="Times New Roman" w:cs="Times New Roman" w:eastAsia="Times New Roman" w:hint="default"/>
                <w:sz w:val="18"/>
                <w:szCs w:val="18"/>
              </w:rPr>
              <w:t>;</w:t>
            </w:r>
            <w:r>
              <w:rPr>
                <w:rFonts w:ascii="宋体" w:hAnsi="宋体" w:cs="宋体" w:eastAsia="宋体" w:hint="default"/>
                <w:sz w:val="18"/>
                <w:szCs w:val="18"/>
              </w:rPr>
              <w:t>邵顺昌</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圳市建筑科学研 究院股份有限公</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w:t>
            </w:r>
          </w:p>
          <w:p>
            <w:pPr>
              <w:pStyle w:val="TableParagraph"/>
              <w:spacing w:line="316" w:lineRule="auto" w:before="60"/>
              <w:ind w:left="23" w:right="132"/>
              <w:jc w:val="left"/>
              <w:rPr>
                <w:rFonts w:ascii="宋体" w:hAnsi="宋体" w:cs="宋体" w:eastAsia="宋体" w:hint="default"/>
                <w:sz w:val="18"/>
                <w:szCs w:val="18"/>
              </w:rPr>
            </w:pPr>
            <w:r>
              <w:rPr>
                <w:rFonts w:ascii="宋体" w:hAnsi="宋体" w:cs="宋体" w:eastAsia="宋体" w:hint="default"/>
                <w:sz w:val="18"/>
                <w:szCs w:val="18"/>
              </w:rPr>
              <w:t>定股价 承诺</w:t>
            </w: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22"/>
              <w:jc w:val="both"/>
              <w:rPr>
                <w:rFonts w:ascii="宋体" w:hAnsi="宋体" w:cs="宋体" w:eastAsia="宋体" w:hint="default"/>
                <w:sz w:val="18"/>
                <w:szCs w:val="18"/>
              </w:rPr>
            </w:pPr>
            <w:r>
              <w:rPr>
                <w:rFonts w:ascii="宋体" w:hAnsi="宋体" w:cs="宋体" w:eastAsia="宋体" w:hint="default"/>
                <w:sz w:val="18"/>
                <w:szCs w:val="18"/>
              </w:rPr>
              <w:t>本、增发、配股等除权除息事项导致公司净资产或股份 </w:t>
            </w:r>
            <w:r>
              <w:rPr>
                <w:rFonts w:ascii="宋体" w:hAnsi="宋体" w:cs="宋体" w:eastAsia="宋体" w:hint="default"/>
                <w:spacing w:val="-7"/>
                <w:sz w:val="18"/>
                <w:szCs w:val="18"/>
              </w:rPr>
              <w:t>总数发生变化的，每股净资产进行相应调整，下同），即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触及启动稳定股价预案的条件，公司应在发生上述情形</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7-18</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深圳市远致投</w:t>
            </w: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的最后一个交易日起十个交易日内，严格按照《公司股</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沈武</w:t>
            </w:r>
            <w:r>
              <w:rPr>
                <w:rFonts w:ascii="Times New Roman" w:hAnsi="Times New Roman" w:cs="Times New Roman" w:eastAsia="Times New Roman" w:hint="default"/>
                <w:sz w:val="18"/>
                <w:szCs w:val="18"/>
              </w:rPr>
              <w:t>;</w:t>
            </w: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票上市后三年内公司股价稳定预案》的规定启动稳定股</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吴硕贤</w:t>
            </w:r>
            <w:r>
              <w:rPr>
                <w:rFonts w:ascii="Times New Roman" w:hAnsi="Times New Roman" w:cs="Times New Roman" w:eastAsia="Times New Roman" w:hint="default"/>
                <w:sz w:val="18"/>
                <w:szCs w:val="18"/>
              </w:rPr>
              <w:t>;</w:t>
            </w:r>
            <w:r>
              <w:rPr>
                <w:rFonts w:ascii="宋体" w:hAnsi="宋体" w:cs="宋体" w:eastAsia="宋体" w:hint="default"/>
                <w:sz w:val="18"/>
                <w:szCs w:val="18"/>
              </w:rPr>
              <w:t>姚培</w:t>
            </w:r>
            <w:r>
              <w:rPr>
                <w:rFonts w:ascii="Times New Roman" w:hAnsi="Times New Roman" w:cs="Times New Roman" w:eastAsia="Times New Roman" w:hint="default"/>
                <w:sz w:val="18"/>
                <w:szCs w:val="18"/>
              </w:rPr>
              <w:t>;</w:t>
            </w:r>
            <w:r>
              <w:rPr>
                <w:rFonts w:ascii="宋体" w:hAnsi="宋体" w:cs="宋体" w:eastAsia="宋体" w:hint="default"/>
                <w:sz w:val="18"/>
                <w:szCs w:val="18"/>
              </w:rPr>
              <w:t>叶</w:t>
            </w:r>
          </w:p>
        </w:tc>
        <w:tc>
          <w:tcPr>
            <w:tcW w:w="708" w:type="dxa"/>
            <w:tcBorders>
              <w:top w:val="nil" w:sz="6" w:space="0" w:color="auto"/>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价措施，向社会公众股东回购股票。由公司董事会制定</w:t>
            </w: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8" w:footer="975" w:top="1060" w:bottom="1160" w:left="980" w:right="0"/>
        </w:sectPr>
      </w:pPr>
    </w:p>
    <w:p>
      <w:pPr>
        <w:pStyle w:val="BodyText"/>
        <w:spacing w:line="300" w:lineRule="auto" w:before="160"/>
        <w:ind w:left="1458" w:right="-19"/>
        <w:jc w:val="left"/>
      </w:pPr>
      <w:r>
        <w:rPr/>
        <w:pict>
          <v:shape style="position:absolute;margin-left:350.692993pt;margin-top:72.475983pt;width:131.1pt;height:686.5pt;mso-position-horizontal-relative:page;mso-position-vertical-relative:page;z-index:-11643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BodyText"/>
                    <w:spacing w:line="240" w:lineRule="auto"/>
                    <w:ind w:left="0" w:right="639"/>
                    <w:jc w:val="righ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BodyText"/>
                    <w:spacing w:line="240" w:lineRule="auto"/>
                    <w:ind w:left="0" w:right="636"/>
                    <w:jc w:val="righ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639"/>
                    <w:jc w:val="right"/>
                  </w:pPr>
                  <w:r>
                    <w:rPr/>
                    <w:t>经股东大会决议通过后，</w:t>
                  </w:r>
                </w:p>
              </w:txbxContent>
            </v:textbox>
            <w10:wrap type="none"/>
          </v:shape>
        </w:pict>
      </w:r>
      <w:r>
        <w:rPr/>
        <w:pict>
          <v:group style="position:absolute;margin-left:56.400002pt;margin-top:71.759964pt;width:478.9pt;height:687.95pt;mso-position-horizontal-relative:page;mso-position-vertical-relative:page;z-index:-1164328" coordorigin="1128,1435" coordsize="9578,13759">
            <v:group style="position:absolute;left:1140;top:1450;width:1266;height:13730" coordorigin="1140,1450" coordsize="1266,13730">
              <v:shape style="position:absolute;left:1140;top:1450;width:1266;height:13730" coordorigin="1140,1450" coordsize="1266,13730" path="m1140,15180l2405,15180,2405,1450,1140,1450,1140,15180xe" filled="true" fillcolor="#d2d2d2" stroked="false">
                <v:path arrowok="t"/>
                <v:fill type="solid"/>
              </v:shape>
            </v:group>
            <v:group style="position:absolute;left:1138;top:1445;width:1268;height:2" coordorigin="1138,1445" coordsize="1268,2">
              <v:shape style="position:absolute;left:1138;top:1445;width:1268;height:2" coordorigin="1138,1445" coordsize="1268,0" path="m1138,1445l2405,1445e" filled="false" stroked="true" strokeweight=".48pt" strokecolor="#000000">
                <v:path arrowok="t"/>
              </v:shape>
            </v:group>
            <v:group style="position:absolute;left:2415;top:1445;width:1410;height:2" coordorigin="2415,1445" coordsize="1410,2">
              <v:shape style="position:absolute;left:2415;top:1445;width:1410;height:2" coordorigin="2415,1445" coordsize="1410,0" path="m2415,1445l3824,1445e" filled="false" stroked="true" strokeweight=".48pt" strokecolor="#000000">
                <v:path arrowok="t"/>
              </v:shape>
            </v:group>
            <v:group style="position:absolute;left:3834;top:1445;width:699;height:2" coordorigin="3834,1445" coordsize="699,2">
              <v:shape style="position:absolute;left:3834;top:1445;width:699;height:2" coordorigin="3834,1445" coordsize="699,0" path="m3834,1445l4532,1445e" filled="false" stroked="true" strokeweight=".48pt" strokecolor="#000000">
                <v:path arrowok="t"/>
              </v:shape>
            </v:group>
            <v:group style="position:absolute;left:8937;top:1450;width:699;height:13730" coordorigin="8937,1450" coordsize="699,13730">
              <v:shape style="position:absolute;left:8937;top:1450;width:699;height:13730" coordorigin="8937,1450" coordsize="699,13730" path="m8937,15180l9636,15180,9636,1450,8937,1450,8937,15180xe" filled="true" fillcolor="#ffffff" stroked="false">
                <v:path arrowok="t"/>
                <v:fill type="solid"/>
              </v:shape>
            </v:group>
            <v:group style="position:absolute;left:4542;top:1445;width:4386;height:2" coordorigin="4542,1445" coordsize="4386,2">
              <v:shape style="position:absolute;left:4542;top:1445;width:4386;height:2" coordorigin="4542,1445" coordsize="4386,0" path="m4542,1445l8928,1445e" filled="false" stroked="true" strokeweight=".48pt" strokecolor="#000000">
                <v:path arrowok="t"/>
              </v:shape>
            </v:group>
            <v:group style="position:absolute;left:8937;top:1445;width:699;height:2" coordorigin="8937,1445" coordsize="699,2">
              <v:shape style="position:absolute;left:8937;top:1445;width:699;height:2" coordorigin="8937,1445" coordsize="699,0" path="m8937,1445l9636,1445e" filled="false" stroked="true" strokeweight=".48pt" strokecolor="#000000">
                <v:path arrowok="t"/>
              </v:shape>
            </v:group>
            <v:group style="position:absolute;left:9645;top:1445;width:557;height:2" coordorigin="9645,1445" coordsize="557,2">
              <v:shape style="position:absolute;left:9645;top:1445;width:557;height:2" coordorigin="9645,1445" coordsize="557,0" path="m9645,1445l10202,1445e" filled="false" stroked="true" strokeweight=".48pt" strokecolor="#000000">
                <v:path arrowok="t"/>
              </v:shape>
            </v:group>
            <v:group style="position:absolute;left:10212;top:1445;width:485;height:2" coordorigin="10212,1445" coordsize="485,2">
              <v:shape style="position:absolute;left:10212;top:1445;width:485;height:2" coordorigin="10212,1445" coordsize="485,0" path="m10212,1445l10696,1445e" filled="false" stroked="true" strokeweight=".48pt" strokecolor="#000000">
                <v:path arrowok="t"/>
              </v:shape>
            </v:group>
            <v:group style="position:absolute;left:1133;top:1440;width:2;height:13750" coordorigin="1133,1440" coordsize="2,13750">
              <v:shape style="position:absolute;left:1133;top:1440;width:2;height:13750" coordorigin="1133,1440" coordsize="0,13750" path="m1133,1440l1133,15189e" filled="false" stroked="true" strokeweight=".48pt" strokecolor="#000000">
                <v:path arrowok="t"/>
              </v:shape>
            </v:group>
            <v:group style="position:absolute;left:1138;top:15184;width:1268;height:2" coordorigin="1138,15184" coordsize="1268,2">
              <v:shape style="position:absolute;left:1138;top:15184;width:1268;height:2" coordorigin="1138,15184" coordsize="1268,0" path="m1138,15184l2405,15184e" filled="false" stroked="true" strokeweight=".47998pt" strokecolor="#000000">
                <v:path arrowok="t"/>
              </v:shape>
            </v:group>
            <v:group style="position:absolute;left:2410;top:1440;width:2;height:13750" coordorigin="2410,1440" coordsize="2,13750">
              <v:shape style="position:absolute;left:2410;top:1440;width:2;height:13750" coordorigin="2410,1440" coordsize="0,13750" path="m2410,1440l2410,15189e" filled="false" stroked="true" strokeweight=".48pt" strokecolor="#000000">
                <v:path arrowok="t"/>
              </v:shape>
            </v:group>
            <v:group style="position:absolute;left:2415;top:15184;width:1410;height:2" coordorigin="2415,15184" coordsize="1410,2">
              <v:shape style="position:absolute;left:2415;top:15184;width:1410;height:2" coordorigin="2415,15184" coordsize="1410,0" path="m2415,15184l3824,15184e" filled="false" stroked="true" strokeweight=".47998pt" strokecolor="#000000">
                <v:path arrowok="t"/>
              </v:shape>
            </v:group>
            <v:group style="position:absolute;left:3829;top:1440;width:2;height:13750" coordorigin="3829,1440" coordsize="2,13750">
              <v:shape style="position:absolute;left:3829;top:1440;width:2;height:13750" coordorigin="3829,1440" coordsize="0,13750" path="m3829,1440l3829,15189e" filled="false" stroked="true" strokeweight=".48pt" strokecolor="#000000">
                <v:path arrowok="t"/>
              </v:shape>
            </v:group>
            <v:group style="position:absolute;left:3834;top:15184;width:699;height:2" coordorigin="3834,15184" coordsize="699,2">
              <v:shape style="position:absolute;left:3834;top:15184;width:699;height:2" coordorigin="3834,15184" coordsize="699,0" path="m3834,15184l4532,15184e" filled="false" stroked="true" strokeweight=".47998pt" strokecolor="#000000">
                <v:path arrowok="t"/>
              </v:shape>
            </v:group>
            <v:group style="position:absolute;left:4537;top:1440;width:2;height:13750" coordorigin="4537,1440" coordsize="2,13750">
              <v:shape style="position:absolute;left:4537;top:1440;width:2;height:13750" coordorigin="4537,1440" coordsize="0,13750" path="m4537,1440l4537,15189e" filled="false" stroked="true" strokeweight=".48pt" strokecolor="#000000">
                <v:path arrowok="t"/>
              </v:shape>
            </v:group>
            <v:group style="position:absolute;left:4542;top:15184;width:4386;height:2" coordorigin="4542,15184" coordsize="4386,2">
              <v:shape style="position:absolute;left:4542;top:15184;width:4386;height:2" coordorigin="4542,15184" coordsize="4386,0" path="m4542,15184l8928,15184e" filled="false" stroked="true" strokeweight=".47998pt" strokecolor="#000000">
                <v:path arrowok="t"/>
              </v:shape>
            </v:group>
            <v:group style="position:absolute;left:8932;top:1440;width:2;height:13750" coordorigin="8932,1440" coordsize="2,13750">
              <v:shape style="position:absolute;left:8932;top:1440;width:2;height:13750" coordorigin="8932,1440" coordsize="0,13750" path="m8932,1440l8932,15189e" filled="false" stroked="true" strokeweight=".48001pt" strokecolor="#000000">
                <v:path arrowok="t"/>
              </v:shape>
            </v:group>
            <v:group style="position:absolute;left:8937;top:15184;width:699;height:2" coordorigin="8937,15184" coordsize="699,2">
              <v:shape style="position:absolute;left:8937;top:15184;width:699;height:2" coordorigin="8937,15184" coordsize="699,0" path="m8937,15184l9636,15184e" filled="false" stroked="true" strokeweight=".47998pt" strokecolor="#000000">
                <v:path arrowok="t"/>
              </v:shape>
            </v:group>
            <v:group style="position:absolute;left:9640;top:1440;width:2;height:13750" coordorigin="9640,1440" coordsize="2,13750">
              <v:shape style="position:absolute;left:9640;top:1440;width:2;height:13750" coordorigin="9640,1440" coordsize="0,13750" path="m9640,1440l9640,15189e" filled="false" stroked="true" strokeweight=".48001pt" strokecolor="#000000">
                <v:path arrowok="t"/>
              </v:shape>
            </v:group>
            <v:group style="position:absolute;left:9645;top:15184;width:557;height:2" coordorigin="9645,15184" coordsize="557,2">
              <v:shape style="position:absolute;left:9645;top:15184;width:557;height:2" coordorigin="9645,15184" coordsize="557,0" path="m9645,15184l10202,15184e" filled="false" stroked="true" strokeweight=".47998pt" strokecolor="#000000">
                <v:path arrowok="t"/>
              </v:shape>
            </v:group>
            <v:group style="position:absolute;left:10207;top:1440;width:2;height:13750" coordorigin="10207,1440" coordsize="2,13750">
              <v:shape style="position:absolute;left:10207;top:1440;width:2;height:13750" coordorigin="10207,1440" coordsize="0,13750" path="m10207,1440l10207,15189e" filled="false" stroked="true" strokeweight=".48001pt" strokecolor="#000000">
                <v:path arrowok="t"/>
              </v:shape>
            </v:group>
            <v:group style="position:absolute;left:10212;top:15184;width:485;height:2" coordorigin="10212,15184" coordsize="485,2">
              <v:shape style="position:absolute;left:10212;top:15184;width:485;height:2" coordorigin="10212,15184" coordsize="485,0" path="m10212,15184l10696,15184e" filled="false" stroked="true" strokeweight=".47998pt" strokecolor="#000000">
                <v:path arrowok="t"/>
              </v:shape>
            </v:group>
            <v:group style="position:absolute;left:10701;top:1440;width:2;height:13750" coordorigin="10701,1440" coordsize="2,13750">
              <v:shape style="position:absolute;left:10701;top:1440;width:2;height:13750" coordorigin="10701,1440" coordsize="0,13750" path="m10701,1440l10701,15189e" filled="false" stroked="true" strokeweight=".48004pt" strokecolor="#000000">
                <v:path arrowok="t"/>
              </v:shape>
            </v:group>
            <w10:wrap type="none"/>
          </v:group>
        </w:pict>
      </w:r>
      <w:r>
        <w:rPr/>
        <w:t>青</w:t>
      </w:r>
      <w:r>
        <w:rPr>
          <w:rFonts w:ascii="Times New Roman" w:hAnsi="Times New Roman" w:cs="Times New Roman" w:eastAsia="Times New Roman" w:hint="default"/>
        </w:rPr>
        <w:t>;</w:t>
      </w:r>
      <w:r>
        <w:rPr/>
        <w:t>余庆</w:t>
      </w:r>
      <w:r>
        <w:rPr>
          <w:rFonts w:ascii="Times New Roman" w:hAnsi="Times New Roman" w:cs="Times New Roman" w:eastAsia="Times New Roman" w:hint="default"/>
        </w:rPr>
        <w:t>;</w:t>
      </w:r>
      <w:r>
        <w:rPr/>
        <w:t>詹辉轮</w:t>
      </w:r>
      <w:r>
        <w:rPr>
          <w:rFonts w:ascii="Times New Roman" w:hAnsi="Times New Roman" w:cs="Times New Roman" w:eastAsia="Times New Roman" w:hint="default"/>
        </w:rPr>
        <w:t>; </w:t>
      </w:r>
      <w:r>
        <w:rPr/>
        <w:t>郑学定</w:t>
      </w:r>
    </w:p>
    <w:p>
      <w:pPr>
        <w:pStyle w:val="BodyText"/>
        <w:spacing w:line="314" w:lineRule="auto" w:before="160"/>
        <w:ind w:left="856" w:right="2910"/>
        <w:jc w:val="left"/>
      </w:pPr>
      <w:r>
        <w:rPr>
          <w:spacing w:val="-7"/>
        </w:rPr>
        <w:br w:type="column"/>
      </w:r>
      <w:r>
        <w:rPr>
          <w:spacing w:val="-7"/>
        </w:rPr>
        <w:t>具体实施方案并提前三个交易日公告。（二）稳定股价具</w:t>
      </w:r>
      <w:r>
        <w:rPr>
          <w:spacing w:val="-79"/>
        </w:rPr>
        <w:t> </w:t>
      </w:r>
      <w:r>
        <w:rPr>
          <w:spacing w:val="-79"/>
        </w:rPr>
      </w:r>
      <w:r>
        <w:rPr/>
        <w:t>体措施公司稳定股价的具体措施为：本公司回购公司股 票，公司控股股东增持公司股票，公司董事和高级管理 人员增持公司股票。股价稳定措施的实施顺序如下：</w:t>
      </w:r>
      <w:r>
        <w:rPr>
          <w:rFonts w:ascii="Times New Roman" w:hAnsi="Times New Roman" w:cs="Times New Roman" w:eastAsia="Times New Roman" w:hint="default"/>
        </w:rPr>
        <w:t>1</w:t>
      </w:r>
      <w:r>
        <w:rPr/>
        <w:t>、 第一选择为公司回购股票，但如公司回购股票将导致公 司不满足法定上市条件，则第一选择为控股股东增持公 司股票。公司为稳定股价之目的回购股份，应符合《上 </w:t>
      </w:r>
      <w:r>
        <w:rPr>
          <w:spacing w:val="-11"/>
        </w:rPr>
        <w:t>市公司回购社会公众股份管理办法（试行）》等相关法律</w:t>
      </w:r>
      <w:r>
        <w:rPr>
          <w:spacing w:val="-71"/>
        </w:rPr>
        <w:t> </w:t>
      </w:r>
      <w:r>
        <w:rPr>
          <w:spacing w:val="-71"/>
        </w:rPr>
      </w:r>
      <w:r>
        <w:rPr/>
        <w:t>法规的规定。公司以要约方式回购股份的，回购股份价 格区间参考公司上一会计年度末经审计的每股净资产并 结合公司当时的财务状况和经营状况决定。公司实施稳 定股价议案时，拟用于回购资金应为自筹资金。单次回 购的公司股份数量不超过公司总股本的</w:t>
      </w:r>
      <w:r>
        <w:rPr>
          <w:spacing w:val="-44"/>
        </w:rPr>
        <w:t> </w:t>
      </w:r>
      <w:r>
        <w:rPr>
          <w:rFonts w:ascii="Times New Roman" w:hAnsi="Times New Roman" w:cs="Times New Roman" w:eastAsia="Times New Roman" w:hint="default"/>
          <w:spacing w:val="-11"/>
        </w:rPr>
        <w:t>2%</w:t>
      </w:r>
      <w:r>
        <w:rPr>
          <w:spacing w:val="-11"/>
        </w:rPr>
        <w:t>。并且，公司</w:t>
      </w:r>
      <w:r>
        <w:rPr/>
        <w:t> 单次回购总金额不少于人民币</w:t>
      </w:r>
      <w:r>
        <w:rPr>
          <w:spacing w:val="-4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万元，但如果单次</w:t>
      </w:r>
    </w:p>
    <w:p>
      <w:pPr>
        <w:pStyle w:val="BodyText"/>
        <w:spacing w:line="300" w:lineRule="auto" w:before="1"/>
        <w:ind w:left="856" w:right="2980"/>
        <w:jc w:val="left"/>
      </w:pPr>
      <w:r>
        <w:rPr/>
        <w:t>回购总金额不少于人民币</w:t>
      </w:r>
      <w:r>
        <w:rPr>
          <w:spacing w:val="-4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万元的要求将导致单次 回购的公司股份数量超过公司总股本</w:t>
      </w:r>
      <w:r>
        <w:rPr>
          <w:spacing w:val="-40"/>
        </w:rPr>
        <w:t> </w:t>
      </w:r>
      <w:r>
        <w:rPr>
          <w:rFonts w:ascii="Times New Roman" w:hAnsi="Times New Roman" w:cs="Times New Roman" w:eastAsia="Times New Roman" w:hint="default"/>
          <w:spacing w:val="-10"/>
        </w:rPr>
        <w:t>2%</w:t>
      </w:r>
      <w:r>
        <w:rPr>
          <w:spacing w:val="-10"/>
        </w:rPr>
        <w:t>的，则可以少于</w:t>
      </w:r>
      <w:r>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w:t>
      </w:r>
      <w:r>
        <w:rPr/>
        <w:t>、第二选择为控股股东增持公司股票。在 </w:t>
      </w:r>
      <w:r>
        <w:rPr>
          <w:spacing w:val="-4"/>
        </w:rPr>
        <w:t>下列情形之一出现时将启动第二选择：（</w:t>
      </w:r>
      <w:r>
        <w:rPr>
          <w:rFonts w:ascii="Times New Roman" w:hAnsi="Times New Roman" w:cs="Times New Roman" w:eastAsia="Times New Roman" w:hint="default"/>
          <w:spacing w:val="-4"/>
        </w:rPr>
        <w:t>1</w:t>
      </w:r>
      <w:r>
        <w:rPr>
          <w:spacing w:val="-4"/>
        </w:rPr>
        <w:t>）公司无法实</w:t>
      </w:r>
      <w:r>
        <w:rPr>
          <w:spacing w:val="-81"/>
        </w:rPr>
        <w:t> </w:t>
      </w:r>
      <w:r>
        <w:rPr/>
        <w:t>施回购股票或回购股票议案未获得公司股东大会批准；</w:t>
      </w:r>
    </w:p>
    <w:p>
      <w:pPr>
        <w:pStyle w:val="BodyText"/>
        <w:spacing w:line="312" w:lineRule="auto" w:before="31"/>
        <w:ind w:left="856" w:right="2984"/>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）公司虽实施股票回购计划但仍未满足</w:t>
      </w:r>
      <w:r>
        <w:rPr>
          <w:rFonts w:ascii="Times New Roman" w:hAnsi="Times New Roman" w:cs="Times New Roman" w:eastAsia="Times New Roman" w:hint="default"/>
        </w:rPr>
        <w:t>“</w:t>
      </w:r>
      <w:r>
        <w:rPr/>
        <w:t>公司股票连 续</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个交易日的收盘价均已高于公司最近一年经审计的 </w:t>
      </w:r>
      <w:r>
        <w:rPr>
          <w:spacing w:val="-3"/>
        </w:rPr>
        <w:t>每股净资产</w:t>
      </w:r>
      <w:r>
        <w:rPr>
          <w:rFonts w:ascii="Times New Roman" w:hAnsi="Times New Roman" w:cs="Times New Roman" w:eastAsia="Times New Roman" w:hint="default"/>
          <w:spacing w:val="-3"/>
        </w:rPr>
        <w:t>”</w:t>
      </w:r>
      <w:r>
        <w:rPr>
          <w:spacing w:val="-3"/>
        </w:rPr>
        <w:t>之条件。控股股东为稳定股价之目的增持股</w:t>
      </w:r>
      <w:r>
        <w:rPr>
          <w:spacing w:val="-76"/>
        </w:rPr>
        <w:t> </w:t>
      </w:r>
      <w:r>
        <w:rPr>
          <w:spacing w:val="-76"/>
        </w:rPr>
      </w:r>
      <w:r>
        <w:rPr/>
        <w:t>份，应符合《上市公司收购管理办法》等相关法律、法 规的规定。控股股东单次用于增持股份的资金金额不低 于自公司上市后累计从公司所获得现金分红金额的 </w:t>
      </w:r>
      <w:r>
        <w:rPr>
          <w:rFonts w:ascii="Times New Roman" w:hAnsi="Times New Roman" w:cs="Times New Roman" w:eastAsia="Times New Roman" w:hint="default"/>
        </w:rPr>
        <w:t>20%</w:t>
      </w:r>
      <w:r>
        <w:rPr/>
        <w:t>；单一年度用于增持股份的资金不超过自公司上市 后累计从公司所获得现金分红金额的</w:t>
      </w:r>
      <w:r>
        <w:rPr>
          <w:spacing w:val="-44"/>
        </w:rPr>
        <w:t> </w:t>
      </w:r>
      <w:r>
        <w:rPr>
          <w:rFonts w:ascii="Times New Roman" w:hAnsi="Times New Roman" w:cs="Times New Roman" w:eastAsia="Times New Roman" w:hint="default"/>
        </w:rPr>
        <w:t>50%</w:t>
      </w:r>
      <w:r>
        <w:rPr/>
        <w:t>。超过上述标 准的，有关稳定股价措施在当年度不再继续实施，但下 一年度继续出现需要启动稳定股价措施的情形时，将继 </w:t>
      </w:r>
      <w:r>
        <w:rPr>
          <w:spacing w:val="-3"/>
        </w:rPr>
        <w:t>续按照上述原则执行。</w:t>
      </w:r>
      <w:r>
        <w:rPr>
          <w:rFonts w:ascii="Times New Roman" w:hAnsi="Times New Roman" w:cs="Times New Roman" w:eastAsia="Times New Roman" w:hint="default"/>
          <w:spacing w:val="-3"/>
        </w:rPr>
        <w:t>3</w:t>
      </w:r>
      <w:r>
        <w:rPr>
          <w:spacing w:val="-3"/>
        </w:rPr>
        <w:t>、第三选择为董事（不含独立董</w:t>
      </w:r>
      <w:r>
        <w:rPr>
          <w:spacing w:val="-86"/>
        </w:rPr>
        <w:t> </w:t>
      </w:r>
      <w:r>
        <w:rPr>
          <w:spacing w:val="-86"/>
        </w:rPr>
      </w:r>
      <w:r>
        <w:rPr/>
        <w:t>事，下同）和高级管理人员增持公司股票。启动该选择 的条件为：控股股东增持股票方案实施完成后，如公司 股票仍未满足</w:t>
      </w:r>
      <w:r>
        <w:rPr>
          <w:rFonts w:ascii="Times New Roman" w:hAnsi="Times New Roman" w:cs="Times New Roman" w:eastAsia="Times New Roman" w:hint="default"/>
        </w:rPr>
        <w:t>“</w:t>
      </w:r>
      <w:r>
        <w:rPr/>
        <w:t>公司股票连续</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个交易日的收盘价均已 </w:t>
      </w:r>
      <w:r>
        <w:rPr>
          <w:spacing w:val="-3"/>
        </w:rPr>
        <w:t>高于公司最近一年经审计的每股净资产</w:t>
      </w:r>
      <w:r>
        <w:rPr>
          <w:rFonts w:ascii="Times New Roman" w:hAnsi="Times New Roman" w:cs="Times New Roman" w:eastAsia="Times New Roman" w:hint="default"/>
          <w:spacing w:val="-3"/>
        </w:rPr>
        <w:t>”</w:t>
      </w:r>
      <w:r>
        <w:rPr>
          <w:spacing w:val="-3"/>
        </w:rPr>
        <w:t>之条件，并且董</w:t>
      </w:r>
      <w:r>
        <w:rPr>
          <w:spacing w:val="-76"/>
        </w:rPr>
        <w:t> </w:t>
      </w:r>
      <w:r>
        <w:rPr>
          <w:spacing w:val="-76"/>
        </w:rPr>
      </w:r>
      <w:r>
        <w:rPr/>
        <w:t>事和高级管理人员增持公司股票不会致使公司将不满足 法定上市条件。公司董事及高级管理人员为稳定股价之 目的增持股份，应符合《上市公司收购管理办法》等相 关法律、法规的规定。公司董事及高级管理人员实施稳 定股价议案时，用于增持股份的货币资金不少于董事和 高级管理人员上年度薪酬总和的</w:t>
      </w:r>
      <w:r>
        <w:rPr>
          <w:spacing w:val="-53"/>
        </w:rPr>
        <w:t> </w:t>
      </w:r>
      <w:r>
        <w:rPr>
          <w:rFonts w:ascii="Times New Roman" w:hAnsi="Times New Roman" w:cs="Times New Roman" w:eastAsia="Times New Roman" w:hint="default"/>
        </w:rPr>
        <w:t>30%</w:t>
      </w:r>
      <w:r>
        <w:rPr/>
        <w:t>，但不超过</w:t>
      </w:r>
      <w:r>
        <w:rPr>
          <w:spacing w:val="-53"/>
        </w:rPr>
        <w:t> </w:t>
      </w:r>
      <w:r>
        <w:rPr>
          <w:rFonts w:ascii="Times New Roman" w:hAnsi="Times New Roman" w:cs="Times New Roman" w:eastAsia="Times New Roman" w:hint="default"/>
        </w:rPr>
        <w:t>100%</w:t>
      </w:r>
    </w:p>
    <w:p>
      <w:pPr>
        <w:pStyle w:val="BodyText"/>
        <w:spacing w:line="307" w:lineRule="auto" w:before="3"/>
        <w:ind w:left="856" w:right="3000"/>
        <w:jc w:val="left"/>
      </w:pPr>
      <w:r>
        <w:rPr/>
        <w:t>（三）稳定股价措施实施的具体程序</w:t>
      </w:r>
      <w:r>
        <w:rPr>
          <w:spacing w:val="-44"/>
        </w:rPr>
        <w:t> </w:t>
      </w:r>
      <w:r>
        <w:rPr>
          <w:rFonts w:ascii="Times New Roman" w:hAnsi="Times New Roman" w:cs="Times New Roman" w:eastAsia="Times New Roman" w:hint="default"/>
        </w:rPr>
        <w:t>1</w:t>
      </w:r>
      <w:r>
        <w:rPr/>
        <w:t>、公司回购在公 司出现应启动稳定股价预案情形，本公司应在收到通知 后</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个工作日内启动决策程序， 依法通知债权人和履行备案程序。公司将采取深圳证券</w:t>
      </w:r>
    </w:p>
    <w:p>
      <w:pPr>
        <w:spacing w:after="0" w:line="307" w:lineRule="auto"/>
        <w:jc w:val="left"/>
        <w:sectPr>
          <w:type w:val="continuous"/>
          <w:pgSz w:w="11910" w:h="16840"/>
          <w:pgMar w:top="1060" w:bottom="1160" w:left="980" w:right="0"/>
          <w:cols w:num="2" w:equalWidth="0">
            <w:col w:w="2690" w:space="40"/>
            <w:col w:w="8200"/>
          </w:cols>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419"/>
        <w:gridCol w:w="708"/>
        <w:gridCol w:w="4395"/>
        <w:gridCol w:w="708"/>
        <w:gridCol w:w="566"/>
        <w:gridCol w:w="494"/>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交易所集中竞价交易方式、要约等方式回购股份。回购</w:t>
            </w:r>
          </w:p>
        </w:tc>
        <w:tc>
          <w:tcPr>
            <w:tcW w:w="70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94" w:type="dxa"/>
            <w:vMerge w:val="restart"/>
            <w:tcBorders>
              <w:top w:val="single" w:sz="4" w:space="0" w:color="000000"/>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方案实施完毕后，公司应在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个工作日内公告公司股份</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变动报告，并在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日内依法注销所回购的股份，办理工</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商变更登记手续。公司回购股份议案需经董事会、股东</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大会决议通过，其中股东大会须经出席会议的股东所持</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表决权的三分之二以上通过。公司董事承诺就该等回购</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事宜在董事会中投赞成票；控股股东承诺就该等回购事</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宜在股东大会中投赞成票。</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、控股股东增持在公司出现</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应启动预案情形时，公司控股股东应在收到通知后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工作日内启动内部决策程序，就其是否有增持公司股票</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的具体计划书面通知公司并由公司进行公告，公告应披</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露拟增持的数量范围、价格区间、总金额、完成时间等</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信息。增持方案实施完毕后，公司应在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个工作日内公</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告公司股份变动报告。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、董事及高级管理人员增持在公</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司出现应启动预案情形时，公司董事及高级管理人员应</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在收到通知后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个工作日内，就其是否有增持公司股票</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的具体计划书面通知公司并由公司进行公告，公告应披</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露拟增持的数量范围、价格区间、总金额、完成时间等</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信息。增持方案实施完毕后，公司应在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个工作日内公</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告公司股份变动报告。公司董事及高级管理人员应根据</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预案的规定签署相关承诺。公司上市后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年内拟新聘任</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董事和高级管理人员时，公司将促使该新聘任的董事和</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高级管理人员根据预案的规定签署相关承诺</w:t>
            </w:r>
            <w:r>
              <w:rPr>
                <w:rFonts w:ascii="宋体" w:hAnsi="宋体" w:cs="宋体" w:eastAsia="宋体" w:hint="default"/>
                <w:spacing w:val="-128"/>
                <w:sz w:val="18"/>
                <w:szCs w:val="18"/>
              </w:rPr>
              <w:t>。</w:t>
            </w:r>
            <w:r>
              <w:rPr>
                <w:rFonts w:ascii="宋体" w:hAnsi="宋体" w:cs="宋体" w:eastAsia="宋体" w:hint="default"/>
                <w:sz w:val="18"/>
                <w:szCs w:val="18"/>
              </w:rPr>
              <w:t>（四</w:t>
            </w:r>
            <w:r>
              <w:rPr>
                <w:rFonts w:ascii="宋体" w:hAnsi="宋体" w:cs="宋体" w:eastAsia="宋体" w:hint="default"/>
                <w:spacing w:val="-36"/>
                <w:sz w:val="18"/>
                <w:szCs w:val="18"/>
              </w:rPr>
              <w:t>）</w:t>
            </w:r>
            <w:r>
              <w:rPr>
                <w:rFonts w:ascii="宋体" w:hAnsi="宋体" w:cs="宋体" w:eastAsia="宋体" w:hint="default"/>
                <w:sz w:val="18"/>
                <w:szCs w:val="18"/>
              </w:rPr>
              <w:t>股价</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稳定预案未实施的约束机制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、本公司自愿接受主管机</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关对其上述股价稳定措施的制定、实施等进行监督，并</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承担法律责任；</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、如公司控股股东违反预案及相关承诺</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函所述义务的，公司有权将控股股东应履行其增持义务</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相等金额的应付控股股东现金分红予以截留，直至控股</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股东履行其增持义务；如已经连续两次以上存在上述情</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形时，则公司可将与控股股东履行其增持义务相等金额</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的应付控股股东现金分红予以截留用于股份回购计划，</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控股股东丧失对相应金额现金分红的追索权。对于应当</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截留应付控股股东的现金分红，公司董事（包括独立董</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92"/>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高级管理人员应当敦促</w:t>
            </w:r>
            <w:r>
              <w:rPr>
                <w:rFonts w:ascii="宋体" w:hAnsi="宋体" w:cs="宋体" w:eastAsia="宋体" w:hint="default"/>
                <w:spacing w:val="2"/>
                <w:sz w:val="18"/>
                <w:szCs w:val="18"/>
              </w:rPr>
              <w:t>公</w:t>
            </w:r>
            <w:r>
              <w:rPr>
                <w:rFonts w:ascii="宋体" w:hAnsi="宋体" w:cs="宋体" w:eastAsia="宋体" w:hint="default"/>
                <w:sz w:val="18"/>
                <w:szCs w:val="18"/>
              </w:rPr>
              <w:t>司按时足额截留</w:t>
            </w:r>
            <w:r>
              <w:rPr>
                <w:rFonts w:ascii="宋体" w:hAnsi="宋体" w:cs="宋体" w:eastAsia="宋体" w:hint="default"/>
                <w:spacing w:val="-36"/>
                <w:sz w:val="18"/>
                <w:szCs w:val="18"/>
              </w:rPr>
              <w:t>，</w:t>
            </w:r>
            <w:r>
              <w:rPr>
                <w:rFonts w:ascii="宋体" w:hAnsi="宋体" w:cs="宋体" w:eastAsia="宋体" w:hint="default"/>
                <w:sz w:val="18"/>
                <w:szCs w:val="18"/>
              </w:rPr>
              <w:t>未履行</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敦促义务的董</w:t>
            </w:r>
            <w:r>
              <w:rPr>
                <w:rFonts w:ascii="宋体" w:hAnsi="宋体" w:cs="宋体" w:eastAsia="宋体" w:hint="default"/>
                <w:spacing w:val="-36"/>
                <w:sz w:val="18"/>
                <w:szCs w:val="18"/>
              </w:rPr>
              <w:t>事</w:t>
            </w:r>
            <w:r>
              <w:rPr>
                <w:rFonts w:ascii="宋体" w:hAnsi="宋体" w:cs="宋体" w:eastAsia="宋体" w:hint="default"/>
                <w:sz w:val="18"/>
                <w:szCs w:val="18"/>
              </w:rPr>
              <w:t>（包括独立董事</w:t>
            </w:r>
            <w:r>
              <w:rPr>
                <w:rFonts w:ascii="宋体" w:hAnsi="宋体" w:cs="宋体" w:eastAsia="宋体" w:hint="default"/>
                <w:spacing w:val="-92"/>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高级管理人员应当向</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中小股东承担赔偿责任，中小股东有权向人民法院提起</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诉讼；</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、如公司董事、高级管理人员违反预案及相关承</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诺函所述义务的公司有权将其履行增持义务相等金额的</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工资薪酬（仅包括其在公司领取的工资薪酬扣除当地最</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低工资标准后的部分）代其履行增持义务；如个人在任</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职期间连续两次以上未能主动履行其增持义务，由控股</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股东或董事会、监事会、半数以上的独立董事提请股东</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大会同意更换相关董事，由公司董事会解聘相关高级管</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理人员。</w:t>
            </w:r>
            <w:r>
              <w:rPr>
                <w:rFonts w:ascii="Times New Roman" w:hAnsi="Times New Roman" w:cs="Times New Roman" w:eastAsia="Times New Roman" w:hint="default"/>
                <w:sz w:val="18"/>
                <w:szCs w:val="18"/>
              </w:rPr>
              <w:t>"</w:t>
            </w: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2.690002pt;margin-top:264.265991pt;width:149.1pt;height:501.2pt;mso-position-horizontal-relative:page;mso-position-vertical-relative:page;z-index:-11643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6"/>
                      <w:szCs w:val="26"/>
                    </w:rPr>
                  </w:pPr>
                </w:p>
                <w:p>
                  <w:pPr>
                    <w:pStyle w:val="BodyText"/>
                    <w:spacing w:line="240" w:lineRule="auto"/>
                    <w:ind w:left="0" w:right="0"/>
                    <w:jc w:val="left"/>
                  </w:pPr>
                  <w:r>
                    <w:rPr/>
                    <w:t>实现技术服务和收益的延伸，</w:t>
                  </w:r>
                </w:p>
              </w:txbxContent>
            </v:textbox>
            <w10:wrap type="none"/>
          </v:shape>
        </w:pict>
      </w:r>
      <w:r>
        <w:rPr/>
        <w:pict>
          <v:group style="position:absolute;margin-left:446.859985pt;margin-top:264.265991pt;width:34.950pt;height:501.2pt;mso-position-horizontal-relative:page;mso-position-vertical-relative:page;z-index:-1164280" coordorigin="8937,5285" coordsize="699,10024">
            <v:group style="position:absolute;left:8937;top:5285;width:699;height:10024" coordorigin="8937,5285" coordsize="699,10024">
              <v:shape style="position:absolute;left:8937;top:5285;width:699;height:10024" coordorigin="8937,5285" coordsize="699,10024" path="m8937,15309l9636,15309,9636,5285,8937,5285,8937,15309xe" filled="true" fillcolor="#ffffff" stroked="false">
                <v:path arrowok="t"/>
                <v:fill type="solid"/>
              </v:shape>
            </v:group>
            <v:group style="position:absolute;left:8961;top:9789;width:653;height:353" coordorigin="8961,9789" coordsize="653,353">
              <v:shape style="position:absolute;left:8961;top:9789;width:653;height:353" coordorigin="8961,9789" coordsize="653,353" path="m8961,10141l9614,10141,9614,9789,8961,9789,8961,10141xe" filled="true" fillcolor="#ffffff" stroked="false">
                <v:path arrowok="t"/>
                <v:fill type="solid"/>
              </v:shape>
            </v:group>
            <v:group style="position:absolute;left:8961;top:10141;width:653;height:312" coordorigin="8961,10141" coordsize="653,312">
              <v:shape style="position:absolute;left:8961;top:10141;width:653;height:312" coordorigin="8961,10141" coordsize="653,312" path="m8961,10453l9614,10453,9614,10141,8961,10141,8961,10453xe" filled="true" fillcolor="#ffffff" stroked="false">
                <v:path arrowok="t"/>
                <v:fill type="solid"/>
              </v:shape>
            </v:group>
            <v:group style="position:absolute;left:8961;top:10453;width:653;height:353" coordorigin="8961,10453" coordsize="653,353">
              <v:shape style="position:absolute;left:8961;top:10453;width:653;height:353" coordorigin="8961,10453" coordsize="653,353" path="m8961,10806l9614,10806,9614,10453,8961,10453,8961,10806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419"/>
        <w:gridCol w:w="708"/>
        <w:gridCol w:w="4395"/>
        <w:gridCol w:w="708"/>
        <w:gridCol w:w="566"/>
        <w:gridCol w:w="494"/>
      </w:tblGrid>
      <w:tr>
        <w:trPr>
          <w:trHeight w:val="363"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保荐机构申万宏源承诺：因发行人招股说明书及其他信</w:t>
            </w: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息披露资料有虚假记载、误导性陈述或者重大遗漏，致</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使投资者在证券发行和交易中遭受损失的，将先行赔偿</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北京德恒律师事</w:t>
            </w: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投资者损失。因本机构为发行人首次公开发行制作、出</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23" w:right="22"/>
              <w:jc w:val="both"/>
              <w:rPr>
                <w:rFonts w:ascii="宋体" w:hAnsi="宋体" w:cs="宋体" w:eastAsia="宋体" w:hint="default"/>
                <w:sz w:val="18"/>
                <w:szCs w:val="18"/>
              </w:rPr>
            </w:pPr>
            <w:r>
              <w:rPr>
                <w:rFonts w:ascii="宋体" w:hAnsi="宋体" w:cs="宋体" w:eastAsia="宋体" w:hint="default"/>
                <w:sz w:val="18"/>
                <w:szCs w:val="18"/>
              </w:rPr>
              <w:t>务所</w:t>
            </w:r>
            <w:r>
              <w:rPr>
                <w:rFonts w:ascii="Times New Roman" w:hAnsi="Times New Roman" w:cs="Times New Roman" w:eastAsia="Times New Roman" w:hint="default"/>
                <w:sz w:val="18"/>
                <w:szCs w:val="18"/>
              </w:rPr>
              <w:t>;</w:t>
            </w:r>
            <w:r>
              <w:rPr>
                <w:rFonts w:ascii="宋体" w:hAnsi="宋体" w:cs="宋体" w:eastAsia="宋体" w:hint="default"/>
                <w:sz w:val="18"/>
                <w:szCs w:val="18"/>
              </w:rPr>
              <w:t>立信会计师 </w:t>
            </w:r>
            <w:r>
              <w:rPr>
                <w:rFonts w:ascii="宋体" w:hAnsi="宋体" w:cs="宋体" w:eastAsia="宋体" w:hint="default"/>
                <w:spacing w:val="-10"/>
                <w:sz w:val="18"/>
                <w:szCs w:val="18"/>
              </w:rPr>
              <w:t>事务所（特殊普通</w:t>
            </w:r>
            <w:r>
              <w:rPr>
                <w:rFonts w:ascii="宋体" w:hAnsi="宋体" w:cs="宋体" w:eastAsia="宋体" w:hint="default"/>
                <w:sz w:val="18"/>
                <w:szCs w:val="18"/>
              </w:rPr>
              <w:t> 合伙）</w:t>
            </w:r>
            <w:r>
              <w:rPr>
                <w:rFonts w:ascii="Times New Roman" w:hAnsi="Times New Roman" w:cs="Times New Roman" w:eastAsia="Times New Roman" w:hint="default"/>
                <w:sz w:val="18"/>
                <w:szCs w:val="18"/>
              </w:rPr>
              <w:t>;</w:t>
            </w:r>
            <w:r>
              <w:rPr>
                <w:rFonts w:ascii="宋体" w:hAnsi="宋体" w:cs="宋体" w:eastAsia="宋体" w:hint="default"/>
                <w:sz w:val="18"/>
                <w:szCs w:val="18"/>
              </w:rPr>
              <w:t>申万宏源 证券承销保荐有</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32"/>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39"/>
              <w:jc w:val="both"/>
              <w:rPr>
                <w:rFonts w:ascii="宋体" w:hAnsi="宋体" w:cs="宋体" w:eastAsia="宋体" w:hint="default"/>
                <w:sz w:val="18"/>
                <w:szCs w:val="18"/>
              </w:rPr>
            </w:pPr>
            <w:r>
              <w:rPr>
                <w:rFonts w:ascii="宋体" w:hAnsi="宋体" w:cs="宋体" w:eastAsia="宋体" w:hint="default"/>
                <w:sz w:val="18"/>
                <w:szCs w:val="18"/>
              </w:rPr>
              <w:t>具的文件有虚假记载、误导性陈述或者重大遗漏，给投 资者造成损失的，将先行赔偿投资者损失。律师事务所 德恒律师承诺：由于本所为发行人首次公开发行制作、 出具的文件有虚假记载、误导性陈述或者重大遗漏，给</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2-31</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投资者造成损失的，本所将依法赔偿投资者损失。</w:t>
            </w:r>
            <w:r>
              <w:rPr>
                <w:rFonts w:ascii="宋体" w:hAnsi="宋体" w:cs="宋体" w:eastAsia="宋体" w:hint="default"/>
                <w:spacing w:val="-71"/>
                <w:sz w:val="18"/>
                <w:szCs w:val="18"/>
              </w:rPr>
              <w:t> </w:t>
            </w:r>
            <w:r>
              <w:rPr>
                <w:rFonts w:ascii="宋体" w:hAnsi="宋体" w:cs="宋体" w:eastAsia="宋体" w:hint="default"/>
                <w:sz w:val="18"/>
                <w:szCs w:val="18"/>
              </w:rPr>
              <w:t>会计</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师事务所立信会计师承诺：因本所为发行人首次公开发</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行制作、出具的文件有虚假记载、误导性陈述或者重大</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遗漏，给投资者造成损失的，将依法赔偿投资者损失。</w:t>
            </w:r>
            <w:r>
              <w:rPr>
                <w:rFonts w:ascii="Times New Roman" w:hAnsi="Times New Roman" w:cs="Times New Roman" w:eastAsia="Times New Roman" w:hint="default"/>
                <w:spacing w:val="-3"/>
                <w:sz w:val="18"/>
                <w:szCs w:val="18"/>
              </w:rPr>
              <w:t>"</w:t>
            </w: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关于填补本次发行股票被摊薄即期回报的措施与承诺</w:t>
            </w: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为降低本次公开发行股票对公司即期回报摊薄的风险，</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公司拟通过大力发展主营业务、加强募集资金管理、加</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快募投项目投资进度、加大市场开拓力度、加强内部控</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制、强化投资者回报机制等措施，提高公司整体市场竞</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争力和盈利能力</w:t>
            </w:r>
            <w:r>
              <w:rPr>
                <w:rFonts w:ascii="宋体" w:hAnsi="宋体" w:cs="宋体" w:eastAsia="宋体" w:hint="default"/>
                <w:spacing w:val="-24"/>
                <w:sz w:val="18"/>
                <w:szCs w:val="18"/>
              </w:rPr>
              <w:t>，</w:t>
            </w:r>
            <w:r>
              <w:rPr>
                <w:rFonts w:ascii="宋体" w:hAnsi="宋体" w:cs="宋体" w:eastAsia="宋体" w:hint="default"/>
                <w:sz w:val="18"/>
                <w:szCs w:val="18"/>
              </w:rPr>
              <w:t>以填补被摊薄即期回报</w:t>
            </w:r>
            <w:r>
              <w:rPr>
                <w:rFonts w:ascii="宋体" w:hAnsi="宋体" w:cs="宋体" w:eastAsia="宋体" w:hint="default"/>
                <w:spacing w:val="-116"/>
                <w:sz w:val="18"/>
                <w:szCs w:val="18"/>
              </w:rPr>
              <w:t>。</w:t>
            </w:r>
            <w:r>
              <w:rPr>
                <w:rFonts w:ascii="宋体" w:hAnsi="宋体" w:cs="宋体" w:eastAsia="宋体" w:hint="default"/>
                <w:sz w:val="18"/>
                <w:szCs w:val="18"/>
              </w:rPr>
              <w:t>（一</w:t>
            </w:r>
            <w:r>
              <w:rPr>
                <w:rFonts w:ascii="宋体" w:hAnsi="宋体" w:cs="宋体" w:eastAsia="宋体" w:hint="default"/>
                <w:spacing w:val="-24"/>
                <w:sz w:val="18"/>
                <w:szCs w:val="18"/>
              </w:rPr>
              <w:t>）</w:t>
            </w:r>
            <w:r>
              <w:rPr>
                <w:rFonts w:ascii="宋体" w:hAnsi="宋体" w:cs="宋体" w:eastAsia="宋体" w:hint="default"/>
                <w:sz w:val="18"/>
                <w:szCs w:val="18"/>
              </w:rPr>
              <w:t>公司现</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有业务板块运营状况、发展态势，面临的主要风险及改</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tabs>
                <w:tab w:pos="1283" w:val="left" w:leader="none"/>
              </w:tabs>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进措施  </w:t>
            </w:r>
            <w:r>
              <w:rPr>
                <w:rFonts w:ascii="Times New Roman" w:hAnsi="Times New Roman" w:cs="Times New Roman" w:eastAsia="Times New Roman" w:hint="default"/>
                <w:sz w:val="18"/>
                <w:szCs w:val="18"/>
              </w:rPr>
              <w:t>1.</w:t>
              <w:tab/>
            </w:r>
            <w:r>
              <w:rPr>
                <w:rFonts w:ascii="宋体" w:hAnsi="宋体" w:cs="宋体" w:eastAsia="宋体" w:hint="default"/>
                <w:sz w:val="18"/>
                <w:szCs w:val="18"/>
              </w:rPr>
              <w:t>公司现有业务板块运营状况、发展态势</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公司是国内生态城市建设运营的综合服务商，报告期城</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市规划、建筑设计、建筑咨询和公信服务等业务发展良</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好。随着公司业务模式的升级提升、技术研究进一步创</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新、以及运营管理水平的进一步提升，公司营业规模将</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进一步扩张。同时，随着新型城镇化和生态文明建设进</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一步深入，公司业绩将会呈现健康、可持续的发展。</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3" w:right="123"/>
              <w:jc w:val="both"/>
              <w:rPr>
                <w:rFonts w:ascii="宋体" w:hAnsi="宋体" w:cs="宋体" w:eastAsia="宋体" w:hint="default"/>
                <w:sz w:val="18"/>
                <w:szCs w:val="18"/>
              </w:rPr>
            </w:pPr>
            <w:r>
              <w:rPr>
                <w:rFonts w:ascii="宋体" w:hAnsi="宋体" w:cs="宋体" w:eastAsia="宋体" w:hint="default"/>
                <w:sz w:val="18"/>
                <w:szCs w:val="18"/>
              </w:rPr>
              <w:t>深圳市建筑科学 研究院股份有限 公司</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39" w:firstLine="420"/>
              <w:jc w:val="left"/>
              <w:rPr>
                <w:rFonts w:ascii="宋体" w:hAnsi="宋体" w:cs="宋体" w:eastAsia="宋体" w:hint="default"/>
                <w:sz w:val="18"/>
                <w:szCs w:val="18"/>
              </w:rPr>
            </w:pPr>
            <w:r>
              <w:rPr>
                <w:rFonts w:ascii="宋体" w:hAnsi="宋体" w:cs="宋体" w:eastAsia="宋体" w:hint="default"/>
                <w:sz w:val="18"/>
                <w:szCs w:val="18"/>
              </w:rPr>
              <w:t>公司现有业务板块面临的主要风险及改进措施 目前，公司现有业务板块面临的主要风险包括业务创新 和产能扩展不能快速响应市场需求、应收账款较大等方 </w:t>
            </w:r>
            <w:r>
              <w:rPr>
                <w:rFonts w:ascii="宋体" w:hAnsi="宋体" w:cs="宋体" w:eastAsia="宋体" w:hint="default"/>
                <w:spacing w:val="-4"/>
                <w:sz w:val="18"/>
                <w:szCs w:val="18"/>
              </w:rPr>
              <w:t>面，针对上述风险公司制定的改进措施如下：（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）业务</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3"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2-31</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创新和产能扩展不能快速响应市场需求的风险的应对措</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施；一是持续提升公司绿色技术服务业务。公司继续通</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过技术提</w:t>
            </w:r>
            <w:r>
              <w:rPr>
                <w:rFonts w:ascii="宋体" w:hAnsi="宋体" w:cs="宋体" w:eastAsia="宋体" w:hint="default"/>
                <w:spacing w:val="-24"/>
                <w:sz w:val="18"/>
                <w:szCs w:val="18"/>
              </w:rPr>
              <w:t>升</w:t>
            </w:r>
            <w:r>
              <w:rPr>
                <w:rFonts w:ascii="宋体" w:hAnsi="宋体" w:cs="宋体" w:eastAsia="宋体" w:hint="default"/>
                <w:sz w:val="18"/>
                <w:szCs w:val="18"/>
              </w:rPr>
              <w:t>（如</w:t>
            </w:r>
            <w:r>
              <w:rPr>
                <w:rFonts w:ascii="宋体" w:hAnsi="宋体" w:cs="宋体" w:eastAsia="宋体" w:hint="default"/>
                <w:spacing w:val="-45"/>
                <w:sz w:val="18"/>
                <w:szCs w:val="18"/>
              </w:rPr>
              <w:t> </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1"/>
                <w:w w:val="99"/>
                <w:sz w:val="18"/>
                <w:szCs w:val="18"/>
              </w:rPr>
              <w:t>S</w:t>
            </w:r>
            <w:r>
              <w:rPr>
                <w:rFonts w:ascii="宋体" w:hAnsi="宋体" w:cs="宋体" w:eastAsia="宋体" w:hint="default"/>
                <w:spacing w:val="-24"/>
                <w:sz w:val="18"/>
                <w:szCs w:val="18"/>
              </w:rPr>
              <w:t>、</w:t>
            </w:r>
            <w:r>
              <w:rPr>
                <w:rFonts w:ascii="Times New Roman" w:hAnsi="Times New Roman" w:cs="Times New Roman" w:eastAsia="Times New Roman" w:hint="default"/>
                <w:spacing w:val="-1"/>
                <w:sz w:val="18"/>
                <w:szCs w:val="18"/>
              </w:rPr>
              <w:t>BI</w:t>
            </w:r>
            <w:r>
              <w:rPr>
                <w:rFonts w:ascii="Times New Roman" w:hAnsi="Times New Roman" w:cs="Times New Roman" w:eastAsia="Times New Roman" w:hint="default"/>
                <w:sz w:val="18"/>
                <w:szCs w:val="18"/>
              </w:rPr>
              <w: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技术应用研究</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推进信息化</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项目管理平台和知识管理库的建设加强现有生态规划和</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绿色设计、咨询业务的生产效率和产能增长。二是积极</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孵化绿色综合运营服务业务（</w:t>
            </w:r>
            <w:r>
              <w:rPr>
                <w:rFonts w:ascii="Times New Roman" w:hAnsi="Times New Roman" w:cs="Times New Roman" w:eastAsia="Times New Roman" w:hint="default"/>
                <w:spacing w:val="-1"/>
                <w:w w:val="99"/>
                <w:sz w:val="18"/>
                <w:szCs w:val="18"/>
              </w:rPr>
              <w:t>DO</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DO</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业务是</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公司探索针对绿色建筑、绿色园区、绿色社区等全方位</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创新性业务。由于绿色建筑的</w:t>
            </w:r>
            <w:r>
              <w:rPr>
                <w:rFonts w:ascii="Times New Roman" w:hAnsi="Times New Roman" w:cs="Times New Roman" w:eastAsia="Times New Roman" w:hint="default"/>
                <w:sz w:val="18"/>
                <w:szCs w:val="18"/>
              </w:rPr>
              <w:t>“</w:t>
            </w:r>
            <w:r>
              <w:rPr>
                <w:rFonts w:ascii="宋体" w:hAnsi="宋体" w:cs="宋体" w:eastAsia="宋体" w:hint="default"/>
                <w:sz w:val="18"/>
                <w:szCs w:val="18"/>
              </w:rPr>
              <w:t>绿色</w:t>
            </w:r>
            <w:r>
              <w:rPr>
                <w:rFonts w:ascii="Times New Roman" w:hAnsi="Times New Roman" w:cs="Times New Roman" w:eastAsia="Times New Roman" w:hint="default"/>
                <w:sz w:val="18"/>
                <w:szCs w:val="18"/>
              </w:rPr>
              <w:t>”</w:t>
            </w:r>
            <w:r>
              <w:rPr>
                <w:rFonts w:ascii="宋体" w:hAnsi="宋体" w:cs="宋体" w:eastAsia="宋体" w:hint="default"/>
                <w:sz w:val="18"/>
                <w:szCs w:val="18"/>
              </w:rPr>
              <w:t>不但体现在设计阶</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段，更重要体现在运营阶段。公司利用自身在绿色技术</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服务的积累为客户提供绿色建筑、绿色园区、绿色社区</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园设计、运营一体化服务，</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同时以绿色技术平台为核心，开展面对产业的技术孵化</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服务和产业聚集服务（绿色办公、实验平台、数据中心</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的租赁和服务，行业交流和交易推广服务，技术和产品</w:t>
            </w: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14.690002pt;margin-top:72.475983pt;width:167.1pt;height:686.5pt;mso-position-horizontal-relative:page;mso-position-vertical-relative:page;z-index:-1164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0"/>
                      <w:szCs w:val="20"/>
                    </w:rPr>
                  </w:pPr>
                </w:p>
                <w:p>
                  <w:pPr>
                    <w:pStyle w:val="BodyText"/>
                    <w:spacing w:line="636" w:lineRule="auto"/>
                    <w:ind w:left="180" w:right="639" w:firstLine="720"/>
                    <w:jc w:val="right"/>
                  </w:pPr>
                  <w:r>
                    <w:rPr/>
                    <w:t>形成新的业务增长点。 未来随着公司销售规模的扩大，</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8"/>
                      <w:szCs w:val="18"/>
                    </w:rPr>
                  </w:pPr>
                </w:p>
                <w:p>
                  <w:pPr>
                    <w:pStyle w:val="BodyText"/>
                    <w:spacing w:line="636" w:lineRule="auto"/>
                    <w:ind w:left="0" w:right="639" w:firstLine="1260"/>
                    <w:jc w:val="right"/>
                  </w:pPr>
                  <w:r>
                    <w:rPr/>
                    <w:t>募集资金到位前， 先行投入建设募集资金投资项目，</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7"/>
                      <w:szCs w:val="17"/>
                    </w:rPr>
                  </w:pPr>
                </w:p>
                <w:p>
                  <w:pPr>
                    <w:pStyle w:val="BodyText"/>
                    <w:spacing w:line="240" w:lineRule="auto"/>
                    <w:ind w:left="0" w:right="639"/>
                    <w:jc w:val="right"/>
                  </w:pPr>
                  <w:r>
                    <w:rPr/>
                    <w:t>员工在乐活平台上公开竞包，</w:t>
                  </w:r>
                </w:p>
              </w:txbxContent>
            </v:textbox>
            <w10:wrap type="none"/>
          </v:shape>
        </w:pict>
      </w:r>
      <w:r>
        <w:rPr/>
        <w:pict>
          <v:group style="position:absolute;margin-left:446.859985pt;margin-top:72.475983pt;width:34.950pt;height:686.5pt;mso-position-horizontal-relative:page;mso-position-vertical-relative:page;z-index:-1164232" coordorigin="8937,1450" coordsize="699,13730">
            <v:shape style="position:absolute;left:8937;top:1450;width:699;height:13730" coordorigin="8937,1450" coordsize="699,13730" path="m8937,15180l9636,15180,9636,1450,8937,1450,8937,15180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419"/>
        <w:gridCol w:w="708"/>
        <w:gridCol w:w="4395"/>
        <w:gridCol w:w="708"/>
        <w:gridCol w:w="566"/>
        <w:gridCol w:w="494"/>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的技术认证和测评服务，项目或企业的综合孵化服务</w:t>
            </w: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94" w:type="dxa"/>
            <w:vMerge w:val="restart"/>
            <w:tcBorders>
              <w:top w:val="single" w:sz="4" w:space="0" w:color="000000"/>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92"/>
                <w:sz w:val="18"/>
                <w:szCs w:val="18"/>
              </w:rPr>
              <w:t>）</w:t>
            </w:r>
            <w:r>
              <w:rPr>
                <w:rFonts w:ascii="宋体" w:hAnsi="宋体" w:cs="宋体" w:eastAsia="宋体" w:hint="default"/>
                <w:sz w:val="18"/>
                <w:szCs w:val="18"/>
              </w:rPr>
              <w:t>，实现跨界服务和收益多</w:t>
            </w:r>
            <w:r>
              <w:rPr>
                <w:rFonts w:ascii="宋体" w:hAnsi="宋体" w:cs="宋体" w:eastAsia="宋体" w:hint="default"/>
                <w:spacing w:val="2"/>
                <w:sz w:val="18"/>
                <w:szCs w:val="18"/>
              </w:rPr>
              <w:t>元</w:t>
            </w:r>
            <w:r>
              <w:rPr>
                <w:rFonts w:ascii="宋体" w:hAnsi="宋体" w:cs="宋体" w:eastAsia="宋体" w:hint="default"/>
                <w:sz w:val="18"/>
                <w:szCs w:val="18"/>
              </w:rPr>
              <w:t>性。</w:t>
            </w:r>
            <w:r>
              <w:rPr>
                <w:rFonts w:ascii="Times New Roman" w:hAnsi="Times New Roman" w:cs="Times New Roman" w:eastAsia="Times New Roman" w:hint="default"/>
                <w:spacing w:val="-1"/>
                <w:w w:val="99"/>
                <w:sz w:val="18"/>
                <w:szCs w:val="18"/>
              </w:rPr>
              <w:t>DO</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业务主要分为</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项目启动立项、策划规划、设计总包管理、建设管理、</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园区运营和移交等阶段。公司将在上海钢琴厂低碳化升</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级改造及运营（</w:t>
            </w:r>
            <w:r>
              <w:rPr>
                <w:rFonts w:ascii="Times New Roman" w:hAnsi="Times New Roman" w:cs="Times New Roman" w:eastAsia="Times New Roman" w:hint="default"/>
                <w:sz w:val="18"/>
                <w:szCs w:val="18"/>
              </w:rPr>
              <w:t>DOT</w:t>
            </w:r>
            <w:r>
              <w:rPr>
                <w:rFonts w:ascii="宋体" w:hAnsi="宋体" w:cs="宋体" w:eastAsia="宋体" w:hint="default"/>
                <w:sz w:val="18"/>
                <w:szCs w:val="18"/>
              </w:rPr>
              <w:t>）项目、深圳国际低碳城会展中心</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绿色运营项目等试点项目的实践和研究基础上，加快</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DOT</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业务模式的探索和扩展，在全国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大重点地区实现</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项目落地。三是加快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B2C </w:t>
            </w:r>
            <w:r>
              <w:rPr>
                <w:rFonts w:ascii="宋体" w:hAnsi="宋体" w:cs="宋体" w:eastAsia="宋体" w:hint="default"/>
                <w:sz w:val="18"/>
                <w:szCs w:val="18"/>
              </w:rPr>
              <w:t>模式的绿色技术服务业务的拓</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展。公信服务业务是基于绿色环保理念的服务模式，针</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对公众客户开展绿色人居环境技术服务的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B2B2C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模式</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基于第三方测评和技术顾问，把健康、环保、优质的产</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品和服务推荐给最需要的客户和消费者。公司将以技术</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平台、实验平台、行业资源平台为支撑，建设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B2B2C</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业</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务运营平台和渠道，建立网络门户平台，为公众客户提</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供具有第三方公信力的技术服务，</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）应收账款的风险及改进措施</w:t>
            </w:r>
            <w:r>
              <w:rPr>
                <w:rFonts w:ascii="宋体" w:hAnsi="宋体" w:cs="宋体" w:eastAsia="宋体" w:hint="default"/>
                <w:spacing w:val="2"/>
                <w:sz w:val="18"/>
                <w:szCs w:val="18"/>
              </w:rPr>
              <w:t> </w:t>
            </w:r>
            <w:r>
              <w:rPr>
                <w:rFonts w:ascii="宋体" w:hAnsi="宋体" w:cs="宋体" w:eastAsia="宋体" w:hint="default"/>
                <w:sz w:val="18"/>
                <w:szCs w:val="18"/>
              </w:rPr>
              <w:t>报告期各期末，公司</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应收账款账面价值较大。</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应收账款可能继续增加，将给公司带来较大的营运资金</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压力和一定的经营风险。</w:t>
            </w:r>
            <w:r>
              <w:rPr>
                <w:rFonts w:ascii="宋体" w:hAnsi="宋体" w:cs="宋体" w:eastAsia="宋体" w:hint="default"/>
                <w:spacing w:val="-32"/>
                <w:sz w:val="18"/>
                <w:szCs w:val="18"/>
              </w:rPr>
              <w:t> </w:t>
            </w:r>
            <w:r>
              <w:rPr>
                <w:rFonts w:ascii="宋体" w:hAnsi="宋体" w:cs="宋体" w:eastAsia="宋体" w:hint="default"/>
                <w:spacing w:val="-3"/>
                <w:sz w:val="18"/>
                <w:szCs w:val="18"/>
              </w:rPr>
              <w:t>为了应对上述风险，公司拟紧</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密关注外部环境变化趋势，做好相关决策工作，加强客</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户信用和财务风险评估，加大应收账款控制力度，保障</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资产安全</w:t>
            </w:r>
            <w:r>
              <w:rPr>
                <w:rFonts w:ascii="宋体" w:hAnsi="宋体" w:cs="宋体" w:eastAsia="宋体" w:hint="default"/>
                <w:spacing w:val="-17"/>
                <w:sz w:val="18"/>
                <w:szCs w:val="18"/>
              </w:rPr>
              <w:t>；</w:t>
            </w:r>
            <w:r>
              <w:rPr>
                <w:rFonts w:ascii="宋体" w:hAnsi="宋体" w:cs="宋体" w:eastAsia="宋体" w:hint="default"/>
                <w:sz w:val="18"/>
                <w:szCs w:val="18"/>
              </w:rPr>
              <w:t>充分利用财务政策</w:t>
            </w:r>
            <w:r>
              <w:rPr>
                <w:rFonts w:ascii="宋体" w:hAnsi="宋体" w:cs="宋体" w:eastAsia="宋体" w:hint="default"/>
                <w:spacing w:val="-17"/>
                <w:sz w:val="18"/>
                <w:szCs w:val="18"/>
              </w:rPr>
              <w:t>，</w:t>
            </w:r>
            <w:r>
              <w:rPr>
                <w:rFonts w:ascii="宋体" w:hAnsi="宋体" w:cs="宋体" w:eastAsia="宋体" w:hint="default"/>
                <w:sz w:val="18"/>
                <w:szCs w:val="18"/>
              </w:rPr>
              <w:t>加速货款回笼</w:t>
            </w:r>
            <w:r>
              <w:rPr>
                <w:rFonts w:ascii="宋体" w:hAnsi="宋体" w:cs="宋体" w:eastAsia="宋体" w:hint="default"/>
                <w:spacing w:val="-108"/>
                <w:sz w:val="18"/>
                <w:szCs w:val="18"/>
              </w:rPr>
              <w:t>。</w:t>
            </w:r>
            <w:r>
              <w:rPr>
                <w:rFonts w:ascii="宋体" w:hAnsi="宋体" w:cs="宋体" w:eastAsia="宋体" w:hint="default"/>
                <w:sz w:val="18"/>
                <w:szCs w:val="18"/>
              </w:rPr>
              <w:t>（二</w:t>
            </w:r>
            <w:r>
              <w:rPr>
                <w:rFonts w:ascii="宋体" w:hAnsi="宋体" w:cs="宋体" w:eastAsia="宋体" w:hint="default"/>
                <w:spacing w:val="-17"/>
                <w:sz w:val="18"/>
                <w:szCs w:val="18"/>
              </w:rPr>
              <w:t>）</w:t>
            </w:r>
            <w:r>
              <w:rPr>
                <w:rFonts w:ascii="宋体" w:hAnsi="宋体" w:cs="宋体" w:eastAsia="宋体" w:hint="default"/>
                <w:sz w:val="18"/>
                <w:szCs w:val="18"/>
              </w:rPr>
              <w:t>加</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快公司募投项目建设，提高日常运营效率，降低公司运</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营成本，提升公司经营业绩的措施</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加强募集资金管</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理，加快募投项目投资进度；公司制定了《募集资金使</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用管理办法</w:t>
            </w:r>
            <w:r>
              <w:rPr>
                <w:rFonts w:ascii="宋体" w:hAnsi="宋体" w:cs="宋体" w:eastAsia="宋体" w:hint="default"/>
                <w:spacing w:val="-92"/>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实行募集资金</w:t>
            </w:r>
            <w:r>
              <w:rPr>
                <w:rFonts w:ascii="宋体" w:hAnsi="宋体" w:cs="宋体" w:eastAsia="宋体" w:hint="default"/>
                <w:spacing w:val="2"/>
                <w:sz w:val="18"/>
                <w:szCs w:val="18"/>
              </w:rPr>
              <w:t>专</w:t>
            </w:r>
            <w:r>
              <w:rPr>
                <w:rFonts w:ascii="宋体" w:hAnsi="宋体" w:cs="宋体" w:eastAsia="宋体" w:hint="default"/>
                <w:sz w:val="18"/>
                <w:szCs w:val="18"/>
              </w:rPr>
              <w:t>户存储制度</w:t>
            </w:r>
            <w:r>
              <w:rPr>
                <w:rFonts w:ascii="宋体" w:hAnsi="宋体" w:cs="宋体" w:eastAsia="宋体" w:hint="default"/>
                <w:spacing w:val="-36"/>
                <w:sz w:val="18"/>
                <w:szCs w:val="18"/>
              </w:rPr>
              <w:t>，</w:t>
            </w:r>
            <w:r>
              <w:rPr>
                <w:rFonts w:ascii="宋体" w:hAnsi="宋体" w:cs="宋体" w:eastAsia="宋体" w:hint="default"/>
                <w:sz w:val="18"/>
                <w:szCs w:val="18"/>
              </w:rPr>
              <w:t>公司募集资</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金存放于董事会决定的专项账户集中管理，保证募集资</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金的安全性和专用性，做到专款专用。本次发行募集资</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金到位后，公司将加快推进募集资金投资项目建设，争</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取募投项目早日达产并实现预期效益。</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为把握市场机会以及满足生产经营需要，公司将通过多</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种渠道积极筹措资金，</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争取尽早实现项目预期收益，增强股东回报。</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加大市</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场开拓力度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）公司继续深化营销体系改革，强化大</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客户和区域营销机制，加大经营授权，逐步推行针对产</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品和特定客户的事业部机制</w:t>
            </w:r>
            <w:r>
              <w:rPr>
                <w:rFonts w:ascii="宋体" w:hAnsi="宋体" w:cs="宋体" w:eastAsia="宋体" w:hint="default"/>
                <w:spacing w:val="-13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41"/>
                <w:sz w:val="18"/>
                <w:szCs w:val="18"/>
              </w:rPr>
              <w:t>）</w:t>
            </w:r>
            <w:r>
              <w:rPr>
                <w:rFonts w:ascii="宋体" w:hAnsi="宋体" w:cs="宋体" w:eastAsia="宋体" w:hint="default"/>
                <w:sz w:val="18"/>
                <w:szCs w:val="18"/>
              </w:rPr>
              <w:t>结合</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DO</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业务的拓展</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和公信检测基地建设，完成全国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大区域市场营销和营</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运平台建设，提高区域市场属地化生产服务。</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43" w:right="0"/>
              <w:jc w:val="left"/>
              <w:rPr>
                <w:rFonts w:ascii="宋体" w:hAnsi="宋体" w:cs="宋体" w:eastAsia="宋体" w:hint="default"/>
                <w:sz w:val="18"/>
                <w:szCs w:val="18"/>
              </w:rPr>
            </w:pPr>
            <w:r>
              <w:rPr>
                <w:rFonts w:ascii="宋体" w:hAnsi="宋体" w:cs="宋体" w:eastAsia="宋体" w:hint="default"/>
                <w:sz w:val="18"/>
                <w:szCs w:val="18"/>
              </w:rPr>
              <w:t>加强内部控制，提升运营效率和盈利能力</w:t>
            </w:r>
            <w:r>
              <w:rPr>
                <w:rFonts w:ascii="宋体" w:hAnsi="宋体" w:cs="宋体" w:eastAsia="宋体" w:hint="default"/>
                <w:spacing w:val="1"/>
                <w:sz w:val="18"/>
                <w:szCs w:val="18"/>
              </w:rPr>
              <w:t> </w:t>
            </w:r>
            <w:r>
              <w:rPr>
                <w:rFonts w:ascii="宋体" w:hAnsi="宋体" w:cs="宋体" w:eastAsia="宋体" w:hint="default"/>
                <w:sz w:val="18"/>
                <w:szCs w:val="18"/>
              </w:rPr>
              <w:t>公司将</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全面推行</w:t>
            </w:r>
            <w:r>
              <w:rPr>
                <w:rFonts w:ascii="Times New Roman" w:hAnsi="Times New Roman" w:cs="Times New Roman" w:eastAsia="Times New Roman" w:hint="default"/>
                <w:sz w:val="18"/>
                <w:szCs w:val="18"/>
              </w:rPr>
              <w:t>“</w:t>
            </w:r>
            <w:r>
              <w:rPr>
                <w:rFonts w:ascii="宋体" w:hAnsi="宋体" w:cs="宋体" w:eastAsia="宋体" w:hint="default"/>
                <w:sz w:val="18"/>
                <w:szCs w:val="18"/>
              </w:rPr>
              <w:t>乐活工社</w:t>
            </w:r>
            <w:r>
              <w:rPr>
                <w:rFonts w:ascii="Times New Roman" w:hAnsi="Times New Roman" w:cs="Times New Roman" w:eastAsia="Times New Roman" w:hint="default"/>
                <w:sz w:val="18"/>
                <w:szCs w:val="18"/>
              </w:rPr>
              <w:t>”</w:t>
            </w:r>
            <w:r>
              <w:rPr>
                <w:rFonts w:ascii="宋体" w:hAnsi="宋体" w:cs="宋体" w:eastAsia="宋体" w:hint="default"/>
                <w:sz w:val="18"/>
                <w:szCs w:val="18"/>
              </w:rPr>
              <w:t>，在平台上实现项目全过程管理，</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对项目实行工作任务分解。</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自我管理工作时间和薪酬兑现，激励员工工作积极性。</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同时通过</w:t>
            </w:r>
            <w:r>
              <w:rPr>
                <w:rFonts w:ascii="Times New Roman" w:hAnsi="Times New Roman" w:cs="Times New Roman" w:eastAsia="Times New Roman" w:hint="default"/>
                <w:sz w:val="18"/>
                <w:szCs w:val="18"/>
              </w:rPr>
              <w:t>“</w:t>
            </w:r>
            <w:r>
              <w:rPr>
                <w:rFonts w:ascii="宋体" w:hAnsi="宋体" w:cs="宋体" w:eastAsia="宋体" w:hint="default"/>
                <w:sz w:val="18"/>
                <w:szCs w:val="18"/>
              </w:rPr>
              <w:t>乐活工社</w:t>
            </w:r>
            <w:r>
              <w:rPr>
                <w:rFonts w:ascii="Times New Roman" w:hAnsi="Times New Roman" w:cs="Times New Roman" w:eastAsia="Times New Roman" w:hint="default"/>
                <w:sz w:val="18"/>
                <w:szCs w:val="18"/>
              </w:rPr>
              <w:t>”</w:t>
            </w:r>
            <w:r>
              <w:rPr>
                <w:rFonts w:ascii="宋体" w:hAnsi="宋体" w:cs="宋体" w:eastAsia="宋体" w:hint="default"/>
                <w:sz w:val="18"/>
                <w:szCs w:val="18"/>
              </w:rPr>
              <w:t>平台实现对员工的工作贡献的量化</w:t>
            </w:r>
          </w:p>
        </w:tc>
        <w:tc>
          <w:tcPr>
            <w:tcW w:w="708"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评价，推行基于员工贡献值的特别激励制度。</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4.</w:t>
            </w: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40.859985pt;margin-top:72.475983pt;width:40.950pt;height:686.5pt;mso-position-horizontal-relative:page;mso-position-vertical-relative:page;z-index:-1164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419"/>
        <w:gridCol w:w="708"/>
        <w:gridCol w:w="4395"/>
        <w:gridCol w:w="708"/>
        <w:gridCol w:w="566"/>
        <w:gridCol w:w="494"/>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443" w:right="0"/>
              <w:jc w:val="left"/>
              <w:rPr>
                <w:rFonts w:ascii="宋体" w:hAnsi="宋体" w:cs="宋体" w:eastAsia="宋体" w:hint="default"/>
                <w:sz w:val="18"/>
                <w:szCs w:val="18"/>
              </w:rPr>
            </w:pPr>
            <w:r>
              <w:rPr>
                <w:rFonts w:ascii="宋体" w:hAnsi="宋体" w:cs="宋体" w:eastAsia="宋体" w:hint="default"/>
                <w:sz w:val="18"/>
                <w:szCs w:val="18"/>
              </w:rPr>
              <w:t>完善利润分配制度，强化投资者回报机制</w:t>
            </w:r>
            <w:r>
              <w:rPr>
                <w:rFonts w:ascii="宋体" w:hAnsi="宋体" w:cs="宋体" w:eastAsia="宋体" w:hint="default"/>
                <w:spacing w:val="1"/>
                <w:sz w:val="18"/>
                <w:szCs w:val="18"/>
              </w:rPr>
              <w:t> </w:t>
            </w:r>
            <w:r>
              <w:rPr>
                <w:rFonts w:ascii="宋体" w:hAnsi="宋体" w:cs="宋体" w:eastAsia="宋体" w:hint="default"/>
                <w:sz w:val="18"/>
                <w:szCs w:val="18"/>
              </w:rPr>
              <w:t>公司已</w:t>
            </w:r>
          </w:p>
        </w:tc>
        <w:tc>
          <w:tcPr>
            <w:tcW w:w="708"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34.950pt;height:686.5pt;mso-position-horizontal-relative:char;mso-position-vertical-relative:line" coordorigin="0,0" coordsize="699,13730">
                  <v:group style="position:absolute;left:0;top:0;width:699;height:13730" coordorigin="0,0" coordsize="699,13730">
                    <v:shape style="position:absolute;left:0;top:0;width:699;height:13730" coordorigin="0,0" coordsize="699,13730" path="m0,13730l698,13730,698,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566" w:type="dxa"/>
            <w:vMerge w:val="restart"/>
            <w:tcBorders>
              <w:top w:val="single" w:sz="4" w:space="0" w:color="000000"/>
              <w:left w:val="single" w:sz="4" w:space="0" w:color="000000"/>
              <w:right w:val="single" w:sz="4" w:space="0" w:color="000000"/>
            </w:tcBorders>
          </w:tcPr>
          <w:p>
            <w:pPr/>
          </w:p>
        </w:tc>
        <w:tc>
          <w:tcPr>
            <w:tcW w:w="494"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根据中国证监会发布的《关于进一步落实上市公司现金</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分红有关事项的通知</w:t>
            </w:r>
            <w:r>
              <w:rPr>
                <w:rFonts w:ascii="宋体" w:hAnsi="宋体" w:cs="宋体" w:eastAsia="宋体" w:hint="default"/>
                <w:spacing w:val="-92"/>
                <w:sz w:val="18"/>
                <w:szCs w:val="18"/>
              </w:rPr>
              <w:t>》</w:t>
            </w:r>
            <w:r>
              <w:rPr>
                <w:rFonts w:ascii="宋体" w:hAnsi="宋体" w:cs="宋体" w:eastAsia="宋体" w:hint="default"/>
                <w:sz w:val="18"/>
                <w:szCs w:val="18"/>
              </w:rPr>
              <w:t>（证监</w:t>
            </w:r>
            <w:r>
              <w:rPr>
                <w:rFonts w:ascii="宋体" w:hAnsi="宋体" w:cs="宋体" w:eastAsia="宋体" w:hint="default"/>
                <w:spacing w:val="2"/>
                <w:sz w:val="18"/>
                <w:szCs w:val="18"/>
              </w:rPr>
              <w:t>发</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号）及《上</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市公司监管指引第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上市公司现金分红》等项规</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定，制订了上市后适用的《深圳市建筑科学研究院股份</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有限公司章程（草案</w:t>
            </w:r>
            <w:r>
              <w:rPr>
                <w:rFonts w:ascii="宋体" w:hAnsi="宋体" w:cs="宋体" w:eastAsia="宋体" w:hint="default"/>
                <w:spacing w:val="-92"/>
                <w:sz w:val="18"/>
                <w:szCs w:val="18"/>
              </w:rPr>
              <w:t>）》</w:t>
            </w:r>
            <w:r>
              <w:rPr>
                <w:rFonts w:ascii="宋体" w:hAnsi="宋体" w:cs="宋体" w:eastAsia="宋体" w:hint="default"/>
                <w:sz w:val="18"/>
                <w:szCs w:val="18"/>
              </w:rPr>
              <w:t>，就</w:t>
            </w:r>
            <w:r>
              <w:rPr>
                <w:rFonts w:ascii="宋体" w:hAnsi="宋体" w:cs="宋体" w:eastAsia="宋体" w:hint="default"/>
                <w:spacing w:val="2"/>
                <w:sz w:val="18"/>
                <w:szCs w:val="18"/>
              </w:rPr>
              <w:t>利</w:t>
            </w:r>
            <w:r>
              <w:rPr>
                <w:rFonts w:ascii="宋体" w:hAnsi="宋体" w:cs="宋体" w:eastAsia="宋体" w:hint="default"/>
                <w:sz w:val="18"/>
                <w:szCs w:val="18"/>
              </w:rPr>
              <w:t>润分配政策尤其是现金分</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红政策的相关事项进行了明确规定，并制定了《深圳市</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建筑科学研究院股份有限公司长期分红回报规划</w:t>
            </w:r>
            <w:r>
              <w:rPr>
                <w:rFonts w:ascii="宋体" w:hAnsi="宋体" w:cs="宋体" w:eastAsia="宋体" w:hint="default"/>
                <w:spacing w:val="-92"/>
                <w:sz w:val="18"/>
                <w:szCs w:val="18"/>
              </w:rPr>
              <w:t>》</w:t>
            </w:r>
            <w:r>
              <w:rPr>
                <w:rFonts w:ascii="宋体" w:hAnsi="宋体" w:cs="宋体" w:eastAsia="宋体" w:hint="default"/>
                <w:spacing w:val="-72"/>
                <w:sz w:val="18"/>
                <w:szCs w:val="18"/>
              </w:rPr>
              <w:t>，</w:t>
            </w:r>
            <w:r>
              <w:rPr>
                <w:rFonts w:ascii="宋体" w:hAnsi="宋体" w:cs="宋体" w:eastAsia="宋体" w:hint="default"/>
                <w:sz w:val="18"/>
                <w:szCs w:val="18"/>
              </w:rPr>
              <w:t>充分</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维护上市后公司全体股东依法享有的现金分红等资产收</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益权利，提升公司未来回报能力。</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公司承诺将根据</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中国证监会、深圳证券交易所后续出台的实施细则，持</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续完善填补被摊薄即期回报的各项措施。</w:t>
            </w:r>
            <w:r>
              <w:rPr>
                <w:rFonts w:ascii="宋体" w:hAnsi="宋体" w:cs="宋体" w:eastAsia="宋体" w:hint="default"/>
                <w:spacing w:val="-71"/>
                <w:sz w:val="18"/>
                <w:szCs w:val="18"/>
              </w:rPr>
              <w:t> </w:t>
            </w:r>
            <w:r>
              <w:rPr>
                <w:rFonts w:ascii="宋体" w:hAnsi="宋体" w:cs="宋体" w:eastAsia="宋体" w:hint="default"/>
                <w:sz w:val="18"/>
                <w:szCs w:val="18"/>
              </w:rPr>
              <w:t>上述填补回报</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措施不等于对公司未来利润做出保证。</w:t>
            </w:r>
            <w:r>
              <w:rPr>
                <w:rFonts w:ascii="宋体" w:hAnsi="宋体" w:cs="宋体" w:eastAsia="宋体" w:hint="default"/>
                <w:spacing w:val="1"/>
                <w:sz w:val="18"/>
                <w:szCs w:val="18"/>
              </w:rPr>
              <w:t> </w:t>
            </w:r>
            <w:r>
              <w:rPr>
                <w:rFonts w:ascii="宋体" w:hAnsi="宋体" w:cs="宋体" w:eastAsia="宋体" w:hint="default"/>
                <w:sz w:val="18"/>
                <w:szCs w:val="18"/>
              </w:rPr>
              <w:t>就填补回报措</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施，公司控股股东作出如下承诺：</w:t>
            </w:r>
            <w:r>
              <w:rPr>
                <w:rFonts w:ascii="宋体" w:hAnsi="宋体" w:cs="宋体" w:eastAsia="宋体" w:hint="default"/>
                <w:spacing w:val="-21"/>
                <w:sz w:val="18"/>
                <w:szCs w:val="18"/>
              </w:rPr>
              <w:t> </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）本公司承诺不</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得越权干预公司经营管理活动</w:t>
            </w:r>
            <w:r>
              <w:rPr>
                <w:rFonts w:ascii="宋体" w:hAnsi="宋体" w:cs="宋体" w:eastAsia="宋体" w:hint="default"/>
                <w:spacing w:val="-85"/>
                <w:sz w:val="18"/>
                <w:szCs w:val="18"/>
              </w:rPr>
              <w:t>，</w:t>
            </w:r>
            <w:r>
              <w:rPr>
                <w:rFonts w:ascii="宋体" w:hAnsi="宋体" w:cs="宋体" w:eastAsia="宋体" w:hint="default"/>
                <w:sz w:val="18"/>
                <w:szCs w:val="18"/>
              </w:rPr>
              <w:t>不得侵占公司利益</w:t>
            </w:r>
            <w:r>
              <w:rPr>
                <w:rFonts w:ascii="宋体" w:hAnsi="宋体" w:cs="宋体" w:eastAsia="宋体" w:hint="default"/>
                <w:spacing w:val="-77"/>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在中国证监会、深圳证券交易所另行发布摊薄即期填补</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回报措施及其承诺的相关意见及实施细则后，如果公司</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的相关规定及本公司承诺与该等规定不符时，本公司承</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诺将立即按照中国证监会及深圳证券交易所的规定出具</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补充承诺，并积极推进公司作出新的规定，以符合中国</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证监会及深圳证券交易所的要求；</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）本公司承诺全</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面、完整、及时履行公司制定的有关填补回报措施以及</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本公司对此作出的任何有关填补回报措施的承诺。若本</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公司违反该等承诺，给公司或者其他股东造成损失的，</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本公司愿意：</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）在股东大会及中国证监会指定报刊公开</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作出解释并道歉；</w:t>
            </w:r>
            <w:r>
              <w:rPr>
                <w:rFonts w:ascii="Times New Roman" w:hAnsi="Times New Roman" w:cs="Times New Roman" w:eastAsia="Times New Roman" w:hint="default"/>
                <w:sz w:val="18"/>
                <w:szCs w:val="18"/>
              </w:rPr>
              <w:t>2</w:t>
            </w:r>
            <w:r>
              <w:rPr>
                <w:rFonts w:ascii="宋体" w:hAnsi="宋体" w:cs="宋体" w:eastAsia="宋体" w:hint="default"/>
                <w:sz w:val="18"/>
                <w:szCs w:val="18"/>
              </w:rPr>
              <w:t>）依法承担对公司和</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或其他股东的</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补偿责任；</w:t>
            </w:r>
            <w:r>
              <w:rPr>
                <w:rFonts w:ascii="Times New Roman" w:hAnsi="Times New Roman" w:cs="Times New Roman" w:eastAsia="Times New Roman" w:hint="default"/>
                <w:sz w:val="18"/>
                <w:szCs w:val="18"/>
              </w:rPr>
              <w:t>3</w:t>
            </w:r>
            <w:r>
              <w:rPr>
                <w:rFonts w:ascii="宋体" w:hAnsi="宋体" w:cs="宋体" w:eastAsia="宋体" w:hint="default"/>
                <w:sz w:val="18"/>
                <w:szCs w:val="18"/>
              </w:rPr>
              <w:t>）无条件接受中国证监会和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或深圳证券交</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易所等证券监管机构按照其制定或发布的有关规定、规</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则，对本公司作出的处罚或采取的相关监管措施。</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司全体董事、高级管理人员作出如下承诺：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）承</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诺不得无偿或以不公平条件向其他单位或者个人输送利</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益，也不得采用其他方式损害公司利益；</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）承诺对</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本人的职务消费行为进行约束，必要的职务消费行为应</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低于平均水平</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）承诺不得动用公司资产从事与本人</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履行职责无关的投资、消费活动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）承诺积极推动公</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司薪酬制度的完善，使之更符合摊薄即期填补回报的要</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求；支持公司董事会或薪酬与考核委员会在制订、修改</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补充公司的薪酬制度时与公司填补回报措施的执行情况</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相挂钩，并在董事会上对相关议案投赞成票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）承诺</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在推动公司股权激励（如有）时，应使股权激励行权条</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件与公司填补回报措施的执行情况相挂钩，并在董事会</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上对相关议案投赞成票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）在中国证监会、深圳证券</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交易所另行发布摊薄即期填补回报措施及其承诺的相关</w:t>
            </w: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意见及实施细则后，如果公司的相关规定及本人承诺与</w:t>
            </w: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419"/>
        <w:gridCol w:w="708"/>
        <w:gridCol w:w="4395"/>
        <w:gridCol w:w="708"/>
        <w:gridCol w:w="566"/>
        <w:gridCol w:w="497"/>
      </w:tblGrid>
      <w:tr>
        <w:trPr>
          <w:trHeight w:val="3483"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该等规定不符时，本人承诺将立即按照中国证监会及深 圳证券交易所的规定出具补充承诺，并积极推进公司作 出新的规定，以符合中国证监会及深圳证券交易所的要 </w:t>
            </w:r>
            <w:r>
              <w:rPr>
                <w:rFonts w:ascii="宋体" w:hAnsi="宋体" w:cs="宋体" w:eastAsia="宋体" w:hint="default"/>
                <w:spacing w:val="-4"/>
                <w:sz w:val="18"/>
                <w:szCs w:val="18"/>
              </w:rPr>
              <w:t>求；（</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）本人承诺全面、完整、及时履行公司制定的有</w:t>
            </w:r>
            <w:r>
              <w:rPr>
                <w:rFonts w:ascii="宋体" w:hAnsi="宋体" w:cs="宋体" w:eastAsia="宋体" w:hint="default"/>
                <w:spacing w:val="-81"/>
                <w:sz w:val="18"/>
                <w:szCs w:val="18"/>
              </w:rPr>
              <w:t> </w:t>
            </w:r>
            <w:r>
              <w:rPr>
                <w:rFonts w:ascii="宋体" w:hAnsi="宋体" w:cs="宋体" w:eastAsia="宋体" w:hint="default"/>
                <w:sz w:val="18"/>
                <w:szCs w:val="18"/>
              </w:rPr>
              <w:t>关填补回报措施以及本人对此作出的任何有关填补回报 措施的承诺。若本人违反该等承诺，给公司或者股东造 </w:t>
            </w:r>
            <w:r>
              <w:rPr>
                <w:rFonts w:ascii="宋体" w:hAnsi="宋体" w:cs="宋体" w:eastAsia="宋体" w:hint="default"/>
                <w:spacing w:val="-3"/>
                <w:sz w:val="18"/>
                <w:szCs w:val="18"/>
              </w:rPr>
              <w:t>成损失的，本人愿意：</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）在股东大会及中国证监会指定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报刊公开作出解释并道歉；</w:t>
            </w:r>
            <w:r>
              <w:rPr>
                <w:rFonts w:ascii="Times New Roman" w:hAnsi="Times New Roman" w:cs="Times New Roman" w:eastAsia="Times New Roman" w:hint="default"/>
                <w:sz w:val="18"/>
                <w:szCs w:val="18"/>
              </w:rPr>
              <w:t>2</w:t>
            </w:r>
            <w:r>
              <w:rPr>
                <w:rFonts w:ascii="宋体" w:hAnsi="宋体" w:cs="宋体" w:eastAsia="宋体" w:hint="default"/>
                <w:sz w:val="18"/>
                <w:szCs w:val="18"/>
              </w:rPr>
              <w:t>）依法承担对公司和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 东的补偿责任；</w:t>
            </w:r>
            <w:r>
              <w:rPr>
                <w:rFonts w:ascii="Times New Roman" w:hAnsi="Times New Roman" w:cs="Times New Roman" w:eastAsia="Times New Roman" w:hint="default"/>
                <w:sz w:val="18"/>
                <w:szCs w:val="18"/>
              </w:rPr>
              <w:t>3</w:t>
            </w:r>
            <w:r>
              <w:rPr>
                <w:rFonts w:ascii="宋体" w:hAnsi="宋体" w:cs="宋体" w:eastAsia="宋体" w:hint="default"/>
                <w:sz w:val="18"/>
                <w:szCs w:val="18"/>
              </w:rPr>
              <w:t>）无条件接受中国证监会和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或深圳证 券交易所等证券监管机构按照其制定或发布的有关规 </w:t>
            </w:r>
            <w:r>
              <w:rPr>
                <w:rFonts w:ascii="宋体" w:hAnsi="宋体" w:cs="宋体" w:eastAsia="宋体" w:hint="default"/>
                <w:spacing w:val="-3"/>
                <w:sz w:val="18"/>
                <w:szCs w:val="18"/>
              </w:rPr>
              <w:t>定、规则，对本人作出的处罚或采取的相关监管措施。</w:t>
            </w:r>
            <w:r>
              <w:rPr>
                <w:rFonts w:ascii="Times New Roman" w:hAnsi="Times New Roman" w:cs="Times New Roman" w:eastAsia="Times New Roman" w:hint="default"/>
                <w:spacing w:val="-3"/>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1276"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23"/>
              <w:jc w:val="both"/>
              <w:rPr>
                <w:rFonts w:ascii="宋体" w:hAnsi="宋体" w:cs="宋体" w:eastAsia="宋体" w:hint="default"/>
                <w:sz w:val="18"/>
                <w:szCs w:val="18"/>
              </w:rPr>
            </w:pPr>
            <w:r>
              <w:rPr>
                <w:rFonts w:ascii="宋体" w:hAnsi="宋体" w:cs="宋体" w:eastAsia="宋体" w:hint="default"/>
                <w:sz w:val="18"/>
                <w:szCs w:val="18"/>
              </w:rPr>
              <w:t>深圳市建筑科学 研究院股份有限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9"/>
              <w:jc w:val="left"/>
              <w:rPr>
                <w:rFonts w:ascii="宋体" w:hAnsi="宋体" w:cs="宋体" w:eastAsia="宋体" w:hint="default"/>
                <w:sz w:val="18"/>
                <w:szCs w:val="18"/>
              </w:rPr>
            </w:pPr>
            <w:r>
              <w:rPr>
                <w:rFonts w:ascii="宋体" w:hAnsi="宋体" w:cs="宋体" w:eastAsia="宋体" w:hint="default"/>
                <w:sz w:val="18"/>
                <w:szCs w:val="18"/>
              </w:rPr>
              <w:t>若本公司招股说明书有虚假记载、误导性陈述或者重大 遗漏，对判断本公司是否符合法律规定的发行条件构成 重大、实质影响的，公司将依法回购首次公开发行的全 部新股，回购价格不低于公司首次公开发行股份的发行 价，期间公司如有派发股利、送股、转增股本等除权除 息事项，上述价格相应调整，并在有权部门作出行政处 罚或人民法院作出相关判决之日起启动回购决策程序， 在公司股东大会决议做出之日起次日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个交易日内实 施完毕。若本公司招股说明书有虚假记载、误导性陈述 或者重大遗漏，致使投资者在证券交易中遭受损失的， 本公司将依法赔偿投资者损失。</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2-31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6644"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深圳市资本运营 </w:t>
            </w:r>
            <w:r>
              <w:rPr>
                <w:rFonts w:ascii="宋体" w:hAnsi="宋体" w:cs="宋体" w:eastAsia="宋体" w:hint="default"/>
                <w:spacing w:val="-10"/>
                <w:sz w:val="18"/>
                <w:szCs w:val="18"/>
              </w:rPr>
              <w:t>集团有限公司（原</w:t>
            </w:r>
            <w:r>
              <w:rPr>
                <w:rFonts w:ascii="宋体" w:hAnsi="宋体" w:cs="宋体" w:eastAsia="宋体" w:hint="default"/>
                <w:sz w:val="18"/>
                <w:szCs w:val="18"/>
              </w:rPr>
              <w:t> 深圳市远致投资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132"/>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公司实际控制人深圳市国资委承诺：远致投资作为发行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人的控股股东，已就发行人上市招股说明书事宜作出公 开承诺。如经中国证监会等有权监管机构或司法机构认 定，发行人上市的招股说明书有虚假记载、误导性陈述 或者重大遗漏，导致对判断发行人是否符合法律规定的 发行条件构成实质影响的，或者致使投资者在证券交易 中遭受损失并因此触发发行人回购首次公开发行的全部 新股责任的，或者触发发行人控股股东、董事、监事和 高级管理人员的赔偿责任的，我委将依法督促发行人及 远致公司履行相关义务并承担相关责任。公司控股股东 远致投资承诺：因发行人招股说明书有虚假记载、误导 性陈述或者重大遗漏，致使投资者在证券交易中遭受损 失的，本公司将依法赔偿投资者损失。因发行人招股说 明书有虚假记载、误导性陈述或重大遗漏，对判断发行 人是否符合法律规定的发行条件构成重大、实质影响， 并已由有权部门作出行政处罚或人民法院作出相关判决 的，本公司利用发行人控股股东地位，促使发行人依法 回购首次公开发行的全部新股，同时本公司将按照二级 市场的价格依法购回已转让的原限售股份。本公司购回 </w:t>
            </w:r>
            <w:r>
              <w:rPr>
                <w:rFonts w:ascii="宋体" w:hAnsi="宋体" w:cs="宋体" w:eastAsia="宋体" w:hint="default"/>
                <w:spacing w:val="-14"/>
                <w:sz w:val="18"/>
                <w:szCs w:val="18"/>
              </w:rPr>
              <w:t>股票时将依照《公司法》、《证券法》、中国证监会和深圳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证券交易所的相关规定以及《公司章程》执行。</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2-31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419"/>
        <w:gridCol w:w="708"/>
        <w:gridCol w:w="4395"/>
        <w:gridCol w:w="708"/>
        <w:gridCol w:w="566"/>
        <w:gridCol w:w="494"/>
      </w:tblGrid>
      <w:tr>
        <w:trPr>
          <w:trHeight w:val="227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曹翔</w:t>
            </w:r>
            <w:r>
              <w:rPr>
                <w:rFonts w:ascii="Times New Roman" w:hAnsi="Times New Roman" w:cs="Times New Roman" w:eastAsia="Times New Roman" w:hint="default"/>
                <w:sz w:val="18"/>
                <w:szCs w:val="18"/>
              </w:rPr>
              <w:t>;</w:t>
            </w:r>
            <w:r>
              <w:rPr>
                <w:rFonts w:ascii="宋体" w:hAnsi="宋体" w:cs="宋体" w:eastAsia="宋体" w:hint="default"/>
                <w:sz w:val="18"/>
                <w:szCs w:val="18"/>
              </w:rPr>
              <w:t>陈泽广</w:t>
            </w:r>
            <w:r>
              <w:rPr>
                <w:rFonts w:ascii="Times New Roman" w:hAnsi="Times New Roman" w:cs="Times New Roman" w:eastAsia="Times New Roman" w:hint="default"/>
                <w:sz w:val="18"/>
                <w:szCs w:val="18"/>
              </w:rPr>
              <w:t>;</w:t>
            </w:r>
            <w:r>
              <w:rPr>
                <w:rFonts w:ascii="宋体" w:hAnsi="宋体" w:cs="宋体" w:eastAsia="宋体" w:hint="default"/>
                <w:sz w:val="18"/>
                <w:szCs w:val="18"/>
              </w:rPr>
              <w:t>蓝 虹</w:t>
            </w:r>
            <w:r>
              <w:rPr>
                <w:rFonts w:ascii="Times New Roman" w:hAnsi="Times New Roman" w:cs="Times New Roman" w:eastAsia="Times New Roman" w:hint="default"/>
                <w:sz w:val="18"/>
                <w:szCs w:val="18"/>
              </w:rPr>
              <w:t>;</w:t>
            </w:r>
            <w:r>
              <w:rPr>
                <w:rFonts w:ascii="宋体" w:hAnsi="宋体" w:cs="宋体" w:eastAsia="宋体" w:hint="default"/>
                <w:sz w:val="18"/>
                <w:szCs w:val="18"/>
              </w:rPr>
              <w:t>林晓春</w:t>
            </w:r>
            <w:r>
              <w:rPr>
                <w:rFonts w:ascii="Times New Roman" w:hAnsi="Times New Roman" w:cs="Times New Roman" w:eastAsia="Times New Roman" w:hint="default"/>
                <w:sz w:val="18"/>
                <w:szCs w:val="18"/>
              </w:rPr>
              <w:t>;</w:t>
            </w:r>
            <w:r>
              <w:rPr>
                <w:rFonts w:ascii="宋体" w:hAnsi="宋体" w:cs="宋体" w:eastAsia="宋体" w:hint="default"/>
                <w:sz w:val="18"/>
                <w:szCs w:val="18"/>
              </w:rPr>
              <w:t>刘俊 跃</w:t>
            </w:r>
            <w:r>
              <w:rPr>
                <w:rFonts w:ascii="Times New Roman" w:hAnsi="Times New Roman" w:cs="Times New Roman" w:eastAsia="Times New Roman" w:hint="default"/>
                <w:sz w:val="18"/>
                <w:szCs w:val="18"/>
              </w:rPr>
              <w:t>;</w:t>
            </w:r>
            <w:r>
              <w:rPr>
                <w:rFonts w:ascii="宋体" w:hAnsi="宋体" w:cs="宋体" w:eastAsia="宋体" w:hint="default"/>
                <w:sz w:val="18"/>
                <w:szCs w:val="18"/>
              </w:rPr>
              <w:t>刘丽</w:t>
            </w:r>
            <w:r>
              <w:rPr>
                <w:rFonts w:ascii="Times New Roman" w:hAnsi="Times New Roman" w:cs="Times New Roman" w:eastAsia="Times New Roman" w:hint="default"/>
                <w:sz w:val="18"/>
                <w:szCs w:val="18"/>
              </w:rPr>
              <w:t>;</w:t>
            </w:r>
            <w:r>
              <w:rPr>
                <w:rFonts w:ascii="宋体" w:hAnsi="宋体" w:cs="宋体" w:eastAsia="宋体" w:hint="default"/>
                <w:sz w:val="18"/>
                <w:szCs w:val="18"/>
              </w:rPr>
              <w:t>毛洪伟</w:t>
            </w:r>
            <w:r>
              <w:rPr>
                <w:rFonts w:ascii="Times New Roman" w:hAnsi="Times New Roman" w:cs="Times New Roman" w:eastAsia="Times New Roman" w:hint="default"/>
                <w:sz w:val="18"/>
                <w:szCs w:val="18"/>
              </w:rPr>
              <w:t>; </w:t>
            </w:r>
            <w:r>
              <w:rPr>
                <w:rFonts w:ascii="宋体" w:hAnsi="宋体" w:cs="宋体" w:eastAsia="宋体" w:hint="default"/>
                <w:sz w:val="18"/>
                <w:szCs w:val="18"/>
              </w:rPr>
              <w:t>莫福光</w:t>
            </w:r>
            <w:r>
              <w:rPr>
                <w:rFonts w:ascii="Times New Roman" w:hAnsi="Times New Roman" w:cs="Times New Roman" w:eastAsia="Times New Roman" w:hint="default"/>
                <w:sz w:val="18"/>
                <w:szCs w:val="18"/>
              </w:rPr>
              <w:t>;</w:t>
            </w:r>
            <w:r>
              <w:rPr>
                <w:rFonts w:ascii="宋体" w:hAnsi="宋体" w:cs="宋体" w:eastAsia="宋体" w:hint="default"/>
                <w:sz w:val="18"/>
                <w:szCs w:val="18"/>
              </w:rPr>
              <w:t>邵顺昌</w:t>
            </w:r>
            <w:r>
              <w:rPr>
                <w:rFonts w:ascii="Times New Roman" w:hAnsi="Times New Roman" w:cs="Times New Roman" w:eastAsia="Times New Roman" w:hint="default"/>
                <w:sz w:val="18"/>
                <w:szCs w:val="18"/>
              </w:rPr>
              <w:t>;</w:t>
            </w:r>
            <w:r>
              <w:rPr>
                <w:rFonts w:ascii="宋体" w:hAnsi="宋体" w:cs="宋体" w:eastAsia="宋体" w:hint="default"/>
                <w:sz w:val="18"/>
                <w:szCs w:val="18"/>
              </w:rPr>
              <w:t>沈 武</w:t>
            </w:r>
            <w:r>
              <w:rPr>
                <w:rFonts w:ascii="Times New Roman" w:hAnsi="Times New Roman" w:cs="Times New Roman" w:eastAsia="Times New Roman" w:hint="default"/>
                <w:sz w:val="18"/>
                <w:szCs w:val="18"/>
              </w:rPr>
              <w:t>;</w:t>
            </w:r>
            <w:r>
              <w:rPr>
                <w:rFonts w:ascii="宋体" w:hAnsi="宋体" w:cs="宋体" w:eastAsia="宋体" w:hint="default"/>
                <w:sz w:val="18"/>
                <w:szCs w:val="18"/>
              </w:rPr>
              <w:t>吴硕贤</w:t>
            </w:r>
            <w:r>
              <w:rPr>
                <w:rFonts w:ascii="Times New Roman" w:hAnsi="Times New Roman" w:cs="Times New Roman" w:eastAsia="Times New Roman" w:hint="default"/>
                <w:sz w:val="18"/>
                <w:szCs w:val="18"/>
              </w:rPr>
              <w:t>;</w:t>
            </w:r>
            <w:r>
              <w:rPr>
                <w:rFonts w:ascii="宋体" w:hAnsi="宋体" w:cs="宋体" w:eastAsia="宋体" w:hint="default"/>
                <w:sz w:val="18"/>
                <w:szCs w:val="18"/>
              </w:rPr>
              <w:t>姚培</w:t>
            </w:r>
            <w:r>
              <w:rPr>
                <w:rFonts w:ascii="Times New Roman" w:hAnsi="Times New Roman" w:cs="Times New Roman" w:eastAsia="Times New Roman" w:hint="default"/>
                <w:sz w:val="18"/>
                <w:szCs w:val="18"/>
              </w:rPr>
              <w:t>; </w:t>
            </w:r>
            <w:r>
              <w:rPr>
                <w:rFonts w:ascii="宋体" w:hAnsi="宋体" w:cs="宋体" w:eastAsia="宋体" w:hint="default"/>
                <w:sz w:val="18"/>
                <w:szCs w:val="18"/>
              </w:rPr>
              <w:t>叶青</w:t>
            </w:r>
            <w:r>
              <w:rPr>
                <w:rFonts w:ascii="Times New Roman" w:hAnsi="Times New Roman" w:cs="Times New Roman" w:eastAsia="Times New Roman" w:hint="default"/>
                <w:sz w:val="18"/>
                <w:szCs w:val="18"/>
              </w:rPr>
              <w:t>;</w:t>
            </w:r>
            <w:r>
              <w:rPr>
                <w:rFonts w:ascii="宋体" w:hAnsi="宋体" w:cs="宋体" w:eastAsia="宋体" w:hint="default"/>
                <w:sz w:val="18"/>
                <w:szCs w:val="18"/>
              </w:rPr>
              <w:t>余庆</w:t>
            </w:r>
            <w:r>
              <w:rPr>
                <w:rFonts w:ascii="Times New Roman" w:hAnsi="Times New Roman" w:cs="Times New Roman" w:eastAsia="Times New Roman" w:hint="default"/>
                <w:sz w:val="18"/>
                <w:szCs w:val="18"/>
              </w:rPr>
              <w:t>;</w:t>
            </w:r>
            <w:r>
              <w:rPr>
                <w:rFonts w:ascii="宋体" w:hAnsi="宋体" w:cs="宋体" w:eastAsia="宋体" w:hint="default"/>
                <w:sz w:val="18"/>
                <w:szCs w:val="18"/>
              </w:rPr>
              <w:t>詹辉 轮</w:t>
            </w:r>
            <w:r>
              <w:rPr>
                <w:rFonts w:ascii="Times New Roman" w:hAnsi="Times New Roman" w:cs="Times New Roman" w:eastAsia="Times New Roman" w:hint="default"/>
                <w:sz w:val="18"/>
                <w:szCs w:val="18"/>
              </w:rPr>
              <w:t>;</w:t>
            </w:r>
            <w:r>
              <w:rPr>
                <w:rFonts w:ascii="宋体" w:hAnsi="宋体" w:cs="宋体" w:eastAsia="宋体" w:hint="default"/>
                <w:sz w:val="18"/>
                <w:szCs w:val="18"/>
              </w:rPr>
              <w:t>郑学定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39"/>
              <w:jc w:val="left"/>
              <w:rPr>
                <w:rFonts w:ascii="宋体" w:hAnsi="宋体" w:cs="宋体" w:eastAsia="宋体" w:hint="default"/>
                <w:sz w:val="18"/>
                <w:szCs w:val="18"/>
              </w:rPr>
            </w:pPr>
            <w:r>
              <w:rPr>
                <w:rFonts w:ascii="宋体" w:hAnsi="宋体" w:cs="宋体" w:eastAsia="宋体" w:hint="default"/>
                <w:sz w:val="18"/>
                <w:szCs w:val="18"/>
              </w:rPr>
              <w:t>发行人招股说明书有虚假记载、 致使投资者在证券交易中遭受损失的，发行人董事、监 事、高级管理人员将依法赔偿投资者损失。</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26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4"/>
                <w:sz w:val="20"/>
                <w:szCs w:val="20"/>
              </w:rPr>
              <w:pict>
                <v:group style="width:34.950pt;height:113.2pt;mso-position-horizontal-relative:char;mso-position-vertical-relative:line" coordorigin="0,0" coordsize="699,2264">
                  <v:group style="position:absolute;left:0;top:0;width:699;height:2264" coordorigin="0,0" coordsize="699,2264">
                    <v:shape style="position:absolute;left:0;top:0;width:699;height:2264" coordorigin="0,0" coordsize="699,2264" path="m0,2264l698,2264,698,0,0,0,0,2264xe" filled="true" fillcolor="#ffffff" stroked="false">
                      <v:path arrowok="t"/>
                      <v:fill type="solid"/>
                    </v:shape>
                  </v:group>
                  <v:group style="position:absolute;left:24;top:624;width:653;height:353" coordorigin="24,624" coordsize="653,353">
                    <v:shape style="position:absolute;left:24;top:624;width:653;height:353" coordorigin="24,624" coordsize="653,353" path="m24,977l677,977,677,624,24,624,24,977xe" filled="true" fillcolor="#ffffff" stroked="false">
                      <v:path arrowok="t"/>
                      <v:fill type="solid"/>
                    </v:shape>
                  </v:group>
                  <v:group style="position:absolute;left:24;top:977;width:653;height:312" coordorigin="24,977" coordsize="653,312">
                    <v:shape style="position:absolute;left:24;top:977;width:653;height:312" coordorigin="24,977" coordsize="653,312" path="m24,1289l677,1289,677,977,24,977,24,1289xe" filled="true" fillcolor="#ffffff" stroked="false">
                      <v:path arrowok="t"/>
                      <v:fill type="solid"/>
                    </v:shape>
                  </v:group>
                  <v:group style="position:absolute;left:24;top:1289;width:653;height:351" coordorigin="24,1289" coordsize="653,351">
                    <v:shape style="position:absolute;left:24;top:1289;width:653;height:351" coordorigin="24,1289" coordsize="653,351" path="m24,1640l677,1640,677,1289,24,1289,24,1640xe" filled="true" fillcolor="#ffffff" stroked="false">
                      <v:path arrowok="t"/>
                      <v:fill type="solid"/>
                    </v:shape>
                  </v:group>
                </v:group>
              </w:pict>
            </w:r>
            <w:r>
              <w:rPr>
                <w:rFonts w:ascii="Times New Roman" w:hAnsi="Times New Roman" w:cs="Times New Roman" w:eastAsia="Times New Roman" w:hint="default"/>
                <w:position w:val="-44"/>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2-31</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29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6"/>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tabs>
          <w:tab w:pos="573" w:val="left" w:leader="none"/>
        </w:tabs>
        <w:spacing w:line="240" w:lineRule="auto" w:before="101"/>
        <w:ind w:right="-20"/>
        <w:jc w:val="left"/>
      </w:pPr>
      <w:r>
        <w:rPr>
          <w:rFonts w:ascii="Times New Roman" w:hAnsi="Times New Roman" w:cs="Times New Roman" w:eastAsia="Times New Roman" w:hint="default"/>
        </w:rPr>
        <w:t>(1)</w:t>
        <w:tab/>
      </w:r>
      <w:r>
        <w:rPr/>
        <w:t>本年发生的非同一控制下企业合并</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3274" w:space="5647"/>
            <w:col w:w="2009"/>
          </w:cols>
        </w:sectPr>
      </w:pPr>
    </w:p>
    <w:p>
      <w:pPr>
        <w:spacing w:line="240" w:lineRule="auto" w:before="6"/>
        <w:rPr>
          <w:rFonts w:ascii="宋体" w:hAnsi="宋体" w:cs="宋体" w:eastAsia="宋体" w:hint="default"/>
          <w:sz w:val="5"/>
          <w:szCs w:val="5"/>
        </w:rPr>
      </w:pPr>
      <w:r>
        <w:rPr/>
        <w:pict>
          <v:shape style="position:absolute;margin-left:350.690002pt;margin-top:72.47998pt;width:131.1pt;height:113.2pt;mso-position-horizontal-relative:page;mso-position-vertical-relative:page;z-index:-11641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0" w:right="0"/>
                    <w:jc w:val="left"/>
                  </w:pPr>
                  <w:r>
                    <w:rPr/>
                    <w:t>误导性陈述或重大遗漏，</w:t>
                  </w:r>
                </w:p>
              </w:txbxContent>
            </v:textbox>
            <w10:wrap type="none"/>
          </v:shape>
        </w:pict>
      </w:r>
    </w:p>
    <w:tbl>
      <w:tblPr>
        <w:tblW w:w="0" w:type="auto"/>
        <w:jc w:val="left"/>
        <w:tblInd w:w="145" w:type="dxa"/>
        <w:tblLayout w:type="fixed"/>
        <w:tblCellMar>
          <w:top w:w="0" w:type="dxa"/>
          <w:left w:w="0" w:type="dxa"/>
          <w:bottom w:w="0" w:type="dxa"/>
          <w:right w:w="0" w:type="dxa"/>
        </w:tblCellMar>
        <w:tblLook w:val="01E0"/>
      </w:tblPr>
      <w:tblGrid>
        <w:gridCol w:w="1054"/>
        <w:gridCol w:w="1198"/>
        <w:gridCol w:w="1045"/>
        <w:gridCol w:w="1044"/>
        <w:gridCol w:w="905"/>
        <w:gridCol w:w="994"/>
        <w:gridCol w:w="3329"/>
      </w:tblGrid>
      <w:tr>
        <w:trPr>
          <w:trHeight w:val="654" w:hRule="exact"/>
        </w:trPr>
        <w:tc>
          <w:tcPr>
            <w:tcW w:w="10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6"/>
              <w:ind w:left="232" w:right="228" w:firstLine="180"/>
              <w:jc w:val="left"/>
              <w:rPr>
                <w:rFonts w:ascii="宋体" w:hAnsi="宋体" w:cs="宋体" w:eastAsia="宋体" w:hint="default"/>
                <w:sz w:val="18"/>
                <w:szCs w:val="18"/>
              </w:rPr>
            </w:pPr>
            <w:r>
              <w:rPr>
                <w:rFonts w:ascii="宋体" w:hAnsi="宋体" w:cs="宋体" w:eastAsia="宋体" w:hint="default"/>
                <w:sz w:val="18"/>
                <w:szCs w:val="18"/>
              </w:rPr>
              <w:t>股权 取得成本</w:t>
            </w:r>
          </w:p>
        </w:tc>
        <w:tc>
          <w:tcPr>
            <w:tcW w:w="10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6"/>
              <w:ind w:left="79" w:right="77" w:firstLine="74"/>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6"/>
              <w:ind w:left="156" w:right="151" w:firstLine="180"/>
              <w:jc w:val="left"/>
              <w:rPr>
                <w:rFonts w:ascii="宋体" w:hAnsi="宋体" w:cs="宋体" w:eastAsia="宋体" w:hint="default"/>
                <w:sz w:val="18"/>
                <w:szCs w:val="18"/>
              </w:rPr>
            </w:pPr>
            <w:r>
              <w:rPr>
                <w:rFonts w:ascii="宋体" w:hAnsi="宋体" w:cs="宋体" w:eastAsia="宋体" w:hint="default"/>
                <w:sz w:val="18"/>
                <w:szCs w:val="18"/>
              </w:rPr>
              <w:t>股权 取得方式</w:t>
            </w:r>
          </w:p>
        </w:tc>
        <w:tc>
          <w:tcPr>
            <w:tcW w:w="9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17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6"/>
              <w:ind w:left="129" w:right="127"/>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33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215" w:right="0"/>
              <w:jc w:val="left"/>
              <w:rPr>
                <w:rFonts w:ascii="宋体" w:hAnsi="宋体" w:cs="宋体" w:eastAsia="宋体" w:hint="default"/>
                <w:sz w:val="18"/>
                <w:szCs w:val="18"/>
              </w:rPr>
            </w:pPr>
            <w:r>
              <w:rPr>
                <w:rFonts w:ascii="宋体" w:hAnsi="宋体" w:cs="宋体" w:eastAsia="宋体" w:hint="default"/>
                <w:sz w:val="18"/>
                <w:szCs w:val="18"/>
              </w:rPr>
              <w:t>自购买日至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日被购买方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054"/>
        <w:gridCol w:w="1198"/>
        <w:gridCol w:w="1045"/>
        <w:gridCol w:w="1044"/>
        <w:gridCol w:w="905"/>
        <w:gridCol w:w="994"/>
        <w:gridCol w:w="1239"/>
        <w:gridCol w:w="1044"/>
        <w:gridCol w:w="1046"/>
      </w:tblGrid>
      <w:tr>
        <w:trPr>
          <w:trHeight w:val="428" w:hRule="exact"/>
        </w:trPr>
        <w:tc>
          <w:tcPr>
            <w:tcW w:w="105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9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4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4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0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2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0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67" w:right="0"/>
              <w:jc w:val="left"/>
              <w:rPr>
                <w:rFonts w:ascii="宋体" w:hAnsi="宋体" w:cs="宋体" w:eastAsia="宋体" w:hint="default"/>
                <w:sz w:val="18"/>
                <w:szCs w:val="18"/>
              </w:rPr>
            </w:pPr>
            <w:r>
              <w:rPr>
                <w:rFonts w:ascii="宋体" w:hAnsi="宋体" w:cs="宋体" w:eastAsia="宋体" w:hint="default"/>
                <w:sz w:val="18"/>
                <w:szCs w:val="18"/>
              </w:rPr>
              <w:t>净现金流入</w:t>
            </w:r>
          </w:p>
        </w:tc>
      </w:tr>
      <w:tr>
        <w:trPr>
          <w:trHeight w:val="660" w:hRule="exact"/>
        </w:trPr>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1" w:right="0"/>
              <w:jc w:val="left"/>
              <w:rPr>
                <w:rFonts w:ascii="宋体" w:hAnsi="宋体" w:cs="宋体" w:eastAsia="宋体" w:hint="default"/>
                <w:sz w:val="18"/>
                <w:szCs w:val="18"/>
              </w:rPr>
            </w:pPr>
            <w:r>
              <w:rPr>
                <w:rFonts w:ascii="宋体" w:hAnsi="宋体" w:cs="宋体" w:eastAsia="宋体" w:hint="default"/>
                <w:sz w:val="18"/>
                <w:szCs w:val="18"/>
              </w:rPr>
              <w:t>湖北建胜</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12,415,400.00</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6"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p>
            <w:pPr>
              <w:pStyle w:val="TableParagraph"/>
              <w:spacing w:line="240" w:lineRule="auto" w:before="63"/>
              <w:ind w:left="1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20" w:right="36" w:hanging="180"/>
              <w:jc w:val="left"/>
              <w:rPr>
                <w:rFonts w:ascii="宋体" w:hAnsi="宋体" w:cs="宋体" w:eastAsia="宋体" w:hint="default"/>
                <w:sz w:val="18"/>
                <w:szCs w:val="18"/>
              </w:rPr>
            </w:pPr>
            <w:r>
              <w:rPr>
                <w:rFonts w:ascii="宋体" w:hAnsi="宋体" w:cs="宋体" w:eastAsia="宋体" w:hint="default"/>
                <w:sz w:val="18"/>
                <w:szCs w:val="18"/>
              </w:rPr>
              <w:t>完成工商变 更登记</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12,305,972.92</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2,215,700.12</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5" w:right="0"/>
              <w:jc w:val="left"/>
              <w:rPr>
                <w:rFonts w:ascii="Times New Roman" w:hAnsi="Times New Roman" w:cs="Times New Roman" w:eastAsia="Times New Roman" w:hint="default"/>
                <w:sz w:val="18"/>
                <w:szCs w:val="18"/>
              </w:rPr>
            </w:pPr>
            <w:r>
              <w:rPr>
                <w:rFonts w:ascii="Times New Roman"/>
                <w:sz w:val="18"/>
              </w:rPr>
              <w:t>3,535,641.43</w:t>
            </w:r>
          </w:p>
        </w:tc>
      </w:tr>
    </w:tbl>
    <w:p>
      <w:pPr>
        <w:spacing w:line="240" w:lineRule="auto" w:before="3"/>
        <w:rPr>
          <w:rFonts w:ascii="宋体" w:hAnsi="宋体" w:cs="宋体" w:eastAsia="宋体" w:hint="default"/>
          <w:sz w:val="21"/>
          <w:szCs w:val="21"/>
        </w:rPr>
      </w:pPr>
    </w:p>
    <w:p>
      <w:pPr>
        <w:pStyle w:val="BodyText"/>
        <w:spacing w:line="309" w:lineRule="auto" w:before="44"/>
        <w:ind w:right="1133"/>
        <w:jc w:val="both"/>
      </w:pPr>
      <w:r>
        <w:rPr/>
        <w:t>湖北建胜于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日在湖北省荆门市成立，总部位于湖北省荆门市，主要从事建筑工程安全生产评价、工程技术咨询</w:t>
      </w:r>
      <w:r>
        <w:rPr>
          <w:spacing w:val="-86"/>
        </w:rPr>
        <w:t> </w:t>
      </w:r>
      <w:r>
        <w:rPr>
          <w:spacing w:val="-86"/>
        </w:rPr>
      </w:r>
      <w:r>
        <w:rPr>
          <w:spacing w:val="-2"/>
        </w:rPr>
        <w:t>及指导服务、工程造价信息咨询服务、工程技术专家论证服务、房屋租赁等服务。在被合并之前，湖北建胜的母公司为湖北</w:t>
      </w:r>
      <w:r>
        <w:rPr>
          <w:spacing w:val="-67"/>
        </w:rPr>
        <w:t> </w:t>
      </w:r>
      <w:r>
        <w:rPr>
          <w:spacing w:val="-67"/>
        </w:rPr>
      </w:r>
      <w:r>
        <w:rPr/>
        <w:t>荆门城建集团有限公司，最终控股方为荆门市人民政府国有资产监督管理委员会。</w:t>
      </w:r>
    </w:p>
    <w:p>
      <w:pPr>
        <w:spacing w:line="240" w:lineRule="auto" w:before="4"/>
        <w:rPr>
          <w:rFonts w:ascii="宋体" w:hAnsi="宋体" w:cs="宋体" w:eastAsia="宋体" w:hint="default"/>
          <w:sz w:val="22"/>
          <w:szCs w:val="22"/>
        </w:rPr>
      </w:pPr>
    </w:p>
    <w:p>
      <w:pPr>
        <w:pStyle w:val="BodyText"/>
        <w:tabs>
          <w:tab w:pos="573" w:val="left" w:leader="none"/>
        </w:tabs>
        <w:spacing w:line="240" w:lineRule="auto" w:before="44"/>
        <w:ind w:right="0"/>
        <w:jc w:val="left"/>
      </w:pPr>
      <w:r>
        <w:rPr>
          <w:rFonts w:ascii="Times New Roman" w:hAnsi="Times New Roman" w:cs="Times New Roman" w:eastAsia="Times New Roman" w:hint="default"/>
        </w:rPr>
        <w:t>(2)</w:t>
        <w:tab/>
      </w:r>
      <w:r>
        <w:rPr/>
        <w:t>合并成本及商誉</w:t>
      </w:r>
    </w:p>
    <w:p>
      <w:pPr>
        <w:pStyle w:val="BodyText"/>
        <w:spacing w:line="240" w:lineRule="auto" w:before="63"/>
        <w:ind w:left="0" w:right="1131"/>
        <w:jc w:val="right"/>
      </w:pPr>
      <w:r>
        <w:rPr/>
        <w:t>单位：元</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5133"/>
        <w:gridCol w:w="2282"/>
        <w:gridCol w:w="2281"/>
      </w:tblGrid>
      <w:tr>
        <w:trPr>
          <w:trHeight w:val="329" w:hRule="exact"/>
        </w:trPr>
        <w:tc>
          <w:tcPr>
            <w:tcW w:w="51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2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2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公允价值</w:t>
            </w:r>
          </w:p>
        </w:tc>
      </w:tr>
      <w:tr>
        <w:trPr>
          <w:trHeight w:val="445" w:hRule="exact"/>
        </w:trPr>
        <w:tc>
          <w:tcPr>
            <w:tcW w:w="513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5"/>
              <w:ind w:left="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28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sz w:val="18"/>
              </w:rPr>
              <w:t>12,415,400.00</w:t>
            </w:r>
          </w:p>
        </w:tc>
        <w:tc>
          <w:tcPr>
            <w:tcW w:w="228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12,415,400.00</w:t>
            </w:r>
          </w:p>
        </w:tc>
      </w:tr>
      <w:tr>
        <w:trPr>
          <w:trHeight w:val="348" w:hRule="exact"/>
        </w:trPr>
        <w:tc>
          <w:tcPr>
            <w:tcW w:w="5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25"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12,415,400.00</w:t>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12,415,400.00</w:t>
            </w:r>
          </w:p>
        </w:tc>
      </w:tr>
      <w:tr>
        <w:trPr>
          <w:trHeight w:val="348" w:hRule="exact"/>
        </w:trPr>
        <w:tc>
          <w:tcPr>
            <w:tcW w:w="5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10"/>
        <w:ind w:right="0"/>
        <w:jc w:val="left"/>
      </w:pPr>
      <w:r>
        <w:rPr/>
        <w:t>取得的可辨认净资产的公允价价值由独立第三方评估机构评估确定。</w:t>
      </w:r>
    </w:p>
    <w:p>
      <w:pPr>
        <w:spacing w:line="240" w:lineRule="auto" w:before="0"/>
        <w:rPr>
          <w:rFonts w:ascii="宋体" w:hAnsi="宋体" w:cs="宋体" w:eastAsia="宋体" w:hint="default"/>
          <w:sz w:val="18"/>
          <w:szCs w:val="18"/>
        </w:rPr>
      </w:pPr>
    </w:p>
    <w:p>
      <w:pPr>
        <w:pStyle w:val="BodyText"/>
        <w:tabs>
          <w:tab w:pos="573" w:val="left" w:leader="none"/>
        </w:tabs>
        <w:spacing w:line="240" w:lineRule="auto" w:before="153"/>
        <w:ind w:right="0"/>
        <w:jc w:val="left"/>
      </w:pPr>
      <w:r>
        <w:rPr>
          <w:rFonts w:ascii="Times New Roman" w:hAnsi="Times New Roman" w:cs="Times New Roman" w:eastAsia="Times New Roman" w:hint="default"/>
        </w:rPr>
        <w:t>(3)</w:t>
        <w:tab/>
      </w:r>
      <w:r>
        <w:rPr/>
        <w:t>湖北建胜的子公司</w:t>
      </w:r>
    </w:p>
    <w:p>
      <w:pPr>
        <w:spacing w:line="240" w:lineRule="auto" w:before="13"/>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4820"/>
        <w:gridCol w:w="4875"/>
      </w:tblGrid>
      <w:tr>
        <w:trPr>
          <w:trHeight w:val="346" w:hRule="exact"/>
        </w:trPr>
        <w:tc>
          <w:tcPr>
            <w:tcW w:w="48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2038"/>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48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48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7"/>
              <w:ind w:right="2038"/>
              <w:jc w:val="right"/>
              <w:rPr>
                <w:rFonts w:ascii="宋体" w:hAnsi="宋体" w:cs="宋体" w:eastAsia="宋体" w:hint="default"/>
                <w:sz w:val="18"/>
                <w:szCs w:val="18"/>
              </w:rPr>
            </w:pPr>
            <w:r>
              <w:rPr>
                <w:rFonts w:ascii="宋体" w:hAnsi="宋体" w:cs="宋体" w:eastAsia="宋体" w:hint="default"/>
                <w:sz w:val="18"/>
                <w:szCs w:val="18"/>
              </w:rPr>
              <w:t>精兴建设</w:t>
            </w:r>
          </w:p>
        </w:tc>
        <w:tc>
          <w:tcPr>
            <w:tcW w:w="4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38"/>
              <w:jc w:val="right"/>
              <w:rPr>
                <w:rFonts w:ascii="宋体" w:hAnsi="宋体" w:cs="宋体" w:eastAsia="宋体" w:hint="default"/>
                <w:sz w:val="18"/>
                <w:szCs w:val="18"/>
              </w:rPr>
            </w:pPr>
            <w:r>
              <w:rPr>
                <w:rFonts w:ascii="宋体" w:hAnsi="宋体" w:cs="宋体" w:eastAsia="宋体" w:hint="default"/>
                <w:sz w:val="18"/>
                <w:szCs w:val="18"/>
              </w:rPr>
              <w:t>图强建设</w:t>
            </w:r>
          </w:p>
        </w:tc>
        <w:tc>
          <w:tcPr>
            <w:tcW w:w="4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38"/>
              <w:jc w:val="right"/>
              <w:rPr>
                <w:rFonts w:ascii="宋体" w:hAnsi="宋体" w:cs="宋体" w:eastAsia="宋体" w:hint="default"/>
                <w:sz w:val="18"/>
                <w:szCs w:val="18"/>
              </w:rPr>
            </w:pPr>
            <w:r>
              <w:rPr>
                <w:rFonts w:ascii="宋体" w:hAnsi="宋体" w:cs="宋体" w:eastAsia="宋体" w:hint="default"/>
                <w:sz w:val="18"/>
                <w:szCs w:val="18"/>
              </w:rPr>
              <w:t>领航培训</w:t>
            </w:r>
          </w:p>
        </w:tc>
        <w:tc>
          <w:tcPr>
            <w:tcW w:w="4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038"/>
              <w:jc w:val="right"/>
              <w:rPr>
                <w:rFonts w:ascii="宋体" w:hAnsi="宋体" w:cs="宋体" w:eastAsia="宋体" w:hint="default"/>
                <w:sz w:val="18"/>
                <w:szCs w:val="18"/>
              </w:rPr>
            </w:pPr>
            <w:r>
              <w:rPr>
                <w:rFonts w:ascii="宋体" w:hAnsi="宋体" w:cs="宋体" w:eastAsia="宋体" w:hint="default"/>
                <w:sz w:val="18"/>
                <w:szCs w:val="18"/>
              </w:rPr>
              <w:t>丰天工程</w:t>
            </w:r>
          </w:p>
        </w:tc>
        <w:tc>
          <w:tcPr>
            <w:tcW w:w="4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毕马威华振会计师事务所（特殊普通合伙）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115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周永明、陈泳意</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0"/>
        <w:jc w:val="left"/>
      </w:pPr>
      <w:r>
        <w:rPr/>
        <w:t>是否改聘会计师事务所</w:t>
      </w:r>
    </w:p>
    <w:p>
      <w:pPr>
        <w:pStyle w:val="BodyText"/>
        <w:spacing w:line="340" w:lineRule="auto" w:before="115"/>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40" w:lineRule="auto" w:before="39"/>
        <w:ind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38" w:lineRule="auto" w:before="41"/>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聘任、解聘会计师事务所情况说明</w:t>
      </w:r>
    </w:p>
    <w:p>
      <w:pPr>
        <w:pStyle w:val="BodyText"/>
        <w:spacing w:line="300" w:lineRule="auto" w:before="43"/>
        <w:ind w:right="0"/>
        <w:jc w:val="left"/>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日召开的第二届董事会第六次定期会议审议通过关于《公司变更审计机构》的议案，于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16</w:t>
      </w:r>
      <w:r>
        <w:rPr>
          <w:spacing w:val="-2"/>
        </w:rPr>
        <w:t>日召</w:t>
      </w:r>
      <w:r>
        <w:rPr>
          <w:spacing w:val="-58"/>
        </w:rPr>
        <w:t> </w:t>
      </w:r>
      <w:r>
        <w:rPr>
          <w:spacing w:val="-2"/>
        </w:rPr>
        <w:t>开的</w:t>
      </w:r>
      <w:r>
        <w:rPr>
          <w:rFonts w:ascii="Times New Roman" w:hAnsi="Times New Roman" w:cs="Times New Roman" w:eastAsia="Times New Roman" w:hint="default"/>
          <w:spacing w:val="-2"/>
        </w:rPr>
        <w:t>2019</w:t>
      </w:r>
      <w:r>
        <w:rPr>
          <w:spacing w:val="-2"/>
        </w:rPr>
        <w:t>年第一次临时股东大会审议通过了该项议案，同意聘请毕马威华振会计师事务所为公司</w:t>
      </w:r>
      <w:r>
        <w:rPr>
          <w:rFonts w:ascii="Times New Roman" w:hAnsi="Times New Roman" w:cs="Times New Roman" w:eastAsia="Times New Roman" w:hint="default"/>
          <w:spacing w:val="-2"/>
        </w:rPr>
        <w:t>2019</w:t>
      </w:r>
      <w:r>
        <w:rPr>
          <w:spacing w:val="-2"/>
        </w:rPr>
        <w:t>年度审计机构，公司原</w:t>
      </w:r>
    </w:p>
    <w:p>
      <w:pPr>
        <w:spacing w:after="0" w:line="30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审计机构立信会计师事务所（特殊普通合伙）因其审计团队不再续聘其承担年度审计工作。相关内容详见公司在巨潮资讯网</w:t>
      </w:r>
    </w:p>
    <w:p>
      <w:pPr>
        <w:pStyle w:val="BodyText"/>
        <w:spacing w:line="300" w:lineRule="auto" w:before="77"/>
        <w:ind w:right="1162"/>
        <w:jc w:val="left"/>
      </w:pPr>
      <w:r>
        <w:rPr/>
        <w:t>（</w:t>
      </w:r>
      <w:hyperlink r:id="rId11">
        <w:r>
          <w:rPr>
            <w:rFonts w:ascii="Times New Roman" w:hAnsi="Times New Roman" w:cs="Times New Roman" w:eastAsia="Times New Roman" w:hint="default"/>
          </w:rPr>
          <w:t>http://www.cninfo.com.cn</w:t>
        </w:r>
      </w:hyperlink>
      <w:r>
        <w:rPr/>
        <w:t>）披露的《关于变更审计机构的公告》（公告编号：</w:t>
      </w:r>
      <w:r>
        <w:rPr>
          <w:rFonts w:ascii="Times New Roman" w:hAnsi="Times New Roman" w:cs="Times New Roman" w:eastAsia="Times New Roman" w:hint="default"/>
        </w:rPr>
        <w:t>2019-058</w:t>
      </w:r>
      <w:r>
        <w:rPr/>
        <w:t>）、《</w:t>
      </w:r>
      <w:r>
        <w:rPr>
          <w:rFonts w:ascii="Times New Roman" w:hAnsi="Times New Roman" w:cs="Times New Roman" w:eastAsia="Times New Roman" w:hint="default"/>
        </w:rPr>
        <w:t>2019</w:t>
      </w:r>
      <w:r>
        <w:rPr/>
        <w:t>年第一次临时股东大会</w:t>
      </w:r>
      <w:r>
        <w:rPr>
          <w:w w:val="99"/>
        </w:rPr>
        <w:t> </w:t>
      </w:r>
      <w:r>
        <w:rPr/>
        <w:t>决议公告》（公告编号：</w:t>
      </w:r>
      <w:r>
        <w:rPr>
          <w:rFonts w:ascii="Times New Roman" w:hAnsi="Times New Roman" w:cs="Times New Roman" w:eastAsia="Times New Roman" w:hint="default"/>
        </w:rPr>
        <w:t>2019-063</w:t>
      </w:r>
      <w:r>
        <w:rPr/>
        <w:t>）。</w:t>
      </w:r>
    </w:p>
    <w:p>
      <w:pPr>
        <w:pStyle w:val="BodyText"/>
        <w:spacing w:line="240" w:lineRule="auto" w:before="53"/>
        <w:ind w:right="0"/>
        <w:jc w:val="left"/>
      </w:pPr>
      <w:r>
        <w:rPr/>
        <w:t>聘请内部控制审计会计师事务所、财务顾问或保荐人情况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十五、重大关联交易</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72" w:type="dxa"/>
        <w:tblLayout w:type="fixed"/>
        <w:tblCellMar>
          <w:top w:w="0" w:type="dxa"/>
          <w:left w:w="0" w:type="dxa"/>
          <w:bottom w:w="0" w:type="dxa"/>
          <w:right w:w="0" w:type="dxa"/>
        </w:tblCellMar>
        <w:tblLook w:val="01E0"/>
      </w:tblPr>
      <w:tblGrid>
        <w:gridCol w:w="1678"/>
        <w:gridCol w:w="1133"/>
        <w:gridCol w:w="569"/>
        <w:gridCol w:w="850"/>
        <w:gridCol w:w="425"/>
        <w:gridCol w:w="567"/>
        <w:gridCol w:w="710"/>
        <w:gridCol w:w="708"/>
        <w:gridCol w:w="569"/>
        <w:gridCol w:w="447"/>
        <w:gridCol w:w="425"/>
        <w:gridCol w:w="569"/>
        <w:gridCol w:w="708"/>
        <w:gridCol w:w="214"/>
      </w:tblGrid>
      <w:tr>
        <w:trPr>
          <w:trHeight w:val="1338"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 w:right="7"/>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24"/>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 w:right="5"/>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1" w:right="77"/>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9"/>
              <w:ind w:left="2" w:right="-22"/>
              <w:jc w:val="left"/>
              <w:rPr>
                <w:rFonts w:ascii="宋体" w:hAnsi="宋体" w:cs="宋体" w:eastAsia="宋体" w:hint="default"/>
                <w:sz w:val="18"/>
                <w:szCs w:val="18"/>
              </w:rPr>
            </w:pP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 w:right="7"/>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 w:right="38"/>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24"/>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 w:right="7"/>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9" w:right="77"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1"/>
              <w:jc w:val="both"/>
              <w:rPr>
                <w:rFonts w:ascii="宋体" w:hAnsi="宋体" w:cs="宋体" w:eastAsia="宋体" w:hint="default"/>
                <w:sz w:val="18"/>
                <w:szCs w:val="18"/>
              </w:rPr>
            </w:pPr>
            <w:r>
              <w:rPr>
                <w:rFonts w:ascii="宋体" w:hAnsi="宋体" w:cs="宋体" w:eastAsia="宋体" w:hint="default"/>
                <w:sz w:val="18"/>
                <w:szCs w:val="18"/>
              </w:rPr>
              <w:t>披 露 索 引</w:t>
            </w:r>
          </w:p>
        </w:tc>
      </w:tr>
    </w:tbl>
    <w:p>
      <w:pPr>
        <w:spacing w:after="0" w:line="316" w:lineRule="auto"/>
        <w:jc w:val="both"/>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72.475983pt;width:20.8pt;height:76.75pt;mso-position-horizontal-relative:page;mso-position-vertical-relative:page;z-index:-1164112" coordorigin="5394,1450" coordsize="416,1535">
            <v:group style="position:absolute;left:5394;top:1450;width:416;height:156" coordorigin="5394,1450" coordsize="416,156">
              <v:shape style="position:absolute;left:5394;top:1450;width:416;height:156" coordorigin="5394,1450" coordsize="416,156" path="m5394,1606l5809,1606,5809,1450,5394,1450,5394,1606xe" filled="true" fillcolor="#ffffff" stroked="false">
                <v:path arrowok="t"/>
                <v:fill type="solid"/>
              </v:shape>
            </v:group>
            <v:group style="position:absolute;left:5394;top:1606;width:416;height:354" coordorigin="5394,1606" coordsize="416,354">
              <v:shape style="position:absolute;left:5394;top:1606;width:416;height:354" coordorigin="5394,1606" coordsize="416,354" path="m5394,1959l5809,1959,5809,1606,5394,1606,5394,1959xe" filled="true" fillcolor="#ffffff" stroked="false">
                <v:path arrowok="t"/>
                <v:fill type="solid"/>
              </v:shape>
            </v:group>
            <v:group style="position:absolute;left:5394;top:2309;width:416;height:156" coordorigin="5394,2309" coordsize="416,156">
              <v:shape style="position:absolute;left:5394;top:2309;width:416;height:156" coordorigin="5394,2309" coordsize="416,156" path="m5394,2465l5809,2465,5809,2309,5394,2309,5394,2465xe" filled="true" fillcolor="#ffffff" stroked="false">
                <v:path arrowok="t"/>
                <v:fill type="solid"/>
              </v:shape>
            </v:group>
            <v:group style="position:absolute;left:5394;top:1959;width:416;height:351" coordorigin="5394,1959" coordsize="416,351">
              <v:shape style="position:absolute;left:5394;top:1959;width:416;height:351" coordorigin="5394,1959" coordsize="416,351" path="m5394,2309l5809,2309,5809,1959,5394,1959,5394,2309xe" filled="true" fillcolor="#ffffff" stroked="false">
                <v:path arrowok="t"/>
                <v:fill type="solid"/>
              </v:shape>
            </v:group>
            <v:group style="position:absolute;left:5394;top:2477;width:416;height:156" coordorigin="5394,2477" coordsize="416,156">
              <v:shape style="position:absolute;left:5394;top:2477;width:416;height:156" coordorigin="5394,2477" coordsize="416,156" path="m5394,2633l5809,2633,5809,2477,5394,2477,5394,2633xe" filled="true" fillcolor="#ffffff" stroked="false">
                <v:path arrowok="t"/>
                <v:fill type="solid"/>
              </v:shape>
            </v:group>
            <v:group style="position:absolute;left:5394;top:2633;width:416;height:351" coordorigin="5394,2633" coordsize="416,351">
              <v:shape style="position:absolute;left:5394;top:2633;width:416;height:351" coordorigin="5394,2633" coordsize="416,351" path="m5394,2984l5809,2984,5809,2633,5394,2633,5394,2984xe" filled="true" fillcolor="#ffffff" stroked="false">
                <v:path arrowok="t"/>
                <v:fill type="solid"/>
              </v:shape>
            </v:group>
            <w10:wrap type="none"/>
          </v:group>
        </w:pict>
      </w:r>
      <w:r>
        <w:rPr/>
        <w:pict>
          <v:group style="position:absolute;margin-left:269.690002pt;margin-top:166.819977pt;width:20.8pt;height:7.8pt;mso-position-horizontal-relative:page;mso-position-vertical-relative:page;z-index:-1164088" coordorigin="5394,3336" coordsize="416,156">
            <v:shape style="position:absolute;left:5394;top:3336;width:416;height:156" coordorigin="5394,3336" coordsize="416,156" path="m5394,3492l5809,3492,5809,3336,5394,3336,5394,3492xe" filled="true" fillcolor="#ffffff" stroked="false">
              <v:path arrowok="t"/>
              <v:fill type="solid"/>
            </v:shape>
            <w10:wrap type="none"/>
          </v:group>
        </w:pict>
      </w:r>
      <w:r>
        <w:rPr/>
        <w:pict>
          <v:group style="position:absolute;margin-left:269.690002pt;margin-top:226.465988pt;width:20.8pt;height:25.35pt;mso-position-horizontal-relative:page;mso-position-vertical-relative:page;z-index:-1164064" coordorigin="5394,4529" coordsize="416,507">
            <v:group style="position:absolute;left:5394;top:4529;width:416;height:156" coordorigin="5394,4529" coordsize="416,156">
              <v:shape style="position:absolute;left:5394;top:4529;width:416;height:156" coordorigin="5394,4529" coordsize="416,156" path="m5394,4685l5809,4685,5809,4529,5394,4529,5394,4685xe" filled="true" fillcolor="#ffffff" stroked="false">
                <v:path arrowok="t"/>
                <v:fill type="solid"/>
              </v:shape>
            </v:group>
            <v:group style="position:absolute;left:5394;top:4685;width:416;height:351" coordorigin="5394,4685" coordsize="416,351">
              <v:shape style="position:absolute;left:5394;top:4685;width:416;height:351" coordorigin="5394,4685" coordsize="416,351" path="m5394,5036l5809,5036,5809,4685,5394,4685,5394,5036xe" filled="true" fillcolor="#ffffff" stroked="false">
                <v:path arrowok="t"/>
                <v:fill type="solid"/>
              </v:shape>
            </v:group>
            <w10:wrap type="none"/>
          </v:group>
        </w:pict>
      </w:r>
      <w:r>
        <w:rPr/>
        <w:pict>
          <v:group style="position:absolute;margin-left:269.690002pt;margin-top:269.419983pt;width:20.8pt;height:7.85pt;mso-position-horizontal-relative:page;mso-position-vertical-relative:page;z-index:-1164040" coordorigin="5394,5388" coordsize="416,157">
            <v:shape style="position:absolute;left:5394;top:5388;width:416;height:157" coordorigin="5394,5388" coordsize="416,157" path="m5394,5545l5809,5545,5809,5388,5394,5388,5394,5545xe" filled="true" fillcolor="#ffffff" stroked="false">
              <v:path arrowok="t"/>
              <v:fill type="solid"/>
            </v:shape>
            <w10:wrap type="none"/>
          </v:group>
        </w:pict>
      </w:r>
      <w:r>
        <w:rPr/>
        <w:pict>
          <v:group style="position:absolute;margin-left:269.690002pt;margin-top:329.089996pt;width:20.8pt;height:25.35pt;mso-position-horizontal-relative:page;mso-position-vertical-relative:page;z-index:-1164016" coordorigin="5394,6582" coordsize="416,507">
            <v:group style="position:absolute;left:5394;top:6582;width:416;height:156" coordorigin="5394,6582" coordsize="416,156">
              <v:shape style="position:absolute;left:5394;top:6582;width:416;height:156" coordorigin="5394,6582" coordsize="416,156" path="m5394,6738l5809,6738,5809,6582,5394,6582,5394,6738xe" filled="true" fillcolor="#ffffff" stroked="false">
                <v:path arrowok="t"/>
                <v:fill type="solid"/>
              </v:shape>
            </v:group>
            <v:group style="position:absolute;left:5394;top:6738;width:416;height:351" coordorigin="5394,6738" coordsize="416,351">
              <v:shape style="position:absolute;left:5394;top:6738;width:416;height:351" coordorigin="5394,6738" coordsize="416,351" path="m5394,7088l5809,7088,5809,6738,5394,6738,5394,7088xe" filled="true" fillcolor="#ffffff" stroked="false">
                <v:path arrowok="t"/>
                <v:fill type="solid"/>
              </v:shape>
            </v:group>
            <w10:wrap type="none"/>
          </v:group>
        </w:pict>
      </w:r>
      <w:r>
        <w:rPr/>
        <w:pict>
          <v:group style="position:absolute;margin-left:269.690002pt;margin-top:372.049988pt;width:20.8pt;height:7.8pt;mso-position-horizontal-relative:page;mso-position-vertical-relative:page;z-index:-1163992" coordorigin="5394,7441" coordsize="416,156">
            <v:shape style="position:absolute;left:5394;top:7441;width:416;height:156" coordorigin="5394,7441" coordsize="416,156" path="m5394,7597l5809,7597,5809,7441,5394,7441,5394,7597xe" filled="true" fillcolor="#ffffff" stroked="false">
              <v:path arrowok="t"/>
              <v:fill type="solid"/>
            </v:shape>
            <w10:wrap type="none"/>
          </v:group>
        </w:pict>
      </w:r>
      <w:r>
        <w:rPr/>
        <w:pict>
          <v:group style="position:absolute;margin-left:269.690002pt;margin-top:636.915955pt;width:20.8pt;height:25.35pt;mso-position-horizontal-relative:page;mso-position-vertical-relative:page;z-index:-1163968" coordorigin="5394,12738" coordsize="416,507">
            <v:group style="position:absolute;left:5394;top:12738;width:416;height:157" coordorigin="5394,12738" coordsize="416,157">
              <v:shape style="position:absolute;left:5394;top:12738;width:416;height:157" coordorigin="5394,12738" coordsize="416,157" path="m5394,12895l5809,12895,5809,12738,5394,12738,5394,12895xe" filled="true" fillcolor="#ffffff" stroked="false">
                <v:path arrowok="t"/>
                <v:fill type="solid"/>
              </v:shape>
            </v:group>
            <v:group style="position:absolute;left:5394;top:12895;width:416;height:351" coordorigin="5394,12895" coordsize="416,351">
              <v:shape style="position:absolute;left:5394;top:12895;width:416;height:351" coordorigin="5394,12895" coordsize="416,351" path="m5394,13245l5809,13245,5809,12895,5394,12895,5394,13245xe" filled="true" fillcolor="#ffffff" stroked="false">
                <v:path arrowok="t"/>
                <v:fill type="solid"/>
              </v:shape>
            </v:group>
            <w10:wrap type="none"/>
          </v:group>
        </w:pict>
      </w:r>
      <w:r>
        <w:rPr/>
        <w:pict>
          <v:group style="position:absolute;margin-left:269.690002pt;margin-top:679.899963pt;width:20.8pt;height:7.8pt;mso-position-horizontal-relative:page;mso-position-vertical-relative:page;z-index:-1163944" coordorigin="5394,13598" coordsize="416,156">
            <v:shape style="position:absolute;left:5394;top:13598;width:416;height:156" coordorigin="5394,13598" coordsize="416,156" path="m5394,13754l5809,13754,5809,13598,5394,13598,5394,13754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72" w:type="dxa"/>
        <w:tblLayout w:type="fixed"/>
        <w:tblCellMar>
          <w:top w:w="0" w:type="dxa"/>
          <w:left w:w="0" w:type="dxa"/>
          <w:bottom w:w="0" w:type="dxa"/>
          <w:right w:w="0" w:type="dxa"/>
        </w:tblCellMar>
        <w:tblLook w:val="01E0"/>
      </w:tblPr>
      <w:tblGrid>
        <w:gridCol w:w="1678"/>
        <w:gridCol w:w="1133"/>
        <w:gridCol w:w="569"/>
        <w:gridCol w:w="850"/>
        <w:gridCol w:w="425"/>
        <w:gridCol w:w="567"/>
        <w:gridCol w:w="710"/>
        <w:gridCol w:w="708"/>
        <w:gridCol w:w="569"/>
        <w:gridCol w:w="447"/>
        <w:gridCol w:w="425"/>
        <w:gridCol w:w="569"/>
        <w:gridCol w:w="708"/>
        <w:gridCol w:w="214"/>
      </w:tblGrid>
      <w:tr>
        <w:trPr>
          <w:trHeight w:val="102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北京中关村微纳能源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参股股东的控 股企业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 w:right="119"/>
              <w:jc w:val="both"/>
              <w:rPr>
                <w:rFonts w:ascii="宋体" w:hAnsi="宋体" w:cs="宋体" w:eastAsia="宋体" w:hint="default"/>
                <w:sz w:val="18"/>
                <w:szCs w:val="18"/>
              </w:rPr>
            </w:pPr>
            <w:r>
              <w:rPr>
                <w:rFonts w:ascii="宋体" w:hAnsi="宋体" w:cs="宋体" w:eastAsia="宋体" w:hint="default"/>
                <w:sz w:val="18"/>
                <w:szCs w:val="18"/>
              </w:rPr>
              <w:t>城市规划 建筑设计 建筑咨询</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6" w:lineRule="exact"/>
              <w:ind w:left="2" w:right="0"/>
              <w:jc w:val="left"/>
              <w:rPr>
                <w:rFonts w:ascii="宋体" w:hAnsi="宋体" w:cs="宋体" w:eastAsia="宋体" w:hint="default"/>
                <w:sz w:val="18"/>
                <w:szCs w:val="18"/>
              </w:rPr>
            </w:pPr>
            <w:r>
              <w:rPr>
                <w:rFonts w:ascii="宋体" w:hAnsi="宋体" w:cs="宋体" w:eastAsia="宋体" w:hint="default"/>
                <w:sz w:val="18"/>
                <w:szCs w:val="18"/>
              </w:rPr>
              <w:t>市场</w:t>
            </w:r>
          </w:p>
          <w:p>
            <w:pPr>
              <w:pStyle w:val="TableParagraph"/>
              <w:spacing w:line="15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 w:right="0"/>
              <w:jc w:val="left"/>
              <w:rPr>
                <w:rFonts w:ascii="宋体" w:hAnsi="宋体" w:cs="宋体" w:eastAsia="宋体" w:hint="default"/>
                <w:sz w:val="18"/>
                <w:szCs w:val="18"/>
              </w:rPr>
            </w:pPr>
            <w:r>
              <w:rPr>
                <w:rFonts w:ascii="宋体" w:hAnsi="宋体" w:cs="宋体" w:eastAsia="宋体" w:hint="default"/>
                <w:sz w:val="18"/>
                <w:szCs w:val="18"/>
              </w:rPr>
              <w:t>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297.25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0.64%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550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right="46"/>
              <w:jc w:val="left"/>
              <w:rPr>
                <w:rFonts w:ascii="宋体" w:hAnsi="宋体" w:cs="宋体" w:eastAsia="宋体" w:hint="default"/>
                <w:sz w:val="18"/>
                <w:szCs w:val="18"/>
              </w:rPr>
            </w:pPr>
            <w:r>
              <w:rPr>
                <w:rFonts w:ascii="宋体" w:hAnsi="宋体" w:cs="宋体" w:eastAsia="宋体" w:hint="default"/>
                <w:sz w:val="18"/>
                <w:szCs w:val="18"/>
              </w:rPr>
              <w:t>北京中关村生命科学 园发展有限责任公司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参股股东的控 股企业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 w:right="-13"/>
              <w:jc w:val="left"/>
              <w:rPr>
                <w:rFonts w:ascii="宋体" w:hAnsi="宋体" w:cs="宋体" w:eastAsia="宋体" w:hint="default"/>
                <w:sz w:val="18"/>
                <w:szCs w:val="18"/>
              </w:rPr>
            </w:pPr>
            <w:r>
              <w:rPr>
                <w:rFonts w:ascii="宋体" w:hAnsi="宋体" w:cs="宋体" w:eastAsia="宋体" w:hint="default"/>
                <w:spacing w:val="-10"/>
                <w:sz w:val="18"/>
                <w:szCs w:val="18"/>
              </w:rPr>
              <w:t>建筑咨询、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建筑设计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168.16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0.36%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北京怀柔科学城建设 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参股股东的控 股企业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建筑咨询</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
                <w:sz w:val="18"/>
              </w:rPr>
              <w:t>112.64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0.24%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
                <w:sz w:val="18"/>
              </w:rPr>
              <w:t>110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right="46"/>
              <w:jc w:val="left"/>
              <w:rPr>
                <w:rFonts w:ascii="宋体" w:hAnsi="宋体" w:cs="宋体" w:eastAsia="宋体" w:hint="default"/>
                <w:sz w:val="18"/>
                <w:szCs w:val="18"/>
              </w:rPr>
            </w:pPr>
            <w:r>
              <w:rPr>
                <w:rFonts w:ascii="宋体" w:hAnsi="宋体" w:cs="宋体" w:eastAsia="宋体" w:hint="default"/>
                <w:sz w:val="18"/>
                <w:szCs w:val="18"/>
              </w:rPr>
              <w:t>中关村医疗器械园有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参股股东的控 股企业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 w:right="-13"/>
              <w:jc w:val="left"/>
              <w:rPr>
                <w:rFonts w:ascii="宋体" w:hAnsi="宋体" w:cs="宋体" w:eastAsia="宋体" w:hint="default"/>
                <w:sz w:val="18"/>
                <w:szCs w:val="18"/>
              </w:rPr>
            </w:pPr>
            <w:r>
              <w:rPr>
                <w:rFonts w:ascii="宋体" w:hAnsi="宋体" w:cs="宋体" w:eastAsia="宋体" w:hint="default"/>
                <w:spacing w:val="-10"/>
                <w:sz w:val="18"/>
                <w:szCs w:val="18"/>
              </w:rPr>
              <w:t>建筑咨询、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建筑设计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0.23%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60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right="46"/>
              <w:jc w:val="both"/>
              <w:rPr>
                <w:rFonts w:ascii="宋体" w:hAnsi="宋体" w:cs="宋体" w:eastAsia="宋体" w:hint="default"/>
                <w:sz w:val="18"/>
                <w:szCs w:val="18"/>
              </w:rPr>
            </w:pPr>
            <w:r>
              <w:rPr>
                <w:rFonts w:ascii="宋体" w:hAnsi="宋体" w:cs="宋体" w:eastAsia="宋体" w:hint="default"/>
                <w:sz w:val="18"/>
                <w:szCs w:val="18"/>
              </w:rPr>
              <w:t>北京中关村集成电路 设计园发展有限责任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参股股东的控 股企业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
                <w:sz w:val="18"/>
              </w:rPr>
              <w:t>98.11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0.21%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right="46"/>
              <w:jc w:val="left"/>
              <w:rPr>
                <w:rFonts w:ascii="宋体" w:hAnsi="宋体" w:cs="宋体" w:eastAsia="宋体" w:hint="default"/>
                <w:sz w:val="18"/>
                <w:szCs w:val="18"/>
              </w:rPr>
            </w:pPr>
            <w:r>
              <w:rPr>
                <w:rFonts w:ascii="宋体" w:hAnsi="宋体" w:cs="宋体" w:eastAsia="宋体" w:hint="default"/>
                <w:sz w:val="18"/>
                <w:szCs w:val="18"/>
              </w:rPr>
              <w:t>北京中关村前沿技术 产业发展有限公司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参股股东的控 股企业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 w:right="-13"/>
              <w:jc w:val="left"/>
              <w:rPr>
                <w:rFonts w:ascii="宋体" w:hAnsi="宋体" w:cs="宋体" w:eastAsia="宋体" w:hint="default"/>
                <w:sz w:val="18"/>
                <w:szCs w:val="18"/>
              </w:rPr>
            </w:pPr>
            <w:r>
              <w:rPr>
                <w:rFonts w:ascii="宋体" w:hAnsi="宋体" w:cs="宋体" w:eastAsia="宋体" w:hint="default"/>
                <w:spacing w:val="-10"/>
                <w:sz w:val="18"/>
                <w:szCs w:val="18"/>
              </w:rPr>
              <w:t>城市规划、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建筑设计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87.63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0.19%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650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国银金融租赁股份有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41"/>
              <w:jc w:val="both"/>
              <w:rPr>
                <w:rFonts w:ascii="宋体" w:hAnsi="宋体" w:cs="宋体" w:eastAsia="宋体" w:hint="default"/>
                <w:sz w:val="18"/>
                <w:szCs w:val="18"/>
              </w:rPr>
            </w:pPr>
            <w:r>
              <w:rPr>
                <w:rFonts w:ascii="宋体" w:hAnsi="宋体" w:cs="宋体" w:eastAsia="宋体" w:hint="default"/>
                <w:sz w:val="18"/>
                <w:szCs w:val="18"/>
              </w:rPr>
              <w:t>独立董事郑学 定出任董事的 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公信检测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83.66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0.18%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雄安绿研智库有限公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控股股东控制 的企业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 w:right="0"/>
              <w:jc w:val="left"/>
              <w:rPr>
                <w:rFonts w:ascii="宋体" w:hAnsi="宋体" w:cs="宋体" w:eastAsia="宋体" w:hint="default"/>
                <w:sz w:val="18"/>
                <w:szCs w:val="18"/>
              </w:rPr>
            </w:pPr>
            <w:r>
              <w:rPr>
                <w:rFonts w:ascii="宋体" w:hAnsi="宋体" w:cs="宋体" w:eastAsia="宋体" w:hint="default"/>
                <w:sz w:val="18"/>
                <w:szCs w:val="18"/>
              </w:rPr>
              <w:t>技术咨询</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42.29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荆门生态科技城投资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控股股东控制 的企业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规划设计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51.52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
                <w:sz w:val="18"/>
              </w:rPr>
              <w:t>0.11%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right="46"/>
              <w:jc w:val="left"/>
              <w:rPr>
                <w:rFonts w:ascii="宋体" w:hAnsi="宋体" w:cs="宋体" w:eastAsia="宋体" w:hint="default"/>
                <w:sz w:val="18"/>
                <w:szCs w:val="18"/>
              </w:rPr>
            </w:pPr>
            <w:r>
              <w:rPr>
                <w:rFonts w:ascii="宋体" w:hAnsi="宋体" w:cs="宋体" w:eastAsia="宋体" w:hint="default"/>
                <w:sz w:val="18"/>
                <w:szCs w:val="18"/>
              </w:rPr>
              <w:t>北京中关村京西建设 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参股股东的控 股企业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 w:right="0"/>
              <w:jc w:val="left"/>
              <w:rPr>
                <w:rFonts w:ascii="宋体" w:hAnsi="宋体" w:cs="宋体" w:eastAsia="宋体" w:hint="default"/>
                <w:sz w:val="18"/>
                <w:szCs w:val="18"/>
              </w:rPr>
            </w:pPr>
            <w:r>
              <w:rPr>
                <w:rFonts w:ascii="宋体" w:hAnsi="宋体" w:cs="宋体" w:eastAsia="宋体" w:hint="default"/>
                <w:sz w:val="18"/>
                <w:szCs w:val="18"/>
              </w:rPr>
              <w:t>城市规划</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39.62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160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国信证券股份有限公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41"/>
              <w:jc w:val="both"/>
              <w:rPr>
                <w:rFonts w:ascii="宋体" w:hAnsi="宋体" w:cs="宋体" w:eastAsia="宋体" w:hint="default"/>
                <w:sz w:val="18"/>
                <w:szCs w:val="18"/>
              </w:rPr>
            </w:pPr>
            <w:r>
              <w:rPr>
                <w:rFonts w:ascii="宋体" w:hAnsi="宋体" w:cs="宋体" w:eastAsia="宋体" w:hint="default"/>
                <w:sz w:val="18"/>
                <w:szCs w:val="18"/>
              </w:rPr>
              <w:t>独立董事郑学 定出任独立董 事的企业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公信检测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
                <w:sz w:val="18"/>
              </w:rPr>
              <w:t>33.11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right="46"/>
              <w:jc w:val="both"/>
              <w:rPr>
                <w:rFonts w:ascii="宋体" w:hAnsi="宋体" w:cs="宋体" w:eastAsia="宋体" w:hint="default"/>
                <w:sz w:val="18"/>
                <w:szCs w:val="18"/>
              </w:rPr>
            </w:pPr>
            <w:r>
              <w:rPr>
                <w:rFonts w:ascii="宋体" w:hAnsi="宋体" w:cs="宋体" w:eastAsia="宋体" w:hint="default"/>
                <w:sz w:val="18"/>
                <w:szCs w:val="18"/>
              </w:rPr>
              <w:t>北京中关村生物医药 产业投资发展有限公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参股股东的控 股企业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 w:right="-13"/>
              <w:jc w:val="left"/>
              <w:rPr>
                <w:rFonts w:ascii="宋体" w:hAnsi="宋体" w:cs="宋体" w:eastAsia="宋体" w:hint="default"/>
                <w:sz w:val="18"/>
                <w:szCs w:val="18"/>
              </w:rPr>
            </w:pPr>
            <w:r>
              <w:rPr>
                <w:rFonts w:ascii="宋体" w:hAnsi="宋体" w:cs="宋体" w:eastAsia="宋体" w:hint="default"/>
                <w:spacing w:val="-10"/>
                <w:sz w:val="18"/>
                <w:szCs w:val="18"/>
              </w:rPr>
              <w:t>城市规划、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建筑设计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28.17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北京中关村信息谷资 产管理有限责任公司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参股股东的控 股企业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规划设计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17.92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left"/>
              <w:rPr>
                <w:rFonts w:ascii="宋体" w:hAnsi="宋体" w:cs="宋体" w:eastAsia="宋体" w:hint="default"/>
                <w:sz w:val="18"/>
                <w:szCs w:val="18"/>
              </w:rPr>
            </w:pPr>
            <w:r>
              <w:rPr>
                <w:rFonts w:ascii="宋体" w:hAnsi="宋体" w:cs="宋体" w:eastAsia="宋体" w:hint="default"/>
                <w:sz w:val="18"/>
                <w:szCs w:val="18"/>
              </w:rPr>
              <w:t>深圳市创新投资集团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公司参股股东</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left"/>
              <w:rPr>
                <w:rFonts w:ascii="宋体" w:hAnsi="宋体" w:cs="宋体" w:eastAsia="宋体" w:hint="default"/>
                <w:sz w:val="18"/>
                <w:szCs w:val="18"/>
              </w:rPr>
            </w:pPr>
            <w:r>
              <w:rPr>
                <w:rFonts w:ascii="宋体" w:hAnsi="宋体" w:cs="宋体" w:eastAsia="宋体" w:hint="default"/>
                <w:sz w:val="18"/>
                <w:szCs w:val="18"/>
              </w:rPr>
              <w:t>提供服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宋体" w:hAnsi="宋体" w:cs="宋体" w:eastAsia="宋体" w:hint="default"/>
                <w:sz w:val="18"/>
                <w:szCs w:val="18"/>
              </w:rPr>
              <w:t>建筑咨询</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13.44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0.03%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z w:val="18"/>
              </w:rPr>
              <w:t>40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465.309998pt;width:20.8pt;height:25.45pt;mso-position-horizontal-relative:page;mso-position-vertical-relative:page;z-index:-1163920" coordorigin="5394,9306" coordsize="416,509">
            <v:group style="position:absolute;left:5394;top:9306;width:416;height:156" coordorigin="5394,9306" coordsize="416,156">
              <v:shape style="position:absolute;left:5394;top:9306;width:416;height:156" coordorigin="5394,9306" coordsize="416,156" path="m5394,9462l5809,9462,5809,9306,5394,9306,5394,9462xe" filled="true" fillcolor="#ffffff" stroked="false">
                <v:path arrowok="t"/>
                <v:fill type="solid"/>
              </v:shape>
            </v:group>
            <v:group style="position:absolute;left:5394;top:9462;width:416;height:353" coordorigin="5394,9462" coordsize="416,353">
              <v:shape style="position:absolute;left:5394;top:9462;width:416;height:353" coordorigin="5394,9462" coordsize="416,353" path="m5394,9815l5809,9815,5809,9462,5394,9462,5394,9815xe" filled="true" fillcolor="#ffffff" stroked="false">
                <v:path arrowok="t"/>
                <v:fill type="solid"/>
              </v:shape>
            </v:group>
            <w10:wrap type="none"/>
          </v:group>
        </w:pict>
      </w:r>
      <w:r>
        <w:rPr/>
        <w:pict>
          <v:group style="position:absolute;margin-left:269.690002pt;margin-top:508.389984pt;width:20.8pt;height:7.8pt;mso-position-horizontal-relative:page;mso-position-vertical-relative:page;z-index:-1163896" coordorigin="5394,10168" coordsize="416,156">
            <v:shape style="position:absolute;left:5394;top:10168;width:416;height:156" coordorigin="5394,10168" coordsize="416,156" path="m5394,10324l5809,10324,5809,10168,5394,10168,5394,10324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72" w:type="dxa"/>
        <w:tblLayout w:type="fixed"/>
        <w:tblCellMar>
          <w:top w:w="0" w:type="dxa"/>
          <w:left w:w="0" w:type="dxa"/>
          <w:bottom w:w="0" w:type="dxa"/>
          <w:right w:w="0" w:type="dxa"/>
        </w:tblCellMar>
        <w:tblLook w:val="01E0"/>
      </w:tblPr>
      <w:tblGrid>
        <w:gridCol w:w="1678"/>
        <w:gridCol w:w="1133"/>
        <w:gridCol w:w="569"/>
        <w:gridCol w:w="850"/>
        <w:gridCol w:w="425"/>
        <w:gridCol w:w="567"/>
        <w:gridCol w:w="710"/>
        <w:gridCol w:w="708"/>
        <w:gridCol w:w="569"/>
        <w:gridCol w:w="447"/>
        <w:gridCol w:w="425"/>
        <w:gridCol w:w="569"/>
        <w:gridCol w:w="708"/>
        <w:gridCol w:w="214"/>
      </w:tblGrid>
      <w:tr>
        <w:trPr>
          <w:trHeight w:val="67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务等</w:t>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center"/>
              <w:rPr>
                <w:rFonts w:ascii="宋体" w:hAnsi="宋体" w:cs="宋体" w:eastAsia="宋体" w:hint="default"/>
                <w:sz w:val="18"/>
                <w:szCs w:val="18"/>
              </w:rPr>
            </w:pPr>
            <w:r>
              <w:rPr>
                <w:rFonts w:ascii="宋体" w:hAnsi="宋体" w:cs="宋体" w:eastAsia="宋体" w:hint="default"/>
                <w:sz w:val="18"/>
                <w:szCs w:val="18"/>
              </w:rPr>
              <w:t>定价</w:t>
            </w: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center"/>
              <w:rPr>
                <w:rFonts w:ascii="宋体" w:hAnsi="宋体" w:cs="宋体" w:eastAsia="宋体" w:hint="default"/>
                <w:sz w:val="18"/>
                <w:szCs w:val="18"/>
              </w:rPr>
            </w:pPr>
            <w:r>
              <w:rPr>
                <w:rFonts w:ascii="宋体" w:hAnsi="宋体" w:cs="宋体" w:eastAsia="宋体" w:hint="default"/>
                <w:sz w:val="18"/>
                <w:szCs w:val="18"/>
              </w:rPr>
              <w:t>结算</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right="46"/>
              <w:jc w:val="both"/>
              <w:rPr>
                <w:rFonts w:ascii="宋体" w:hAnsi="宋体" w:cs="宋体" w:eastAsia="宋体" w:hint="default"/>
                <w:sz w:val="18"/>
                <w:szCs w:val="18"/>
              </w:rPr>
            </w:pPr>
            <w:r>
              <w:rPr>
                <w:rFonts w:ascii="宋体" w:hAnsi="宋体" w:cs="宋体" w:eastAsia="宋体" w:hint="default"/>
                <w:sz w:val="18"/>
                <w:szCs w:val="18"/>
              </w:rPr>
              <w:t>北京中关村生命科学 园生物医药科技孵化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参股股东的控 股企业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2"/>
                <w:w w:val="95"/>
                <w:sz w:val="18"/>
              </w:rPr>
              <w:t>9.11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2" w:right="-1"/>
              <w:jc w:val="left"/>
              <w:rPr>
                <w:rFonts w:ascii="Times New Roman" w:hAnsi="Times New Roman" w:cs="Times New Roman" w:eastAsia="Times New Roman" w:hint="default"/>
                <w:sz w:val="18"/>
                <w:szCs w:val="18"/>
              </w:rPr>
            </w:pPr>
            <w:r>
              <w:rPr>
                <w:rFonts w:ascii="Times New Roman"/>
                <w:sz w:val="18"/>
              </w:rPr>
              <w:t>0.02%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万和证券股份有限公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控股股东控制 的企业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接收服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0.85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2" w:right="-1"/>
              <w:jc w:val="lef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中关村发展集团股份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公司参股股东</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 w:right="119"/>
              <w:jc w:val="left"/>
              <w:rPr>
                <w:rFonts w:ascii="宋体" w:hAnsi="宋体" w:cs="宋体" w:eastAsia="宋体" w:hint="default"/>
                <w:sz w:val="18"/>
                <w:szCs w:val="18"/>
              </w:rPr>
            </w:pPr>
            <w:r>
              <w:rPr>
                <w:rFonts w:ascii="宋体" w:hAnsi="宋体" w:cs="宋体" w:eastAsia="宋体" w:hint="default"/>
                <w:sz w:val="18"/>
                <w:szCs w:val="18"/>
              </w:rPr>
              <w:t>租入办公 楼</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300.23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2" w:right="-1"/>
              <w:jc w:val="left"/>
              <w:rPr>
                <w:rFonts w:ascii="Times New Roman" w:hAnsi="Times New Roman" w:cs="Times New Roman" w:eastAsia="Times New Roman" w:hint="default"/>
                <w:sz w:val="18"/>
                <w:szCs w:val="18"/>
              </w:rPr>
            </w:pPr>
            <w:r>
              <w:rPr>
                <w:rFonts w:ascii="Times New Roman"/>
                <w:sz w:val="18"/>
              </w:rPr>
              <w:t>0.64%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250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深圳排放权交易所有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参股股东控股 的企业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采购服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0.04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2" w:right="-1"/>
              <w:jc w:val="lef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深圳市天之宝生物科 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参股股东控股 的企业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采购服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7.37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2" w:right="-1"/>
              <w:jc w:val="left"/>
              <w:rPr>
                <w:rFonts w:ascii="Times New Roman" w:hAnsi="Times New Roman" w:cs="Times New Roman" w:eastAsia="Times New Roman" w:hint="default"/>
                <w:sz w:val="18"/>
                <w:szCs w:val="18"/>
              </w:rPr>
            </w:pPr>
            <w:r>
              <w:rPr>
                <w:rFonts w:ascii="Times New Roman"/>
                <w:sz w:val="18"/>
              </w:rPr>
              <w:t>0.02%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雄安绿研智库有限公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控股股东控制 的企业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采购服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技术咨询</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21.27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2" w:right="-1"/>
              <w:jc w:val="left"/>
              <w:rPr>
                <w:rFonts w:ascii="Times New Roman" w:hAnsi="Times New Roman" w:cs="Times New Roman" w:eastAsia="Times New Roman" w:hint="default"/>
                <w:sz w:val="18"/>
                <w:szCs w:val="18"/>
              </w:rPr>
            </w:pPr>
            <w:r>
              <w:rPr>
                <w:rFonts w:ascii="Times New Roman"/>
                <w:sz w:val="18"/>
              </w:rPr>
              <w:t>0.05%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万和证券股份有限公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控股股东控制 的企业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采购服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2" w:right="-1"/>
              <w:jc w:val="left"/>
              <w:rPr>
                <w:rFonts w:ascii="Times New Roman" w:hAnsi="Times New Roman" w:cs="Times New Roman" w:eastAsia="Times New Roman" w:hint="default"/>
                <w:sz w:val="18"/>
                <w:szCs w:val="18"/>
              </w:rPr>
            </w:pPr>
            <w:r>
              <w:rPr>
                <w:rFonts w:ascii="Times New Roman"/>
                <w:sz w:val="18"/>
              </w:rPr>
              <w:t>0.04%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北京中关村软件园发 展有限责任公司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参股股东的控 股企业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 w:right="-13"/>
              <w:jc w:val="left"/>
              <w:rPr>
                <w:rFonts w:ascii="宋体" w:hAnsi="宋体" w:cs="宋体" w:eastAsia="宋体" w:hint="default"/>
                <w:sz w:val="18"/>
                <w:szCs w:val="18"/>
              </w:rPr>
            </w:pPr>
            <w:r>
              <w:rPr>
                <w:rFonts w:ascii="宋体" w:hAnsi="宋体" w:cs="宋体" w:eastAsia="宋体" w:hint="default"/>
                <w:spacing w:val="-10"/>
                <w:sz w:val="18"/>
                <w:szCs w:val="18"/>
              </w:rPr>
              <w:t>建筑咨询、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建筑设计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2" w:right="-1"/>
              <w:jc w:val="lef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40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北京中关村延庆园建 设发展有限公司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参股股东的控 股企业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2" w:right="-1"/>
              <w:jc w:val="lef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300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right="46"/>
              <w:jc w:val="left"/>
              <w:rPr>
                <w:rFonts w:ascii="宋体" w:hAnsi="宋体" w:cs="宋体" w:eastAsia="宋体" w:hint="default"/>
                <w:sz w:val="18"/>
                <w:szCs w:val="18"/>
              </w:rPr>
            </w:pPr>
            <w:r>
              <w:rPr>
                <w:rFonts w:ascii="宋体" w:hAnsi="宋体" w:cs="宋体" w:eastAsia="宋体" w:hint="default"/>
                <w:sz w:val="18"/>
                <w:szCs w:val="18"/>
              </w:rPr>
              <w:t>北京海开房地产集团 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 w:right="41"/>
              <w:jc w:val="left"/>
              <w:rPr>
                <w:rFonts w:ascii="宋体" w:hAnsi="宋体" w:cs="宋体" w:eastAsia="宋体" w:hint="default"/>
                <w:sz w:val="18"/>
                <w:szCs w:val="18"/>
              </w:rPr>
            </w:pPr>
            <w:r>
              <w:rPr>
                <w:rFonts w:ascii="宋体" w:hAnsi="宋体" w:cs="宋体" w:eastAsia="宋体" w:hint="default"/>
                <w:sz w:val="18"/>
                <w:szCs w:val="18"/>
              </w:rPr>
              <w:t>参股股东的控 股企业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2" w:right="-1"/>
              <w:jc w:val="lef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right="46"/>
              <w:jc w:val="left"/>
              <w:rPr>
                <w:rFonts w:ascii="宋体" w:hAnsi="宋体" w:cs="宋体" w:eastAsia="宋体" w:hint="default"/>
                <w:sz w:val="18"/>
                <w:szCs w:val="18"/>
              </w:rPr>
            </w:pPr>
            <w:r>
              <w:rPr>
                <w:rFonts w:ascii="宋体" w:hAnsi="宋体" w:cs="宋体" w:eastAsia="宋体" w:hint="default"/>
                <w:sz w:val="18"/>
                <w:szCs w:val="18"/>
              </w:rPr>
              <w:t>前海科创投控股有限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 w:right="41"/>
              <w:jc w:val="both"/>
              <w:rPr>
                <w:rFonts w:ascii="宋体" w:hAnsi="宋体" w:cs="宋体" w:eastAsia="宋体" w:hint="default"/>
                <w:sz w:val="18"/>
                <w:szCs w:val="18"/>
              </w:rPr>
            </w:pPr>
            <w:r>
              <w:rPr>
                <w:rFonts w:ascii="宋体" w:hAnsi="宋体" w:cs="宋体" w:eastAsia="宋体" w:hint="default"/>
                <w:sz w:val="18"/>
                <w:szCs w:val="18"/>
              </w:rPr>
              <w:t>董事长叶青出 任独立董事的 企业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 w:right="14"/>
              <w:jc w:val="left"/>
              <w:rPr>
                <w:rFonts w:ascii="宋体" w:hAnsi="宋体" w:cs="宋体" w:eastAsia="宋体" w:hint="default"/>
                <w:sz w:val="18"/>
                <w:szCs w:val="18"/>
              </w:rPr>
            </w:pPr>
            <w:r>
              <w:rPr>
                <w:rFonts w:ascii="宋体" w:hAnsi="宋体" w:cs="宋体" w:eastAsia="宋体" w:hint="default"/>
                <w:sz w:val="18"/>
                <w:szCs w:val="18"/>
              </w:rPr>
              <w:t>提供服 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 w:right="0"/>
              <w:jc w:val="left"/>
              <w:rPr>
                <w:rFonts w:ascii="宋体" w:hAnsi="宋体" w:cs="宋体" w:eastAsia="宋体" w:hint="default"/>
                <w:sz w:val="18"/>
                <w:szCs w:val="18"/>
              </w:rPr>
            </w:pPr>
            <w:r>
              <w:rPr>
                <w:rFonts w:ascii="宋体" w:hAnsi="宋体" w:cs="宋体" w:eastAsia="宋体" w:hint="default"/>
                <w:sz w:val="18"/>
                <w:szCs w:val="18"/>
              </w:rPr>
              <w:t>公信服务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 w:right="50"/>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2" w:right="-1"/>
              <w:jc w:val="left"/>
              <w:rPr>
                <w:rFonts w:ascii="Times New Roman" w:hAnsi="Times New Roman" w:cs="Times New Roman" w:eastAsia="Times New Roman" w:hint="default"/>
                <w:sz w:val="18"/>
                <w:szCs w:val="18"/>
              </w:rPr>
            </w:pPr>
            <w:r>
              <w:rPr>
                <w:rFonts w:ascii="Times New Roman"/>
                <w:sz w:val="18"/>
              </w:rPr>
              <w:t>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 w:right="50"/>
              <w:jc w:val="left"/>
              <w:rPr>
                <w:rFonts w:ascii="宋体" w:hAnsi="宋体" w:cs="宋体" w:eastAsia="宋体" w:hint="default"/>
                <w:sz w:val="18"/>
                <w:szCs w:val="18"/>
              </w:rPr>
            </w:pPr>
            <w:r>
              <w:rPr>
                <w:rFonts w:ascii="宋体" w:hAnsi="宋体" w:cs="宋体" w:eastAsia="宋体" w:hint="default"/>
                <w:sz w:val="18"/>
                <w:szCs w:val="18"/>
              </w:rPr>
              <w:t>现金 结算</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w w:val="95"/>
                <w:sz w:val="18"/>
              </w:rPr>
              <w:t>1,538.99</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88" w:right="0"/>
              <w:jc w:val="left"/>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2,200</w:t>
            </w: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2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534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42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right="78"/>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按类别对本期将发生的日常关联交易进行总金额预计 的，在报告期内的实际履行情况（如有）</w:t>
            </w:r>
          </w:p>
        </w:tc>
        <w:tc>
          <w:tcPr>
            <w:tcW w:w="534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2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交易价格与市场参考价格差异较大的原因（如适用）</w:t>
            </w:r>
          </w:p>
        </w:tc>
        <w:tc>
          <w:tcPr>
            <w:tcW w:w="534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1910" w:h="16840"/>
          <w:pgMar w:header="748" w:footer="975" w:top="1060" w:bottom="1160" w:left="980" w:right="0"/>
        </w:sectPr>
      </w:pPr>
    </w:p>
    <w:p>
      <w:pPr>
        <w:spacing w:line="240" w:lineRule="auto" w:before="11"/>
        <w:rPr>
          <w:rFonts w:ascii="Times New Roman" w:hAnsi="Times New Roman" w:cs="Times New Roman" w:eastAsia="Times New Roman" w:hint="default"/>
          <w:sz w:val="27"/>
          <w:szCs w:val="27"/>
        </w:rPr>
      </w:pPr>
    </w:p>
    <w:p>
      <w:pPr>
        <w:pStyle w:val="Heading6"/>
        <w:spacing w:line="240" w:lineRule="auto" w:before="36"/>
        <w:ind w:right="0"/>
        <w:jc w:val="both"/>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6"/>
        <w:spacing w:line="240" w:lineRule="auto"/>
        <w:ind w:right="0"/>
        <w:jc w:val="both"/>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6"/>
        <w:spacing w:line="240" w:lineRule="auto"/>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6"/>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6"/>
        <w:spacing w:line="240" w:lineRule="auto"/>
        <w:ind w:right="0"/>
        <w:jc w:val="both"/>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6"/>
        <w:spacing w:line="240" w:lineRule="auto"/>
        <w:ind w:right="0"/>
        <w:jc w:val="both"/>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240" w:lineRule="auto" w:before="39"/>
        <w:ind w:right="0"/>
        <w:jc w:val="both"/>
      </w:pPr>
      <w:r>
        <w:rPr/>
        <w:t>（一）报告期内，公司作为承租方的租赁事项主要有：</w:t>
      </w:r>
    </w:p>
    <w:p>
      <w:pPr>
        <w:pStyle w:val="BodyText"/>
        <w:spacing w:line="240" w:lineRule="auto" w:before="76"/>
        <w:ind w:right="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月，建科院总部与上海杨浦知识创新签订房屋租赁合同，约定建科院总部向上海杨浦知识创新租入建筑面积为</w:t>
      </w:r>
    </w:p>
    <w:p>
      <w:pPr>
        <w:pStyle w:val="BodyText"/>
        <w:spacing w:line="240" w:lineRule="auto" w:before="63"/>
        <w:ind w:right="0"/>
        <w:jc w:val="both"/>
      </w:pPr>
      <w:r>
        <w:rPr>
          <w:rFonts w:ascii="Times New Roman" w:hAnsi="Times New Roman" w:cs="Times New Roman" w:eastAsia="Times New Roman" w:hint="default"/>
        </w:rPr>
        <w:t>13,113.83</w:t>
      </w:r>
      <w:r>
        <w:rPr/>
        <w:t>平方米、土地面积为</w:t>
      </w:r>
      <w:r>
        <w:rPr>
          <w:rFonts w:ascii="Times New Roman" w:hAnsi="Times New Roman" w:cs="Times New Roman" w:eastAsia="Times New Roman" w:hint="default"/>
        </w:rPr>
        <w:t>7900</w:t>
      </w:r>
      <w:r>
        <w:rPr/>
        <w:t>平方米的房屋，作为创意产业园使用，以商务办公为主。租赁期限自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日起至</w:t>
      </w:r>
    </w:p>
    <w:p>
      <w:pPr>
        <w:pStyle w:val="BodyText"/>
        <w:spacing w:line="300" w:lineRule="auto" w:before="63"/>
        <w:ind w:right="1124"/>
        <w:jc w:val="both"/>
      </w:pPr>
      <w:r>
        <w:rPr>
          <w:rFonts w:ascii="Times New Roman" w:hAnsi="Times New Roman" w:cs="Times New Roman" w:eastAsia="Times New Roman" w:hint="default"/>
          <w:spacing w:val="-4"/>
        </w:rPr>
        <w:t>2023</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13</w:t>
      </w:r>
      <w:r>
        <w:rPr>
          <w:spacing w:val="-4"/>
        </w:rPr>
        <w:t>日止；租金水平为：</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14</w:t>
      </w:r>
      <w:r>
        <w:rPr>
          <w:spacing w:val="-4"/>
        </w:rPr>
        <w:t>日至</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13</w:t>
      </w:r>
      <w:r>
        <w:rPr>
          <w:spacing w:val="-4"/>
        </w:rPr>
        <w:t>日期间，租金按</w:t>
      </w:r>
      <w:r>
        <w:rPr>
          <w:rFonts w:ascii="Times New Roman" w:hAnsi="Times New Roman" w:cs="Times New Roman" w:eastAsia="Times New Roman" w:hint="default"/>
          <w:spacing w:val="-4"/>
        </w:rPr>
        <w:t>2.50</w:t>
      </w:r>
      <w:r>
        <w:rPr>
          <w:spacing w:val="-4"/>
        </w:rPr>
        <w:t>元</w:t>
      </w:r>
      <w:r>
        <w:rPr>
          <w:rFonts w:ascii="Times New Roman" w:hAnsi="Times New Roman" w:cs="Times New Roman" w:eastAsia="Times New Roman" w:hint="default"/>
          <w:spacing w:val="-4"/>
        </w:rPr>
        <w:t>/</w:t>
      </w:r>
      <w:r>
        <w:rPr>
          <w:spacing w:val="-4"/>
        </w:rPr>
        <w:t>平方米</w:t>
      </w:r>
      <w:r>
        <w:rPr>
          <w:rFonts w:ascii="Times New Roman" w:hAnsi="Times New Roman" w:cs="Times New Roman" w:eastAsia="Times New Roman" w:hint="default"/>
          <w:spacing w:val="-4"/>
        </w:rPr>
        <w:t>/</w:t>
      </w:r>
      <w:r>
        <w:rPr>
          <w:spacing w:val="-4"/>
        </w:rPr>
        <w:t>天执行，年租金为</w:t>
      </w:r>
      <w:r>
        <w:rPr>
          <w:rFonts w:ascii="Times New Roman" w:hAnsi="Times New Roman" w:cs="Times New Roman" w:eastAsia="Times New Roman" w:hint="default"/>
          <w:spacing w:val="-4"/>
        </w:rPr>
        <w:t>11,966,369.88</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元（但根据补充协议，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日期间租金按</w:t>
      </w:r>
      <w:r>
        <w:rPr>
          <w:rFonts w:ascii="Times New Roman" w:hAnsi="Times New Roman" w:cs="Times New Roman" w:eastAsia="Times New Roman" w:hint="default"/>
        </w:rPr>
        <w:t>1.30</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天执行，该期间租金为</w:t>
      </w:r>
      <w:r>
        <w:rPr>
          <w:rFonts w:ascii="Times New Roman" w:hAnsi="Times New Roman" w:cs="Times New Roman" w:eastAsia="Times New Roman" w:hint="default"/>
        </w:rPr>
        <w:t>3,111,256.16</w:t>
      </w:r>
      <w:r>
        <w:rPr/>
        <w:t>元）；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日期间租金按</w:t>
      </w:r>
      <w:r>
        <w:rPr>
          <w:rFonts w:ascii="Times New Roman" w:hAnsi="Times New Roman" w:cs="Times New Roman" w:eastAsia="Times New Roman" w:hint="default"/>
        </w:rPr>
        <w:t>2.75</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天执行，年租金为</w:t>
      </w:r>
      <w:r>
        <w:rPr>
          <w:rFonts w:ascii="Times New Roman" w:hAnsi="Times New Roman" w:cs="Times New Roman" w:eastAsia="Times New Roman" w:hint="default"/>
        </w:rPr>
        <w:t>13,163,006.86</w:t>
      </w:r>
      <w:r>
        <w:rPr/>
        <w:t>元；</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2</w:t>
      </w:r>
      <w:r>
        <w:rPr/>
        <w:t>月</w:t>
      </w:r>
    </w:p>
    <w:p>
      <w:pPr>
        <w:spacing w:after="0" w:line="300"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13</w:t>
      </w:r>
      <w:r>
        <w:rPr/>
        <w:t>日期间租金按</w:t>
      </w:r>
      <w:r>
        <w:rPr>
          <w:rFonts w:ascii="Times New Roman" w:hAnsi="Times New Roman" w:cs="Times New Roman" w:eastAsia="Times New Roman" w:hint="default"/>
        </w:rPr>
        <w:t>3.025</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天执行，年租金为</w:t>
      </w:r>
      <w:r>
        <w:rPr>
          <w:rFonts w:ascii="Times New Roman" w:hAnsi="Times New Roman" w:cs="Times New Roman" w:eastAsia="Times New Roman" w:hint="default"/>
        </w:rPr>
        <w:t>14,479,307.55</w:t>
      </w:r>
      <w:r>
        <w:rPr/>
        <w:t>元。</w:t>
      </w:r>
    </w:p>
    <w:p>
      <w:pPr>
        <w:pStyle w:val="BodyText"/>
        <w:spacing w:line="300" w:lineRule="auto" w:before="63"/>
        <w:ind w:right="1124"/>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日，因地铁</w:t>
      </w:r>
      <w:r>
        <w:rPr>
          <w:rFonts w:ascii="Times New Roman" w:hAnsi="Times New Roman" w:cs="Times New Roman" w:eastAsia="Times New Roman" w:hint="default"/>
          <w:spacing w:val="-2"/>
        </w:rPr>
        <w:t>18</w:t>
      </w:r>
      <w:r>
        <w:rPr>
          <w:spacing w:val="-2"/>
        </w:rPr>
        <w:t>号线施工需要征借甲方出租范围内的部分土地，双方就租赁事项签订补充协议，租赁期限延长</w:t>
      </w:r>
      <w:r>
        <w:rPr>
          <w:spacing w:val="-58"/>
        </w:rPr>
        <w:t> </w:t>
      </w:r>
      <w:r>
        <w:rPr>
          <w:spacing w:val="-58"/>
        </w:rPr>
      </w:r>
      <w:r>
        <w:rPr>
          <w:spacing w:val="-2"/>
        </w:rPr>
        <w:t>为</w:t>
      </w:r>
      <w:r>
        <w:rPr>
          <w:rFonts w:ascii="Times New Roman" w:hAnsi="Times New Roman" w:cs="Times New Roman" w:eastAsia="Times New Roman" w:hint="default"/>
          <w:spacing w:val="-2"/>
        </w:rPr>
        <w:t>15</w:t>
      </w:r>
      <w:r>
        <w:rPr>
          <w:spacing w:val="-2"/>
        </w:rPr>
        <w:t>年，租赁期限自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日起至</w:t>
      </w:r>
      <w:r>
        <w:rPr>
          <w:rFonts w:ascii="Times New Roman" w:hAnsi="Times New Roman" w:cs="Times New Roman" w:eastAsia="Times New Roman" w:hint="default"/>
          <w:spacing w:val="-2"/>
        </w:rPr>
        <w:t>2029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日止，十五年租赁期内，租金递增条款按原合同执行，即每</w:t>
      </w:r>
      <w:r>
        <w:rPr>
          <w:rFonts w:ascii="Times New Roman" w:hAnsi="Times New Roman" w:cs="Times New Roman" w:eastAsia="Times New Roman" w:hint="default"/>
          <w:spacing w:val="-2"/>
        </w:rPr>
        <w:t>3</w:t>
      </w:r>
      <w:r>
        <w:rPr>
          <w:spacing w:val="-2"/>
        </w:rPr>
        <w:t>年环比递</w:t>
      </w:r>
      <w:r>
        <w:rPr>
          <w:spacing w:val="-52"/>
        </w:rPr>
        <w:t> </w:t>
      </w:r>
      <w:r>
        <w:rPr/>
        <w:t>增</w:t>
      </w:r>
      <w:r>
        <w:rPr>
          <w:rFonts w:ascii="Times New Roman" w:hAnsi="Times New Roman" w:cs="Times New Roman" w:eastAsia="Times New Roman" w:hint="default"/>
        </w:rPr>
        <w:t>10%</w:t>
      </w:r>
      <w:r>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月，针对地铁施工，双方明确轨道建设期间的义务和权利，重新签订了补充协议，协议约定在地铁施工影响期</w:t>
      </w:r>
      <w:r>
        <w:rPr>
          <w:spacing w:val="-86"/>
        </w:rPr>
        <w:t> </w:t>
      </w:r>
      <w:r>
        <w:rPr>
          <w:spacing w:val="-86"/>
        </w:rPr>
      </w:r>
      <w:r>
        <w:rPr>
          <w:spacing w:val="-5"/>
        </w:rPr>
        <w:t>内，上海杨浦知识创新区投资发展有限公司对公司进行租金减免，减免总额为</w:t>
      </w:r>
      <w:r>
        <w:rPr>
          <w:rFonts w:ascii="Times New Roman" w:hAnsi="Times New Roman" w:cs="Times New Roman" w:eastAsia="Times New Roman" w:hint="default"/>
          <w:spacing w:val="-5"/>
        </w:rPr>
        <w:t>520</w:t>
      </w:r>
      <w:r>
        <w:rPr>
          <w:spacing w:val="-5"/>
        </w:rPr>
        <w:t>万，影响期从</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w:t>
      </w:r>
      <w:r>
        <w:rPr>
          <w:spacing w:val="-5"/>
        </w:rPr>
        <w:t>月开始，共</w:t>
      </w:r>
      <w:r>
        <w:rPr>
          <w:rFonts w:ascii="Times New Roman" w:hAnsi="Times New Roman" w:cs="Times New Roman" w:eastAsia="Times New Roman" w:hint="default"/>
          <w:spacing w:val="-5"/>
        </w:rPr>
        <w:t>40</w:t>
      </w:r>
      <w:r>
        <w:rPr>
          <w:spacing w:val="-5"/>
        </w:rPr>
        <w:t>期。</w:t>
      </w:r>
      <w:r>
        <w:rPr>
          <w:rFonts w:ascii="Times New Roman" w:hAnsi="Times New Roman" w:cs="Times New Roman" w:eastAsia="Times New Roman" w:hint="default"/>
          <w:spacing w:val="-5"/>
        </w:rPr>
        <w:t>2023</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w:t>
      </w:r>
      <w:r>
        <w:rPr>
          <w:rFonts w:ascii="Times New Roman" w:hAnsi="Times New Roman" w:cs="Times New Roman" w:eastAsia="Times New Roman" w:hint="default"/>
        </w:rPr>
        <w:t>2</w:t>
      </w:r>
      <w:r>
        <w:rPr/>
        <w:t>月到期后，公司有权选择是否继续承租至</w:t>
      </w:r>
      <w:r>
        <w:rPr>
          <w:rFonts w:ascii="Times New Roman" w:hAnsi="Times New Roman" w:cs="Times New Roman" w:eastAsia="Times New Roman" w:hint="default"/>
        </w:rPr>
        <w:t>2029</w:t>
      </w:r>
      <w:r>
        <w:rPr/>
        <w:t>年。本协议生效后，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日签订的补充协议自行终止 </w:t>
      </w:r>
      <w:r>
        <w:rPr>
          <w:rFonts w:ascii="Times New Roman" w:hAnsi="Times New Roman" w:cs="Times New Roman" w:eastAsia="Times New Roman" w:hint="default"/>
        </w:rPr>
        <w:t>4.</w:t>
      </w:r>
      <w:r>
        <w:rPr/>
        <w:t>市政中心与信阳新投实业有限责任公司签订房屋租赁合同，租赁其位于深圳市福田区振兴路</w:t>
      </w:r>
      <w:r>
        <w:rPr>
          <w:rFonts w:ascii="Times New Roman" w:hAnsi="Times New Roman" w:cs="Times New Roman" w:eastAsia="Times New Roman" w:hint="default"/>
        </w:rPr>
        <w:t>3</w:t>
      </w:r>
      <w:r>
        <w:rPr/>
        <w:t>号建艺大厦</w:t>
      </w:r>
      <w:r>
        <w:rPr>
          <w:rFonts w:ascii="Times New Roman" w:hAnsi="Times New Roman" w:cs="Times New Roman" w:eastAsia="Times New Roman" w:hint="default"/>
        </w:rPr>
        <w:t>17</w:t>
      </w:r>
      <w:r>
        <w:rPr/>
        <w:t>楼整层作为办</w:t>
      </w:r>
      <w:r>
        <w:rPr>
          <w:spacing w:val="-43"/>
        </w:rPr>
        <w:t> </w:t>
      </w:r>
      <w:r>
        <w:rPr>
          <w:spacing w:val="-43"/>
        </w:rPr>
      </w:r>
      <w:r>
        <w:rPr/>
        <w:t>公场所，建筑面积</w:t>
      </w:r>
      <w:r>
        <w:rPr>
          <w:rFonts w:ascii="Times New Roman" w:hAnsi="Times New Roman" w:cs="Times New Roman" w:eastAsia="Times New Roman" w:hint="default"/>
        </w:rPr>
        <w:t>1909.17</w:t>
      </w:r>
      <w:r>
        <w:rPr/>
        <w:t>平方米，租赁期为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rPr>
        <w:t>3.</w:t>
      </w:r>
      <w:r>
        <w:rPr/>
        <w:t>建研检测与深圳市联泰房地产开发有限公司签订房屋租赁合同，租赁其位于深圳市龙岗区坪地富坪中路</w:t>
      </w:r>
      <w:r>
        <w:rPr>
          <w:rFonts w:ascii="Times New Roman" w:hAnsi="Times New Roman" w:cs="Times New Roman" w:eastAsia="Times New Roman" w:hint="default"/>
        </w:rPr>
        <w:t>7</w:t>
      </w:r>
      <w:r>
        <w:rPr/>
        <w:t>号智居中心的房</w:t>
      </w:r>
      <w:r>
        <w:rPr>
          <w:spacing w:val="-43"/>
        </w:rPr>
        <w:t> </w:t>
      </w:r>
      <w:r>
        <w:rPr>
          <w:spacing w:val="-43"/>
        </w:rPr>
      </w:r>
      <w:r>
        <w:rPr/>
        <w:t>屋作为办公场所，建筑面积</w:t>
      </w:r>
      <w:r>
        <w:rPr>
          <w:rFonts w:ascii="Times New Roman" w:hAnsi="Times New Roman" w:cs="Times New Roman" w:eastAsia="Times New Roman" w:hint="default"/>
        </w:rPr>
        <w:t>4553.4</w:t>
      </w:r>
      <w:r>
        <w:rPr/>
        <w:t>平方米，租赁期为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spacing w:val="-1"/>
        </w:rPr>
        <w:t>5.</w:t>
      </w:r>
      <w:r>
        <w:rPr>
          <w:spacing w:val="-1"/>
        </w:rPr>
        <w:t>本公司及子公司北京艾科城与中关村发展集团有限公司签订租赁合同，租赁其位于北京市海淀区西三环北路甲</w:t>
      </w:r>
      <w:r>
        <w:rPr>
          <w:rFonts w:ascii="Times New Roman" w:hAnsi="Times New Roman" w:cs="Times New Roman" w:eastAsia="Times New Roman" w:hint="default"/>
          <w:spacing w:val="-1"/>
        </w:rPr>
        <w:t>2</w:t>
      </w:r>
      <w:r>
        <w:rPr>
          <w:spacing w:val="-1"/>
        </w:rPr>
        <w:t>号院</w:t>
      </w:r>
      <w:r>
        <w:rPr>
          <w:rFonts w:ascii="Times New Roman" w:hAnsi="Times New Roman" w:cs="Times New Roman" w:eastAsia="Times New Roman" w:hint="default"/>
          <w:spacing w:val="-1"/>
        </w:rPr>
        <w:t>7</w:t>
      </w:r>
      <w:r>
        <w:rPr>
          <w:spacing w:val="-1"/>
        </w:rPr>
        <w:t>号楼</w:t>
      </w:r>
      <w:r>
        <w:rPr>
          <w:spacing w:val="-71"/>
        </w:rPr>
        <w:t> </w:t>
      </w:r>
      <w:r>
        <w:rPr>
          <w:rFonts w:ascii="Times New Roman" w:hAnsi="Times New Roman" w:cs="Times New Roman" w:eastAsia="Times New Roman" w:hint="default"/>
        </w:rPr>
        <w:t>BD</w:t>
      </w:r>
      <w:r>
        <w:rPr/>
        <w:t>连廊之部分写字楼作为办公场所，建筑面积</w:t>
      </w:r>
      <w:r>
        <w:rPr>
          <w:rFonts w:ascii="Times New Roman" w:hAnsi="Times New Roman" w:cs="Times New Roman" w:eastAsia="Times New Roman" w:hint="default"/>
        </w:rPr>
        <w:t>965.58</w:t>
      </w:r>
      <w:r>
        <w:rPr/>
        <w:t>平方米，租赁期为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p>
    <w:p>
      <w:pPr>
        <w:pStyle w:val="BodyText"/>
        <w:spacing w:line="309" w:lineRule="auto" w:before="13"/>
        <w:ind w:right="1119"/>
        <w:jc w:val="left"/>
      </w:pPr>
      <w:r>
        <w:rPr/>
        <w:t>（二）报告期内，公司作为出租方的租赁事项主要有： </w:t>
      </w:r>
      <w:r>
        <w:rPr>
          <w:rFonts w:ascii="Times New Roman" w:hAnsi="Times New Roman" w:cs="Times New Roman" w:eastAsia="Times New Roman" w:hint="default"/>
          <w:spacing w:val="-2"/>
        </w:rPr>
        <w:t>1.</w:t>
      </w:r>
      <w:r>
        <w:rPr>
          <w:spacing w:val="-2"/>
        </w:rPr>
        <w:t>上海爱轲将位于上海市杨浦区江浦路</w:t>
      </w:r>
      <w:r>
        <w:rPr>
          <w:rFonts w:ascii="Times New Roman" w:hAnsi="Times New Roman" w:cs="Times New Roman" w:eastAsia="Times New Roman" w:hint="default"/>
          <w:spacing w:val="-2"/>
        </w:rPr>
        <w:t>627</w:t>
      </w:r>
      <w:r>
        <w:rPr>
          <w:spacing w:val="-2"/>
        </w:rPr>
        <w:t>号上海</w:t>
      </w:r>
      <w:r>
        <w:rPr>
          <w:rFonts w:ascii="Times New Roman" w:hAnsi="Times New Roman" w:cs="Times New Roman" w:eastAsia="Times New Roman" w:hint="default"/>
          <w:spacing w:val="-2"/>
        </w:rPr>
        <w:t>E</w:t>
      </w:r>
      <w:r>
        <w:rPr>
          <w:spacing w:val="-2"/>
        </w:rPr>
        <w:t>朋汇绿色建筑产业园对外出租，报告期内共有租户</w:t>
      </w:r>
      <w:r>
        <w:rPr>
          <w:rFonts w:ascii="Times New Roman" w:hAnsi="Times New Roman" w:cs="Times New Roman" w:eastAsia="Times New Roman" w:hint="default"/>
          <w:spacing w:val="-2"/>
        </w:rPr>
        <w:t>42</w:t>
      </w:r>
      <w:r>
        <w:rPr>
          <w:spacing w:val="-2"/>
        </w:rPr>
        <w:t>家，其中主要的租赁</w:t>
      </w:r>
      <w:r>
        <w:rPr>
          <w:spacing w:val="-37"/>
        </w:rPr>
        <w:t> </w:t>
      </w:r>
      <w:r>
        <w:rPr>
          <w:spacing w:val="-37"/>
        </w:rPr>
      </w:r>
      <w:r>
        <w:rPr/>
        <w:t>合同有：</w:t>
      </w:r>
    </w:p>
    <w:p>
      <w:pPr>
        <w:pStyle w:val="BodyText"/>
        <w:spacing w:line="300" w:lineRule="auto" w:before="24"/>
        <w:ind w:right="0"/>
        <w:jc w:val="left"/>
      </w:pPr>
      <w:r>
        <w:rPr/>
        <w:t>（</w:t>
      </w:r>
      <w:r>
        <w:rPr>
          <w:rFonts w:ascii="Times New Roman" w:hAnsi="Times New Roman" w:cs="Times New Roman" w:eastAsia="Times New Roman" w:hint="default"/>
        </w:rPr>
        <w:t>1</w:t>
      </w:r>
      <w:r>
        <w:rPr/>
        <w:t>）上海爱轲将上海</w:t>
      </w:r>
      <w:r>
        <w:rPr>
          <w:rFonts w:ascii="Times New Roman" w:hAnsi="Times New Roman" w:cs="Times New Roman" w:eastAsia="Times New Roman" w:hint="default"/>
        </w:rPr>
        <w:t>E</w:t>
      </w:r>
      <w:r>
        <w:rPr/>
        <w:t>朋汇之</w:t>
      </w:r>
      <w:r>
        <w:rPr>
          <w:rFonts w:ascii="Times New Roman" w:hAnsi="Times New Roman" w:cs="Times New Roman" w:eastAsia="Times New Roman" w:hint="default"/>
        </w:rPr>
        <w:t>31</w:t>
      </w:r>
      <w:r>
        <w:rPr/>
        <w:t>幢</w:t>
      </w:r>
      <w:r>
        <w:rPr>
          <w:rFonts w:ascii="Times New Roman" w:hAnsi="Times New Roman" w:cs="Times New Roman" w:eastAsia="Times New Roman" w:hint="default"/>
        </w:rPr>
        <w:t>601</w:t>
      </w:r>
      <w:r>
        <w:rPr/>
        <w:t>室的房屋出租给上海市杨浦区民政局（杨浦区社会组织创新实践基地），面积为</w:t>
      </w:r>
      <w:r>
        <w:rPr>
          <w:rFonts w:ascii="Times New Roman" w:hAnsi="Times New Roman" w:cs="Times New Roman" w:eastAsia="Times New Roman" w:hint="default"/>
        </w:rPr>
        <w:t>820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平方米，租赁期为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p>
    <w:p>
      <w:pPr>
        <w:pStyle w:val="BodyText"/>
        <w:spacing w:line="300" w:lineRule="auto" w:before="13"/>
        <w:ind w:right="0"/>
        <w:jc w:val="left"/>
      </w:pPr>
      <w:r>
        <w:rPr/>
        <w:t>（</w:t>
      </w:r>
      <w:r>
        <w:rPr>
          <w:rFonts w:ascii="Times New Roman" w:hAnsi="Times New Roman" w:cs="Times New Roman" w:eastAsia="Times New Roman" w:hint="default"/>
        </w:rPr>
        <w:t>2</w:t>
      </w:r>
      <w:r>
        <w:rPr/>
        <w:t>）上海爱轲将上海</w:t>
      </w:r>
      <w:r>
        <w:rPr>
          <w:rFonts w:ascii="Times New Roman" w:hAnsi="Times New Roman" w:cs="Times New Roman" w:eastAsia="Times New Roman" w:hint="default"/>
        </w:rPr>
        <w:t>E</w:t>
      </w:r>
      <w:r>
        <w:rPr/>
        <w:t>朋汇之</w:t>
      </w:r>
      <w:r>
        <w:rPr>
          <w:rFonts w:ascii="Times New Roman" w:hAnsi="Times New Roman" w:cs="Times New Roman" w:eastAsia="Times New Roman" w:hint="default"/>
        </w:rPr>
        <w:t>31</w:t>
      </w:r>
      <w:r>
        <w:rPr/>
        <w:t>幢</w:t>
      </w:r>
      <w:r>
        <w:rPr>
          <w:rFonts w:ascii="Times New Roman" w:hAnsi="Times New Roman" w:cs="Times New Roman" w:eastAsia="Times New Roman" w:hint="default"/>
        </w:rPr>
        <w:t>501</w:t>
      </w:r>
      <w:r>
        <w:rPr/>
        <w:t>室的房屋出租给上海源净环境技术有限责任公司，面积为</w:t>
      </w:r>
      <w:r>
        <w:rPr>
          <w:rFonts w:ascii="Times New Roman" w:hAnsi="Times New Roman" w:cs="Times New Roman" w:eastAsia="Times New Roman" w:hint="default"/>
        </w:rPr>
        <w:t>820</w:t>
      </w:r>
      <w:r>
        <w:rPr/>
        <w:t>平方米，租赁期为</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w:t>
      </w:r>
    </w:p>
    <w:p>
      <w:pPr>
        <w:pStyle w:val="BodyText"/>
        <w:spacing w:line="240" w:lineRule="auto" w:before="13"/>
        <w:ind w:right="0"/>
        <w:jc w:val="left"/>
      </w:pPr>
      <w:r>
        <w:rPr/>
        <w:t>（</w:t>
      </w:r>
      <w:r>
        <w:rPr>
          <w:rFonts w:ascii="Times New Roman" w:hAnsi="Times New Roman" w:cs="Times New Roman" w:eastAsia="Times New Roman" w:hint="default"/>
        </w:rPr>
        <w:t>3</w:t>
      </w:r>
      <w:r>
        <w:rPr/>
        <w:t>）上海爱轲将上海</w:t>
      </w:r>
      <w:r>
        <w:rPr>
          <w:rFonts w:ascii="Times New Roman" w:hAnsi="Times New Roman" w:cs="Times New Roman" w:eastAsia="Times New Roman" w:hint="default"/>
        </w:rPr>
        <w:t>E</w:t>
      </w:r>
      <w:r>
        <w:rPr/>
        <w:t>朋汇之</w:t>
      </w:r>
      <w:r>
        <w:rPr>
          <w:rFonts w:ascii="Times New Roman" w:hAnsi="Times New Roman" w:cs="Times New Roman" w:eastAsia="Times New Roman" w:hint="default"/>
        </w:rPr>
        <w:t>31</w:t>
      </w:r>
      <w:r>
        <w:rPr/>
        <w:t>幢</w:t>
      </w:r>
      <w:r>
        <w:rPr>
          <w:rFonts w:ascii="Times New Roman" w:hAnsi="Times New Roman" w:cs="Times New Roman" w:eastAsia="Times New Roman" w:hint="default"/>
        </w:rPr>
        <w:t>307</w:t>
      </w:r>
      <w:r>
        <w:rPr/>
        <w:t>室的房屋出租给上海灵儿教育培训有限公司，面积为</w:t>
      </w:r>
      <w:r>
        <w:rPr>
          <w:rFonts w:ascii="Times New Roman" w:hAnsi="Times New Roman" w:cs="Times New Roman" w:eastAsia="Times New Roman" w:hint="default"/>
        </w:rPr>
        <w:t>729</w:t>
      </w:r>
      <w:r>
        <w:rPr/>
        <w:t>平方米，租赁期为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p>
    <w:p>
      <w:pPr>
        <w:pStyle w:val="BodyText"/>
        <w:spacing w:line="240" w:lineRule="auto" w:before="63"/>
        <w:ind w:right="0"/>
        <w:jc w:val="left"/>
      </w:pP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w:t>
      </w:r>
    </w:p>
    <w:p>
      <w:pPr>
        <w:pStyle w:val="BodyText"/>
        <w:spacing w:line="240" w:lineRule="auto" w:before="63"/>
        <w:ind w:right="0"/>
        <w:jc w:val="left"/>
      </w:pPr>
      <w:r>
        <w:rPr/>
        <w:t>（</w:t>
      </w:r>
      <w:r>
        <w:rPr>
          <w:rFonts w:ascii="Times New Roman" w:hAnsi="Times New Roman" w:cs="Times New Roman" w:eastAsia="Times New Roman" w:hint="default"/>
        </w:rPr>
        <w:t>4</w:t>
      </w:r>
      <w:r>
        <w:rPr/>
        <w:t>）上海爱轲将上海</w:t>
      </w:r>
      <w:r>
        <w:rPr>
          <w:rFonts w:ascii="Times New Roman" w:hAnsi="Times New Roman" w:cs="Times New Roman" w:eastAsia="Times New Roman" w:hint="default"/>
        </w:rPr>
        <w:t>E</w:t>
      </w:r>
      <w:r>
        <w:rPr/>
        <w:t>朋汇之</w:t>
      </w:r>
      <w:r>
        <w:rPr>
          <w:rFonts w:ascii="Times New Roman" w:hAnsi="Times New Roman" w:cs="Times New Roman" w:eastAsia="Times New Roman" w:hint="default"/>
        </w:rPr>
        <w:t>24</w:t>
      </w:r>
      <w:r>
        <w:rPr/>
        <w:t>幢</w:t>
      </w:r>
      <w:r>
        <w:rPr>
          <w:rFonts w:ascii="Times New Roman" w:hAnsi="Times New Roman" w:cs="Times New Roman" w:eastAsia="Times New Roman" w:hint="default"/>
        </w:rPr>
        <w:t>108</w:t>
      </w:r>
      <w:r>
        <w:rPr/>
        <w:t>室、</w:t>
      </w:r>
      <w:r>
        <w:rPr>
          <w:rFonts w:ascii="Times New Roman" w:hAnsi="Times New Roman" w:cs="Times New Roman" w:eastAsia="Times New Roman" w:hint="default"/>
        </w:rPr>
        <w:t>210</w:t>
      </w:r>
      <w:r>
        <w:rPr/>
        <w:t>室的房屋出租给上海鸿沣餐饮有限公司，面积为</w:t>
      </w:r>
      <w:r>
        <w:rPr>
          <w:rFonts w:ascii="Times New Roman" w:hAnsi="Times New Roman" w:cs="Times New Roman" w:eastAsia="Times New Roman" w:hint="default"/>
        </w:rPr>
        <w:t>886</w:t>
      </w:r>
      <w:r>
        <w:rPr/>
        <w:t>平方米，</w:t>
      </w:r>
      <w:r>
        <w:rPr>
          <w:rFonts w:ascii="Times New Roman" w:hAnsi="Times New Roman" w:cs="Times New Roman" w:eastAsia="Times New Roman" w:hint="default"/>
        </w:rPr>
        <w:t>108</w:t>
      </w:r>
      <w:r>
        <w:rPr/>
        <w:t>室租赁期为</w:t>
      </w:r>
    </w:p>
    <w:p>
      <w:pPr>
        <w:pStyle w:val="BodyText"/>
        <w:spacing w:line="240" w:lineRule="auto" w:before="63"/>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210</w:t>
      </w:r>
      <w:r>
        <w:rPr/>
        <w:t>室租赁期为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w:t>
      </w:r>
    </w:p>
    <w:p>
      <w:pPr>
        <w:pStyle w:val="BodyText"/>
        <w:spacing w:line="240" w:lineRule="auto" w:before="63"/>
        <w:ind w:right="0"/>
        <w:jc w:val="left"/>
      </w:pPr>
      <w:r>
        <w:rPr/>
        <w:t>（</w:t>
      </w:r>
      <w:r>
        <w:rPr>
          <w:rFonts w:ascii="Times New Roman" w:hAnsi="Times New Roman" w:cs="Times New Roman" w:eastAsia="Times New Roman" w:hint="default"/>
        </w:rPr>
        <w:t>5</w:t>
      </w:r>
      <w:r>
        <w:rPr/>
        <w:t>）上海爱轲将上海</w:t>
      </w:r>
      <w:r>
        <w:rPr>
          <w:rFonts w:ascii="Times New Roman" w:hAnsi="Times New Roman" w:cs="Times New Roman" w:eastAsia="Times New Roman" w:hint="default"/>
        </w:rPr>
        <w:t>E</w:t>
      </w:r>
      <w:r>
        <w:rPr/>
        <w:t>朋汇之</w:t>
      </w:r>
      <w:r>
        <w:rPr>
          <w:rFonts w:ascii="Times New Roman" w:hAnsi="Times New Roman" w:cs="Times New Roman" w:eastAsia="Times New Roman" w:hint="default"/>
        </w:rPr>
        <w:t>31</w:t>
      </w:r>
      <w:r>
        <w:rPr/>
        <w:t>幢</w:t>
      </w:r>
      <w:r>
        <w:rPr>
          <w:rFonts w:ascii="Times New Roman" w:hAnsi="Times New Roman" w:cs="Times New Roman" w:eastAsia="Times New Roman" w:hint="default"/>
        </w:rPr>
        <w:t>202</w:t>
      </w:r>
      <w:r>
        <w:rPr/>
        <w:t>室的房屋出租给上海智川文化传播有限公司，面积为</w:t>
      </w:r>
      <w:r>
        <w:rPr>
          <w:rFonts w:ascii="Times New Roman" w:hAnsi="Times New Roman" w:cs="Times New Roman" w:eastAsia="Times New Roman" w:hint="default"/>
        </w:rPr>
        <w:t>414</w:t>
      </w:r>
      <w:r>
        <w:rPr/>
        <w:t>平方米，租赁期为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40" w:lineRule="auto" w:before="63"/>
        <w:ind w:right="0"/>
        <w:jc w:val="left"/>
      </w:pP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日（新增租户）；</w:t>
      </w:r>
    </w:p>
    <w:p>
      <w:pPr>
        <w:pStyle w:val="BodyText"/>
        <w:spacing w:line="300" w:lineRule="auto" w:before="63"/>
        <w:ind w:right="0"/>
        <w:jc w:val="left"/>
      </w:pPr>
      <w:r>
        <w:rPr>
          <w:spacing w:val="-2"/>
        </w:rPr>
        <w:t>（</w:t>
      </w:r>
      <w:r>
        <w:rPr>
          <w:rFonts w:ascii="Times New Roman" w:hAnsi="Times New Roman" w:cs="Times New Roman" w:eastAsia="Times New Roman" w:hint="default"/>
          <w:spacing w:val="-2"/>
        </w:rPr>
        <w:t>6</w:t>
      </w:r>
      <w:r>
        <w:rPr>
          <w:spacing w:val="-2"/>
        </w:rPr>
        <w:t>）上海爱轲将上海</w:t>
      </w:r>
      <w:r>
        <w:rPr>
          <w:rFonts w:ascii="Times New Roman" w:hAnsi="Times New Roman" w:cs="Times New Roman" w:eastAsia="Times New Roman" w:hint="default"/>
          <w:spacing w:val="-2"/>
        </w:rPr>
        <w:t>E</w:t>
      </w:r>
      <w:r>
        <w:rPr>
          <w:spacing w:val="-2"/>
        </w:rPr>
        <w:t>朋汇之</w:t>
      </w:r>
      <w:r>
        <w:rPr>
          <w:rFonts w:ascii="Times New Roman" w:hAnsi="Times New Roman" w:cs="Times New Roman" w:eastAsia="Times New Roman" w:hint="default"/>
          <w:spacing w:val="-2"/>
        </w:rPr>
        <w:t>24</w:t>
      </w:r>
      <w:r>
        <w:rPr>
          <w:spacing w:val="-2"/>
        </w:rPr>
        <w:t>幢</w:t>
      </w:r>
      <w:r>
        <w:rPr>
          <w:rFonts w:ascii="Times New Roman" w:hAnsi="Times New Roman" w:cs="Times New Roman" w:eastAsia="Times New Roman" w:hint="default"/>
          <w:spacing w:val="-2"/>
        </w:rPr>
        <w:t>101</w:t>
      </w:r>
      <w:r>
        <w:rPr>
          <w:spacing w:val="-2"/>
        </w:rPr>
        <w:t>室的房屋出租给上海统一星巴克咖啡有限公司，建筑面积为</w:t>
      </w:r>
      <w:r>
        <w:rPr>
          <w:rFonts w:ascii="Times New Roman" w:hAnsi="Times New Roman" w:cs="Times New Roman" w:eastAsia="Times New Roman" w:hint="default"/>
          <w:spacing w:val="-2"/>
        </w:rPr>
        <w:t>180</w:t>
      </w:r>
      <w:r>
        <w:rPr>
          <w:spacing w:val="-2"/>
        </w:rPr>
        <w:t>平方米，租赁期为</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w:t>
      </w:r>
    </w:p>
    <w:p>
      <w:pPr>
        <w:pStyle w:val="BodyText"/>
        <w:spacing w:line="240" w:lineRule="auto" w:before="13"/>
        <w:ind w:right="0"/>
        <w:jc w:val="left"/>
      </w:pPr>
      <w:r>
        <w:rPr>
          <w:rFonts w:ascii="Times New Roman" w:hAnsi="Times New Roman" w:cs="Times New Roman" w:eastAsia="Times New Roman" w:hint="default"/>
        </w:rPr>
        <w:t>2.</w:t>
      </w:r>
      <w:r>
        <w:rPr/>
        <w:t>公司将位于深圳市福田区上梅林梅坳三路</w:t>
      </w:r>
      <w:r>
        <w:rPr>
          <w:rFonts w:ascii="Times New Roman" w:hAnsi="Times New Roman" w:cs="Times New Roman" w:eastAsia="Times New Roman" w:hint="default"/>
        </w:rPr>
        <w:t>29</w:t>
      </w:r>
      <w:r>
        <w:rPr/>
        <w:t>号建科大楼</w:t>
      </w:r>
      <w:r>
        <w:rPr>
          <w:rFonts w:ascii="Times New Roman" w:hAnsi="Times New Roman" w:cs="Times New Roman" w:eastAsia="Times New Roman" w:hint="default"/>
        </w:rPr>
        <w:t>2-4</w:t>
      </w:r>
      <w:r>
        <w:rPr/>
        <w:t>层房屋对外出租，报告期共有租户</w:t>
      </w:r>
      <w:r>
        <w:rPr>
          <w:rFonts w:ascii="Times New Roman" w:hAnsi="Times New Roman" w:cs="Times New Roman" w:eastAsia="Times New Roman" w:hint="default"/>
        </w:rPr>
        <w:t>7</w:t>
      </w:r>
      <w:r>
        <w:rPr/>
        <w:t>家，其中主要的租赁合同有：</w:t>
      </w:r>
    </w:p>
    <w:p>
      <w:pPr>
        <w:pStyle w:val="BodyText"/>
        <w:spacing w:line="300" w:lineRule="auto" w:before="63"/>
        <w:ind w:right="0"/>
        <w:jc w:val="left"/>
      </w:pPr>
      <w:r>
        <w:rPr>
          <w:spacing w:val="-2"/>
        </w:rPr>
        <w:t>（</w:t>
      </w:r>
      <w:r>
        <w:rPr>
          <w:rFonts w:ascii="Times New Roman" w:hAnsi="Times New Roman" w:cs="Times New Roman" w:eastAsia="Times New Roman" w:hint="default"/>
          <w:spacing w:val="-2"/>
        </w:rPr>
        <w:t>1</w:t>
      </w:r>
      <w:r>
        <w:rPr>
          <w:spacing w:val="-2"/>
        </w:rPr>
        <w:t>）公司将建科大楼之二层南、北区的房屋出租给深圳市红源旅游景观发展集团有限公司，建筑面积</w:t>
      </w:r>
      <w:r>
        <w:rPr>
          <w:rFonts w:ascii="Times New Roman" w:hAnsi="Times New Roman" w:cs="Times New Roman" w:eastAsia="Times New Roman" w:hint="default"/>
          <w:spacing w:val="-2"/>
        </w:rPr>
        <w:t>1,050.38</w:t>
      </w:r>
      <w:r>
        <w:rPr>
          <w:spacing w:val="-2"/>
        </w:rPr>
        <w:t>平方米，租赁</w:t>
      </w:r>
      <w:r>
        <w:rPr>
          <w:spacing w:val="-58"/>
        </w:rPr>
        <w:t> </w:t>
      </w:r>
      <w:r>
        <w:rPr>
          <w:spacing w:val="-58"/>
        </w:rPr>
      </w:r>
      <w:r>
        <w:rPr/>
        <w:t>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w:t>
      </w:r>
    </w:p>
    <w:p>
      <w:pPr>
        <w:pStyle w:val="BodyText"/>
        <w:spacing w:line="300" w:lineRule="auto" w:before="13"/>
        <w:ind w:right="0"/>
        <w:jc w:val="left"/>
      </w:pPr>
      <w:r>
        <w:rPr/>
        <w:t>（</w:t>
      </w:r>
      <w:r>
        <w:rPr>
          <w:rFonts w:ascii="Times New Roman" w:hAnsi="Times New Roman" w:cs="Times New Roman" w:eastAsia="Times New Roman" w:hint="default"/>
        </w:rPr>
        <w:t>2</w:t>
      </w:r>
      <w:r>
        <w:rPr/>
        <w:t>）公司将建科大楼之三层北区</w:t>
      </w:r>
      <w:r>
        <w:rPr>
          <w:rFonts w:ascii="Times New Roman" w:hAnsi="Times New Roman" w:cs="Times New Roman" w:eastAsia="Times New Roman" w:hint="default"/>
        </w:rPr>
        <w:t>3A</w:t>
      </w:r>
      <w:r>
        <w:rPr/>
        <w:t>出租给深圳市福田区机关事务管理局，建筑面积</w:t>
      </w:r>
      <w:r>
        <w:rPr>
          <w:rFonts w:ascii="Times New Roman" w:hAnsi="Times New Roman" w:cs="Times New Roman" w:eastAsia="Times New Roman" w:hint="default"/>
        </w:rPr>
        <w:t>253</w:t>
      </w:r>
      <w:r>
        <w:rPr/>
        <w:t>平方米，租赁期限为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r>
        <w:rPr>
          <w:spacing w:val="-39"/>
        </w:rPr>
        <w:t> </w:t>
      </w:r>
      <w:r>
        <w:rPr/>
        <w:t>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w:t>
      </w:r>
    </w:p>
    <w:p>
      <w:pPr>
        <w:pStyle w:val="BodyText"/>
        <w:spacing w:line="300" w:lineRule="auto" w:before="13"/>
        <w:ind w:right="1124"/>
        <w:jc w:val="left"/>
      </w:pPr>
      <w:r>
        <w:rPr/>
        <w:t>（</w:t>
      </w:r>
      <w:r>
        <w:rPr>
          <w:rFonts w:ascii="Times New Roman" w:hAnsi="Times New Roman" w:cs="Times New Roman" w:eastAsia="Times New Roman" w:hint="default"/>
        </w:rPr>
        <w:t>3</w:t>
      </w:r>
      <w:r>
        <w:rPr/>
        <w:t>）公司将建科大楼之四层北区的房屋出租给深圳市海德伦工程咨询有限公司，建筑面积</w:t>
      </w:r>
      <w:r>
        <w:rPr>
          <w:rFonts w:ascii="Times New Roman" w:hAnsi="Times New Roman" w:cs="Times New Roman" w:eastAsia="Times New Roman" w:hint="default"/>
        </w:rPr>
        <w:t>438</w:t>
      </w:r>
      <w:r>
        <w:rPr/>
        <w:t>平方米，租赁期限为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40"/>
        </w:rPr>
        <w:t> </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w:t>
      </w:r>
    </w:p>
    <w:p>
      <w:pPr>
        <w:pStyle w:val="BodyText"/>
        <w:spacing w:line="300" w:lineRule="auto" w:before="13"/>
        <w:ind w:right="0"/>
        <w:jc w:val="left"/>
      </w:pPr>
      <w:r>
        <w:rPr/>
        <w:t>（</w:t>
      </w:r>
      <w:r>
        <w:rPr>
          <w:rFonts w:ascii="Times New Roman" w:hAnsi="Times New Roman" w:cs="Times New Roman" w:eastAsia="Times New Roman" w:hint="default"/>
        </w:rPr>
        <w:t>4</w:t>
      </w:r>
      <w:r>
        <w:rPr/>
        <w:t>）公司将建科大楼之四层南区</w:t>
      </w:r>
      <w:r>
        <w:rPr>
          <w:rFonts w:ascii="Times New Roman" w:hAnsi="Times New Roman" w:cs="Times New Roman" w:eastAsia="Times New Roman" w:hint="default"/>
        </w:rPr>
        <w:t>4B</w:t>
      </w:r>
      <w:r>
        <w:rPr/>
        <w:t>的房屋出租给深圳市海德伦工程咨询有限公司，建筑面积</w:t>
      </w:r>
      <w:r>
        <w:rPr>
          <w:rFonts w:ascii="Times New Roman" w:hAnsi="Times New Roman" w:cs="Times New Roman" w:eastAsia="Times New Roman" w:hint="default"/>
        </w:rPr>
        <w:t>336</w:t>
      </w:r>
      <w:r>
        <w:rPr/>
        <w:t>平方米，租赁期限为</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w:t>
      </w:r>
    </w:p>
    <w:p>
      <w:pPr>
        <w:pStyle w:val="BodyText"/>
        <w:spacing w:line="300" w:lineRule="auto" w:before="13"/>
        <w:ind w:right="1129"/>
        <w:jc w:val="left"/>
      </w:pPr>
      <w:r>
        <w:rPr/>
        <w:t>（</w:t>
      </w:r>
      <w:r>
        <w:rPr>
          <w:rFonts w:ascii="Times New Roman" w:hAnsi="Times New Roman" w:cs="Times New Roman" w:eastAsia="Times New Roman" w:hint="default"/>
        </w:rPr>
        <w:t>5</w:t>
      </w:r>
      <w:r>
        <w:rPr/>
        <w:t>）公司将建科大楼之四层南区</w:t>
      </w:r>
      <w:r>
        <w:rPr>
          <w:rFonts w:ascii="Times New Roman" w:hAnsi="Times New Roman" w:cs="Times New Roman" w:eastAsia="Times New Roman" w:hint="default"/>
        </w:rPr>
        <w:t>4A</w:t>
      </w:r>
      <w:r>
        <w:rPr/>
        <w:t>的房屋出租给深圳市福田区机关事务管理局，建筑面积</w:t>
      </w:r>
      <w:r>
        <w:rPr>
          <w:rFonts w:ascii="Times New Roman" w:hAnsi="Times New Roman" w:cs="Times New Roman" w:eastAsia="Times New Roman" w:hint="default"/>
        </w:rPr>
        <w:t>276.38</w:t>
      </w:r>
      <w:r>
        <w:rPr/>
        <w:t>平方米，租赁期限为</w:t>
      </w:r>
      <w:r>
        <w:rPr>
          <w:rFonts w:ascii="Times New Roman" w:hAnsi="Times New Roman" w:cs="Times New Roman" w:eastAsia="Times New Roman" w:hint="default"/>
        </w:rPr>
        <w:t>2017</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3"/>
        <w:gridCol w:w="746"/>
        <w:gridCol w:w="872"/>
        <w:gridCol w:w="869"/>
        <w:gridCol w:w="871"/>
        <w:gridCol w:w="867"/>
        <w:gridCol w:w="869"/>
        <w:gridCol w:w="869"/>
        <w:gridCol w:w="869"/>
        <w:gridCol w:w="871"/>
        <w:gridCol w:w="869"/>
      </w:tblGrid>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9" w:right="96" w:hanging="92"/>
              <w:jc w:val="left"/>
              <w:rPr>
                <w:rFonts w:ascii="宋体" w:hAnsi="宋体" w:cs="宋体" w:eastAsia="宋体" w:hint="default"/>
                <w:sz w:val="18"/>
                <w:szCs w:val="18"/>
              </w:rPr>
            </w:pPr>
            <w:r>
              <w:rPr>
                <w:rFonts w:ascii="宋体" w:hAnsi="宋体" w:cs="宋体" w:eastAsia="宋体" w:hint="default"/>
                <w:sz w:val="18"/>
                <w:szCs w:val="18"/>
              </w:rPr>
              <w:t>租赁方 名称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9" w:right="70"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9" w:right="67"/>
              <w:jc w:val="left"/>
              <w:rPr>
                <w:rFonts w:ascii="宋体" w:hAnsi="宋体" w:cs="宋体" w:eastAsia="宋体" w:hint="default"/>
                <w:sz w:val="18"/>
                <w:szCs w:val="18"/>
              </w:rPr>
            </w:pPr>
            <w:r>
              <w:rPr>
                <w:rFonts w:ascii="宋体" w:hAnsi="宋体" w:cs="宋体" w:eastAsia="宋体" w:hint="default"/>
                <w:sz w:val="18"/>
                <w:szCs w:val="18"/>
              </w:rPr>
              <w:t>租赁资产 涉及金额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0" w:right="71" w:hanging="272"/>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8" w:right="65" w:hanging="269"/>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9" w:right="68"/>
              <w:jc w:val="left"/>
              <w:rPr>
                <w:rFonts w:ascii="宋体" w:hAnsi="宋体" w:cs="宋体" w:eastAsia="宋体" w:hint="default"/>
                <w:sz w:val="18"/>
                <w:szCs w:val="18"/>
              </w:rPr>
            </w:pPr>
            <w:r>
              <w:rPr>
                <w:rFonts w:ascii="宋体" w:hAnsi="宋体" w:cs="宋体" w:eastAsia="宋体" w:hint="default"/>
                <w:sz w:val="18"/>
                <w:szCs w:val="18"/>
              </w:rPr>
              <w:t>租赁收益 对公司影</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2" w:right="67"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746"/>
        <w:gridCol w:w="872"/>
        <w:gridCol w:w="869"/>
        <w:gridCol w:w="871"/>
        <w:gridCol w:w="867"/>
        <w:gridCol w:w="869"/>
        <w:gridCol w:w="869"/>
        <w:gridCol w:w="869"/>
        <w:gridCol w:w="871"/>
        <w:gridCol w:w="869"/>
      </w:tblGrid>
      <w:tr>
        <w:trPr>
          <w:trHeight w:val="36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8"/>
              <w:jc w:val="both"/>
              <w:rPr>
                <w:rFonts w:ascii="宋体" w:hAnsi="宋体" w:cs="宋体" w:eastAsia="宋体" w:hint="default"/>
                <w:sz w:val="18"/>
                <w:szCs w:val="18"/>
              </w:rPr>
            </w:pPr>
            <w:r>
              <w:rPr>
                <w:rFonts w:ascii="宋体" w:hAnsi="宋体" w:cs="宋体" w:eastAsia="宋体" w:hint="default"/>
                <w:sz w:val="18"/>
                <w:szCs w:val="18"/>
              </w:rPr>
              <w:t>上海杨浦知 识创新区投 资发展有限 公司</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16"/>
              <w:jc w:val="both"/>
              <w:rPr>
                <w:rFonts w:ascii="宋体" w:hAnsi="宋体" w:cs="宋体" w:eastAsia="宋体" w:hint="default"/>
                <w:sz w:val="18"/>
                <w:szCs w:val="18"/>
              </w:rPr>
            </w:pPr>
            <w:r>
              <w:rPr>
                <w:rFonts w:ascii="宋体" w:hAnsi="宋体" w:cs="宋体" w:eastAsia="宋体" w:hint="default"/>
                <w:sz w:val="18"/>
                <w:szCs w:val="18"/>
              </w:rPr>
              <w:t>上海市杨 浦区江路 </w:t>
            </w:r>
            <w:r>
              <w:rPr>
                <w:rFonts w:ascii="Times New Roman" w:hAnsi="Times New Roman" w:cs="Times New Roman" w:eastAsia="Times New Roman" w:hint="default"/>
                <w:sz w:val="18"/>
                <w:szCs w:val="18"/>
              </w:rPr>
              <w:t>627 </w:t>
            </w:r>
            <w:r>
              <w:rPr>
                <w:rFonts w:ascii="宋体" w:hAnsi="宋体" w:cs="宋体" w:eastAsia="宋体" w:hint="default"/>
                <w:sz w:val="18"/>
                <w:szCs w:val="18"/>
              </w:rPr>
              <w:t>号上 海钢琴厂</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1,080.29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3"/>
              <w:jc w:val="both"/>
              <w:rPr>
                <w:rFonts w:ascii="宋体" w:hAnsi="宋体" w:cs="宋体" w:eastAsia="宋体" w:hint="default"/>
                <w:sz w:val="18"/>
                <w:szCs w:val="18"/>
              </w:rPr>
            </w:pPr>
            <w:r>
              <w:rPr>
                <w:rFonts w:ascii="宋体" w:hAnsi="宋体" w:cs="宋体" w:eastAsia="宋体" w:hint="default"/>
                <w:sz w:val="18"/>
                <w:szCs w:val="18"/>
              </w:rPr>
              <w:t>按合同约 定收益期 平均分摊 确认</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72" w:type="dxa"/>
        <w:tblLayout w:type="fixed"/>
        <w:tblCellMar>
          <w:top w:w="0" w:type="dxa"/>
          <w:left w:w="0" w:type="dxa"/>
          <w:bottom w:w="0" w:type="dxa"/>
          <w:right w:w="0" w:type="dxa"/>
        </w:tblCellMar>
        <w:tblLook w:val="01E0"/>
      </w:tblPr>
      <w:tblGrid>
        <w:gridCol w:w="636"/>
        <w:gridCol w:w="638"/>
        <w:gridCol w:w="638"/>
        <w:gridCol w:w="641"/>
        <w:gridCol w:w="638"/>
        <w:gridCol w:w="638"/>
        <w:gridCol w:w="989"/>
        <w:gridCol w:w="425"/>
        <w:gridCol w:w="502"/>
        <w:gridCol w:w="917"/>
        <w:gridCol w:w="360"/>
        <w:gridCol w:w="639"/>
        <w:gridCol w:w="638"/>
        <w:gridCol w:w="636"/>
        <w:gridCol w:w="636"/>
      </w:tblGrid>
      <w:tr>
        <w:trPr>
          <w:trHeight w:val="196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7"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43" w:right="43"/>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right="0" w:firstLine="134"/>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23"/>
                <w:sz w:val="18"/>
                <w:szCs w:val="18"/>
              </w:rPr>
              <w:t>元）（如</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2" w:right="-3" w:firstLine="134"/>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23"/>
                <w:sz w:val="18"/>
                <w:szCs w:val="18"/>
              </w:rPr>
              <w:t>元）（如</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0" w:right="36"/>
              <w:jc w:val="left"/>
              <w:rPr>
                <w:rFonts w:ascii="宋体" w:hAnsi="宋体" w:cs="宋体" w:eastAsia="宋体" w:hint="default"/>
                <w:sz w:val="18"/>
                <w:szCs w:val="18"/>
              </w:rPr>
            </w:pPr>
            <w:r>
              <w:rPr>
                <w:rFonts w:ascii="宋体" w:hAnsi="宋体" w:cs="宋体" w:eastAsia="宋体" w:hint="default"/>
                <w:sz w:val="18"/>
                <w:szCs w:val="18"/>
              </w:rPr>
              <w:t>评估机构名 称（如有）</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7"/>
              <w:jc w:val="both"/>
              <w:rPr>
                <w:rFonts w:ascii="宋体" w:hAnsi="宋体" w:cs="宋体" w:eastAsia="宋体" w:hint="default"/>
                <w:sz w:val="18"/>
                <w:szCs w:val="18"/>
              </w:rPr>
            </w:pPr>
            <w:r>
              <w:rPr>
                <w:rFonts w:ascii="宋体" w:hAnsi="宋体" w:cs="宋体" w:eastAsia="宋体" w:hint="default"/>
                <w:sz w:val="18"/>
                <w:szCs w:val="18"/>
              </w:rPr>
              <w:t>评估 基准 日</w:t>
            </w:r>
          </w:p>
          <w:p>
            <w:pPr>
              <w:pStyle w:val="TableParagraph"/>
              <w:spacing w:line="316" w:lineRule="auto" w:before="19"/>
              <w:ind w:left="26" w:right="27"/>
              <w:jc w:val="both"/>
              <w:rPr>
                <w:rFonts w:ascii="宋体" w:hAnsi="宋体" w:cs="宋体" w:eastAsia="宋体" w:hint="default"/>
                <w:sz w:val="18"/>
                <w:szCs w:val="18"/>
              </w:rPr>
            </w:pPr>
            <w:r>
              <w:rPr>
                <w:rFonts w:ascii="宋体" w:hAnsi="宋体" w:cs="宋体" w:eastAsia="宋体" w:hint="default"/>
                <w:sz w:val="18"/>
                <w:szCs w:val="18"/>
              </w:rPr>
              <w:t>（如 有）</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4"/>
              <w:jc w:val="both"/>
              <w:rPr>
                <w:rFonts w:ascii="宋体" w:hAnsi="宋体" w:cs="宋体" w:eastAsia="宋体" w:hint="default"/>
                <w:sz w:val="18"/>
                <w:szCs w:val="18"/>
              </w:rPr>
            </w:pPr>
            <w:r>
              <w:rPr>
                <w:rFonts w:ascii="宋体" w:hAnsi="宋体" w:cs="宋体" w:eastAsia="宋体" w:hint="default"/>
                <w:sz w:val="18"/>
                <w:szCs w:val="18"/>
              </w:rPr>
              <w:t>是 否 关 联 交 易</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3" w:right="44"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72" w:type="dxa"/>
        <w:tblLayout w:type="fixed"/>
        <w:tblCellMar>
          <w:top w:w="0" w:type="dxa"/>
          <w:left w:w="0" w:type="dxa"/>
          <w:bottom w:w="0" w:type="dxa"/>
          <w:right w:w="0" w:type="dxa"/>
        </w:tblCellMar>
        <w:tblLook w:val="01E0"/>
      </w:tblPr>
      <w:tblGrid>
        <w:gridCol w:w="636"/>
        <w:gridCol w:w="638"/>
        <w:gridCol w:w="638"/>
        <w:gridCol w:w="641"/>
        <w:gridCol w:w="638"/>
        <w:gridCol w:w="638"/>
        <w:gridCol w:w="989"/>
        <w:gridCol w:w="425"/>
        <w:gridCol w:w="502"/>
        <w:gridCol w:w="917"/>
        <w:gridCol w:w="360"/>
        <w:gridCol w:w="639"/>
        <w:gridCol w:w="638"/>
        <w:gridCol w:w="636"/>
        <w:gridCol w:w="636"/>
      </w:tblGrid>
      <w:tr>
        <w:trPr>
          <w:trHeight w:val="36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有）</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0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right="84"/>
              <w:jc w:val="both"/>
              <w:rPr>
                <w:rFonts w:ascii="宋体" w:hAnsi="宋体" w:cs="宋体" w:eastAsia="宋体" w:hint="default"/>
                <w:sz w:val="18"/>
                <w:szCs w:val="18"/>
              </w:rPr>
            </w:pPr>
            <w:r>
              <w:rPr>
                <w:rFonts w:ascii="宋体" w:hAnsi="宋体" w:cs="宋体" w:eastAsia="宋体" w:hint="default"/>
                <w:sz w:val="18"/>
                <w:szCs w:val="18"/>
              </w:rPr>
              <w:t>深圳市 建筑科 学研究 院股份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 w:right="86"/>
              <w:jc w:val="both"/>
              <w:rPr>
                <w:rFonts w:ascii="宋体" w:hAnsi="宋体" w:cs="宋体" w:eastAsia="宋体" w:hint="default"/>
                <w:sz w:val="18"/>
                <w:szCs w:val="18"/>
              </w:rPr>
            </w:pPr>
            <w:r>
              <w:rPr>
                <w:rFonts w:ascii="宋体" w:hAnsi="宋体" w:cs="宋体" w:eastAsia="宋体" w:hint="default"/>
                <w:sz w:val="18"/>
                <w:szCs w:val="18"/>
              </w:rPr>
              <w:t>深圳市 广胜达 建设有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 w:right="71"/>
              <w:jc w:val="both"/>
              <w:rPr>
                <w:rFonts w:ascii="宋体" w:hAnsi="宋体" w:cs="宋体" w:eastAsia="宋体" w:hint="default"/>
                <w:sz w:val="18"/>
                <w:szCs w:val="18"/>
              </w:rPr>
            </w:pPr>
            <w:r>
              <w:rPr>
                <w:rFonts w:ascii="宋体" w:hAnsi="宋体" w:cs="宋体" w:eastAsia="宋体" w:hint="default"/>
                <w:sz w:val="18"/>
                <w:szCs w:val="18"/>
              </w:rPr>
              <w:t>国际低 碳城产 业园区 配套住 房项目 </w:t>
            </w: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总</w:t>
            </w:r>
          </w:p>
          <w:p>
            <w:pPr>
              <w:pStyle w:val="TableParagraph"/>
              <w:spacing w:line="316" w:lineRule="auto"/>
              <w:ind w:left="-1" w:right="86"/>
              <w:jc w:val="both"/>
              <w:rPr>
                <w:rFonts w:ascii="宋体" w:hAnsi="宋体" w:cs="宋体" w:eastAsia="宋体" w:hint="default"/>
                <w:sz w:val="18"/>
                <w:szCs w:val="18"/>
              </w:rPr>
            </w:pPr>
            <w:r>
              <w:rPr>
                <w:rFonts w:ascii="宋体" w:hAnsi="宋体" w:cs="宋体" w:eastAsia="宋体" w:hint="default"/>
                <w:sz w:val="18"/>
                <w:szCs w:val="18"/>
              </w:rPr>
              <w:t>承包施 工协议 书</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 w:right="127"/>
              <w:jc w:val="left"/>
              <w:rPr>
                <w:rFonts w:ascii="宋体" w:hAnsi="宋体" w:cs="宋体" w:eastAsia="宋体" w:hint="default"/>
                <w:sz w:val="18"/>
                <w:szCs w:val="18"/>
              </w:rPr>
            </w:pPr>
            <w:r>
              <w:rPr>
                <w:rFonts w:ascii="宋体" w:hAnsi="宋体" w:cs="宋体" w:eastAsia="宋体" w:hint="default"/>
                <w:sz w:val="18"/>
                <w:szCs w:val="18"/>
              </w:rPr>
              <w:t>招投 标</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34,957.37</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 w:right="86"/>
              <w:jc w:val="left"/>
              <w:rPr>
                <w:rFonts w:ascii="宋体" w:hAnsi="宋体" w:cs="宋体" w:eastAsia="宋体" w:hint="default"/>
                <w:sz w:val="18"/>
                <w:szCs w:val="18"/>
              </w:rPr>
            </w:pPr>
            <w:r>
              <w:rPr>
                <w:rFonts w:ascii="宋体" w:hAnsi="宋体" w:cs="宋体" w:eastAsia="宋体" w:hint="default"/>
                <w:sz w:val="18"/>
                <w:szCs w:val="18"/>
              </w:rPr>
              <w:t>正常履 行</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 w:right="83"/>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350" w:lineRule="auto" w:before="19"/>
              <w:ind w:left="2" w:right="11"/>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info.co</w:t>
            </w:r>
          </w:p>
          <w:p>
            <w:pPr>
              <w:pStyle w:val="TableParagraph"/>
              <w:spacing w:line="220"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38" w:lineRule="auto" w:before="63"/>
              <w:ind w:left="2"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2018-03</w:t>
            </w:r>
          </w:p>
          <w:p>
            <w:pPr>
              <w:pStyle w:val="TableParagraph"/>
              <w:spacing w:line="240" w:lineRule="auto" w:before="23"/>
              <w:ind w:left="2" w:right="0"/>
              <w:jc w:val="left"/>
              <w:rPr>
                <w:rFonts w:ascii="Times New Roman" w:hAnsi="Times New Roman" w:cs="Times New Roman" w:eastAsia="Times New Roman" w:hint="default"/>
                <w:sz w:val="18"/>
                <w:szCs w:val="18"/>
              </w:rPr>
            </w:pPr>
            <w:r>
              <w:rPr>
                <w:rFonts w:ascii="Times New Roman"/>
                <w:sz w:val="18"/>
              </w:rPr>
              <w:t>9</w:t>
            </w:r>
          </w:p>
        </w:tc>
      </w:tr>
      <w:tr>
        <w:trPr>
          <w:trHeight w:val="321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right="84"/>
              <w:jc w:val="both"/>
              <w:rPr>
                <w:rFonts w:ascii="宋体" w:hAnsi="宋体" w:cs="宋体" w:eastAsia="宋体" w:hint="default"/>
                <w:sz w:val="18"/>
                <w:szCs w:val="18"/>
              </w:rPr>
            </w:pPr>
            <w:r>
              <w:rPr>
                <w:rFonts w:ascii="宋体" w:hAnsi="宋体" w:cs="宋体" w:eastAsia="宋体" w:hint="default"/>
                <w:sz w:val="18"/>
                <w:szCs w:val="18"/>
              </w:rPr>
              <w:t>深圳市 建筑科 学研究 院股份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 w:right="86"/>
              <w:jc w:val="both"/>
              <w:rPr>
                <w:rFonts w:ascii="宋体" w:hAnsi="宋体" w:cs="宋体" w:eastAsia="宋体" w:hint="default"/>
                <w:sz w:val="18"/>
                <w:szCs w:val="18"/>
              </w:rPr>
            </w:pPr>
            <w:r>
              <w:rPr>
                <w:rFonts w:ascii="宋体" w:hAnsi="宋体" w:cs="宋体" w:eastAsia="宋体" w:hint="default"/>
                <w:sz w:val="18"/>
                <w:szCs w:val="18"/>
              </w:rPr>
              <w:t>中国雄 安集团 城市发 展投资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 w:right="86"/>
              <w:jc w:val="both"/>
              <w:rPr>
                <w:rFonts w:ascii="宋体" w:hAnsi="宋体" w:cs="宋体" w:eastAsia="宋体" w:hint="default"/>
                <w:sz w:val="18"/>
                <w:szCs w:val="18"/>
              </w:rPr>
            </w:pPr>
            <w:r>
              <w:rPr>
                <w:rFonts w:ascii="宋体" w:hAnsi="宋体" w:cs="宋体" w:eastAsia="宋体" w:hint="default"/>
                <w:sz w:val="18"/>
                <w:szCs w:val="18"/>
              </w:rPr>
              <w:t>雄安商 务服务 中心项 目全过 程工程 咨询服 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 w:right="127"/>
              <w:jc w:val="left"/>
              <w:rPr>
                <w:rFonts w:ascii="宋体" w:hAnsi="宋体" w:cs="宋体" w:eastAsia="宋体" w:hint="default"/>
                <w:sz w:val="18"/>
                <w:szCs w:val="18"/>
              </w:rPr>
            </w:pPr>
            <w:r>
              <w:rPr>
                <w:rFonts w:ascii="宋体" w:hAnsi="宋体" w:cs="宋体" w:eastAsia="宋体" w:hint="default"/>
                <w:sz w:val="18"/>
                <w:szCs w:val="18"/>
              </w:rPr>
              <w:t>招投 标</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18,934.75</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 w:right="86"/>
              <w:jc w:val="left"/>
              <w:rPr>
                <w:rFonts w:ascii="宋体" w:hAnsi="宋体" w:cs="宋体" w:eastAsia="宋体" w:hint="default"/>
                <w:sz w:val="18"/>
                <w:szCs w:val="18"/>
              </w:rPr>
            </w:pPr>
            <w:r>
              <w:rPr>
                <w:rFonts w:ascii="宋体" w:hAnsi="宋体" w:cs="宋体" w:eastAsia="宋体" w:hint="default"/>
                <w:sz w:val="18"/>
                <w:szCs w:val="18"/>
              </w:rPr>
              <w:t>正常履 行</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 w:right="83"/>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350" w:lineRule="auto" w:before="17"/>
              <w:ind w:left="2" w:right="11"/>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info.co</w:t>
            </w:r>
          </w:p>
          <w:p>
            <w:pPr>
              <w:pStyle w:val="TableParagraph"/>
              <w:spacing w:line="220"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38" w:lineRule="auto" w:before="63"/>
              <w:ind w:left="2"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2019-02</w:t>
            </w:r>
          </w:p>
          <w:p>
            <w:pPr>
              <w:pStyle w:val="TableParagraph"/>
              <w:spacing w:line="240" w:lineRule="auto" w:before="23"/>
              <w:ind w:left="2" w:right="0"/>
              <w:jc w:val="left"/>
              <w:rPr>
                <w:rFonts w:ascii="Times New Roman" w:hAnsi="Times New Roman" w:cs="Times New Roman" w:eastAsia="Times New Roman" w:hint="default"/>
                <w:sz w:val="18"/>
                <w:szCs w:val="18"/>
              </w:rPr>
            </w:pPr>
            <w:r>
              <w:rPr>
                <w:rFonts w:ascii="Times New Roman"/>
                <w:sz w:val="18"/>
              </w:rPr>
              <w:t>7</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十七、社会责任情况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公司按照国家相关法律法规的规定，结合公司的实际情况，在安全管理、质量管理、环境保护、节能环保和员工权益保护等</w:t>
      </w:r>
      <w:r>
        <w:rPr>
          <w:spacing w:val="-67"/>
        </w:rPr>
        <w:t> </w:t>
      </w:r>
      <w:r>
        <w:rPr>
          <w:spacing w:val="-67"/>
        </w:rPr>
      </w:r>
      <w:r>
        <w:rPr>
          <w:spacing w:val="-4"/>
        </w:rPr>
        <w:t>方面制定完善了相关的管理制度，有效履行各项社会责任，打造和提升企业形象。通过不断完善公司治理，保障股东的权益，</w:t>
      </w:r>
      <w:r>
        <w:rPr>
          <w:spacing w:val="-46"/>
        </w:rPr>
        <w:t> </w:t>
      </w:r>
      <w:r>
        <w:rPr>
          <w:spacing w:val="-46"/>
        </w:rPr>
      </w:r>
      <w:r>
        <w:rPr>
          <w:spacing w:val="-2"/>
        </w:rPr>
        <w:t>公司严格按照《公司法》、《深圳证券交易所创业板股票上市规则》、《上市公司信息披露管理办法》等相关法律法规的要</w:t>
      </w:r>
      <w:r>
        <w:rPr>
          <w:spacing w:val="-68"/>
        </w:rPr>
        <w:t> </w:t>
      </w:r>
      <w:r>
        <w:rPr>
          <w:spacing w:val="-68"/>
        </w:rPr>
      </w:r>
      <w:r>
        <w:rPr>
          <w:spacing w:val="-2"/>
        </w:rPr>
        <w:t>求，及时、准确、真实、完整地进行信息披露，通过投资者电话、电子邮箱、公司网站和投资者关系互动平台等多种方式与</w:t>
      </w:r>
      <w:r>
        <w:rPr>
          <w:spacing w:val="-69"/>
        </w:rPr>
        <w:t> </w:t>
      </w:r>
      <w:r>
        <w:rPr>
          <w:spacing w:val="-69"/>
        </w:rPr>
      </w:r>
      <w:r>
        <w:rPr>
          <w:spacing w:val="-2"/>
        </w:rPr>
        <w:t>投资者进行沟通交流，提高了公司的透明度和诚信度。公司非常重视对投资者的合理回报，制定了相对稳定的利润分配政策</w:t>
      </w:r>
      <w:r>
        <w:rPr>
          <w:spacing w:val="-63"/>
        </w:rPr>
        <w:t> </w:t>
      </w:r>
      <w:r>
        <w:rPr>
          <w:spacing w:val="-63"/>
        </w:rPr>
      </w:r>
      <w:r>
        <w:rPr/>
        <w:t>和分红方案以回报股东。</w:t>
      </w:r>
    </w:p>
    <w:p>
      <w:pPr>
        <w:pStyle w:val="BodyText"/>
        <w:spacing w:line="240" w:lineRule="auto" w:before="19"/>
        <w:ind w:right="0"/>
        <w:jc w:val="left"/>
      </w:pPr>
      <w:r>
        <w:rPr/>
        <w:t>（一）紧跟党中央，着力践行绿色城市的雄安使命</w:t>
      </w:r>
    </w:p>
    <w:p>
      <w:pPr>
        <w:pStyle w:val="BodyText"/>
        <w:spacing w:line="307" w:lineRule="auto" w:before="76"/>
        <w:ind w:right="1119"/>
        <w:jc w:val="left"/>
      </w:pPr>
      <w:r>
        <w:rPr>
          <w:rFonts w:ascii="Times New Roman" w:hAnsi="Times New Roman" w:cs="Times New Roman" w:eastAsia="Times New Roman" w:hint="default"/>
        </w:rPr>
        <w:t>1.</w:t>
      </w:r>
      <w:r>
        <w:rPr/>
        <w:t>探索绿色城市规划与发展模式创新 </w:t>
      </w:r>
      <w:r>
        <w:rPr>
          <w:spacing w:val="-2"/>
        </w:rPr>
        <w:t>一是受河北雄安新区管委会委托，开展绿色雄安专题研究工作，对土地供应、土地公有、房产供应、空间效能为核心的城市</w:t>
      </w:r>
      <w:r>
        <w:rPr>
          <w:spacing w:val="-65"/>
        </w:rPr>
        <w:t> </w:t>
      </w:r>
      <w:r>
        <w:rPr>
          <w:spacing w:val="-65"/>
        </w:rPr>
      </w:r>
      <w:r>
        <w:rPr/>
        <w:t>规划方法、建设运营方法以及</w:t>
      </w:r>
      <w:r>
        <w:rPr>
          <w:rFonts w:ascii="Times New Roman" w:hAnsi="Times New Roman" w:cs="Times New Roman" w:eastAsia="Times New Roman" w:hint="default"/>
        </w:rPr>
        <w:t>“</w:t>
      </w:r>
      <w:r>
        <w:rPr/>
        <w:t>五感六性</w:t>
      </w:r>
      <w:r>
        <w:rPr>
          <w:rFonts w:ascii="Times New Roman" w:hAnsi="Times New Roman" w:cs="Times New Roman" w:eastAsia="Times New Roman" w:hint="default"/>
        </w:rPr>
        <w:t>”</w:t>
      </w:r>
      <w:r>
        <w:rPr/>
        <w:t>的绿色建筑新体系等开展研究工作。 </w:t>
      </w:r>
      <w:r>
        <w:rPr>
          <w:spacing w:val="-2"/>
        </w:rPr>
        <w:t>二是协助新区组织新区创新建设创新模式推演工作营、政策创新研究工作营等技术服务工作。</w:t>
      </w:r>
      <w:r>
        <w:rPr>
          <w:rFonts w:ascii="Times New Roman" w:hAnsi="Times New Roman" w:cs="Times New Roman" w:eastAsia="Times New Roman" w:hint="default"/>
          <w:spacing w:val="-2"/>
        </w:rPr>
        <w:t>2019</w:t>
      </w:r>
      <w:r>
        <w:rPr>
          <w:spacing w:val="-2"/>
        </w:rPr>
        <w:t>年，参与政策研究和技术</w:t>
      </w:r>
      <w:r>
        <w:rPr>
          <w:spacing w:val="-61"/>
        </w:rPr>
        <w:t> </w:t>
      </w:r>
      <w:r>
        <w:rPr>
          <w:spacing w:val="-61"/>
        </w:rPr>
      </w:r>
      <w:r>
        <w:rPr/>
        <w:t>研究课题</w:t>
      </w:r>
      <w:r>
        <w:rPr>
          <w:rFonts w:ascii="Times New Roman" w:hAnsi="Times New Roman" w:cs="Times New Roman" w:eastAsia="Times New Roman" w:hint="default"/>
        </w:rPr>
        <w:t>30</w:t>
      </w:r>
      <w:r>
        <w:rPr/>
        <w:t>余项，组织调查与专著研究项目</w:t>
      </w:r>
      <w:r>
        <w:rPr>
          <w:rFonts w:ascii="Times New Roman" w:hAnsi="Times New Roman" w:cs="Times New Roman" w:eastAsia="Times New Roman" w:hint="default"/>
        </w:rPr>
        <w:t>9</w:t>
      </w:r>
      <w:r>
        <w:rPr/>
        <w:t>项，完成独立报告和成果近</w:t>
      </w:r>
      <w:r>
        <w:rPr>
          <w:rFonts w:ascii="Times New Roman" w:hAnsi="Times New Roman" w:cs="Times New Roman" w:eastAsia="Times New Roman" w:hint="default"/>
        </w:rPr>
        <w:t>30</w:t>
      </w:r>
      <w:r>
        <w:rPr/>
        <w:t>份，形成绿研智库观点共</w:t>
      </w:r>
      <w:r>
        <w:rPr>
          <w:rFonts w:ascii="Times New Roman" w:hAnsi="Times New Roman" w:cs="Times New Roman" w:eastAsia="Times New Roman" w:hint="default"/>
        </w:rPr>
        <w:t>8</w:t>
      </w:r>
      <w:r>
        <w:rPr/>
        <w:t>期，组织绿研沙龙</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期。 </w:t>
      </w:r>
      <w:r>
        <w:rPr>
          <w:spacing w:val="-2"/>
        </w:rPr>
        <w:t>三是参与新区房地产开发建设体系、新区住房租赁积分管理等前期研究工作。中标的雄安商业服务中心项目也作为示范工程</w:t>
      </w:r>
      <w:r>
        <w:rPr>
          <w:spacing w:val="-64"/>
        </w:rPr>
        <w:t> </w:t>
      </w:r>
      <w:r>
        <w:rPr>
          <w:spacing w:val="-64"/>
        </w:rPr>
      </w:r>
      <w:r>
        <w:rPr/>
        <w:t>为雄安和其他地区提供绿色发展样板。</w:t>
      </w:r>
    </w:p>
    <w:p>
      <w:pPr>
        <w:pStyle w:val="BodyText"/>
        <w:spacing w:line="300" w:lineRule="auto" w:before="26"/>
        <w:ind w:right="1054"/>
        <w:jc w:val="left"/>
      </w:pPr>
      <w:r>
        <w:rPr>
          <w:rFonts w:ascii="Times New Roman" w:hAnsi="Times New Roman" w:cs="Times New Roman" w:eastAsia="Times New Roman" w:hint="default"/>
        </w:rPr>
        <w:t>2.</w:t>
      </w:r>
      <w:r>
        <w:rPr/>
        <w:t>启动</w:t>
      </w:r>
      <w:r>
        <w:rPr>
          <w:rFonts w:ascii="Times New Roman" w:hAnsi="Times New Roman" w:cs="Times New Roman" w:eastAsia="Times New Roman" w:hint="default"/>
        </w:rPr>
        <w:t>“</w:t>
      </w:r>
      <w:r>
        <w:rPr/>
        <w:t>伊实践</w:t>
      </w:r>
      <w:r>
        <w:rPr>
          <w:rFonts w:ascii="Times New Roman" w:hAnsi="Times New Roman" w:cs="Times New Roman" w:eastAsia="Times New Roman" w:hint="default"/>
        </w:rPr>
        <w:t>”</w:t>
      </w:r>
      <w:r>
        <w:rPr/>
        <w:t>系列品牌，协同打造幸福生活城市 </w:t>
      </w:r>
      <w:r>
        <w:rPr>
          <w:rFonts w:ascii="Times New Roman" w:hAnsi="Times New Roman" w:cs="Times New Roman" w:eastAsia="Times New Roman" w:hint="default"/>
        </w:rPr>
        <w:t>“</w:t>
      </w:r>
      <w:r>
        <w:rPr/>
        <w:t>伊实践</w:t>
      </w:r>
      <w:r>
        <w:rPr>
          <w:rFonts w:ascii="Times New Roman" w:hAnsi="Times New Roman" w:cs="Times New Roman" w:eastAsia="Times New Roman" w:hint="default"/>
        </w:rPr>
        <w:t>”</w:t>
      </w:r>
      <w:r>
        <w:rPr/>
        <w:t>旨在通过新建和旧改项目实践，以经济、共享的绿色发展解决方案，践行绿色生活理念，改善城市环境品质现状， </w:t>
      </w:r>
      <w:r>
        <w:rPr>
          <w:spacing w:val="-2"/>
        </w:rPr>
        <w:t>提升城市活力。目前在雄安新区已试点伊工社（混合更新的工作社群）、伊美术馆（无界多元的艺术空间）、伊街坊（协同</w:t>
      </w:r>
    </w:p>
    <w:p>
      <w:pPr>
        <w:spacing w:after="0" w:line="30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1"/>
        <w:jc w:val="both"/>
      </w:pPr>
      <w:r>
        <w:rPr>
          <w:spacing w:val="-2"/>
        </w:rPr>
        <w:t>开放的绿色街区）、伊邻苑（生态转型的宜居邻里）、伊伙伴（共享价值的合作伙伴），并开展</w:t>
      </w:r>
      <w:r>
        <w:rPr>
          <w:rFonts w:ascii="Times New Roman" w:hAnsi="Times New Roman" w:cs="Times New Roman" w:eastAsia="Times New Roman" w:hint="default"/>
          <w:spacing w:val="-2"/>
        </w:rPr>
        <w:t>8</w:t>
      </w:r>
      <w:r>
        <w:rPr>
          <w:spacing w:val="-2"/>
        </w:rPr>
        <w:t>项微工程，形成</w:t>
      </w:r>
      <w:r>
        <w:rPr>
          <w:rFonts w:ascii="Times New Roman" w:hAnsi="Times New Roman" w:cs="Times New Roman" w:eastAsia="Times New Roman" w:hint="default"/>
          <w:spacing w:val="-2"/>
        </w:rPr>
        <w:t>4</w:t>
      </w:r>
      <w:r>
        <w:rPr>
          <w:spacing w:val="-2"/>
        </w:rPr>
        <w:t>小时展示</w:t>
      </w:r>
      <w:r>
        <w:rPr>
          <w:spacing w:val="-67"/>
        </w:rPr>
        <w:t> </w:t>
      </w:r>
      <w:r>
        <w:rPr>
          <w:spacing w:val="-67"/>
        </w:rPr>
      </w:r>
      <w:r>
        <w:rPr>
          <w:spacing w:val="-2"/>
        </w:rPr>
        <w:t>体验路线，总参观人数</w:t>
      </w:r>
      <w:r>
        <w:rPr>
          <w:rFonts w:ascii="Times New Roman" w:hAnsi="Times New Roman" w:cs="Times New Roman" w:eastAsia="Times New Roman" w:hint="default"/>
          <w:spacing w:val="-2"/>
        </w:rPr>
        <w:t>1000</w:t>
      </w:r>
      <w:r>
        <w:rPr>
          <w:spacing w:val="-2"/>
        </w:rPr>
        <w:t>余人次。中国雄安官网和人民网对深圳建科院在雄安新区开展的</w:t>
      </w:r>
      <w:r>
        <w:rPr>
          <w:rFonts w:ascii="Times New Roman" w:hAnsi="Times New Roman" w:cs="Times New Roman" w:eastAsia="Times New Roman" w:hint="default"/>
          <w:spacing w:val="-2"/>
        </w:rPr>
        <w:t>“</w:t>
      </w:r>
      <w:r>
        <w:rPr>
          <w:spacing w:val="-2"/>
        </w:rPr>
        <w:t>共享活力社区、雄安更有温度</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 </w:t>
      </w:r>
      <w:r>
        <w:rPr/>
        <w:t>等各类活动进行了专项报道</w:t>
      </w:r>
      <w:r>
        <w:rPr>
          <w:rFonts w:ascii="Times New Roman" w:hAnsi="Times New Roman" w:cs="Times New Roman" w:eastAsia="Times New Roman" w:hint="default"/>
        </w:rPr>
        <w:t>17</w:t>
      </w:r>
      <w:r>
        <w:rPr/>
        <w:t>次。</w:t>
      </w:r>
    </w:p>
    <w:p>
      <w:pPr>
        <w:pStyle w:val="BodyText"/>
        <w:spacing w:line="304" w:lineRule="auto" w:before="13"/>
        <w:ind w:right="0"/>
        <w:jc w:val="left"/>
      </w:pPr>
      <w:r>
        <w:rPr/>
        <w:t>（二）关注城市公共安全，关键时刻迎难而上 </w:t>
      </w:r>
      <w:r>
        <w:rPr>
          <w:spacing w:val="-2"/>
        </w:rPr>
        <w:t>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日，福海街道新田社区天佑工业园火灾，公司紧急调派</w:t>
      </w:r>
      <w:r>
        <w:rPr>
          <w:rFonts w:ascii="Times New Roman" w:hAnsi="Times New Roman" w:cs="Times New Roman" w:eastAsia="Times New Roman" w:hint="default"/>
          <w:spacing w:val="-2"/>
        </w:rPr>
        <w:t>2</w:t>
      </w:r>
      <w:r>
        <w:rPr>
          <w:spacing w:val="-2"/>
        </w:rPr>
        <w:t>名房屋安全专家前往火灾现场，浓烟滚滚中仍然深入</w:t>
      </w:r>
      <w:r>
        <w:rPr>
          <w:spacing w:val="-58"/>
        </w:rPr>
        <w:t> </w:t>
      </w:r>
      <w:r>
        <w:rPr>
          <w:spacing w:val="-58"/>
        </w:rPr>
      </w:r>
      <w:r>
        <w:rPr/>
        <w:t>现场对建筑结构安全开展评估，被媒体称为</w:t>
      </w:r>
      <w:r>
        <w:rPr>
          <w:rFonts w:ascii="Times New Roman" w:hAnsi="Times New Roman" w:cs="Times New Roman" w:eastAsia="Times New Roman" w:hint="default"/>
        </w:rPr>
        <w:t>“</w:t>
      </w:r>
      <w:r>
        <w:rPr/>
        <w:t>最美逆行者</w:t>
      </w:r>
      <w:r>
        <w:rPr>
          <w:rFonts w:ascii="Times New Roman" w:hAnsi="Times New Roman" w:cs="Times New Roman" w:eastAsia="Times New Roman" w:hint="default"/>
        </w:rPr>
        <w:t>”</w:t>
      </w:r>
      <w:r>
        <w:rPr/>
        <w:t>。在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日罗湖区居民楼倒塌事件中，公司迅速反应，第 </w:t>
      </w:r>
      <w:r>
        <w:rPr>
          <w:spacing w:val="-4"/>
        </w:rPr>
        <w:t>一时间成立了安全应急组并派出技术专家赴现场支持政府工作，</w:t>
      </w:r>
      <w:r>
        <w:rPr>
          <w:rFonts w:ascii="Times New Roman" w:hAnsi="Times New Roman" w:cs="Times New Roman" w:eastAsia="Times New Roman" w:hint="default"/>
          <w:spacing w:val="-4"/>
        </w:rPr>
        <w:t>48</w:t>
      </w:r>
      <w:r>
        <w:rPr>
          <w:spacing w:val="-4"/>
        </w:rPr>
        <w:t>小时排查监测，主动了解需求，开拓检测加固业务的同时，</w:t>
      </w:r>
      <w:r>
        <w:rPr>
          <w:spacing w:val="-40"/>
        </w:rPr>
        <w:t> </w:t>
      </w:r>
      <w:r>
        <w:rPr>
          <w:spacing w:val="-40"/>
        </w:rPr>
      </w:r>
      <w:r>
        <w:rPr/>
        <w:t>积极为城市安全建言献策贡献力量。</w:t>
      </w:r>
    </w:p>
    <w:p>
      <w:pPr>
        <w:pStyle w:val="BodyText"/>
        <w:spacing w:line="316" w:lineRule="auto" w:before="28"/>
        <w:ind w:right="1754"/>
        <w:jc w:val="left"/>
      </w:pPr>
      <w:r>
        <w:rPr/>
        <w:t>（三）积极参与对口扶贫工作 继续积极参与河源对口扶贫工作，派出专职干部赴河源市龙川县麻布岗镇瑚径村担任驻村工作队队长兼第一书记。</w:t>
      </w:r>
    </w:p>
    <w:p>
      <w:pPr>
        <w:pStyle w:val="BodyText"/>
        <w:spacing w:line="240" w:lineRule="auto" w:before="19"/>
        <w:ind w:right="0"/>
        <w:jc w:val="left"/>
      </w:pPr>
      <w:r>
        <w:rPr/>
        <w:t>（四）继续普及绿色文化理念和技术</w:t>
      </w:r>
    </w:p>
    <w:p>
      <w:pPr>
        <w:pStyle w:val="BodyText"/>
        <w:spacing w:line="300" w:lineRule="auto" w:before="117"/>
        <w:ind w:right="0"/>
        <w:jc w:val="left"/>
      </w:pPr>
      <w:r>
        <w:rPr>
          <w:spacing w:val="-1"/>
        </w:rPr>
        <w:t>依托建科大楼（</w:t>
      </w:r>
      <w:r>
        <w:rPr>
          <w:rFonts w:ascii="Times New Roman" w:hAnsi="Times New Roman" w:cs="Times New Roman" w:eastAsia="Times New Roman" w:hint="default"/>
          <w:spacing w:val="-1"/>
        </w:rPr>
        <w:t>2009</w:t>
      </w:r>
      <w:r>
        <w:rPr>
          <w:spacing w:val="-1"/>
        </w:rPr>
        <w:t>年至今接待</w:t>
      </w:r>
      <w:r>
        <w:rPr>
          <w:rFonts w:ascii="Times New Roman" w:hAnsi="Times New Roman" w:cs="Times New Roman" w:eastAsia="Times New Roman" w:hint="default"/>
          <w:spacing w:val="-1"/>
        </w:rPr>
        <w:t>6.5</w:t>
      </w:r>
      <w:r>
        <w:rPr>
          <w:spacing w:val="-1"/>
        </w:rPr>
        <w:t>万人次）、深圳国际低碳城会展中心（</w:t>
      </w:r>
      <w:r>
        <w:rPr>
          <w:rFonts w:ascii="Times New Roman" w:hAnsi="Times New Roman" w:cs="Times New Roman" w:eastAsia="Times New Roman" w:hint="default"/>
          <w:spacing w:val="-1"/>
        </w:rPr>
        <w:t>2013</w:t>
      </w:r>
      <w:r>
        <w:rPr>
          <w:spacing w:val="-1"/>
        </w:rPr>
        <w:t>年至今接待</w:t>
      </w:r>
      <w:r>
        <w:rPr>
          <w:rFonts w:ascii="Times New Roman" w:hAnsi="Times New Roman" w:cs="Times New Roman" w:eastAsia="Times New Roman" w:hint="default"/>
          <w:spacing w:val="-1"/>
        </w:rPr>
        <w:t>23</w:t>
      </w:r>
      <w:r>
        <w:rPr>
          <w:spacing w:val="-1"/>
        </w:rPr>
        <w:t>万人次）建设了科普教育基地、</w:t>
      </w:r>
      <w:r>
        <w:rPr>
          <w:spacing w:val="-78"/>
        </w:rPr>
        <w:t> </w:t>
      </w:r>
      <w:r>
        <w:rPr>
          <w:spacing w:val="-78"/>
        </w:rPr>
      </w:r>
      <w:r>
        <w:rPr/>
        <w:t>环境教育基地、大学生实习基地及中小学第二课堂，设立市民开放日，积极向社会宣传绿色建筑文化、理论和技术。</w:t>
      </w:r>
      <w:r>
        <w:rPr>
          <w:rFonts w:ascii="Times New Roman" w:hAnsi="Times New Roman" w:cs="Times New Roman" w:eastAsia="Times New Roman" w:hint="default"/>
        </w:rPr>
        <w:t>2019</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年，建科院顺利通过了深圳市科普教育基地的复评审。</w:t>
      </w:r>
    </w:p>
    <w:p>
      <w:pPr>
        <w:spacing w:line="240" w:lineRule="auto" w:before="5"/>
        <w:rPr>
          <w:rFonts w:ascii="宋体" w:hAnsi="宋体" w:cs="宋体" w:eastAsia="宋体" w:hint="default"/>
          <w:sz w:val="23"/>
          <w:szCs w:val="23"/>
        </w:rPr>
      </w:pPr>
    </w:p>
    <w:p>
      <w:pPr>
        <w:pStyle w:val="Heading6"/>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3"/>
      </w:tblGrid>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8"/>
        <w:rPr>
          <w:rFonts w:ascii="宋体" w:hAnsi="宋体" w:cs="宋体" w:eastAsia="宋体" w:hint="default"/>
          <w:b/>
          <w:bCs/>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不适用</w:t>
      </w:r>
    </w:p>
    <w:p>
      <w:pPr>
        <w:pStyle w:val="BodyText"/>
        <w:spacing w:line="240" w:lineRule="auto" w:before="25"/>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0"/>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一、股份变动情况</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27"/>
        <w:gridCol w:w="1136"/>
        <w:gridCol w:w="850"/>
        <w:gridCol w:w="586"/>
        <w:gridCol w:w="821"/>
        <w:gridCol w:w="720"/>
        <w:gridCol w:w="924"/>
        <w:gridCol w:w="637"/>
        <w:gridCol w:w="982"/>
        <w:gridCol w:w="792"/>
      </w:tblGrid>
      <w:tr>
        <w:trPr>
          <w:trHeight w:val="403"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7" w:right="10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5" w:right="84"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center"/>
              <w:rPr>
                <w:rFonts w:ascii="Times New Roman" w:hAnsi="Times New Roman" w:cs="Times New Roman" w:eastAsia="Times New Roman" w:hint="default"/>
                <w:sz w:val="18"/>
                <w:szCs w:val="18"/>
              </w:rPr>
            </w:pPr>
            <w:r>
              <w:rPr>
                <w:rFonts w:ascii="Times New Roman"/>
                <w:sz w:val="18"/>
              </w:rPr>
              <w:t>66,000,000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45.00%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center"/>
              <w:rPr>
                <w:rFonts w:ascii="Times New Roman" w:hAnsi="Times New Roman" w:cs="Times New Roman" w:eastAsia="Times New Roman" w:hint="default"/>
                <w:sz w:val="18"/>
                <w:szCs w:val="18"/>
              </w:rPr>
            </w:pPr>
            <w:r>
              <w:rPr>
                <w:rFonts w:ascii="Times New Roman"/>
                <w:sz w:val="18"/>
              </w:rPr>
              <w:t>66,000,000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45.00%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80,666,700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center"/>
              <w:rPr>
                <w:rFonts w:ascii="Times New Roman" w:hAnsi="Times New Roman" w:cs="Times New Roman" w:eastAsia="Times New Roman" w:hint="default"/>
                <w:sz w:val="18"/>
                <w:szCs w:val="18"/>
              </w:rPr>
            </w:pPr>
            <w:r>
              <w:rPr>
                <w:rFonts w:ascii="Times New Roman"/>
                <w:sz w:val="18"/>
              </w:rPr>
              <w:t>80,666,700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55.00%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80,666,700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center"/>
              <w:rPr>
                <w:rFonts w:ascii="Times New Roman" w:hAnsi="Times New Roman" w:cs="Times New Roman" w:eastAsia="Times New Roman" w:hint="default"/>
                <w:sz w:val="18"/>
                <w:szCs w:val="18"/>
              </w:rPr>
            </w:pPr>
            <w:r>
              <w:rPr>
                <w:rFonts w:ascii="Times New Roman"/>
                <w:sz w:val="18"/>
              </w:rPr>
              <w:t>80,666,700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55.00%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146,666,700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146,666,700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0"/>
        <w:jc w:val="left"/>
      </w:pPr>
      <w:r>
        <w:rPr/>
        <w:t>股份变动的原因</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股份变动的批准情况</w:t>
      </w:r>
    </w:p>
    <w:p>
      <w:pPr>
        <w:pStyle w:val="BodyText"/>
        <w:spacing w:line="338" w:lineRule="auto" w:before="41"/>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43"/>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39"/>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3"/>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36"/>
        <w:gridCol w:w="850"/>
        <w:gridCol w:w="1133"/>
        <w:gridCol w:w="1135"/>
        <w:gridCol w:w="1133"/>
        <w:gridCol w:w="852"/>
        <w:gridCol w:w="850"/>
        <w:gridCol w:w="922"/>
      </w:tblGrid>
      <w:tr>
        <w:trPr>
          <w:trHeight w:val="165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17,642</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19,220</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6"/>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2" w:right="11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2" w:right="10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9" w:right="6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7"/>
              <w:jc w:val="right"/>
              <w:rPr>
                <w:rFonts w:ascii="宋体" w:hAnsi="宋体" w:cs="宋体" w:eastAsia="宋体" w:hint="default"/>
                <w:sz w:val="18"/>
                <w:szCs w:val="18"/>
              </w:rPr>
            </w:pPr>
            <w:r>
              <w:rPr>
                <w:rFonts w:ascii="宋体" w:hAnsi="宋体" w:cs="宋体" w:eastAsia="宋体" w:hint="default"/>
                <w:sz w:val="18"/>
                <w:szCs w:val="18"/>
              </w:rPr>
              <w:t>股份状态</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3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4"/>
              <w:jc w:val="both"/>
              <w:rPr>
                <w:rFonts w:ascii="宋体" w:hAnsi="宋体" w:cs="宋体" w:eastAsia="宋体" w:hint="default"/>
                <w:sz w:val="18"/>
                <w:szCs w:val="18"/>
              </w:rPr>
            </w:pPr>
            <w:r>
              <w:rPr>
                <w:rFonts w:ascii="宋体" w:hAnsi="宋体" w:cs="宋体" w:eastAsia="宋体" w:hint="default"/>
                <w:sz w:val="18"/>
                <w:szCs w:val="18"/>
              </w:rPr>
              <w:t>深圳市资本运营集 团有限公司（原深 圳市远致投资有限 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62,857,143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62,857,143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深圳市建科投资股 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14,928,700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14,928,70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中关村发展集团股 份有限公司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9,328,949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-1,671,051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9,328,949</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深圳市英龙建安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7,330,625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-2,790,375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7,330,625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5,200,000</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全国社会保障基金 理事会转持一户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3,142,857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3,142,857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442,400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田宇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311,400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311,400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311,400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6.540009pt;margin-top:132.859985pt;width:358.4pt;height:50.8pt;mso-position-horizontal-relative:page;mso-position-vertical-relative:page;z-index:-1163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有）</w:t>
                  </w:r>
                </w:p>
              </w:txbxContent>
            </v:textbox>
            <w10:wrap type="none"/>
          </v:shape>
        </w:pict>
      </w:r>
      <w:r>
        <w:rPr/>
        <w:pict>
          <v:group style="position:absolute;margin-left:191.690002pt;margin-top:132.859985pt;width:343.25pt;height:15.6pt;mso-position-horizontal-relative:page;mso-position-vertical-relative:page;z-index:-1163848" coordorigin="3834,2657" coordsize="6865,312">
            <v:shape style="position:absolute;left:3834;top:2657;width:6865;height:312" coordorigin="3834,2657" coordsize="6865,312" path="m3834,2969l10699,2969,10699,2657,3834,2657,3834,2969xe" filled="true" fillcolor="#ffffff" stroked="false">
              <v:path arrowok="t"/>
              <v:fill type="solid"/>
            </v:shape>
            <w10:wrap type="none"/>
          </v:group>
        </w:pict>
      </w:r>
      <w:r>
        <w:rPr/>
        <w:pict>
          <v:group style="position:absolute;margin-left:191.690002pt;margin-top:168.019989pt;width:343.25pt;height:15.6pt;mso-position-horizontal-relative:page;mso-position-vertical-relative:page;z-index:-1163824" coordorigin="3834,3360" coordsize="6865,312">
            <v:shape style="position:absolute;left:3834;top:3360;width:6865;height:312" coordorigin="3834,3360" coordsize="6865,312" path="m3834,3672l10699,3672,10699,3360,3834,3360,3834,3672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136"/>
        <w:gridCol w:w="850"/>
        <w:gridCol w:w="1133"/>
        <w:gridCol w:w="1136"/>
        <w:gridCol w:w="1133"/>
        <w:gridCol w:w="853"/>
        <w:gridCol w:w="850"/>
        <w:gridCol w:w="922"/>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王孟龙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295,100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295,100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张坤茂</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258,900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258,900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258,900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249,635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249,635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249,635</w:t>
            </w: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名股东的情况（如</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50"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33" w:type="dxa"/>
            <w:tcBorders>
              <w:top w:val="single" w:sz="4" w:space="0" w:color="000000"/>
              <w:left w:val="nil" w:sz="6" w:space="0" w:color="auto"/>
              <w:bottom w:val="single" w:sz="4" w:space="0" w:color="000000"/>
              <w:right w:val="nil" w:sz="6" w:space="0" w:color="auto"/>
            </w:tcBorders>
          </w:tcPr>
          <w:p>
            <w:pPr/>
          </w:p>
        </w:tc>
        <w:tc>
          <w:tcPr>
            <w:tcW w:w="1136" w:type="dxa"/>
            <w:tcBorders>
              <w:top w:val="single" w:sz="4" w:space="0" w:color="000000"/>
              <w:left w:val="nil" w:sz="6" w:space="0" w:color="auto"/>
              <w:bottom w:val="single" w:sz="4" w:space="0" w:color="000000"/>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
        </w:tc>
        <w:tc>
          <w:tcPr>
            <w:tcW w:w="853" w:type="dxa"/>
            <w:tcBorders>
              <w:top w:val="single" w:sz="4" w:space="0" w:color="000000"/>
              <w:left w:val="nil" w:sz="6" w:space="0" w:color="auto"/>
              <w:bottom w:val="single" w:sz="4" w:space="0" w:color="000000"/>
              <w:right w:val="nil" w:sz="6" w:space="0" w:color="auto"/>
            </w:tcBorders>
          </w:tcPr>
          <w:p>
            <w:pPr/>
          </w:p>
        </w:tc>
        <w:tc>
          <w:tcPr>
            <w:tcW w:w="850" w:type="dxa"/>
            <w:tcBorders>
              <w:top w:val="single" w:sz="4" w:space="0" w:color="000000"/>
              <w:left w:val="nil" w:sz="6" w:space="0" w:color="auto"/>
              <w:bottom w:val="single" w:sz="4" w:space="0" w:color="000000"/>
              <w:right w:val="nil" w:sz="6" w:space="0" w:color="auto"/>
            </w:tcBorders>
          </w:tcPr>
          <w:p>
            <w:pPr/>
          </w:p>
        </w:tc>
        <w:tc>
          <w:tcPr>
            <w:tcW w:w="922" w:type="dxa"/>
            <w:tcBorders>
              <w:top w:val="single" w:sz="4" w:space="0" w:color="000000"/>
              <w:left w:val="nil" w:sz="6" w:space="0" w:color="auto"/>
              <w:bottom w:val="single" w:sz="4" w:space="0" w:color="000000"/>
              <w:right w:val="single" w:sz="4" w:space="0" w:color="000000"/>
            </w:tcBorders>
          </w:tcPr>
          <w:p>
            <w:pPr/>
          </w:p>
        </w:tc>
      </w:tr>
      <w:tr>
        <w:trPr>
          <w:trHeight w:val="794" w:hRule="exact"/>
        </w:trPr>
        <w:tc>
          <w:tcPr>
            <w:tcW w:w="2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92"/>
              <w:ind w:left="24" w:right="14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7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名股东之间不存在关联关系，也不属于一致行动人。</w:t>
            </w: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名股东之间是否存在关联关系，也未知是否属于一致行动人。</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6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10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17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69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10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1771"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96" w:type="dxa"/>
            <w:gridSpan w:val="2"/>
            <w:vMerge/>
            <w:tcBorders>
              <w:left w:val="single" w:sz="4" w:space="0" w:color="000000"/>
              <w:bottom w:val="nil" w:sz="6" w:space="0" w:color="auto"/>
              <w:right w:val="single" w:sz="4" w:space="0" w:color="000000"/>
            </w:tcBorders>
            <w:shd w:val="clear" w:color="auto" w:fill="D2D2D2"/>
          </w:tcPr>
          <w:p>
            <w:pPr/>
          </w:p>
        </w:tc>
        <w:tc>
          <w:tcPr>
            <w:tcW w:w="5103" w:type="dxa"/>
            <w:gridSpan w:val="5"/>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6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10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14,928,700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14,928,700</w:t>
            </w:r>
          </w:p>
        </w:tc>
      </w:tr>
      <w:tr>
        <w:trPr>
          <w:trHeight w:val="713"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中关村发展集团股份有限公司</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9,328,949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9,328,949</w:t>
            </w:r>
          </w:p>
        </w:tc>
      </w:tr>
      <w:tr>
        <w:trPr>
          <w:trHeight w:val="715"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5"/>
                <w:sz w:val="18"/>
                <w:szCs w:val="18"/>
              </w:rPr>
              <w:t>深圳市英龙建安（集团）有限公司</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7,330,625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7,330,625</w:t>
            </w:r>
          </w:p>
        </w:tc>
      </w:tr>
      <w:tr>
        <w:trPr>
          <w:trHeight w:val="713"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李平</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442,400</w:t>
            </w:r>
          </w:p>
        </w:tc>
      </w:tr>
      <w:tr>
        <w:trPr>
          <w:trHeight w:val="716"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田宇</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311,400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311,400</w:t>
            </w:r>
          </w:p>
        </w:tc>
      </w:tr>
      <w:tr>
        <w:trPr>
          <w:trHeight w:val="713"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王孟龙</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295,100</w:t>
            </w:r>
          </w:p>
        </w:tc>
      </w:tr>
      <w:tr>
        <w:trPr>
          <w:trHeight w:val="715"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张坤茂</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258,900</w:t>
            </w:r>
          </w:p>
        </w:tc>
      </w:tr>
      <w:tr>
        <w:trPr>
          <w:trHeight w:val="713"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249,635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249,635</w:t>
            </w:r>
          </w:p>
        </w:tc>
      </w:tr>
      <w:tr>
        <w:trPr>
          <w:trHeight w:val="715"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徐策</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242,000</w:t>
            </w:r>
          </w:p>
        </w:tc>
      </w:tr>
      <w:tr>
        <w:trPr>
          <w:trHeight w:val="713"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杜帅</w:t>
            </w:r>
          </w:p>
        </w:tc>
        <w:tc>
          <w:tcPr>
            <w:tcW w:w="5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207,900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207,900</w:t>
            </w:r>
          </w:p>
        </w:tc>
      </w:tr>
      <w:tr>
        <w:trPr>
          <w:trHeight w:val="1340" w:hRule="exact"/>
        </w:trPr>
        <w:tc>
          <w:tcPr>
            <w:tcW w:w="2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4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7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名无限售流通股股东之间不存在关联关系，也不属于一致行动人。</w:t>
            </w:r>
          </w:p>
          <w:p>
            <w:pPr>
              <w:pStyle w:val="TableParagraph"/>
              <w:spacing w:line="300" w:lineRule="auto" w:before="142"/>
              <w:ind w:left="23" w:right="2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4-10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名无限售流通股股东之间是否存在关联关系，也未知是否属于一致行动</w:t>
            </w:r>
            <w:r>
              <w:rPr>
                <w:rFonts w:ascii="宋体" w:hAnsi="宋体" w:cs="宋体" w:eastAsia="宋体" w:hint="default"/>
                <w:sz w:val="18"/>
                <w:szCs w:val="18"/>
              </w:rPr>
              <w:t> 人。</w:t>
            </w:r>
          </w:p>
        </w:tc>
      </w:tr>
      <w:tr>
        <w:trPr>
          <w:trHeight w:val="1025" w:hRule="exact"/>
        </w:trPr>
        <w:tc>
          <w:tcPr>
            <w:tcW w:w="2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687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公司股东王孟龙通过财达证券股份有限公司客户信用交易担保证券账户持有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295,100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295,100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r>
          </w:p>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公司股东徐策除通过普通证券账户持有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股外，还通过中国国际金融股份有限公</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p>
      <w:pPr>
        <w:spacing w:line="1085"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479.05pt;height:54.3pt;mso-position-horizontal-relative:char;mso-position-vertical-relative:line" coordorigin="0,0" coordsize="9581,1086">
            <v:group style="position:absolute;left:12;top:14;width:2685;height:1057" coordorigin="12,14" coordsize="2685,1057">
              <v:shape style="position:absolute;left:12;top:14;width:2685;height:1057" coordorigin="12,14" coordsize="2685,1057" path="m12,1071l2696,1071,2696,14,12,14,12,1071xe" filled="true" fillcolor="#d2d2d2" stroked="false">
                <v:path arrowok="t"/>
                <v:fill type="solid"/>
              </v:shape>
            </v:group>
            <v:group style="position:absolute;left:10;top:10;width:2687;height:2" coordorigin="10,10" coordsize="2687,2">
              <v:shape style="position:absolute;left:10;top:10;width:2687;height:2" coordorigin="10,10" coordsize="2687,0" path="m10,10l2696,10e" filled="false" stroked="true" strokeweight=".48pt" strokecolor="#000000">
                <v:path arrowok="t"/>
              </v:shape>
            </v:group>
            <v:group style="position:absolute;left:2706;top:10;width:6865;height:2" coordorigin="2706,10" coordsize="6865,2">
              <v:shape style="position:absolute;left:2706;top:10;width:6865;height:2" coordorigin="2706,10" coordsize="6865,0" path="m2706,10l9571,10e" filled="false" stroked="true" strokeweight=".48pt" strokecolor="#000000">
                <v:path arrowok="t"/>
              </v:shape>
            </v:group>
            <v:group style="position:absolute;left:5;top:5;width:2;height:1076" coordorigin="5,5" coordsize="2,1076">
              <v:shape style="position:absolute;left:5;top:5;width:2;height:1076" coordorigin="5,5" coordsize="0,1076" path="m5,5l5,1080e" filled="false" stroked="true" strokeweight=".48pt" strokecolor="#000000">
                <v:path arrowok="t"/>
              </v:shape>
            </v:group>
            <v:group style="position:absolute;left:10;top:1076;width:2687;height:2" coordorigin="10,1076" coordsize="2687,2">
              <v:shape style="position:absolute;left:10;top:1076;width:2687;height:2" coordorigin="10,1076" coordsize="2687,0" path="m10,1076l2696,1076e" filled="false" stroked="true" strokeweight=".48pt" strokecolor="#000000">
                <v:path arrowok="t"/>
              </v:shape>
            </v:group>
            <v:group style="position:absolute;left:2701;top:5;width:2;height:1076" coordorigin="2701,5" coordsize="2,1076">
              <v:shape style="position:absolute;left:2701;top:5;width:2;height:1076" coordorigin="2701,5" coordsize="0,1076" path="m2701,5l2701,1080e" filled="false" stroked="true" strokeweight=".48pt" strokecolor="#000000">
                <v:path arrowok="t"/>
              </v:shape>
            </v:group>
            <v:group style="position:absolute;left:2706;top:1076;width:6865;height:2" coordorigin="2706,1076" coordsize="6865,2">
              <v:shape style="position:absolute;left:2706;top:1076;width:6865;height:2" coordorigin="2706,1076" coordsize="6865,0" path="m2706,1076l9571,1076e" filled="false" stroked="true" strokeweight=".48pt" strokecolor="#000000">
                <v:path arrowok="t"/>
              </v:shape>
            </v:group>
            <v:group style="position:absolute;left:9576;top:5;width:2;height:1076" coordorigin="9576,5" coordsize="2,1076">
              <v:shape style="position:absolute;left:9576;top:5;width:2;height:1076" coordorigin="9576,5" coordsize="0,1076" path="m9576,5l9576,1080e" filled="false" stroked="true" strokeweight=".47998pt" strokecolor="#000000">
                <v:path arrowok="t"/>
              </v:shape>
              <v:shape style="position:absolute;left:2701;top:10;width:6875;height:1066" type="#_x0000_t202" filled="false" stroked="false">
                <v:textbox inset="0,0,0,0">
                  <w:txbxContent>
                    <w:p>
                      <w:pPr>
                        <w:spacing w:before="15"/>
                        <w:ind w:left="28" w:right="0" w:firstLine="0"/>
                        <w:jc w:val="left"/>
                        <w:rPr>
                          <w:rFonts w:ascii="宋体" w:hAnsi="宋体" w:cs="宋体" w:eastAsia="宋体" w:hint="default"/>
                          <w:sz w:val="18"/>
                          <w:szCs w:val="18"/>
                        </w:rPr>
                      </w:pPr>
                      <w:r>
                        <w:rPr>
                          <w:rFonts w:ascii="宋体" w:hAnsi="宋体" w:cs="宋体" w:eastAsia="宋体" w:hint="default"/>
                          <w:sz w:val="18"/>
                          <w:szCs w:val="18"/>
                        </w:rPr>
                        <w:t>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145"/>
                        <w:ind w:left="28" w:right="0" w:firstLine="0"/>
                        <w:jc w:val="left"/>
                        <w:rPr>
                          <w:rFonts w:ascii="宋体" w:hAnsi="宋体" w:cs="宋体" w:eastAsia="宋体" w:hint="default"/>
                          <w:sz w:val="18"/>
                          <w:szCs w:val="18"/>
                        </w:rPr>
                      </w:pPr>
                      <w:r>
                        <w:rPr>
                          <w:rFonts w:ascii="宋体" w:hAnsi="宋体" w:cs="宋体" w:eastAsia="宋体" w:hint="default"/>
                          <w:sz w:val="18"/>
                          <w:szCs w:val="18"/>
                        </w:rPr>
                        <w:t>公司股东杜帅通过华西证券股份有限公司客户信用交易担保证券账户持有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60"/>
                        <w:ind w:left="28" w:right="0" w:firstLine="0"/>
                        <w:jc w:val="left"/>
                        <w:rPr>
                          <w:rFonts w:ascii="宋体" w:hAnsi="宋体" w:cs="宋体" w:eastAsia="宋体" w:hint="default"/>
                          <w:sz w:val="18"/>
                          <w:szCs w:val="18"/>
                        </w:rPr>
                      </w:pPr>
                      <w:r>
                        <w:rPr>
                          <w:rFonts w:ascii="宋体" w:hAnsi="宋体" w:cs="宋体" w:eastAsia="宋体" w:hint="default"/>
                          <w:sz w:val="18"/>
                          <w:szCs w:val="18"/>
                        </w:rPr>
                        <w:t>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xbxContent>
                </v:textbox>
                <w10:wrap type="none"/>
              </v:shape>
            </v:group>
          </v:group>
        </w:pict>
      </w:r>
      <w:r>
        <w:rPr>
          <w:rFonts w:ascii="Times New Roman" w:hAnsi="Times New Roman" w:cs="Times New Roman" w:eastAsia="Times New Roman" w:hint="default"/>
          <w:position w:val="-21"/>
          <w:sz w:val="20"/>
          <w:szCs w:val="20"/>
        </w:rPr>
      </w:r>
    </w:p>
    <w:p>
      <w:pPr>
        <w:pStyle w:val="BodyText"/>
        <w:spacing w:line="240" w:lineRule="auto" w:before="46"/>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414"/>
        <w:jc w:val="left"/>
      </w:pPr>
      <w:r>
        <w:rPr/>
        <w:t>控股股东性质：地方国有控股 控股股东类型：法人</w:t>
      </w:r>
    </w:p>
    <w:tbl>
      <w:tblPr>
        <w:tblW w:w="0" w:type="auto"/>
        <w:jc w:val="left"/>
        <w:tblInd w:w="148" w:type="dxa"/>
        <w:tblLayout w:type="fixed"/>
        <w:tblCellMar>
          <w:top w:w="0" w:type="dxa"/>
          <w:left w:w="0" w:type="dxa"/>
          <w:bottom w:w="0" w:type="dxa"/>
          <w:right w:w="0" w:type="dxa"/>
        </w:tblCellMar>
        <w:tblLook w:val="01E0"/>
      </w:tblPr>
      <w:tblGrid>
        <w:gridCol w:w="2552"/>
        <w:gridCol w:w="1440"/>
        <w:gridCol w:w="1594"/>
        <w:gridCol w:w="1752"/>
        <w:gridCol w:w="2233"/>
      </w:tblGrid>
      <w:tr>
        <w:trPr>
          <w:trHeight w:val="716"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43" w:right="59" w:hanging="38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深圳市资本运营集团有限公司</w:t>
            </w:r>
          </w:p>
          <w:p>
            <w:pPr>
              <w:pStyle w:val="TableParagraph"/>
              <w:spacing w:line="240" w:lineRule="auto" w:before="76"/>
              <w:ind w:left="24" w:right="-2"/>
              <w:jc w:val="left"/>
              <w:rPr>
                <w:rFonts w:ascii="宋体" w:hAnsi="宋体" w:cs="宋体" w:eastAsia="宋体" w:hint="default"/>
                <w:sz w:val="18"/>
                <w:szCs w:val="18"/>
              </w:rPr>
            </w:pPr>
            <w:r>
              <w:rPr>
                <w:rFonts w:ascii="宋体" w:hAnsi="宋体" w:cs="宋体" w:eastAsia="宋体" w:hint="default"/>
                <w:sz w:val="18"/>
                <w:szCs w:val="18"/>
              </w:rPr>
              <w:t>（原深圳市远致投资有限公司）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胡国斌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62"/>
              <w:jc w:val="center"/>
              <w:rPr>
                <w:rFonts w:ascii="Times New Roman" w:hAnsi="Times New Roman" w:cs="Times New Roman" w:eastAsia="Times New Roman" w:hint="default"/>
                <w:sz w:val="18"/>
                <w:szCs w:val="18"/>
              </w:rPr>
            </w:pPr>
            <w:r>
              <w:rPr>
                <w:rFonts w:ascii="Times New Roman"/>
                <w:sz w:val="18"/>
              </w:rPr>
              <w:t>91440300664187170P</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投资兴办各类实业（具体项 </w:t>
            </w:r>
            <w:r>
              <w:rPr>
                <w:rFonts w:ascii="宋体" w:hAnsi="宋体" w:cs="宋体" w:eastAsia="宋体" w:hint="default"/>
                <w:spacing w:val="-14"/>
                <w:sz w:val="18"/>
                <w:szCs w:val="18"/>
              </w:rPr>
              <w:t>目另行申报）；投资业务；投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资管理；资产管理。</w:t>
            </w:r>
          </w:p>
        </w:tc>
      </w:tr>
      <w:tr>
        <w:trPr>
          <w:trHeight w:val="1339"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控股股东报告期内控股和参股 的其他境内外上市公司的股权 情况</w:t>
            </w:r>
          </w:p>
        </w:tc>
        <w:tc>
          <w:tcPr>
            <w:tcW w:w="7019" w:type="dxa"/>
            <w:gridSpan w:val="4"/>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截至本年度报告披露日，公司未收到控股股东报告期内控股和参股的其他境内外上市公司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的股权情况，仅从公开信息查询其投资境内外上市公司情况：中洲控股（证券代码： </w:t>
            </w:r>
            <w:r>
              <w:rPr>
                <w:rFonts w:ascii="Times New Roman" w:hAnsi="Times New Roman" w:cs="Times New Roman" w:eastAsia="Times New Roman" w:hint="default"/>
                <w:spacing w:val="-10"/>
                <w:sz w:val="18"/>
                <w:szCs w:val="18"/>
              </w:rPr>
              <w:t>000042</w:t>
            </w:r>
            <w:r>
              <w:rPr>
                <w:rFonts w:ascii="宋体" w:hAnsi="宋体" w:cs="宋体" w:eastAsia="宋体" w:hint="default"/>
                <w:spacing w:val="-10"/>
                <w:sz w:val="18"/>
                <w:szCs w:val="18"/>
              </w:rPr>
              <w:t>）；深振业</w:t>
            </w:r>
            <w:r>
              <w:rPr>
                <w:rFonts w:ascii="宋体" w:hAnsi="宋体" w:cs="宋体" w:eastAsia="宋体" w:hint="default"/>
                <w:spacing w:val="-36"/>
                <w:sz w:val="18"/>
                <w:szCs w:val="18"/>
              </w:rPr>
              <w:t> </w:t>
            </w:r>
            <w:r>
              <w:rPr>
                <w:rFonts w:ascii="Times New Roman" w:hAnsi="Times New Roman" w:cs="Times New Roman" w:eastAsia="Times New Roman" w:hint="default"/>
                <w:spacing w:val="-4"/>
                <w:w w:val="99"/>
                <w:sz w:val="18"/>
                <w:szCs w:val="18"/>
              </w:rPr>
              <w:t>A</w:t>
            </w:r>
            <w:r>
              <w:rPr>
                <w:rFonts w:ascii="宋体" w:hAnsi="宋体" w:cs="宋体" w:eastAsia="宋体" w:hint="default"/>
                <w:spacing w:val="-4"/>
                <w:w w:val="99"/>
                <w:sz w:val="18"/>
                <w:szCs w:val="18"/>
              </w:rPr>
              <w:t>（证券代码：</w:t>
            </w:r>
            <w:r>
              <w:rPr>
                <w:rFonts w:ascii="Times New Roman" w:hAnsi="Times New Roman" w:cs="Times New Roman" w:eastAsia="Times New Roman" w:hint="default"/>
                <w:spacing w:val="-4"/>
                <w:w w:val="99"/>
                <w:sz w:val="18"/>
                <w:szCs w:val="18"/>
              </w:rPr>
              <w:t>000006</w:t>
            </w:r>
            <w:r>
              <w:rPr>
                <w:rFonts w:ascii="宋体" w:hAnsi="宋体" w:cs="宋体" w:eastAsia="宋体" w:hint="default"/>
                <w:spacing w:val="-4"/>
                <w:w w:val="99"/>
                <w:sz w:val="18"/>
                <w:szCs w:val="18"/>
              </w:rPr>
              <w:t>）；天健集团（证券代码：</w:t>
            </w:r>
            <w:r>
              <w:rPr>
                <w:rFonts w:ascii="Times New Roman" w:hAnsi="Times New Roman" w:cs="Times New Roman" w:eastAsia="Times New Roman" w:hint="default"/>
                <w:spacing w:val="-4"/>
                <w:w w:val="99"/>
                <w:sz w:val="18"/>
                <w:szCs w:val="18"/>
              </w:rPr>
              <w:t>000090</w:t>
            </w:r>
            <w:r>
              <w:rPr>
                <w:rFonts w:ascii="宋体" w:hAnsi="宋体" w:cs="宋体" w:eastAsia="宋体" w:hint="default"/>
                <w:spacing w:val="-4"/>
                <w:w w:val="99"/>
                <w:sz w:val="18"/>
                <w:szCs w:val="18"/>
              </w:rPr>
              <w:t>）国投资本（证</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pacing w:val="-10"/>
                <w:sz w:val="18"/>
                <w:szCs w:val="18"/>
              </w:rPr>
              <w:t>券代码：</w:t>
            </w:r>
            <w:r>
              <w:rPr>
                <w:rFonts w:ascii="Times New Roman" w:hAnsi="Times New Roman" w:cs="Times New Roman" w:eastAsia="Times New Roman" w:hint="default"/>
                <w:spacing w:val="-10"/>
                <w:sz w:val="18"/>
                <w:szCs w:val="18"/>
              </w:rPr>
              <w:t>600061</w:t>
            </w:r>
            <w:r>
              <w:rPr>
                <w:rFonts w:ascii="宋体" w:hAnsi="宋体" w:cs="宋体" w:eastAsia="宋体" w:hint="default"/>
                <w:spacing w:val="-10"/>
                <w:sz w:val="18"/>
                <w:szCs w:val="18"/>
              </w:rPr>
              <w:t>）；科陆电子（证券代码：</w:t>
            </w:r>
            <w:r>
              <w:rPr>
                <w:rFonts w:ascii="Times New Roman" w:hAnsi="Times New Roman" w:cs="Times New Roman" w:eastAsia="Times New Roman" w:hint="default"/>
                <w:spacing w:val="-10"/>
                <w:sz w:val="18"/>
                <w:szCs w:val="18"/>
              </w:rPr>
              <w:t>002121</w:t>
            </w:r>
            <w:r>
              <w:rPr>
                <w:rFonts w:ascii="宋体" w:hAnsi="宋体" w:cs="宋体" w:eastAsia="宋体" w:hint="default"/>
                <w:spacing w:val="-10"/>
                <w:sz w:val="18"/>
                <w:szCs w:val="18"/>
              </w:rPr>
              <w:t>）。</w:t>
            </w:r>
            <w:r>
              <w:rPr>
                <w:rFonts w:ascii="宋体" w:hAnsi="宋体" w:cs="宋体" w:eastAsia="宋体" w:hint="default"/>
                <w:sz w:val="18"/>
                <w:szCs w:val="18"/>
              </w:rPr>
            </w:r>
          </w:p>
        </w:tc>
      </w:tr>
    </w:tbl>
    <w:p>
      <w:pPr>
        <w:pStyle w:val="BodyText"/>
        <w:spacing w:line="240" w:lineRule="auto" w:before="65"/>
        <w:ind w:right="0"/>
        <w:jc w:val="left"/>
      </w:pPr>
      <w:r>
        <w:rPr/>
        <w:t>控股股东报告期内变更</w:t>
      </w:r>
    </w:p>
    <w:p>
      <w:pPr>
        <w:pStyle w:val="BodyText"/>
        <w:spacing w:line="340" w:lineRule="auto" w:before="115"/>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874"/>
        <w:jc w:val="left"/>
      </w:pPr>
      <w:r>
        <w:rPr/>
        <w:t>实际控制人性质：地方国资管理机构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199"/>
        <w:gridCol w:w="1489"/>
        <w:gridCol w:w="1738"/>
        <w:gridCol w:w="1594"/>
        <w:gridCol w:w="2552"/>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70" w:right="83" w:hanging="38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深圳市人民政府国有资产 监督管理委员会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余钢</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K31728067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根据市政府授权，依照法律规履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行出资人职责，依法维护国有资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产出人权益等。</w:t>
            </w:r>
          </w:p>
        </w:tc>
      </w:tr>
      <w:tr>
        <w:trPr>
          <w:trHeight w:val="102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82"/>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深圳机场、盐田港、能源集团、深振业</w:t>
            </w:r>
            <w:r>
              <w:rPr>
                <w:rFonts w:ascii="宋体" w:hAnsi="宋体" w:cs="宋体" w:eastAsia="宋体" w:hint="default"/>
                <w:spacing w:val="-32"/>
                <w:sz w:val="18"/>
                <w:szCs w:val="18"/>
              </w:rPr>
              <w:t> </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、天健集团、农产品、特发信息、沙河股份等上市公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r>
    </w:tbl>
    <w:p>
      <w:pPr>
        <w:pStyle w:val="BodyText"/>
        <w:spacing w:line="240" w:lineRule="auto" w:before="68"/>
        <w:ind w:right="0"/>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p>
      <w:pPr>
        <w:spacing w:line="3375" w:lineRule="exact"/>
        <w:ind w:left="1355"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590869" cy="21431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2" cstate="print"/>
                    <a:stretch>
                      <a:fillRect/>
                    </a:stretch>
                  </pic:blipFill>
                  <pic:spPr>
                    <a:xfrm>
                      <a:off x="0" y="0"/>
                      <a:ext cx="4590869" cy="2143125"/>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12"/>
        <w:rPr>
          <w:rFonts w:ascii="宋体" w:hAnsi="宋体" w:cs="宋体" w:eastAsia="宋体" w:hint="default"/>
          <w:sz w:val="24"/>
          <w:szCs w:val="24"/>
        </w:rPr>
      </w:pPr>
    </w:p>
    <w:p>
      <w:pPr>
        <w:pStyle w:val="Heading3"/>
        <w:spacing w:line="240" w:lineRule="auto" w:before="15"/>
        <w:ind w:right="0"/>
        <w:jc w:val="left"/>
      </w:pPr>
      <w:r>
        <w:rPr>
          <w:b w:val="0"/>
          <w:bCs w:val="0"/>
        </w:rPr>
        <w:t>实际控制人通过信托或其他资产管理方式控制公司</w:t>
      </w:r>
      <w:r>
        <w:rPr/>
      </w:r>
    </w:p>
    <w:p>
      <w:pPr>
        <w:spacing w:line="240" w:lineRule="auto" w:before="4"/>
        <w:rPr>
          <w:rFonts w:ascii="等线 Light" w:hAnsi="等线 Light" w:cs="等线 Light" w:eastAsia="等线 Light" w:hint="default"/>
          <w:b w:val="0"/>
          <w:bCs w:val="0"/>
          <w:sz w:val="29"/>
          <w:szCs w:val="2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5"/>
        <w:gridCol w:w="1699"/>
        <w:gridCol w:w="1560"/>
        <w:gridCol w:w="1488"/>
        <w:gridCol w:w="2127"/>
      </w:tblGrid>
      <w:tr>
        <w:trPr>
          <w:trHeight w:val="71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0"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64" w:right="96" w:hanging="56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刘俊跃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5824.11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股权投资</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0"/>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4" w:right="0"/>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0"/>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71.583008pt;margin-top:32.855602pt;width:63.6pt;height:50.9pt;mso-position-horizontal-relative:page;mso-position-vertical-relative:paragraph;z-index:-11637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7"/>
        <w:gridCol w:w="797"/>
        <w:gridCol w:w="797"/>
        <w:gridCol w:w="800"/>
        <w:gridCol w:w="797"/>
        <w:gridCol w:w="799"/>
        <w:gridCol w:w="797"/>
        <w:gridCol w:w="799"/>
        <w:gridCol w:w="797"/>
      </w:tblGrid>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1"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2552"/>
        <w:gridCol w:w="1275"/>
        <w:gridCol w:w="1843"/>
        <w:gridCol w:w="2621"/>
      </w:tblGrid>
      <w:tr>
        <w:trPr>
          <w:trHeight w:val="40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财务负责人（财务总监）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工作调动</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叶小平</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财务负责人（财务总监）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工作调动</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叶小平</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工作调动（获聘公司副总经理）</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兰岚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刘俊跃</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个人原因（亲属关系回避不再担 任公司副总经理）</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莫福光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工作调动</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3734"/>
        <w:jc w:val="left"/>
      </w:pPr>
      <w:r>
        <w:rPr/>
        <w:t>公司现任董事、监事、高级管理人员专业背景、主要工作经历以及目前在公司的主要职责 一、董事会成员</w:t>
      </w:r>
    </w:p>
    <w:p>
      <w:pPr>
        <w:pStyle w:val="BodyText"/>
        <w:spacing w:line="236" w:lineRule="exact"/>
        <w:ind w:right="0"/>
        <w:jc w:val="left"/>
      </w:pPr>
      <w:r>
        <w:rPr>
          <w:rFonts w:ascii="Times New Roman" w:hAnsi="Times New Roman" w:cs="Times New Roman" w:eastAsia="Times New Roman" w:hint="default"/>
        </w:rPr>
        <w:t>1</w:t>
      </w:r>
      <w:r>
        <w:rPr/>
        <w:t>、叶青，女，</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10</w:t>
      </w:r>
      <w:r>
        <w:rPr/>
        <w:t>月生，建筑学专业研究生学历，中国国籍，无境外永久居留权，教授级高级工程师，</w:t>
      </w:r>
      <w:r>
        <w:rPr>
          <w:rFonts w:ascii="Times New Roman" w:hAnsi="Times New Roman" w:cs="Times New Roman" w:eastAsia="Times New Roman" w:hint="default"/>
        </w:rPr>
        <w:t>1993</w:t>
      </w:r>
      <w:r>
        <w:rPr/>
        <w:t>年毕业于</w:t>
      </w:r>
    </w:p>
    <w:p>
      <w:pPr>
        <w:pStyle w:val="BodyText"/>
        <w:spacing w:line="307" w:lineRule="auto" w:before="63"/>
        <w:ind w:right="1034"/>
        <w:jc w:val="left"/>
      </w:pPr>
      <w:r>
        <w:rPr>
          <w:spacing w:val="-2"/>
        </w:rPr>
        <w:t>浙江大学建筑学专业。</w:t>
      </w:r>
      <w:r>
        <w:rPr>
          <w:rFonts w:ascii="Times New Roman" w:hAnsi="Times New Roman" w:cs="Times New Roman" w:eastAsia="Times New Roman" w:hint="default"/>
          <w:spacing w:val="-2"/>
        </w:rPr>
        <w:t>2007</w:t>
      </w:r>
      <w:r>
        <w:rPr>
          <w:spacing w:val="-2"/>
        </w:rPr>
        <w:t>年起任深圳市建筑设计研究总院有限公司副总经理、执行总建筑师，兼深圳市建筑科学研究院有</w:t>
      </w:r>
      <w:r>
        <w:rPr>
          <w:spacing w:val="-60"/>
        </w:rPr>
        <w:t> </w:t>
      </w:r>
      <w:r>
        <w:rPr>
          <w:spacing w:val="-60"/>
        </w:rPr>
      </w:r>
      <w:r>
        <w:rPr/>
        <w:t>限公司董事长、党委书记；</w:t>
      </w:r>
      <w:r>
        <w:rPr>
          <w:rFonts w:ascii="Times New Roman" w:hAnsi="Times New Roman" w:cs="Times New Roman" w:eastAsia="Times New Roman" w:hint="default"/>
        </w:rPr>
        <w:t>2008</w:t>
      </w:r>
      <w:r>
        <w:rPr/>
        <w:t>年起任深圳市建筑科学研究院有限公司董事长、党委书记；现任本公司董事长、党委书记， 深圳市人大常委会常委。 </w:t>
      </w:r>
      <w:r>
        <w:rPr>
          <w:rFonts w:ascii="Times New Roman" w:hAnsi="Times New Roman" w:cs="Times New Roman" w:eastAsia="Times New Roman" w:hint="default"/>
          <w:spacing w:val="-5"/>
        </w:rPr>
        <w:t>2</w:t>
      </w:r>
      <w:r>
        <w:rPr>
          <w:spacing w:val="-5"/>
        </w:rPr>
        <w:t>、陈泽广，男，</w:t>
      </w:r>
      <w:r>
        <w:rPr>
          <w:rFonts w:ascii="Times New Roman" w:hAnsi="Times New Roman" w:cs="Times New Roman" w:eastAsia="Times New Roman" w:hint="default"/>
          <w:spacing w:val="-5"/>
        </w:rPr>
        <w:t>1965</w:t>
      </w:r>
      <w:r>
        <w:rPr>
          <w:spacing w:val="-5"/>
        </w:rPr>
        <w:t>年</w:t>
      </w:r>
      <w:r>
        <w:rPr>
          <w:rFonts w:ascii="Times New Roman" w:hAnsi="Times New Roman" w:cs="Times New Roman" w:eastAsia="Times New Roman" w:hint="default"/>
          <w:spacing w:val="-5"/>
        </w:rPr>
        <w:t>4</w:t>
      </w:r>
      <w:r>
        <w:rPr>
          <w:spacing w:val="-5"/>
        </w:rPr>
        <w:t>月生，结构工程专业研究生学历，中国国籍，无境外永久居留权，教授级高级工程师。</w:t>
      </w:r>
      <w:r>
        <w:rPr>
          <w:rFonts w:ascii="Times New Roman" w:hAnsi="Times New Roman" w:cs="Times New Roman" w:eastAsia="Times New Roman" w:hint="default"/>
          <w:spacing w:val="-5"/>
        </w:rPr>
        <w:t>2003</w:t>
      </w:r>
      <w:r>
        <w:rPr>
          <w:spacing w:val="-5"/>
        </w:rPr>
        <w:t>年至</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2"/>
        </w:rPr>
        <w:t>年于深圳市建筑科学研究院有限公司担任院总工程师、副院长；</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2013</w:t>
      </w:r>
      <w:r>
        <w:rPr>
          <w:spacing w:val="-2"/>
        </w:rPr>
        <w:t>年于深圳市建筑科学研究院有限公司有限担任</w:t>
      </w:r>
      <w:r>
        <w:rPr>
          <w:spacing w:val="-59"/>
        </w:rPr>
        <w:t> </w:t>
      </w:r>
      <w:r>
        <w:rPr>
          <w:spacing w:val="-59"/>
        </w:rPr>
      </w:r>
      <w:r>
        <w:rPr/>
        <w:t>董事、总经理。现任本公司董事、总经理。 </w:t>
      </w:r>
      <w:r>
        <w:rPr>
          <w:rFonts w:ascii="Times New Roman" w:hAnsi="Times New Roman" w:cs="Times New Roman" w:eastAsia="Times New Roman" w:hint="default"/>
        </w:rPr>
        <w:t>3</w:t>
      </w:r>
      <w:r>
        <w:rPr/>
        <w:t>、黄庆，男，</w:t>
      </w:r>
      <w:r>
        <w:rPr>
          <w:rFonts w:ascii="Times New Roman" w:hAnsi="Times New Roman" w:cs="Times New Roman" w:eastAsia="Times New Roman" w:hint="default"/>
        </w:rPr>
        <w:t>1971</w:t>
      </w:r>
      <w:r>
        <w:rPr/>
        <w:t>年出生，中共党员，武汉大学投资经济专业毕业，研究生学历，管理学硕士，中国国籍，无境外永久居 </w:t>
      </w:r>
      <w:r>
        <w:rPr>
          <w:spacing w:val="-4"/>
        </w:rPr>
        <w:t>留权。现任深圳市资本运营集团有限公司（原深圳市远致投资有限公司）副总经理，历任山西省政府驻广州办事处党组成员、</w:t>
      </w:r>
      <w:r>
        <w:rPr>
          <w:spacing w:val="-46"/>
        </w:rPr>
        <w:t> </w:t>
      </w:r>
      <w:r>
        <w:rPr>
          <w:spacing w:val="-46"/>
        </w:rPr>
      </w:r>
      <w:r>
        <w:rPr/>
        <w:t>副主任，山西省政府办公厅、国家文化部、湖南省政府办公厅、深圳市政府办公厅处级干部。</w:t>
      </w:r>
    </w:p>
    <w:p>
      <w:pPr>
        <w:spacing w:after="0" w:line="307"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24"/>
        <w:jc w:val="left"/>
      </w:pPr>
      <w:r>
        <w:rPr>
          <w:rFonts w:ascii="Times New Roman" w:hAnsi="Times New Roman" w:cs="Times New Roman" w:eastAsia="Times New Roman" w:hint="default"/>
          <w:spacing w:val="-2"/>
        </w:rPr>
        <w:t>4</w:t>
      </w:r>
      <w:r>
        <w:rPr>
          <w:spacing w:val="-2"/>
        </w:rPr>
        <w:t>、邵顺昌，男，</w:t>
      </w:r>
      <w:r>
        <w:rPr>
          <w:rFonts w:ascii="Times New Roman" w:hAnsi="Times New Roman" w:cs="Times New Roman" w:eastAsia="Times New Roman" w:hint="default"/>
          <w:spacing w:val="-2"/>
        </w:rPr>
        <w:t>1959</w:t>
      </w:r>
      <w:r>
        <w:rPr>
          <w:spacing w:val="-2"/>
        </w:rPr>
        <w:t>年</w:t>
      </w:r>
      <w:r>
        <w:rPr>
          <w:rFonts w:ascii="Times New Roman" w:hAnsi="Times New Roman" w:cs="Times New Roman" w:eastAsia="Times New Roman" w:hint="default"/>
          <w:spacing w:val="-2"/>
        </w:rPr>
        <w:t>5</w:t>
      </w:r>
      <w:r>
        <w:rPr>
          <w:spacing w:val="-2"/>
        </w:rPr>
        <w:t>月生，电子工程专业研究生学历，中国国籍，无境外永久居留权。</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2009</w:t>
      </w:r>
      <w:r>
        <w:rPr>
          <w:spacing w:val="-2"/>
        </w:rPr>
        <w:t>年任中关村科技园</w:t>
      </w:r>
      <w:r>
        <w:rPr>
          <w:spacing w:val="-63"/>
        </w:rPr>
        <w:t> </w:t>
      </w:r>
      <w:r>
        <w:rPr>
          <w:spacing w:val="-63"/>
        </w:rPr>
      </w:r>
      <w:r>
        <w:rPr>
          <w:spacing w:val="-2"/>
        </w:rPr>
        <w:t>区管委会投融资促进处处长；</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2010</w:t>
      </w:r>
      <w:r>
        <w:rPr>
          <w:spacing w:val="-2"/>
        </w:rPr>
        <w:t>年任中关村科技园区管委会国际交流合作处处长；</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2019</w:t>
      </w:r>
      <w:r>
        <w:rPr>
          <w:spacing w:val="-2"/>
        </w:rPr>
        <w:t>年任中关村发展</w:t>
      </w:r>
      <w:r>
        <w:rPr>
          <w:spacing w:val="-54"/>
        </w:rPr>
        <w:t> </w:t>
      </w:r>
      <w:r>
        <w:rPr>
          <w:spacing w:val="-54"/>
        </w:rPr>
      </w:r>
      <w:r>
        <w:rPr>
          <w:spacing w:val="-2"/>
        </w:rPr>
        <w:t>股份有限公司总经理助理，北京知识产权运营管理有限公司董事长、总经理。现任本公司董事，兼任中关村发展集团有限公</w:t>
      </w:r>
      <w:r>
        <w:rPr>
          <w:spacing w:val="-64"/>
        </w:rPr>
        <w:t> </w:t>
      </w:r>
      <w:r>
        <w:rPr>
          <w:spacing w:val="-64"/>
        </w:rPr>
      </w:r>
      <w:r>
        <w:rPr/>
        <w:t>司董事。 </w:t>
      </w:r>
      <w:r>
        <w:rPr>
          <w:rFonts w:ascii="Times New Roman" w:hAnsi="Times New Roman" w:cs="Times New Roman" w:eastAsia="Times New Roman" w:hint="default"/>
        </w:rPr>
        <w:t>5</w:t>
      </w:r>
      <w:r>
        <w:rPr/>
        <w:t>、叶小平，男，</w:t>
      </w:r>
      <w:r>
        <w:rPr>
          <w:rFonts w:ascii="Times New Roman" w:hAnsi="Times New Roman" w:cs="Times New Roman" w:eastAsia="Times New Roman" w:hint="default"/>
        </w:rPr>
        <w:t>1981</w:t>
      </w:r>
      <w:r>
        <w:rPr/>
        <w:t>年生，中共党员，毕业于厦门大学，研究生学历，中国国籍，无境外永久居留权，英国特许公认会计 </w:t>
      </w:r>
      <w:r>
        <w:rPr>
          <w:spacing w:val="-2"/>
        </w:rPr>
        <w:t>师资深会员。历任深圳市燃气集团股份有限公司赣州公司财务部部长、星美传媒集团财务总监、深圳市远致投资有限公司计</w:t>
      </w:r>
      <w:r>
        <w:rPr>
          <w:spacing w:val="-62"/>
        </w:rPr>
        <w:t> </w:t>
      </w:r>
      <w:r>
        <w:rPr>
          <w:spacing w:val="-62"/>
        </w:rPr>
      </w:r>
      <w:r>
        <w:rPr/>
        <w:t>划财务部副部长等职务。现任本公司董事、财务负责人兼财务总监。 </w:t>
      </w:r>
      <w:r>
        <w:rPr>
          <w:rFonts w:ascii="Times New Roman" w:hAnsi="Times New Roman" w:cs="Times New Roman" w:eastAsia="Times New Roman" w:hint="default"/>
        </w:rPr>
        <w:t>6</w:t>
      </w:r>
      <w:r>
        <w:rPr/>
        <w:t>、林晓春，女，</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2</w:t>
      </w:r>
      <w:r>
        <w:rPr/>
        <w:t>月生，法学专业研究生学历，中国国籍，无境外永久居留权。自</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月以来至今担任广东信达 </w:t>
      </w:r>
      <w:r>
        <w:rPr>
          <w:spacing w:val="-2"/>
        </w:rPr>
        <w:t>律师事务所律师、高级合伙人。现任本公司独立董事，兼任广东信达律师事务所高级合伙人、深圳市君和睿通科技股份有限</w:t>
      </w:r>
      <w:r>
        <w:rPr>
          <w:spacing w:val="-64"/>
        </w:rPr>
        <w:t> </w:t>
      </w:r>
      <w:r>
        <w:rPr>
          <w:spacing w:val="-64"/>
        </w:rPr>
      </w:r>
      <w:r>
        <w:rPr/>
        <w:t>公司董事等。 </w:t>
      </w:r>
      <w:r>
        <w:rPr>
          <w:rFonts w:ascii="Times New Roman" w:hAnsi="Times New Roman" w:cs="Times New Roman" w:eastAsia="Times New Roman" w:hint="default"/>
        </w:rPr>
        <w:t>7</w:t>
      </w:r>
      <w:r>
        <w:rPr/>
        <w:t>、郑学定，男，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6</w:t>
      </w:r>
      <w:r>
        <w:rPr/>
        <w:t>月出生，会计专业研究生学历，中国国籍，无境外永久居留权。注册会计师、高级会计师。</w:t>
      </w:r>
      <w:r>
        <w:rPr>
          <w:rFonts w:ascii="Times New Roman" w:hAnsi="Times New Roman" w:cs="Times New Roman" w:eastAsia="Times New Roman" w:hint="default"/>
        </w:rPr>
        <w:t>2006 </w:t>
      </w:r>
      <w:r>
        <w:rPr>
          <w:spacing w:val="-2"/>
        </w:rPr>
        <w:t>年至今历任天健会计师事务所深圳分所合伙人、大华会计师事务所深圳分所合伙人。现任职本公司独立董事，兼任深圳市银</w:t>
      </w:r>
      <w:r>
        <w:rPr>
          <w:spacing w:val="-62"/>
        </w:rPr>
        <w:t> </w:t>
      </w:r>
      <w:r>
        <w:rPr>
          <w:spacing w:val="-62"/>
        </w:rPr>
      </w:r>
      <w:r>
        <w:rPr/>
        <w:t>之杰科技股份有限公司独立董事、国银金融租赁股份有限公司独立董事、国信证券股份有限公司独立董事。 </w:t>
      </w:r>
      <w:r>
        <w:rPr>
          <w:rFonts w:ascii="Times New Roman" w:hAnsi="Times New Roman" w:cs="Times New Roman" w:eastAsia="Times New Roman" w:hint="default"/>
          <w:spacing w:val="-2"/>
        </w:rPr>
        <w:t>8</w:t>
      </w:r>
      <w:r>
        <w:rPr>
          <w:spacing w:val="-2"/>
        </w:rPr>
        <w:t>、吴硕贤，男，</w:t>
      </w:r>
      <w:r>
        <w:rPr>
          <w:rFonts w:ascii="Times New Roman" w:hAnsi="Times New Roman" w:cs="Times New Roman" w:eastAsia="Times New Roman" w:hint="default"/>
          <w:spacing w:val="-2"/>
        </w:rPr>
        <w:t>1947</w:t>
      </w:r>
      <w:r>
        <w:rPr>
          <w:spacing w:val="-2"/>
        </w:rPr>
        <w:t>年</w:t>
      </w:r>
      <w:r>
        <w:rPr>
          <w:rFonts w:ascii="Times New Roman" w:hAnsi="Times New Roman" w:cs="Times New Roman" w:eastAsia="Times New Roman" w:hint="default"/>
          <w:spacing w:val="-2"/>
        </w:rPr>
        <w:t>5</w:t>
      </w:r>
      <w:r>
        <w:rPr>
          <w:spacing w:val="-2"/>
        </w:rPr>
        <w:t>月生，城市规划与设计专业博士学历，中国国籍，无境外永久居留权。</w:t>
      </w:r>
      <w:r>
        <w:rPr>
          <w:rFonts w:ascii="Times New Roman" w:hAnsi="Times New Roman" w:cs="Times New Roman" w:eastAsia="Times New Roman" w:hint="default"/>
          <w:spacing w:val="-2"/>
        </w:rPr>
        <w:t>2005</w:t>
      </w:r>
      <w:r>
        <w:rPr>
          <w:spacing w:val="-2"/>
        </w:rPr>
        <w:t>年当选为中国科学院院</w:t>
      </w:r>
      <w:r>
        <w:rPr>
          <w:spacing w:val="-65"/>
        </w:rPr>
        <w:t> </w:t>
      </w:r>
      <w:r>
        <w:rPr>
          <w:spacing w:val="-65"/>
        </w:rPr>
      </w:r>
      <w:r>
        <w:rPr/>
        <w:t>士；</w:t>
      </w:r>
      <w:r>
        <w:rPr>
          <w:rFonts w:ascii="Times New Roman" w:hAnsi="Times New Roman" w:cs="Times New Roman" w:eastAsia="Times New Roman" w:hint="default"/>
        </w:rPr>
        <w:t>2007</w:t>
      </w:r>
      <w:r>
        <w:rPr/>
        <w:t>年至今，任职本公司独立董事，兼任中国声学学会理事，中国科学院技术科学部副主任等。</w:t>
      </w:r>
    </w:p>
    <w:p>
      <w:pPr>
        <w:spacing w:line="240" w:lineRule="auto" w:before="3"/>
        <w:rPr>
          <w:rFonts w:ascii="宋体" w:hAnsi="宋体" w:cs="宋体" w:eastAsia="宋体" w:hint="default"/>
          <w:sz w:val="24"/>
          <w:szCs w:val="24"/>
        </w:rPr>
      </w:pPr>
    </w:p>
    <w:p>
      <w:pPr>
        <w:pStyle w:val="BodyText"/>
        <w:spacing w:line="312" w:lineRule="auto"/>
        <w:ind w:right="0"/>
        <w:jc w:val="left"/>
      </w:pPr>
      <w:r>
        <w:rPr/>
        <w:t>二、监事会成员 </w:t>
      </w:r>
      <w:r>
        <w:rPr>
          <w:rFonts w:ascii="Times New Roman" w:hAnsi="Times New Roman" w:cs="Times New Roman" w:eastAsia="Times New Roman" w:hint="default"/>
          <w:spacing w:val="-2"/>
        </w:rPr>
        <w:t>1</w:t>
      </w:r>
      <w:r>
        <w:rPr>
          <w:spacing w:val="-2"/>
        </w:rPr>
        <w:t>、蔡素娟，女，</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8</w:t>
      </w:r>
      <w:r>
        <w:rPr>
          <w:spacing w:val="-2"/>
        </w:rPr>
        <w:t>月生，广东五华人，汉族，毕业于中国石油大学会计学专业，本科学历，会计师，中国国籍，无境</w:t>
      </w:r>
      <w:r>
        <w:rPr>
          <w:spacing w:val="-66"/>
        </w:rPr>
        <w:t> </w:t>
      </w:r>
      <w:r>
        <w:rPr>
          <w:spacing w:val="-66"/>
        </w:rPr>
      </w:r>
      <w:r>
        <w:rPr>
          <w:spacing w:val="-2"/>
        </w:rPr>
        <w:t>外永久居留权。历任深圳市水务投资公司董事财务总监、深圳市远致投资有限公司财务部高级经理、深圳市投资控股有限公</w:t>
      </w:r>
      <w:r>
        <w:rPr>
          <w:spacing w:val="-63"/>
        </w:rPr>
        <w:t> </w:t>
      </w:r>
      <w:r>
        <w:rPr>
          <w:spacing w:val="-63"/>
        </w:rPr>
      </w:r>
      <w:r>
        <w:rPr>
          <w:spacing w:val="-2"/>
        </w:rPr>
        <w:t>司企业改革部副经理（期间借调至深圳市国有资产监督管理委员会统计评价处工作）、深圳市商贸投资控股公司审计部、企</w:t>
      </w:r>
      <w:r>
        <w:rPr>
          <w:spacing w:val="-66"/>
        </w:rPr>
        <w:t> </w:t>
      </w:r>
      <w:r>
        <w:rPr>
          <w:spacing w:val="-66"/>
        </w:rPr>
      </w:r>
      <w:r>
        <w:rPr>
          <w:spacing w:val="-2"/>
        </w:rPr>
        <w:t>管发展部副科长（期间派驻至深圳市放小办）、深圳外贸报关公司财务部副经理等职务。现任深圳市建筑科学研究院股份有</w:t>
      </w:r>
      <w:r>
        <w:rPr>
          <w:spacing w:val="-64"/>
        </w:rPr>
        <w:t> </w:t>
      </w:r>
      <w:r>
        <w:rPr>
          <w:spacing w:val="-64"/>
        </w:rPr>
      </w:r>
      <w:r>
        <w:rPr/>
        <w:t>限公司监事会主席。 </w:t>
      </w:r>
      <w:r>
        <w:rPr>
          <w:rFonts w:ascii="Times New Roman" w:hAnsi="Times New Roman" w:cs="Times New Roman" w:eastAsia="Times New Roman" w:hint="default"/>
          <w:spacing w:val="-1"/>
        </w:rPr>
        <w:t>2</w:t>
      </w:r>
      <w:r>
        <w:rPr>
          <w:spacing w:val="-1"/>
        </w:rPr>
        <w:t>、吴曦东，</w:t>
      </w:r>
      <w:r>
        <w:rPr>
          <w:rFonts w:ascii="Times New Roman" w:hAnsi="Times New Roman" w:cs="Times New Roman" w:eastAsia="Times New Roman" w:hint="default"/>
          <w:spacing w:val="-1"/>
        </w:rPr>
        <w:t>1988</w:t>
      </w:r>
      <w:r>
        <w:rPr>
          <w:spacing w:val="-1"/>
        </w:rPr>
        <w:t>年</w:t>
      </w:r>
      <w:r>
        <w:rPr>
          <w:rFonts w:ascii="Times New Roman" w:hAnsi="Times New Roman" w:cs="Times New Roman" w:eastAsia="Times New Roman" w:hint="default"/>
          <w:spacing w:val="-1"/>
        </w:rPr>
        <w:t>10</w:t>
      </w:r>
      <w:r>
        <w:rPr>
          <w:spacing w:val="-1"/>
        </w:rPr>
        <w:t>月，男，美国加州大学圣地亚哥分校经济管理</w:t>
      </w:r>
      <w:r>
        <w:rPr>
          <w:rFonts w:ascii="Times New Roman" w:hAnsi="Times New Roman" w:cs="Times New Roman" w:eastAsia="Times New Roman" w:hint="default"/>
          <w:spacing w:val="-1"/>
        </w:rPr>
        <w:t>/</w:t>
      </w:r>
      <w:r>
        <w:rPr>
          <w:spacing w:val="-1"/>
        </w:rPr>
        <w:t>会计专业毕业，本科学历；美国南加州大学经济专业毕</w:t>
      </w:r>
      <w:r>
        <w:rPr>
          <w:spacing w:val="-81"/>
        </w:rPr>
        <w:t> </w:t>
      </w:r>
      <w:r>
        <w:rPr>
          <w:spacing w:val="-81"/>
        </w:rPr>
      </w:r>
      <w:r>
        <w:rPr/>
        <w:t>业，硕士学历。现任本公司监事，兼任深圳市英龙投资控股有限公司董事长助理兼财务中心主任。</w:t>
      </w:r>
      <w:r>
        <w:rPr/>
        <w:t> </w:t>
      </w:r>
      <w:r>
        <w:rPr>
          <w:rFonts w:ascii="Times New Roman" w:hAnsi="Times New Roman" w:cs="Times New Roman" w:eastAsia="Times New Roman" w:hint="default"/>
          <w:spacing w:val="-2"/>
        </w:rPr>
        <w:t>3</w:t>
      </w:r>
      <w:r>
        <w:rPr>
          <w:spacing w:val="-2"/>
        </w:rPr>
        <w:t>、余庆，男，</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9</w:t>
      </w:r>
      <w:r>
        <w:rPr>
          <w:spacing w:val="-2"/>
        </w:rPr>
        <w:t>月生，金融专业研究生学历，中国国籍，无境外永久居留权。</w:t>
      </w:r>
      <w:r>
        <w:rPr>
          <w:rFonts w:ascii="Times New Roman" w:hAnsi="Times New Roman" w:cs="Times New Roman" w:eastAsia="Times New Roman" w:hint="default"/>
          <w:spacing w:val="-2"/>
        </w:rPr>
        <w:t>1999</w:t>
      </w:r>
      <w:r>
        <w:rPr>
          <w:spacing w:val="-2"/>
        </w:rPr>
        <w:t>年至今历任深圳创新投资集团福建</w:t>
      </w:r>
      <w:r>
        <w:rPr>
          <w:spacing w:val="-61"/>
        </w:rPr>
        <w:t> </w:t>
      </w:r>
      <w:r>
        <w:rPr/>
        <w:t>片区负责人、基金管理部副部长、资产经营部副部长。现任本公司监事，兼任圣元环保股份有限公司董事。 </w:t>
      </w:r>
      <w:r>
        <w:rPr>
          <w:rFonts w:ascii="Times New Roman" w:hAnsi="Times New Roman" w:cs="Times New Roman" w:eastAsia="Times New Roman" w:hint="default"/>
          <w:spacing w:val="-2"/>
        </w:rPr>
        <w:t>4</w:t>
      </w:r>
      <w:r>
        <w:rPr>
          <w:spacing w:val="-2"/>
        </w:rPr>
        <w:t>、陈友莲，女，</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6</w:t>
      </w:r>
      <w:r>
        <w:rPr>
          <w:spacing w:val="-2"/>
        </w:rPr>
        <w:t>月生，中国国籍，无永久境外居留权，中共党员，硕士研究生学历，注册会计师，注册税务师。历</w:t>
      </w:r>
      <w:r>
        <w:rPr>
          <w:spacing w:val="-71"/>
        </w:rPr>
        <w:t> </w:t>
      </w:r>
      <w:r>
        <w:rPr>
          <w:spacing w:val="-71"/>
        </w:rPr>
      </w:r>
      <w:r>
        <w:rPr>
          <w:spacing w:val="-2"/>
        </w:rPr>
        <w:t>任深圳市勘察测绘院有限公司财务部主任会计师兼下属深圳市深勘基础工程有限公司财务总监、深圳市勘察测绘院有限公司</w:t>
      </w:r>
      <w:r>
        <w:rPr>
          <w:spacing w:val="-64"/>
        </w:rPr>
        <w:t> </w:t>
      </w:r>
      <w:r>
        <w:rPr>
          <w:spacing w:val="-64"/>
        </w:rPr>
      </w:r>
      <w:r>
        <w:rPr/>
        <w:t>财务部部长、本公司财务部主管会计、财务部助理经理。现任深圳市建筑科学研究院股份有限公司财务部副经理。</w:t>
      </w:r>
      <w:r>
        <w:rPr/>
        <w:t> </w:t>
      </w:r>
      <w:r>
        <w:rPr>
          <w:rFonts w:ascii="Times New Roman" w:hAnsi="Times New Roman" w:cs="Times New Roman" w:eastAsia="Times New Roman" w:hint="default"/>
          <w:spacing w:val="-2"/>
        </w:rPr>
        <w:t>5</w:t>
      </w:r>
      <w:r>
        <w:rPr>
          <w:spacing w:val="-2"/>
        </w:rPr>
        <w:t>、兰岚，女，</w:t>
      </w:r>
      <w:r>
        <w:rPr>
          <w:rFonts w:ascii="Times New Roman" w:hAnsi="Times New Roman" w:cs="Times New Roman" w:eastAsia="Times New Roman" w:hint="default"/>
          <w:spacing w:val="-2"/>
        </w:rPr>
        <w:t>1986</w:t>
      </w:r>
      <w:r>
        <w:rPr>
          <w:spacing w:val="-2"/>
        </w:rPr>
        <w:t>年</w:t>
      </w:r>
      <w:r>
        <w:rPr>
          <w:rFonts w:ascii="Times New Roman" w:hAnsi="Times New Roman" w:cs="Times New Roman" w:eastAsia="Times New Roman" w:hint="default"/>
          <w:spacing w:val="-2"/>
        </w:rPr>
        <w:t>5</w:t>
      </w:r>
      <w:r>
        <w:rPr>
          <w:spacing w:val="-2"/>
        </w:rPr>
        <w:t>月生，中国国籍，无永久境外居留权，本科学历，英语语言学及管理学双学士学位。曾任职于深圳市</w:t>
      </w:r>
      <w:r>
        <w:rPr>
          <w:spacing w:val="-62"/>
        </w:rPr>
        <w:t> </w:t>
      </w:r>
      <w:r>
        <w:rPr>
          <w:spacing w:val="-62"/>
        </w:rPr>
      </w:r>
      <w:r>
        <w:rPr>
          <w:spacing w:val="-2"/>
        </w:rPr>
        <w:t>新海能投资有限公司综合管理办公室、中国电信股份有限公司湖北省公司财务共享中心。</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月至今历任本公司董事会</w:t>
      </w:r>
      <w:r>
        <w:rPr>
          <w:spacing w:val="-59"/>
        </w:rPr>
        <w:t> </w:t>
      </w:r>
      <w:r>
        <w:rPr>
          <w:spacing w:val="-59"/>
        </w:rPr>
      </w:r>
      <w:r>
        <w:rPr>
          <w:spacing w:val="-2"/>
        </w:rPr>
        <w:t>办公室行政专员、助理经理、行政管理部助理经理。现任本公司行政管理部副经理，兼任上海市爱轲城生态科技有限公司监</w:t>
      </w:r>
      <w:r>
        <w:rPr>
          <w:spacing w:val="-64"/>
        </w:rPr>
        <w:t> </w:t>
      </w:r>
      <w:r>
        <w:rPr>
          <w:spacing w:val="-64"/>
        </w:rPr>
      </w:r>
      <w:r>
        <w:rPr/>
        <w:t>事、深圳玖伊绿色运营管理有限公司监事、河北雄安玖壹生态科技有限公司监事。</w:t>
      </w:r>
    </w:p>
    <w:p>
      <w:pPr>
        <w:spacing w:line="240" w:lineRule="auto" w:before="7"/>
        <w:rPr>
          <w:rFonts w:ascii="宋体" w:hAnsi="宋体" w:cs="宋体" w:eastAsia="宋体" w:hint="default"/>
          <w:sz w:val="25"/>
          <w:szCs w:val="25"/>
        </w:rPr>
      </w:pPr>
    </w:p>
    <w:p>
      <w:pPr>
        <w:pStyle w:val="BodyText"/>
        <w:spacing w:line="312" w:lineRule="auto"/>
        <w:ind w:right="1034"/>
        <w:jc w:val="left"/>
      </w:pPr>
      <w:r>
        <w:rPr/>
        <w:t>三、高级管理人员 </w:t>
      </w:r>
      <w:r>
        <w:rPr>
          <w:rFonts w:ascii="Times New Roman" w:hAnsi="Times New Roman" w:cs="Times New Roman" w:eastAsia="Times New Roman" w:hint="default"/>
          <w:spacing w:val="-2"/>
        </w:rPr>
        <w:t>1</w:t>
      </w:r>
      <w:r>
        <w:rPr>
          <w:spacing w:val="-2"/>
        </w:rPr>
        <w:t>、毛洪伟，男，</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1</w:t>
      </w:r>
      <w:r>
        <w:rPr>
          <w:spacing w:val="-2"/>
        </w:rPr>
        <w:t>月生，供热、供燃气、通风及空调工程专业研究生学历，中国国籍，无境外永久居留权，</w:t>
      </w:r>
      <w:r>
        <w:rPr>
          <w:rFonts w:ascii="Times New Roman" w:hAnsi="Times New Roman" w:cs="Times New Roman" w:eastAsia="Times New Roman" w:hint="default"/>
          <w:spacing w:val="-2"/>
        </w:rPr>
        <w:t>2005</w:t>
      </w:r>
      <w:r>
        <w:rPr>
          <w:spacing w:val="-2"/>
        </w:rPr>
        <w:t>年至</w:t>
      </w:r>
      <w:r>
        <w:rPr>
          <w:spacing w:val="-60"/>
        </w:rPr>
        <w:t> </w:t>
      </w:r>
      <w:r>
        <w:rPr/>
        <w:t>今历任本公司研发中心助理工程师、资源中心咨询部负责人、质控中心负责人、董办主任、研发中心总监、价值中心总监、 质量管理中心总监、董事会秘书、副总经理，兼任建科投资董事、艾科筑业董事长、总经理。 </w:t>
      </w:r>
      <w:r>
        <w:rPr>
          <w:rFonts w:ascii="Times New Roman" w:hAnsi="Times New Roman" w:cs="Times New Roman" w:eastAsia="Times New Roman" w:hint="default"/>
          <w:spacing w:val="-2"/>
        </w:rPr>
        <w:t>2</w:t>
      </w:r>
      <w:r>
        <w:rPr>
          <w:spacing w:val="-2"/>
        </w:rPr>
        <w:t>、姚培，女，</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7</w:t>
      </w:r>
      <w:r>
        <w:rPr>
          <w:spacing w:val="-2"/>
        </w:rPr>
        <w:t>月生，项目管理工程专业研究生学历，中国国籍，无境外永久居留权。</w:t>
      </w:r>
      <w:r>
        <w:rPr>
          <w:rFonts w:ascii="Times New Roman" w:hAnsi="Times New Roman" w:cs="Times New Roman" w:eastAsia="Times New Roman" w:hint="default"/>
          <w:spacing w:val="-2"/>
        </w:rPr>
        <w:t>2008</w:t>
      </w:r>
      <w:r>
        <w:rPr>
          <w:spacing w:val="-2"/>
        </w:rPr>
        <w:t>年至今，历任建科院有限</w:t>
      </w:r>
      <w:r>
        <w:rPr>
          <w:spacing w:val="-58"/>
        </w:rPr>
        <w:t> </w:t>
      </w:r>
      <w:r>
        <w:rPr>
          <w:spacing w:val="-58"/>
        </w:rPr>
      </w:r>
      <w:r>
        <w:rPr>
          <w:spacing w:val="-2"/>
        </w:rPr>
        <w:t>北京分公司总经理、华北区营销总监、北京艾科城公司总经理。现任本公司职工代表监事，雄安事业部总经理、综合管理办</w:t>
      </w:r>
      <w:r>
        <w:rPr>
          <w:spacing w:val="-66"/>
        </w:rPr>
        <w:t> </w:t>
      </w:r>
      <w:r>
        <w:rPr>
          <w:spacing w:val="-66"/>
        </w:rPr>
      </w:r>
      <w:r>
        <w:rPr>
          <w:spacing w:val="-2"/>
        </w:rPr>
        <w:t>公室主任，兼任雄安绿研智库有限公司监事，河北雄安绿研检验认证有限公司监事，河北雄安玖壹生态科技有限公司执行董</w:t>
      </w:r>
      <w:r>
        <w:rPr>
          <w:spacing w:val="-63"/>
        </w:rPr>
        <w:t> </w:t>
      </w:r>
      <w:r>
        <w:rPr>
          <w:spacing w:val="-63"/>
        </w:rPr>
      </w:r>
      <w:r>
        <w:rPr/>
        <w:t>事、总经理等。</w:t>
      </w:r>
    </w:p>
    <w:p>
      <w:pPr>
        <w:pStyle w:val="BodyText"/>
        <w:spacing w:line="240" w:lineRule="auto" w:before="63"/>
        <w:ind w:right="0"/>
        <w:jc w:val="left"/>
      </w:pPr>
      <w:r>
        <w:rPr/>
        <w:t>在股东单位任职情况</w:t>
      </w:r>
    </w:p>
    <w:p>
      <w:pPr>
        <w:pStyle w:val="BodyText"/>
        <w:spacing w:line="240" w:lineRule="auto" w:before="1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776"/>
        <w:gridCol w:w="850"/>
        <w:gridCol w:w="1488"/>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8"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9"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92"/>
              <w:jc w:val="left"/>
              <w:rPr>
                <w:rFonts w:ascii="宋体" w:hAnsi="宋体" w:cs="宋体" w:eastAsia="宋体" w:hint="default"/>
                <w:sz w:val="18"/>
                <w:szCs w:val="18"/>
              </w:rPr>
            </w:pPr>
            <w:r>
              <w:rPr>
                <w:rFonts w:ascii="宋体" w:hAnsi="宋体" w:cs="宋体" w:eastAsia="宋体" w:hint="default"/>
                <w:sz w:val="18"/>
                <w:szCs w:val="18"/>
              </w:rPr>
              <w:t>深圳市资本运营集团有限公司（原深圳 市远致投资有限公司）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邵顺昌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中关村发展集团有限公司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毛洪伟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2"/>
        <w:gridCol w:w="2977"/>
        <w:gridCol w:w="1275"/>
        <w:gridCol w:w="1702"/>
        <w:gridCol w:w="1702"/>
        <w:gridCol w:w="1063"/>
      </w:tblGrid>
      <w:tr>
        <w:trPr>
          <w:trHeight w:val="102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0" w:right="60"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4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叶青</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前海科创投控股有限公司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深圳市亿鑫投资有限公司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深业投资发展有限公司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深圳市高新投集团有限公司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雄安绿研智库有限公司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深圳市能源集团有限公司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深圳市水务投资有限公司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广州纳斯威尔信息技术有限公司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深圳南山热电股份有限公司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华润深国投投资有限公司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邵顺昌</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北京知识产权运营管理有限公司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大华会计师事务所深圳分所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深圳市赣商联合投资股份有限公司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国银金融租赁股份有限公司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林晓春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广东信达律师事务所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林晓春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深圳市君和睿通科技股份有限公司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圣元环保股份有限公司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深圳市龙岗创新投资管理有限公司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广州天绎智能科技股份有限公司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信太科技（集团）股份有限公司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好事达（福建）股份有限公司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2"/>
        <w:gridCol w:w="2977"/>
        <w:gridCol w:w="1275"/>
        <w:gridCol w:w="1702"/>
        <w:gridCol w:w="1702"/>
        <w:gridCol w:w="1063"/>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宏东渔业股份有限公司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毛洪伟</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深圳艾科筑业工程技术有限公司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河北雄安玖壹生态科技有限公司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雄安绿研智库有限公司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河北雄安绿研检验认证有限公司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姚婄</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深圳玖伊绿色运营管理有限公司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w:t>
      </w:r>
      <w:r>
        <w:rPr>
          <w:spacing w:val="-2"/>
        </w:rPr>
        <w:t>在公司履职的董事、监事和高级管理人员根据《深圳市建筑科学研究院股份有限公司董事、监事和高级管理人员薪酬考核管</w:t>
      </w:r>
      <w:r>
        <w:rPr>
          <w:spacing w:val="-63"/>
        </w:rPr>
        <w:t> </w:t>
      </w:r>
      <w:r>
        <w:rPr>
          <w:spacing w:val="-63"/>
        </w:rPr>
      </w:r>
      <w:r>
        <w:rPr>
          <w:spacing w:val="-2"/>
        </w:rPr>
        <w:t>理办法》计薪，其中公司独立董事的薪酬按照公司</w:t>
      </w:r>
      <w:r>
        <w:rPr>
          <w:rFonts w:ascii="Times New Roman" w:hAnsi="Times New Roman" w:cs="Times New Roman" w:eastAsia="Times New Roman" w:hint="default"/>
          <w:spacing w:val="-2"/>
        </w:rPr>
        <w:t>2017</w:t>
      </w:r>
      <w:r>
        <w:rPr>
          <w:spacing w:val="-2"/>
        </w:rPr>
        <w:t>年第二次临时股东大会审议通过的《关于审议独立董事津贴标准的议</w:t>
      </w:r>
    </w:p>
    <w:p>
      <w:pPr>
        <w:pStyle w:val="BodyText"/>
        <w:spacing w:line="217" w:lineRule="exact"/>
        <w:ind w:right="0"/>
        <w:jc w:val="left"/>
      </w:pPr>
      <w:r>
        <w:rPr/>
        <w:t>案》核定发放；其他董事的董事岗位不从公司领取薪酬和津贴，有董事身份并与公司有劳动关系（内部董事）、且实际上承</w:t>
      </w:r>
    </w:p>
    <w:p>
      <w:pPr>
        <w:pStyle w:val="BodyText"/>
        <w:spacing w:line="319" w:lineRule="auto" w:before="76"/>
        <w:ind w:right="1034"/>
        <w:jc w:val="left"/>
      </w:pPr>
      <w:r>
        <w:rPr/>
        <w:t>担了公司经营管理责任和工作的，参照高级管理人员薪酬考核方式执行；职工监事按其在公司其他岗位进行薪酬考核管理， </w:t>
      </w:r>
      <w:r>
        <w:rPr>
          <w:spacing w:val="-2"/>
        </w:rPr>
        <w:t>不额外从公司领取薪酬和津贴；其他所有监事岗位不从公司领取薪酬和津贴；高级管理人员（包括总经理、副总经理、财务</w:t>
      </w:r>
      <w:r>
        <w:rPr>
          <w:spacing w:val="-65"/>
        </w:rPr>
        <w:t> </w:t>
      </w:r>
      <w:r>
        <w:rPr>
          <w:spacing w:val="-65"/>
        </w:rPr>
      </w:r>
      <w:r>
        <w:rPr/>
        <w:t>负责人、董事会秘书等）实行年薪制，年薪水平与其承担的责任、风险和公司经营业绩挂钩。 </w:t>
      </w:r>
      <w:r>
        <w:rPr>
          <w:spacing w:val="-2"/>
        </w:rPr>
        <w:t>截至本报告披露日，公司</w:t>
      </w:r>
      <w:r>
        <w:rPr>
          <w:rFonts w:ascii="Times New Roman" w:hAnsi="Times New Roman" w:cs="Times New Roman" w:eastAsia="Times New Roman" w:hint="default"/>
          <w:spacing w:val="-2"/>
        </w:rPr>
        <w:t>2019</w:t>
      </w:r>
      <w:r>
        <w:rPr>
          <w:spacing w:val="-2"/>
        </w:rPr>
        <w:t>年度全员年终结算尚未完毕，本报告所披露的报告期内内部董事及高级管理人员薪酬未包含季</w:t>
      </w:r>
      <w:r>
        <w:rPr>
          <w:spacing w:val="-61"/>
        </w:rPr>
        <w:t> </w:t>
      </w:r>
      <w:r>
        <w:rPr>
          <w:spacing w:val="-61"/>
        </w:rPr>
      </w:r>
      <w:r>
        <w:rPr/>
        <w:t>度在岗绩效和年度绩效奖金，但公司已计提该项费用共</w:t>
      </w:r>
      <w:r>
        <w:rPr>
          <w:rFonts w:ascii="Times New Roman" w:hAnsi="Times New Roman" w:cs="Times New Roman" w:eastAsia="Times New Roman" w:hint="default"/>
        </w:rPr>
        <w:t>200</w:t>
      </w:r>
      <w:r>
        <w:rPr/>
        <w:t>万元，最终以实际结算为准。 公司报告期内董事、监事和高级管理人员报酬情况</w:t>
      </w:r>
    </w:p>
    <w:p>
      <w:pPr>
        <w:pStyle w:val="BodyText"/>
        <w:spacing w:line="240" w:lineRule="auto" w:before="55"/>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841"/>
        <w:gridCol w:w="1128"/>
        <w:gridCol w:w="1366"/>
        <w:gridCol w:w="1368"/>
        <w:gridCol w:w="1366"/>
        <w:gridCol w:w="1368"/>
      </w:tblGrid>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叶青</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陈泽广</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莫福光</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黄庆</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邵顺昌</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吴硕贤</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林晓春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财务总监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叶小平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财务总监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蔡素娟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吴曦东</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余庆</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36"/>
        <w:gridCol w:w="1841"/>
        <w:gridCol w:w="1128"/>
        <w:gridCol w:w="1366"/>
        <w:gridCol w:w="1368"/>
        <w:gridCol w:w="1366"/>
        <w:gridCol w:w="1368"/>
      </w:tblGrid>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陈友莲</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兰岚</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毛洪伟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48.45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刘俊跃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413.08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782</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63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782</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782</w:t>
            </w:r>
          </w:p>
        </w:tc>
      </w:tr>
    </w:tbl>
    <w:p>
      <w:pPr>
        <w:spacing w:line="240" w:lineRule="auto" w:before="3"/>
        <w:rPr>
          <w:rFonts w:ascii="宋体" w:hAnsi="宋体" w:cs="宋体" w:eastAsia="宋体" w:hint="default"/>
          <w:b/>
          <w:bCs/>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员工薪酬主要由工资、绩效奖金、津贴补贴、社会保险、住房公积金、工会费和职工教育费等组成，绩效奖金与企业经营状</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8"/>
        <w:jc w:val="both"/>
      </w:pPr>
      <w:r>
        <w:rPr>
          <w:spacing w:val="-2"/>
        </w:rPr>
        <w:t>况、员工个人工作绩效相挂钩，通过乐活平台推行基于员工自主管理和员工贡献值的激励制度和乐豆体系建设。</w:t>
      </w:r>
      <w:r>
        <w:rPr>
          <w:rFonts w:ascii="Times New Roman" w:hAnsi="Times New Roman" w:cs="Times New Roman" w:eastAsia="Times New Roman" w:hint="default"/>
          <w:spacing w:val="-2"/>
        </w:rPr>
        <w:t>2019</w:t>
      </w:r>
      <w:r>
        <w:rPr>
          <w:spacing w:val="-2"/>
        </w:rPr>
        <w:t>年继续</w:t>
      </w:r>
      <w:r>
        <w:rPr>
          <w:spacing w:val="-59"/>
        </w:rPr>
        <w:t> </w:t>
      </w:r>
      <w:r>
        <w:rPr>
          <w:spacing w:val="-59"/>
        </w:rPr>
      </w:r>
      <w:r>
        <w:rPr/>
        <w:t>聚焦公司战略规划和人力资源规划落地，综合</w:t>
      </w:r>
      <w:r>
        <w:rPr>
          <w:rFonts w:ascii="Times New Roman" w:hAnsi="Times New Roman" w:cs="Times New Roman" w:eastAsia="Times New Roman" w:hint="default"/>
        </w:rPr>
        <w:t>CPI</w:t>
      </w:r>
      <w:r>
        <w:rPr/>
        <w:t>变化、劳动力市场价位和企业经济效益等综合因素编制和落实公司年度薪</w:t>
      </w:r>
      <w:r>
        <w:rPr>
          <w:w w:val="99"/>
        </w:rPr>
        <w:t> </w:t>
      </w:r>
      <w:r>
        <w:rPr/>
        <w:t>酬预算，支撑雄安等异地业务开拓、新业务孵化、研发和创新项目投入。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6"/>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034"/>
        <w:jc w:val="left"/>
      </w:pPr>
      <w:r>
        <w:rPr>
          <w:rFonts w:ascii="Times New Roman" w:hAnsi="Times New Roman" w:cs="Times New Roman" w:eastAsia="Times New Roman" w:hint="default"/>
        </w:rPr>
        <w:t>2019</w:t>
      </w:r>
      <w:r>
        <w:rPr/>
        <w:t>年基于公司五位一体的培训体系，包括蜂潮荟新年全员培训、聚焦制度与文化融入的绿野仙踪培训营社招新员工培训、 </w:t>
      </w:r>
      <w:r>
        <w:rPr>
          <w:spacing w:val="-2"/>
        </w:rPr>
        <w:t>以综合素质打造及职场习惯培养为侧重的蝌蚪培训营应届生培训、以各行业大师的专业分享为主的建科大讲堂思想盛宴，同</w:t>
      </w:r>
      <w:r>
        <w:rPr>
          <w:spacing w:val="-64"/>
        </w:rPr>
        <w:t> </w:t>
      </w:r>
      <w:r>
        <w:rPr>
          <w:spacing w:val="-64"/>
        </w:rPr>
      </w:r>
      <w:r>
        <w:rPr/>
        <w:t>时结合</w:t>
      </w:r>
      <w:r>
        <w:rPr>
          <w:rFonts w:ascii="Times New Roman" w:hAnsi="Times New Roman" w:cs="Times New Roman" w:eastAsia="Times New Roman" w:hint="default"/>
        </w:rPr>
        <w:t>“</w:t>
      </w:r>
      <w:r>
        <w:rPr/>
        <w:t>向低效说再见，向高效要明天</w:t>
      </w:r>
      <w:r>
        <w:rPr>
          <w:rFonts w:ascii="Times New Roman" w:hAnsi="Times New Roman" w:cs="Times New Roman" w:eastAsia="Times New Roman" w:hint="default"/>
        </w:rPr>
        <w:t>”</w:t>
      </w:r>
      <w:r>
        <w:rPr/>
        <w:t>战略行动，综合、全面地开展中医、音疗、新税制、心肺复苏等通用知识技能培训， 卓越领导力、</w:t>
      </w:r>
      <w:r>
        <w:rPr>
          <w:rFonts w:ascii="Times New Roman" w:hAnsi="Times New Roman" w:cs="Times New Roman" w:eastAsia="Times New Roman" w:hint="default"/>
        </w:rPr>
        <w:t>LMI</w:t>
      </w:r>
      <w:r>
        <w:rPr/>
        <w:t>、全面预算管理等管理培训，着重培养员工的综合素质，提升管理思维，进一步提高公司团队人才水平， 打造懂战略、会管理、有创新、能执行的员工队伍。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45"/>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038"/>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jc w:val="left"/>
      </w:pPr>
      <w:r>
        <w:rPr>
          <w:spacing w:val="-5"/>
        </w:rPr>
        <w:t>报告期内，公司建立了规范的公司治理结构，股东大会、董事会及专门委员会、监事会、管理层均能严格按照《公司法》《证</w:t>
      </w:r>
      <w:r>
        <w:rPr>
          <w:spacing w:val="-83"/>
        </w:rPr>
        <w:t> </w:t>
      </w:r>
      <w:r>
        <w:rPr>
          <w:spacing w:val="-83"/>
        </w:rPr>
      </w:r>
      <w:r>
        <w:rPr>
          <w:spacing w:val="-2"/>
        </w:rPr>
        <w:t>券法》《上市公司治理准则》《深圳证券交易所创业板股票上市规则》《深圳证券交易所创业板上市公司规范运作指引》和</w:t>
      </w:r>
      <w:r>
        <w:rPr>
          <w:spacing w:val="-67"/>
        </w:rPr>
        <w:t> </w:t>
      </w:r>
      <w:r>
        <w:rPr>
          <w:spacing w:val="-67"/>
        </w:rPr>
      </w:r>
      <w:r>
        <w:rPr>
          <w:spacing w:val="-2"/>
        </w:rPr>
        <w:t>中国证监会有关法律法规等要求，履行各自的权利和义务。截至报告期末，上述机构和人员依法运作，未出现违法、违规现</w:t>
      </w:r>
      <w:r>
        <w:rPr>
          <w:spacing w:val="-67"/>
        </w:rPr>
        <w:t> </w:t>
      </w:r>
      <w:r>
        <w:rPr>
          <w:spacing w:val="-67"/>
        </w:rPr>
      </w:r>
      <w:r>
        <w:rPr>
          <w:spacing w:val="-2"/>
        </w:rPr>
        <w:t>象，能够切实履行应尽的职责和义务，公司治理的实际状况符合《上市公司治理准则》和《深圳证券交易所创业板上市公司</w:t>
      </w:r>
      <w:r>
        <w:rPr>
          <w:spacing w:val="-67"/>
        </w:rPr>
        <w:t> </w:t>
      </w:r>
      <w:r>
        <w:rPr>
          <w:spacing w:val="-67"/>
        </w:rPr>
      </w:r>
      <w:r>
        <w:rPr/>
        <w:t>规范运作指引》的要求。 </w:t>
      </w:r>
      <w:r>
        <w:rPr>
          <w:spacing w:val="-2"/>
        </w:rPr>
        <w:t>公司依据监管部门和公司实际情况在治理方面制定了各项规章制度，主要有《公司章程》《股东大会议事规则》《董事会议</w:t>
      </w:r>
      <w:r>
        <w:rPr>
          <w:spacing w:val="-66"/>
        </w:rPr>
        <w:t> </w:t>
      </w:r>
      <w:r>
        <w:rPr>
          <w:spacing w:val="-66"/>
        </w:rPr>
      </w:r>
      <w:r>
        <w:rPr>
          <w:spacing w:val="-2"/>
        </w:rPr>
        <w:t>事规则》《监事会议事规则》《独立董事工作管理办法》《战略委员会议事规则》《审计委员会议事规则》《提名委员会议</w:t>
      </w:r>
      <w:r>
        <w:rPr>
          <w:spacing w:val="-68"/>
        </w:rPr>
        <w:t> </w:t>
      </w:r>
      <w:r>
        <w:rPr>
          <w:spacing w:val="-68"/>
        </w:rPr>
      </w:r>
      <w:r>
        <w:rPr>
          <w:spacing w:val="-2"/>
        </w:rPr>
        <w:t>事规则》《薪酬与考核委员会议事规则》《总经理工作细则》《董事会秘书工作制度》《对外投资管理办法》《对外担保管</w:t>
      </w:r>
      <w:r>
        <w:rPr>
          <w:spacing w:val="-70"/>
        </w:rPr>
        <w:t> </w:t>
      </w:r>
      <w:r>
        <w:rPr>
          <w:spacing w:val="-70"/>
        </w:rPr>
      </w:r>
      <w:r>
        <w:rPr>
          <w:spacing w:val="-2"/>
        </w:rPr>
        <w:t>理办法》《募集资金使用管理办法》《内部审计制度》等规章制度。通过一系列制度的制定，搭建了较为完善的公司法人治</w:t>
      </w:r>
      <w:r>
        <w:rPr>
          <w:spacing w:val="-69"/>
        </w:rPr>
        <w:t> </w:t>
      </w:r>
      <w:r>
        <w:rPr>
          <w:spacing w:val="-69"/>
        </w:rPr>
      </w:r>
      <w:r>
        <w:rPr>
          <w:spacing w:val="-2"/>
        </w:rPr>
        <w:t>理结构的制度平台，从制度上明确了股东大会、董事会、监事会及管理层各自应履行的职责和议事规程，从而为公司的规范</w:t>
      </w:r>
      <w:r>
        <w:rPr>
          <w:spacing w:val="-64"/>
        </w:rPr>
        <w:t> </w:t>
      </w:r>
      <w:r>
        <w:rPr>
          <w:spacing w:val="-64"/>
        </w:rPr>
      </w:r>
      <w:r>
        <w:rPr/>
        <w:t>运作提供了制度保障。</w:t>
      </w:r>
    </w:p>
    <w:p>
      <w:pPr>
        <w:pStyle w:val="BodyText"/>
        <w:spacing w:line="312" w:lineRule="auto" w:before="19"/>
        <w:ind w:right="1034"/>
        <w:jc w:val="left"/>
      </w:pPr>
      <w:r>
        <w:rPr>
          <w:rFonts w:ascii="Times New Roman" w:hAnsi="Times New Roman" w:cs="Times New Roman" w:eastAsia="Times New Roman" w:hint="default"/>
        </w:rPr>
        <w:t>1</w:t>
      </w:r>
      <w:r>
        <w:rPr/>
        <w:t>、关于股东和股东大会 </w:t>
      </w:r>
      <w:r>
        <w:rPr>
          <w:spacing w:val="-4"/>
        </w:rPr>
        <w:t>公司严格按照《公司法》、《公司章程》和《股东大会议事规则》等法律、法规要求，规范股东大会召集、召开、表决程序，</w:t>
      </w:r>
      <w:r>
        <w:rPr>
          <w:spacing w:val="-45"/>
        </w:rPr>
        <w:t> </w:t>
      </w:r>
      <w:r>
        <w:rPr>
          <w:spacing w:val="-45"/>
        </w:rPr>
      </w:r>
      <w:r>
        <w:rPr/>
        <w:t>同时公司聘请专业律师见证股东大会，确保所有股东享有平等地位、平等权利，充分行使自己的权利，并承担相应的义务。 报告期内，公司共召开了</w:t>
      </w:r>
      <w:r>
        <w:rPr>
          <w:rFonts w:ascii="Times New Roman" w:hAnsi="Times New Roman" w:cs="Times New Roman" w:eastAsia="Times New Roman" w:hint="default"/>
        </w:rPr>
        <w:t>1</w:t>
      </w:r>
      <w:r>
        <w:rPr/>
        <w:t>次年度股东大会和</w:t>
      </w:r>
      <w:r>
        <w:rPr>
          <w:rFonts w:ascii="Times New Roman" w:hAnsi="Times New Roman" w:cs="Times New Roman" w:eastAsia="Times New Roman" w:hint="default"/>
        </w:rPr>
        <w:t>2</w:t>
      </w:r>
      <w:r>
        <w:rPr/>
        <w:t>次临时股东大会，会议由董事会召集、召开。</w:t>
      </w:r>
    </w:p>
    <w:p>
      <w:pPr>
        <w:pStyle w:val="BodyText"/>
        <w:spacing w:line="309" w:lineRule="auto" w:before="3"/>
        <w:ind w:right="1124"/>
        <w:jc w:val="left"/>
      </w:pPr>
      <w:r>
        <w:rPr>
          <w:rFonts w:ascii="Times New Roman" w:hAnsi="Times New Roman" w:cs="Times New Roman" w:eastAsia="Times New Roman" w:hint="default"/>
        </w:rPr>
        <w:t>2</w:t>
      </w:r>
      <w:r>
        <w:rPr/>
        <w:t>、关于董事和董事会 </w:t>
      </w:r>
      <w:r>
        <w:rPr>
          <w:spacing w:val="-2"/>
        </w:rPr>
        <w:t>报告期内，公司董事会设董事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名，董事会人数及人员构成符合法律、法规和《公司章程》的要求。各位</w:t>
      </w:r>
      <w:r>
        <w:rPr>
          <w:spacing w:val="-69"/>
        </w:rPr>
        <w:t> </w:t>
      </w:r>
      <w:r>
        <w:rPr>
          <w:spacing w:val="-69"/>
        </w:rPr>
      </w:r>
      <w:r>
        <w:rPr>
          <w:spacing w:val="-2"/>
        </w:rPr>
        <w:t>董事能够依据《深圳证券交易所创业板上市公司规范运作指引》、《董事会议事规则》和《独立董事工作管理办法》等开展</w:t>
      </w:r>
      <w:r>
        <w:rPr>
          <w:spacing w:val="-68"/>
        </w:rPr>
        <w:t> </w:t>
      </w:r>
      <w:r>
        <w:rPr>
          <w:spacing w:val="-68"/>
        </w:rPr>
      </w:r>
      <w:r>
        <w:rPr/>
        <w:t>工作，诚信、勤勉地履行职责和义务，同时积极参加有关培训，熟悉有关法律法规。报告期内共召开了</w:t>
      </w:r>
      <w:r>
        <w:rPr>
          <w:rFonts w:ascii="Times New Roman" w:hAnsi="Times New Roman" w:cs="Times New Roman" w:eastAsia="Times New Roman" w:hint="default"/>
        </w:rPr>
        <w:t>4</w:t>
      </w:r>
      <w:r>
        <w:rPr/>
        <w:t>次董事会，均由董</w:t>
      </w:r>
      <w:r>
        <w:rPr>
          <w:spacing w:val="-82"/>
        </w:rPr>
        <w:t> </w:t>
      </w:r>
      <w:r>
        <w:rPr>
          <w:spacing w:val="-2"/>
        </w:rPr>
        <w:t>事长召集、主持。公司董事会下设有战略委员会、提名委员会、审计委员会、薪酬与考核委员会、技术与市场委员会等五个</w:t>
      </w:r>
      <w:r>
        <w:rPr>
          <w:spacing w:val="-67"/>
        </w:rPr>
        <w:t> </w:t>
      </w:r>
      <w:r>
        <w:rPr>
          <w:spacing w:val="-67"/>
        </w:rPr>
      </w:r>
      <w:r>
        <w:rPr>
          <w:spacing w:val="-2"/>
        </w:rPr>
        <w:t>专门委员会，专门委员会成员全部由董事组成，外部董事占多数，并且除战略委员会由董事长担任召集人以外，其他专门委</w:t>
      </w:r>
      <w:r>
        <w:rPr>
          <w:spacing w:val="-65"/>
        </w:rPr>
        <w:t> </w:t>
      </w:r>
      <w:r>
        <w:rPr>
          <w:spacing w:val="-65"/>
        </w:rPr>
      </w:r>
      <w:r>
        <w:rPr/>
        <w:t>员会均有独立董事担任召集人，为董事会的决策提供了科学和专业的意见。</w:t>
      </w:r>
    </w:p>
    <w:p>
      <w:pPr>
        <w:pStyle w:val="BodyText"/>
        <w:spacing w:line="300" w:lineRule="auto" w:before="24"/>
        <w:ind w:right="1034"/>
        <w:jc w:val="left"/>
      </w:pPr>
      <w:r>
        <w:rPr>
          <w:rFonts w:ascii="Times New Roman" w:hAnsi="Times New Roman" w:cs="Times New Roman" w:eastAsia="Times New Roman" w:hint="default"/>
        </w:rPr>
        <w:t>3</w:t>
      </w:r>
      <w:r>
        <w:rPr/>
        <w:t>、关于监事和监事会 公司监事会设监事</w:t>
      </w:r>
      <w:r>
        <w:rPr>
          <w:rFonts w:ascii="Times New Roman" w:hAnsi="Times New Roman" w:cs="Times New Roman" w:eastAsia="Times New Roman" w:hint="default"/>
        </w:rPr>
        <w:t>5</w:t>
      </w:r>
      <w:r>
        <w:rPr/>
        <w:t>名，其中职工代表监事</w:t>
      </w:r>
      <w:r>
        <w:rPr>
          <w:rFonts w:ascii="Times New Roman" w:hAnsi="Times New Roman" w:cs="Times New Roman" w:eastAsia="Times New Roman" w:hint="default"/>
        </w:rPr>
        <w:t>2</w:t>
      </w:r>
      <w:r>
        <w:rPr/>
        <w:t>名，监事会的人数和构成符合法律、法规的要求。各位监事严格按照《公司法》</w:t>
      </w:r>
    </w:p>
    <w:p>
      <w:pPr>
        <w:pStyle w:val="BodyText"/>
        <w:spacing w:line="309" w:lineRule="auto" w:before="13"/>
        <w:ind w:right="1133"/>
        <w:jc w:val="both"/>
      </w:pPr>
      <w:r>
        <w:rPr>
          <w:spacing w:val="-2"/>
        </w:rPr>
        <w:t>《公司章程》和《监事会议事规则》的有关规定认真履行职责，对公司财务状况、重大事项、关联交易以及公司董事及高级</w:t>
      </w:r>
      <w:r>
        <w:rPr>
          <w:spacing w:val="-68"/>
        </w:rPr>
        <w:t> </w:t>
      </w:r>
      <w:r>
        <w:rPr>
          <w:spacing w:val="-68"/>
        </w:rPr>
      </w:r>
      <w:r>
        <w:rPr/>
        <w:t>管理人员履行职责的合法合规性进行监督，维护公司及股东的合法权益。报告期内共召开了</w:t>
      </w:r>
      <w:r>
        <w:rPr>
          <w:rFonts w:ascii="Times New Roman" w:hAnsi="Times New Roman" w:cs="Times New Roman" w:eastAsia="Times New Roman" w:hint="default"/>
        </w:rPr>
        <w:t>7</w:t>
      </w:r>
      <w:r>
        <w:rPr/>
        <w:t>次监事会，会议均由监事会主 席召集、主持。</w:t>
      </w:r>
    </w:p>
    <w:p>
      <w:pPr>
        <w:pStyle w:val="BodyText"/>
        <w:spacing w:line="314" w:lineRule="auto" w:before="24"/>
        <w:ind w:right="0"/>
        <w:jc w:val="left"/>
      </w:pPr>
      <w:r>
        <w:rPr>
          <w:rFonts w:ascii="Times New Roman" w:hAnsi="Times New Roman" w:cs="Times New Roman" w:eastAsia="Times New Roman" w:hint="default"/>
        </w:rPr>
        <w:t>4</w:t>
      </w:r>
      <w:r>
        <w:rPr/>
        <w:t>、关于公司控股股东 </w:t>
      </w:r>
      <w:r>
        <w:rPr>
          <w:spacing w:val="-2"/>
        </w:rPr>
        <w:t>公司具有独立的业务经营能力及完备的运营体系，在业务、人员、资产、财务上均独立于控股股东。公司董事会、监事会和</w:t>
      </w:r>
      <w:r>
        <w:rPr>
          <w:spacing w:val="-66"/>
        </w:rPr>
        <w:t> </w:t>
      </w:r>
      <w:r>
        <w:rPr>
          <w:spacing w:val="-66"/>
        </w:rPr>
      </w:r>
      <w:r>
        <w:rPr>
          <w:spacing w:val="-2"/>
        </w:rPr>
        <w:t>内部机构根据其议事规则或公司制度独立运作。公司控股股东能严格规范自己的行为，通过股东大会依法行使其权利并承担</w:t>
      </w:r>
      <w:r>
        <w:rPr>
          <w:spacing w:val="-64"/>
        </w:rPr>
        <w:t> </w:t>
      </w:r>
      <w:r>
        <w:rPr>
          <w:spacing w:val="-64"/>
        </w:rPr>
      </w:r>
      <w:r>
        <w:rPr>
          <w:spacing w:val="-2"/>
        </w:rPr>
        <w:t>义务，没有超越股东大会直接或间接干预公司经营活动。报告期内，公司没有为控股股东提供担保，亦不存在控股股东非经</w:t>
      </w:r>
      <w:r>
        <w:rPr>
          <w:spacing w:val="-65"/>
        </w:rPr>
        <w:t> </w:t>
      </w:r>
      <w:r>
        <w:rPr>
          <w:spacing w:val="-65"/>
        </w:rPr>
      </w:r>
      <w:r>
        <w:rPr/>
        <w:t>营性占用公司资金的行为。</w:t>
      </w:r>
    </w:p>
    <w:p>
      <w:pPr>
        <w:pStyle w:val="BodyText"/>
        <w:spacing w:line="312" w:lineRule="auto" w:before="20"/>
        <w:ind w:right="1034"/>
        <w:jc w:val="left"/>
      </w:pPr>
      <w:r>
        <w:rPr>
          <w:rFonts w:ascii="Times New Roman" w:hAnsi="Times New Roman" w:cs="Times New Roman" w:eastAsia="Times New Roman" w:hint="default"/>
        </w:rPr>
        <w:t>5</w:t>
      </w:r>
      <w:r>
        <w:rPr/>
        <w:t>、关于独立董事制度运行情况 </w:t>
      </w:r>
      <w:r>
        <w:rPr>
          <w:spacing w:val="-2"/>
        </w:rPr>
        <w:t>报告期内，公司独立董事严格按照有关法律、法规、《公司章程》等制度履行职责，对独立董事需发表意见的事项发布了独</w:t>
      </w:r>
      <w:r>
        <w:rPr>
          <w:spacing w:val="-66"/>
        </w:rPr>
        <w:t> </w:t>
      </w:r>
      <w:r>
        <w:rPr>
          <w:spacing w:val="-66"/>
        </w:rPr>
      </w:r>
      <w:r>
        <w:rPr/>
        <w:t>立意见，对公司内部控制制度及发展提出了许多意见和建议，对公司完善治理结构和规范运作发挥了积极作用。 </w:t>
      </w:r>
      <w:r>
        <w:rPr>
          <w:rFonts w:ascii="Times New Roman" w:hAnsi="Times New Roman" w:cs="Times New Roman" w:eastAsia="Times New Roman" w:hint="default"/>
        </w:rPr>
        <w:t>6</w:t>
      </w:r>
      <w:r>
        <w:rPr/>
        <w:t>、关于信息披露与透明度 公司严格按照《信息披露管理办法》《投资者关系管理办法》《内幕信息知情人登记管理办法》的有关规定，及时、准确、 完整地披露公司重要经营信息，确保公司全体股东和投资者能够公平获得信息，持续提高公司透明度。</w:t>
      </w:r>
    </w:p>
    <w:p>
      <w:pPr>
        <w:spacing w:after="0" w:line="312"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公司治理的实际状况与中国证监会发布的有关上市公司治理的规范性文件是否存在重大差异</w:t>
      </w:r>
    </w:p>
    <w:p>
      <w:pPr>
        <w:pStyle w:val="BodyText"/>
        <w:spacing w:line="338" w:lineRule="auto" w:before="11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24"/>
        <w:jc w:val="left"/>
      </w:pPr>
      <w:r>
        <w:rPr/>
        <w:t>公司严格按照《公司法》《证券法》等有关法律、法规和《公司章程》的要求规范运作</w:t>
      </w:r>
      <w:r>
        <w:rPr>
          <w:rFonts w:ascii="Times New Roman" w:hAnsi="Times New Roman" w:cs="Times New Roman" w:eastAsia="Times New Roman" w:hint="default"/>
        </w:rPr>
        <w:t>,</w:t>
      </w:r>
      <w:r>
        <w:rPr/>
        <w:t>与控股股东在业务、人员、资产、 机构、财务等方面完全分开，具有独立完整的业务及自主经营能力。 </w:t>
      </w:r>
      <w:r>
        <w:rPr>
          <w:rFonts w:ascii="Times New Roman" w:hAnsi="Times New Roman" w:cs="Times New Roman" w:eastAsia="Times New Roman" w:hint="default"/>
        </w:rPr>
        <w:t>1</w:t>
      </w:r>
      <w:r>
        <w:rPr/>
        <w:t>、业务方面：公司业务结构完整，自主独立经营，与控股股东之间无同业竞争，控股股东未曾利用控股股东地位干涉公司 决策和生产经营活动； </w:t>
      </w:r>
      <w:r>
        <w:rPr>
          <w:rFonts w:ascii="Times New Roman" w:hAnsi="Times New Roman" w:cs="Times New Roman" w:eastAsia="Times New Roman" w:hint="default"/>
        </w:rPr>
        <w:t>2</w:t>
      </w:r>
      <w:r>
        <w:rPr/>
        <w:t>、人员方面：公司在劳动、人事及工资管理等各方面均独立于控股股东。高级管理人员均在公司领取报酬；</w:t>
      </w:r>
    </w:p>
    <w:p>
      <w:pPr>
        <w:pStyle w:val="BodyText"/>
        <w:spacing w:line="240" w:lineRule="auto" w:before="5"/>
        <w:ind w:right="0"/>
        <w:jc w:val="left"/>
      </w:pPr>
      <w:r>
        <w:rPr>
          <w:rFonts w:ascii="Times New Roman" w:hAnsi="Times New Roman" w:cs="Times New Roman" w:eastAsia="Times New Roman" w:hint="default"/>
        </w:rPr>
        <w:t>3</w:t>
      </w:r>
      <w:r>
        <w:rPr/>
        <w:t>、资产方面：公司生产经营场所及土地使用权情况、商标注册及使用情况独立，各发起人投入股份公司的资产权属明确；</w:t>
      </w:r>
    </w:p>
    <w:p>
      <w:pPr>
        <w:pStyle w:val="BodyText"/>
        <w:spacing w:line="240" w:lineRule="auto" w:before="63"/>
        <w:ind w:right="0"/>
        <w:jc w:val="left"/>
      </w:pPr>
      <w:r>
        <w:rPr>
          <w:rFonts w:ascii="Times New Roman" w:hAnsi="Times New Roman" w:cs="Times New Roman" w:eastAsia="Times New Roman" w:hint="default"/>
        </w:rPr>
        <w:t>4</w:t>
      </w:r>
      <w:r>
        <w:rPr/>
        <w:t>、机构方面：公司组织体系健全，董事会、监事会、管理层及部门动作独立，不存在与控股股东之间的从属关系；</w:t>
      </w:r>
    </w:p>
    <w:p>
      <w:pPr>
        <w:pStyle w:val="BodyText"/>
        <w:spacing w:line="240" w:lineRule="auto" w:before="63"/>
        <w:ind w:right="0"/>
        <w:jc w:val="left"/>
      </w:pPr>
      <w:r>
        <w:rPr>
          <w:rFonts w:ascii="Times New Roman" w:hAnsi="Times New Roman" w:cs="Times New Roman" w:eastAsia="Times New Roman" w:hint="default"/>
        </w:rPr>
        <w:t>5</w:t>
      </w:r>
      <w:r>
        <w:rPr/>
        <w:t>、财务方面：设有独立的财务部门，并建立了独立的会计核算体系和财务管理制度，独立在银行开户、并依法独立纳税。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0"/>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4"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.com.cn</w:t>
            </w:r>
            <w:r>
              <w:rPr>
                <w:rFonts w:ascii="宋体" w:hAnsi="宋体" w:cs="宋体" w:eastAsia="宋体" w:hint="default"/>
                <w:spacing w:val="-9"/>
                <w:sz w:val="18"/>
                <w:szCs w:val="18"/>
              </w:rPr>
              <w:t>），公告编号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2019-031</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30"/>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4"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.com.cn</w:t>
            </w:r>
            <w:r>
              <w:rPr>
                <w:rFonts w:ascii="宋体" w:hAnsi="宋体" w:cs="宋体" w:eastAsia="宋体" w:hint="default"/>
                <w:spacing w:val="-9"/>
                <w:sz w:val="18"/>
                <w:szCs w:val="18"/>
              </w:rPr>
              <w:t>），公告编号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2019-077</w:t>
            </w:r>
          </w:p>
        </w:tc>
      </w:tr>
    </w:tbl>
    <w:p>
      <w:pPr>
        <w:spacing w:line="240" w:lineRule="auto" w:before="3"/>
        <w:rPr>
          <w:rFonts w:ascii="宋体" w:hAnsi="宋体" w:cs="宋体" w:eastAsia="宋体" w:hint="default"/>
          <w:b/>
          <w:bCs/>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p>
      <w:pPr>
        <w:spacing w:line="400"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6pt;height:20.05pt;mso-position-horizontal-relative:char;mso-position-vertical-relative:line" type="#_x0000_t202" filled="true" fillcolor="#d2d2d2" stroked="true" strokeweight=".47998pt" strokecolor="#000000">
            <w10:anchorlock/>
            <v:textbox inset="0,0,0,0">
              <w:txbxContent>
                <w:p>
                  <w:pPr>
                    <w:pStyle w:val="BodyText"/>
                    <w:spacing w:line="240" w:lineRule="auto" w:before="51"/>
                    <w:ind w:left="-1" w:right="1"/>
                    <w:jc w:val="center"/>
                  </w:pPr>
                  <w:r>
                    <w:rPr/>
                    <w:t>独立董事出席董事会及股东大会的情况</w:t>
                  </w:r>
                </w:p>
              </w:txbxContent>
            </v:textbox>
            <v:fill type="solid"/>
          </v:shape>
        </w:pict>
      </w:r>
      <w:r>
        <w:rPr>
          <w:rFonts w:ascii="宋体" w:hAnsi="宋体" w:cs="宋体" w:eastAsia="宋体" w:hint="default"/>
          <w:position w:val="-7"/>
          <w:sz w:val="20"/>
          <w:szCs w:val="20"/>
        </w:rPr>
      </w:r>
    </w:p>
    <w:p>
      <w:pPr>
        <w:spacing w:after="0" w:line="400" w:lineRule="exact"/>
        <w:rPr>
          <w:rFonts w:ascii="宋体" w:hAnsi="宋体" w:cs="宋体" w:eastAsia="宋体" w:hint="default"/>
          <w:sz w:val="20"/>
          <w:szCs w:val="20"/>
        </w:rPr>
        <w:sectPr>
          <w:pgSz w:w="11910" w:h="16840"/>
          <w:pgMar w:header="748" w:footer="975"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5"/>
        <w:gridCol w:w="1164"/>
      </w:tblGrid>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吴硕贤</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林晓春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8"/>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 无</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jc w:val="both"/>
      </w:pPr>
      <w:r>
        <w:rPr>
          <w:spacing w:val="-2"/>
        </w:rPr>
        <w:t>公司董事会下设战略委员会、提名委员会、审计委员会、薪酬与考核委员会和技术与市场委员会（筹建中）共五个专门委员</w:t>
      </w:r>
      <w:r>
        <w:rPr>
          <w:spacing w:val="-67"/>
        </w:rPr>
        <w:t> </w:t>
      </w:r>
      <w:r>
        <w:rPr>
          <w:spacing w:val="-67"/>
        </w:rPr>
      </w:r>
      <w:r>
        <w:rPr>
          <w:spacing w:val="-2"/>
        </w:rPr>
        <w:t>会。在报告期内，公司各专门委员会根据相关规章制度，在工作中尽职尽责，严格按照《公司章程》和各专门委员会议事规</w:t>
      </w:r>
      <w:r>
        <w:rPr>
          <w:spacing w:val="-68"/>
        </w:rPr>
        <w:t> </w:t>
      </w:r>
      <w:r>
        <w:rPr>
          <w:spacing w:val="-68"/>
        </w:rPr>
      </w:r>
      <w:r>
        <w:rPr>
          <w:spacing w:val="-2"/>
        </w:rPr>
        <w:t>则的有关规定开展工作，切实履行了其职责和义务。报告期内，薪酬与考核委员会共召开</w:t>
      </w:r>
      <w:r>
        <w:rPr>
          <w:rFonts w:ascii="Times New Roman" w:hAnsi="Times New Roman" w:cs="Times New Roman" w:eastAsia="Times New Roman" w:hint="default"/>
          <w:spacing w:val="-2"/>
        </w:rPr>
        <w:t>2</w:t>
      </w:r>
      <w:r>
        <w:rPr>
          <w:spacing w:val="-2"/>
        </w:rPr>
        <w:t>次会议，审核议题共计</w:t>
      </w:r>
      <w:r>
        <w:rPr>
          <w:rFonts w:ascii="Times New Roman" w:hAnsi="Times New Roman" w:cs="Times New Roman" w:eastAsia="Times New Roman" w:hint="default"/>
          <w:spacing w:val="-2"/>
        </w:rPr>
        <w:t>8</w:t>
      </w:r>
      <w:r>
        <w:rPr>
          <w:spacing w:val="-2"/>
        </w:rPr>
        <w:t>项；审计</w:t>
      </w:r>
      <w:r>
        <w:rPr>
          <w:spacing w:val="-62"/>
        </w:rPr>
        <w:t> </w:t>
      </w:r>
      <w:r>
        <w:rPr>
          <w:spacing w:val="-62"/>
        </w:rPr>
      </w:r>
      <w:r>
        <w:rPr/>
        <w:t>委员会共召开</w:t>
      </w:r>
      <w:r>
        <w:rPr>
          <w:rFonts w:ascii="Times New Roman" w:hAnsi="Times New Roman" w:cs="Times New Roman" w:eastAsia="Times New Roman" w:hint="default"/>
        </w:rPr>
        <w:t>5</w:t>
      </w:r>
      <w:r>
        <w:rPr/>
        <w:t>次会议，审核议题共计</w:t>
      </w:r>
      <w:r>
        <w:rPr>
          <w:rFonts w:ascii="Times New Roman" w:hAnsi="Times New Roman" w:cs="Times New Roman" w:eastAsia="Times New Roman" w:hint="default"/>
        </w:rPr>
        <w:t>18</w:t>
      </w:r>
      <w:r>
        <w:rPr/>
        <w:t>项；提名委员会共召开</w:t>
      </w:r>
      <w:r>
        <w:rPr>
          <w:rFonts w:ascii="Times New Roman" w:hAnsi="Times New Roman" w:cs="Times New Roman" w:eastAsia="Times New Roman" w:hint="default"/>
        </w:rPr>
        <w:t>2</w:t>
      </w:r>
      <w:r>
        <w:rPr/>
        <w:t>次会议，审核议题共计</w:t>
      </w:r>
      <w:r>
        <w:rPr>
          <w:rFonts w:ascii="Times New Roman" w:hAnsi="Times New Roman" w:cs="Times New Roman" w:eastAsia="Times New Roman" w:hint="default"/>
        </w:rPr>
        <w:t>3</w:t>
      </w:r>
      <w:r>
        <w:rPr/>
        <w:t>项；战略委员会和技术与市场委员 会未召开会议。</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034"/>
        <w:jc w:val="left"/>
      </w:pPr>
      <w:r>
        <w:rPr>
          <w:spacing w:val="-2"/>
        </w:rPr>
        <w:t>为完善董事、监事和高级管理人员的激励与约束机制，充分调动公司董事、监事和高级管理人员的工作积极性和创造性，促</w:t>
      </w:r>
      <w:r>
        <w:rPr>
          <w:spacing w:val="-64"/>
        </w:rPr>
        <w:t> </w:t>
      </w:r>
      <w:r>
        <w:rPr>
          <w:spacing w:val="-64"/>
        </w:rPr>
      </w:r>
      <w:r>
        <w:rPr>
          <w:spacing w:val="-1"/>
        </w:rPr>
        <w:t>进公司战略规划的实施，提升公司的经营管理效益，</w:t>
      </w:r>
      <w:r>
        <w:rPr>
          <w:rFonts w:ascii="Times New Roman" w:hAnsi="Times New Roman" w:cs="Times New Roman" w:eastAsia="Times New Roman" w:hint="default"/>
          <w:spacing w:val="-1"/>
        </w:rPr>
        <w:t>2019</w:t>
      </w:r>
      <w:r>
        <w:rPr>
          <w:spacing w:val="-1"/>
        </w:rPr>
        <w:t>年公司制定了《</w:t>
      </w:r>
      <w:r>
        <w:rPr>
          <w:spacing w:val="-34"/>
        </w:rPr>
        <w:t> </w:t>
      </w:r>
      <w:r>
        <w:rPr>
          <w:spacing w:val="-1"/>
        </w:rPr>
        <w:t>董事、监事和高级管理人员薪酬考核管理办法》，</w:t>
      </w:r>
      <w:r>
        <w:rPr>
          <w:spacing w:val="-87"/>
        </w:rPr>
        <w:t> </w:t>
      </w:r>
      <w:r>
        <w:rPr>
          <w:spacing w:val="-87"/>
        </w:rPr>
      </w:r>
      <w:r>
        <w:rPr/>
        <w:t>公司高级管理人员实行年薪制，年薪水平与其承担的责任、风险和公司经营业绩挂钩。</w:t>
      </w:r>
    </w:p>
    <w:p>
      <w:pPr>
        <w:spacing w:after="0" w:line="309" w:lineRule="auto"/>
        <w:jc w:val="left"/>
        <w:sectPr>
          <w:pgSz w:w="11910" w:h="16840"/>
          <w:pgMar w:header="748" w:footer="97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九、内部控制评价报告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3"/>
          <w:szCs w:val="23"/>
        </w:rPr>
      </w:pPr>
    </w:p>
    <w:p>
      <w:pPr>
        <w:spacing w:line="1403" w:lineRule="exact"/>
        <w:ind w:left="6677"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152.1pt;height:70.2pt;mso-position-horizontal-relative:char;mso-position-vertical-relative:line" coordorigin="0,0" coordsize="3042,1404">
            <v:group style="position:absolute;left:0;top:0;width:3042;height:1404" coordorigin="0,0" coordsize="3042,1404">
              <v:shape style="position:absolute;left:0;top:0;width:3042;height:1404" coordorigin="0,0" coordsize="3042,1404" path="m0,1404l3041,1404,3041,0,0,0,0,1404xe" filled="true" fillcolor="#ffffff" stroked="false">
                <v:path arrowok="t"/>
                <v:fill type="solid"/>
              </v:shape>
            </v:group>
          </v:group>
        </w:pict>
      </w:r>
      <w:r>
        <w:rPr>
          <w:rFonts w:ascii="宋体" w:hAnsi="宋体" w:cs="宋体" w:eastAsia="宋体" w:hint="default"/>
          <w:position w:val="-27"/>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pStyle w:val="BodyText"/>
        <w:spacing w:line="240" w:lineRule="auto" w:before="44"/>
        <w:ind w:left="0" w:right="1136"/>
        <w:jc w:val="right"/>
      </w:pPr>
      <w:r>
        <w:rPr/>
        <w:pict>
          <v:shape style="position:absolute;margin-left:358.75pt;margin-top:-132.992279pt;width:176.2pt;height:238.1pt;mso-position-horizontal-relative:page;mso-position-vertical-relative:paragraph;z-index:-11636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pStyle w:val="BodyText"/>
                    <w:spacing w:line="240" w:lineRule="auto"/>
                    <w:ind w:left="0" w:right="0"/>
                    <w:jc w:val="left"/>
                  </w:pPr>
                  <w:r>
                    <w:rPr/>
                    <w:t>万元；</w:t>
                  </w:r>
                </w:p>
              </w:txbxContent>
            </v:textbox>
            <w10:wrap type="none"/>
          </v:shape>
        </w:pict>
      </w:r>
      <w:r>
        <w:rPr/>
        <w:pict>
          <v:shape style="position:absolute;margin-left:56.400002pt;margin-top:-445.76828pt;width:479.3pt;height:571.4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0"/>
                    <w:gridCol w:w="3687"/>
                    <w:gridCol w:w="3053"/>
                  </w:tblGrid>
                  <w:tr>
                    <w:trPr>
                      <w:trHeight w:val="401"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3"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713"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6"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409" w:hRule="exact"/>
                    </w:trPr>
                    <w:tc>
                      <w:tcPr>
                        <w:tcW w:w="2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 w:right="46"/>
                          <w:jc w:val="both"/>
                          <w:rPr>
                            <w:rFonts w:ascii="宋体" w:hAnsi="宋体" w:cs="宋体" w:eastAsia="宋体" w:hint="default"/>
                            <w:sz w:val="18"/>
                            <w:szCs w:val="18"/>
                          </w:rPr>
                        </w:pPr>
                        <w:r>
                          <w:rPr>
                            <w:rFonts w:ascii="宋体" w:hAnsi="宋体" w:cs="宋体" w:eastAsia="宋体" w:hint="default"/>
                            <w:sz w:val="18"/>
                            <w:szCs w:val="18"/>
                          </w:rPr>
                          <w:t>财务报告缺陷认定主要以缺陷造成财务报告错 报的影响程度、发生的可能性作判定。重大缺 陷：内部控制中存在的、可能导致不能及时防 止或发现并纠正财务报表重大错报的一个或多 个内部控制缺陷的组合；重要缺陷：内部控制 中存在的、其严重程度不如重大缺陷，但仍足 以引起企业财务报告监督人员关注的一个或多 个内部控制缺陷的组合；一般缺陷：是指除重 大缺陷、重要缺陷之外的其他缺陷。</w:t>
                        </w:r>
                      </w:p>
                    </w:tc>
                    <w:tc>
                      <w:tcPr>
                        <w:tcW w:w="3053" w:type="dxa"/>
                        <w:vMerge w:val="restart"/>
                        <w:tcBorders>
                          <w:top w:val="single" w:sz="4" w:space="0" w:color="000000"/>
                          <w:left w:val="single" w:sz="4" w:space="0" w:color="000000"/>
                          <w:right w:val="single" w:sz="4" w:space="0" w:color="000000"/>
                        </w:tcBorders>
                      </w:tcPr>
                      <w:p>
                        <w:pPr>
                          <w:pStyle w:val="TableParagraph"/>
                          <w:spacing w:line="316" w:lineRule="auto" w:before="51"/>
                          <w:ind w:left="26" w:right="19"/>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性作判定。重大缺陷：是指一个或多个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内部控制缺陷的组合，可能导致公司严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重偏离整体控制目标的情形；重要缺 </w:t>
                        </w:r>
                        <w:r>
                          <w:rPr>
                            <w:rFonts w:ascii="宋体" w:hAnsi="宋体" w:cs="宋体" w:eastAsia="宋体" w:hint="default"/>
                            <w:spacing w:val="-4"/>
                            <w:sz w:val="18"/>
                            <w:szCs w:val="18"/>
                          </w:rPr>
                          <w:t>陷：是指一个或多个内部控制缺陷的组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合，其严重程度和经济后果低于重大缺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陷，但仍有可能导致公司偏离控制目 </w:t>
                        </w:r>
                        <w:r>
                          <w:rPr>
                            <w:rFonts w:ascii="宋体" w:hAnsi="宋体" w:cs="宋体" w:eastAsia="宋体" w:hint="default"/>
                            <w:spacing w:val="-4"/>
                            <w:sz w:val="18"/>
                            <w:szCs w:val="18"/>
                          </w:rPr>
                          <w:t>标；一般缺陷：是指除重大缺陷、重要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缺陷之外的其他缺陷。</w:t>
                        </w:r>
                      </w:p>
                    </w:tc>
                  </w:tr>
                  <w:tr>
                    <w:trPr>
                      <w:trHeight w:val="391" w:hRule="exact"/>
                    </w:trPr>
                    <w:tc>
                      <w:tcPr>
                        <w:tcW w:w="28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68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409" w:hRule="exact"/>
                    </w:trPr>
                    <w:tc>
                      <w:tcPr>
                        <w:tcW w:w="2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189" w:hRule="exact"/>
                    </w:trPr>
                    <w:tc>
                      <w:tcPr>
                        <w:tcW w:w="2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7" w:type="dxa"/>
                        <w:vMerge w:val="restart"/>
                        <w:tcBorders>
                          <w:top w:val="single" w:sz="4" w:space="0" w:color="000000"/>
                          <w:left w:val="single" w:sz="4" w:space="0" w:color="000000"/>
                          <w:right w:val="single" w:sz="4" w:space="0" w:color="000000"/>
                        </w:tcBorders>
                      </w:tcPr>
                      <w:p>
                        <w:pPr>
                          <w:pStyle w:val="TableParagraph"/>
                          <w:spacing w:line="312" w:lineRule="auto" w:before="51"/>
                          <w:ind w:left="29" w:right="19"/>
                          <w:jc w:val="left"/>
                          <w:rPr>
                            <w:rFonts w:ascii="宋体" w:hAnsi="宋体" w:cs="宋体" w:eastAsia="宋体" w:hint="default"/>
                            <w:sz w:val="18"/>
                            <w:szCs w:val="18"/>
                          </w:rPr>
                        </w:pPr>
                        <w:r>
                          <w:rPr>
                            <w:rFonts w:ascii="宋体" w:hAnsi="宋体" w:cs="宋体" w:eastAsia="宋体" w:hint="default"/>
                            <w:sz w:val="18"/>
                            <w:szCs w:val="18"/>
                          </w:rPr>
                          <w:t>以合并报表数据为基准，确定公司合并报表错 报（包括漏报）重要程度的定量标准。重大缺 陷：资产总额潜在错漏大于资产总额的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 </w:t>
                        </w:r>
                        <w:r>
                          <w:rPr>
                            <w:rFonts w:ascii="Times New Roman" w:hAnsi="Times New Roman" w:cs="Times New Roman" w:eastAsia="Times New Roman" w:hint="default"/>
                            <w:spacing w:val="-1"/>
                            <w:sz w:val="18"/>
                            <w:szCs w:val="18"/>
                          </w:rPr>
                          <w:t>800</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万元（含）；收入潜在错漏大于收入总额的</w:t>
                        </w:r>
                      </w:p>
                      <w:p>
                        <w:pPr>
                          <w:pStyle w:val="TableParagraph"/>
                          <w:spacing w:line="300" w:lineRule="auto" w:before="3"/>
                          <w:ind w:left="29"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9"/>
                            <w:sz w:val="18"/>
                            <w:szCs w:val="18"/>
                          </w:rPr>
                          <w:t>2%</w:t>
                        </w:r>
                        <w:r>
                          <w:rPr>
                            <w:rFonts w:ascii="宋体" w:hAnsi="宋体" w:cs="宋体" w:eastAsia="宋体" w:hint="default"/>
                            <w:w w:val="99"/>
                            <w:sz w:val="18"/>
                            <w:szCs w:val="18"/>
                          </w:rPr>
                          <w:t>或</w:t>
                        </w:r>
                        <w:r>
                          <w:rPr>
                            <w:rFonts w:ascii="宋体" w:hAnsi="宋体" w:cs="宋体" w:eastAsia="宋体" w:hint="default"/>
                            <w:spacing w:val="-45"/>
                            <w:w w:val="99"/>
                            <w:sz w:val="18"/>
                            <w:szCs w:val="18"/>
                          </w:rPr>
                          <w:t> </w:t>
                        </w:r>
                        <w:r>
                          <w:rPr>
                            <w:rFonts w:ascii="Times New Roman" w:hAnsi="Times New Roman" w:cs="Times New Roman" w:eastAsia="Times New Roman" w:hint="default"/>
                            <w:spacing w:val="-1"/>
                            <w:w w:val="99"/>
                            <w:sz w:val="18"/>
                            <w:szCs w:val="18"/>
                          </w:rPr>
                          <w:t>600</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6"/>
                            <w:w w:val="99"/>
                            <w:sz w:val="18"/>
                            <w:szCs w:val="18"/>
                          </w:rPr>
                          <w:t>万元（含）；利润总额潜在错漏大于</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利润总额的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万元（含）重要缺陷：资</w:t>
                        </w:r>
                        <w:r>
                          <w:rPr>
                            <w:rFonts w:ascii="宋体" w:hAnsi="宋体" w:cs="宋体" w:eastAsia="宋体" w:hint="default"/>
                            <w:w w:val="99"/>
                            <w:sz w:val="18"/>
                            <w:szCs w:val="18"/>
                          </w:rPr>
                          <w:t> </w:t>
                        </w:r>
                        <w:r>
                          <w:rPr>
                            <w:rFonts w:ascii="宋体" w:hAnsi="宋体" w:cs="宋体" w:eastAsia="宋体" w:hint="default"/>
                            <w:sz w:val="18"/>
                            <w:szCs w:val="18"/>
                          </w:rPr>
                          <w:t>产总额潜在错漏大于资产总额的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 </w:t>
                        </w:r>
                        <w:r>
                          <w:rPr>
                            <w:rFonts w:ascii="宋体" w:hAnsi="宋体" w:cs="宋体" w:eastAsia="宋体" w:hint="default"/>
                            <w:sz w:val="18"/>
                            <w:szCs w:val="18"/>
                          </w:rPr>
                          <w:t>万</w:t>
                        </w:r>
                        <w:r>
                          <w:rPr>
                            <w:rFonts w:ascii="宋体" w:hAnsi="宋体" w:cs="宋体" w:eastAsia="宋体" w:hint="default"/>
                            <w:w w:val="99"/>
                            <w:sz w:val="18"/>
                            <w:szCs w:val="18"/>
                          </w:rPr>
                          <w:t> </w:t>
                        </w:r>
                        <w:r>
                          <w:rPr>
                            <w:rFonts w:ascii="宋体" w:hAnsi="宋体" w:cs="宋体" w:eastAsia="宋体" w:hint="default"/>
                            <w:spacing w:val="-8"/>
                            <w:sz w:val="18"/>
                            <w:szCs w:val="18"/>
                          </w:rPr>
                          <w:t>元（含）且小于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万元；收入潜在错漏</w:t>
                        </w:r>
                        <w:r>
                          <w:rPr>
                            <w:rFonts w:ascii="宋体" w:hAnsi="宋体" w:cs="宋体" w:eastAsia="宋体" w:hint="default"/>
                            <w:w w:val="99"/>
                            <w:sz w:val="18"/>
                            <w:szCs w:val="18"/>
                          </w:rPr>
                          <w:t> </w:t>
                        </w:r>
                        <w:r>
                          <w:rPr>
                            <w:rFonts w:ascii="宋体" w:hAnsi="宋体" w:cs="宋体" w:eastAsia="宋体" w:hint="default"/>
                            <w:sz w:val="18"/>
                            <w:szCs w:val="18"/>
                          </w:rPr>
                          <w:t>大于收入总额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万元（含）且小于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13"/>
                          <w:ind w:left="29" w:right="0"/>
                          <w:jc w:val="lef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万元；利润总额潜在错漏大于利润总额</w:t>
                        </w:r>
                      </w:p>
                      <w:p>
                        <w:pPr>
                          <w:pStyle w:val="TableParagraph"/>
                          <w:spacing w:line="309" w:lineRule="auto" w:before="63"/>
                          <w:ind w:left="29"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万元（含）且小于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一般缺陷：资产总额潜在错漏小于资产总额的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400</w:t>
                        </w:r>
                        <w:r>
                          <w:rPr>
                            <w:rFonts w:ascii="Times New Roman" w:hAnsi="Times New Roman" w:cs="Times New Roman" w:eastAsia="Times New Roman" w:hint="default"/>
                            <w:spacing w:val="-9"/>
                            <w:sz w:val="18"/>
                            <w:szCs w:val="18"/>
                          </w:rPr>
                          <w:t> </w:t>
                        </w:r>
                        <w:r>
                          <w:rPr>
                            <w:rFonts w:ascii="宋体" w:hAnsi="宋体" w:cs="宋体" w:eastAsia="宋体" w:hint="default"/>
                            <w:spacing w:val="-7"/>
                            <w:sz w:val="18"/>
                            <w:szCs w:val="18"/>
                          </w:rPr>
                          <w:t>万元；收入潜在错漏小于收入总额</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r>
                      </w:p>
                      <w:p>
                        <w:pPr>
                          <w:pStyle w:val="TableParagraph"/>
                          <w:spacing w:line="300" w:lineRule="auto" w:before="5"/>
                          <w:ind w:left="29" w:right="46"/>
                          <w:jc w:val="lef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万元；利润总额潜在错漏小于利润总额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05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以给公司造成的直接损失金额及重大 </w:t>
                        </w:r>
                        <w:r>
                          <w:rPr>
                            <w:rFonts w:ascii="宋体" w:hAnsi="宋体" w:cs="宋体" w:eastAsia="宋体" w:hint="default"/>
                            <w:spacing w:val="-4"/>
                            <w:sz w:val="18"/>
                            <w:szCs w:val="18"/>
                          </w:rPr>
                          <w:t>影响程度为基准，确定公司缺陷重要程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度的定量标准。重大缺陷：直接财产损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万元（含）以上；重要缺陷：直</w:t>
                        </w:r>
                      </w:p>
                      <w:p>
                        <w:pPr>
                          <w:pStyle w:val="TableParagraph"/>
                          <w:spacing w:line="249" w:lineRule="exact"/>
                          <w:ind w:left="26" w:right="0"/>
                          <w:jc w:val="left"/>
                          <w:rPr>
                            <w:rFonts w:ascii="宋体" w:hAnsi="宋体" w:cs="宋体" w:eastAsia="宋体" w:hint="default"/>
                            <w:sz w:val="18"/>
                            <w:szCs w:val="18"/>
                          </w:rPr>
                        </w:pPr>
                        <w:r>
                          <w:rPr>
                            <w:rFonts w:ascii="宋体" w:hAnsi="宋体" w:cs="宋体" w:eastAsia="宋体" w:hint="default"/>
                            <w:sz w:val="18"/>
                            <w:szCs w:val="18"/>
                          </w:rPr>
                          <w:t>接财产损失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万元（含）至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pacing w:val="-6"/>
                            <w:sz w:val="18"/>
                            <w:szCs w:val="18"/>
                          </w:rPr>
                          <w:t>一般缺陷：直接财产损失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w:t>
                        </w:r>
                      </w:p>
                    </w:tc>
                  </w:tr>
                  <w:tr>
                    <w:trPr>
                      <w:trHeight w:val="394" w:hRule="exact"/>
                    </w:trPr>
                    <w:tc>
                      <w:tcPr>
                        <w:tcW w:w="28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687" w:type="dxa"/>
                        <w:vMerge/>
                        <w:tcBorders>
                          <w:left w:val="single" w:sz="4" w:space="0" w:color="000000"/>
                          <w:right w:val="single" w:sz="4" w:space="0" w:color="000000"/>
                        </w:tcBorders>
                      </w:tcPr>
                      <w:p>
                        <w:pPr/>
                      </w:p>
                    </w:tc>
                    <w:tc>
                      <w:tcPr>
                        <w:tcW w:w="3053" w:type="dxa"/>
                        <w:vMerge/>
                        <w:tcBorders>
                          <w:left w:val="single" w:sz="4" w:space="0" w:color="000000"/>
                          <w:right w:val="nil" w:sz="6" w:space="0" w:color="auto"/>
                        </w:tcBorders>
                      </w:tcPr>
                      <w:p>
                        <w:pPr/>
                      </w:p>
                    </w:tc>
                  </w:tr>
                  <w:tr>
                    <w:trPr>
                      <w:trHeight w:val="2189" w:hRule="exact"/>
                    </w:trPr>
                    <w:tc>
                      <w:tcPr>
                        <w:tcW w:w="2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nil" w:sz="6" w:space="0" w:color="auto"/>
                        </w:tcBorders>
                      </w:tcPr>
                      <w:p>
                        <w:pPr/>
                      </w:p>
                    </w:tc>
                  </w:tr>
                  <w:tr>
                    <w:trPr>
                      <w:trHeight w:val="401"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pStyle w:val="BodyText"/>
        <w:spacing w:line="240" w:lineRule="auto" w:before="76"/>
        <w:ind w:left="0" w:right="1138"/>
        <w:jc w:val="right"/>
      </w:pPr>
      <w:r>
        <w:rPr/>
        <w:t>。</w:t>
      </w:r>
    </w:p>
    <w:p>
      <w:pPr>
        <w:spacing w:line="240" w:lineRule="auto" w:before="2"/>
        <w:rPr>
          <w:rFonts w:ascii="宋体" w:hAnsi="宋体" w:cs="宋体" w:eastAsia="宋体" w:hint="default"/>
          <w:sz w:val="8"/>
          <w:szCs w:val="8"/>
        </w:rPr>
      </w:pPr>
    </w:p>
    <w:p>
      <w:pPr>
        <w:spacing w:line="1403" w:lineRule="exact"/>
        <w:ind w:left="6677"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152.1pt;height:70.2pt;mso-position-horizontal-relative:char;mso-position-vertical-relative:line" coordorigin="0,0" coordsize="3042,1404">
            <v:group style="position:absolute;left:0;top:0;width:3042;height:1404" coordorigin="0,0" coordsize="3042,1404">
              <v:shape style="position:absolute;left:0;top:0;width:3042;height:1404" coordorigin="0,0" coordsize="3042,1404" path="m0,1404l3041,1404,3041,0,0,0,0,1404xe" filled="true" fillcolor="#ffffff" stroked="false">
                <v:path arrowok="t"/>
                <v:fill type="solid"/>
              </v:shape>
            </v:group>
          </v:group>
        </w:pict>
      </w:r>
      <w:r>
        <w:rPr>
          <w:rFonts w:ascii="宋体" w:hAnsi="宋体" w:cs="宋体" w:eastAsia="宋体" w:hint="default"/>
          <w:position w:val="-27"/>
          <w:sz w:val="20"/>
          <w:szCs w:val="20"/>
        </w:rPr>
      </w:r>
    </w:p>
    <w:p>
      <w:pPr>
        <w:spacing w:after="0" w:line="1403" w:lineRule="exact"/>
        <w:rPr>
          <w:rFonts w:ascii="宋体" w:hAnsi="宋体" w:cs="宋体" w:eastAsia="宋体" w:hint="default"/>
          <w:sz w:val="20"/>
          <w:szCs w:val="20"/>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4"/>
        <w:gridCol w:w="6735"/>
      </w:tblGrid>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0"/>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059" w:right="3043"/>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毕马威华振会计师事务所（特殊普通合伙）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毕马威华振审字第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2001811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周永明、陈泳意</w:t>
            </w:r>
          </w:p>
        </w:tc>
      </w:tr>
    </w:tbl>
    <w:p>
      <w:pPr>
        <w:pStyle w:val="BodyText"/>
        <w:spacing w:line="240" w:lineRule="auto" w:before="51"/>
        <w:ind w:left="2060" w:right="3038"/>
        <w:jc w:val="center"/>
      </w:pPr>
      <w:r>
        <w:rPr/>
        <w:t>审计报告正文</w:t>
      </w:r>
    </w:p>
    <w:p>
      <w:pPr>
        <w:pStyle w:val="Heading4"/>
        <w:spacing w:line="240" w:lineRule="auto" w:before="82"/>
        <w:ind w:right="3038"/>
        <w:jc w:val="center"/>
        <w:rPr>
          <w:b w:val="0"/>
          <w:bCs w:val="0"/>
        </w:rPr>
      </w:pPr>
      <w:r>
        <w:rPr/>
        <w:t>审计报告</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44"/>
        <w:ind w:left="0" w:right="1128"/>
        <w:jc w:val="right"/>
      </w:pPr>
      <w:r>
        <w:rPr/>
        <w:t>毕马威华振审字第</w:t>
      </w:r>
      <w:r>
        <w:rPr>
          <w:rFonts w:ascii="Times New Roman" w:hAnsi="Times New Roman" w:cs="Times New Roman" w:eastAsia="Times New Roman" w:hint="default"/>
        </w:rPr>
        <w:t>2001811</w:t>
      </w:r>
      <w:r>
        <w:rPr/>
        <w:t>号</w:t>
      </w:r>
    </w:p>
    <w:p>
      <w:pPr>
        <w:spacing w:line="240" w:lineRule="auto" w:before="9"/>
        <w:rPr>
          <w:rFonts w:ascii="宋体" w:hAnsi="宋体" w:cs="宋体" w:eastAsia="宋体" w:hint="default"/>
          <w:sz w:val="23"/>
          <w:szCs w:val="23"/>
        </w:rPr>
      </w:pPr>
    </w:p>
    <w:p>
      <w:pPr>
        <w:spacing w:line="520" w:lineRule="auto" w:before="32"/>
        <w:ind w:left="594" w:right="4994" w:hanging="443"/>
        <w:jc w:val="left"/>
        <w:rPr>
          <w:rFonts w:ascii="宋体" w:hAnsi="宋体" w:cs="宋体" w:eastAsia="宋体" w:hint="default"/>
          <w:sz w:val="22"/>
          <w:szCs w:val="22"/>
        </w:rPr>
      </w:pPr>
      <w:r>
        <w:rPr>
          <w:rFonts w:ascii="宋体" w:hAnsi="宋体" w:cs="宋体" w:eastAsia="宋体" w:hint="default"/>
          <w:spacing w:val="-1"/>
          <w:sz w:val="22"/>
          <w:szCs w:val="22"/>
        </w:rPr>
        <w:t>深圳市建筑科学研究院股份有限公司全体股东：</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b/>
          <w:bCs/>
          <w:sz w:val="22"/>
          <w:szCs w:val="22"/>
        </w:rPr>
        <w:t>一、审计意见</w:t>
      </w:r>
      <w:r>
        <w:rPr>
          <w:rFonts w:ascii="宋体" w:hAnsi="宋体" w:cs="宋体" w:eastAsia="宋体" w:hint="default"/>
          <w:sz w:val="22"/>
          <w:szCs w:val="22"/>
        </w:rPr>
      </w:r>
    </w:p>
    <w:p>
      <w:pPr>
        <w:pStyle w:val="Heading5"/>
        <w:spacing w:line="247" w:lineRule="auto" w:before="78"/>
        <w:ind w:right="1129" w:firstLine="442"/>
        <w:jc w:val="both"/>
      </w:pPr>
      <w:r>
        <w:rPr/>
        <w:t>我们审计了后附的深圳市建筑科学研究院股份有限公司 </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建科院集团</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财务报表，包</w:t>
      </w:r>
      <w:r>
        <w:rPr>
          <w:w w:val="100"/>
        </w:rPr>
        <w:t> </w:t>
      </w:r>
      <w:r>
        <w:rPr>
          <w:spacing w:val="-2"/>
        </w:rPr>
        <w:t>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2019</w:t>
      </w:r>
      <w:r>
        <w:rPr>
          <w:spacing w:val="-2"/>
        </w:rPr>
        <w:t>年度的合并及母公司利润表、合并及母公司现金</w:t>
      </w:r>
      <w:r>
        <w:rPr>
          <w:spacing w:val="-58"/>
        </w:rPr>
        <w:t> </w:t>
      </w:r>
      <w:r>
        <w:rPr>
          <w:spacing w:val="-58"/>
        </w:rPr>
      </w:r>
      <w:r>
        <w:rPr/>
        <w:t>流量表、合并及母公司股东权益变动表以及相关财务报表附注。</w:t>
      </w:r>
    </w:p>
    <w:p>
      <w:pPr>
        <w:spacing w:line="240" w:lineRule="auto" w:before="2"/>
        <w:rPr>
          <w:rFonts w:ascii="宋体" w:hAnsi="宋体" w:cs="宋体" w:eastAsia="宋体" w:hint="default"/>
          <w:sz w:val="25"/>
          <w:szCs w:val="25"/>
        </w:rPr>
      </w:pPr>
    </w:p>
    <w:p>
      <w:pPr>
        <w:pStyle w:val="Heading5"/>
        <w:spacing w:line="244" w:lineRule="auto"/>
        <w:ind w:right="1128" w:firstLine="442"/>
        <w:jc w:val="both"/>
      </w:pPr>
      <w:r>
        <w:rPr/>
        <w:t>我们认为，后附的财务报表在所有重大方面按照中华人民共和国财政部颁布的企业会计准则</w:t>
      </w:r>
      <w:r>
        <w:rPr>
          <w:spacing w:val="-9"/>
        </w:rPr>
        <w:t> </w:t>
      </w:r>
      <w:r>
        <w:rPr>
          <w:rFonts w:ascii="Times New Roman" w:hAnsi="Times New Roman" w:cs="Times New Roman" w:eastAsia="Times New Roman" w:hint="default"/>
        </w:rPr>
        <w:t>(</w:t>
      </w:r>
      <w:r>
        <w:rPr/>
        <w:t>以</w:t>
      </w:r>
      <w:r>
        <w:rPr>
          <w:w w:val="100"/>
        </w:rPr>
        <w:t> </w:t>
      </w:r>
      <w:r>
        <w:rPr/>
        <w:t>下简称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的规定编制，公允反映了建科院集团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w:t>
      </w:r>
      <w:r>
        <w:rPr>
          <w:spacing w:val="-106"/>
        </w:rPr>
        <w:t> </w:t>
      </w:r>
      <w:r>
        <w:rPr/>
        <w:t>况以及</w:t>
      </w:r>
      <w:r>
        <w:rPr>
          <w:rFonts w:ascii="Times New Roman" w:hAnsi="Times New Roman" w:cs="Times New Roman" w:eastAsia="Times New Roman" w:hint="default"/>
        </w:rPr>
        <w:t>2019</w:t>
      </w:r>
      <w:r>
        <w:rPr/>
        <w:t>年度的合并及母公司经营成果和现金流量。</w:t>
      </w:r>
    </w:p>
    <w:p>
      <w:pPr>
        <w:spacing w:line="240" w:lineRule="auto" w:before="1"/>
        <w:rPr>
          <w:rFonts w:ascii="宋体" w:hAnsi="宋体" w:cs="宋体" w:eastAsia="宋体" w:hint="default"/>
          <w:sz w:val="24"/>
          <w:szCs w:val="24"/>
        </w:rPr>
      </w:pPr>
    </w:p>
    <w:p>
      <w:pPr>
        <w:pStyle w:val="Heading4"/>
        <w:spacing w:line="240" w:lineRule="auto" w:before="0"/>
        <w:ind w:left="152" w:right="0"/>
        <w:jc w:val="left"/>
        <w:rPr>
          <w:b w:val="0"/>
          <w:bCs w:val="0"/>
        </w:rPr>
      </w:pPr>
      <w:r>
        <w:rPr/>
        <w:t>二、形成审计意见的基础</w:t>
      </w:r>
      <w:r>
        <w:rPr>
          <w:b w:val="0"/>
          <w:bCs w:val="0"/>
        </w:rPr>
      </w:r>
    </w:p>
    <w:p>
      <w:pPr>
        <w:spacing w:line="240" w:lineRule="auto" w:before="9"/>
        <w:rPr>
          <w:rFonts w:ascii="宋体" w:hAnsi="宋体" w:cs="宋体" w:eastAsia="宋体" w:hint="default"/>
          <w:b/>
          <w:bCs/>
          <w:sz w:val="25"/>
          <w:szCs w:val="25"/>
        </w:rPr>
      </w:pPr>
    </w:p>
    <w:p>
      <w:pPr>
        <w:pStyle w:val="Heading5"/>
        <w:spacing w:line="249" w:lineRule="auto"/>
        <w:ind w:right="1130" w:firstLine="442"/>
        <w:jc w:val="both"/>
      </w:pPr>
      <w:r>
        <w:rPr/>
        <w:t>我们按照中国注册会计师审计准则 </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审计准则</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的规定执行了审计工作。审计报告的</w:t>
      </w:r>
      <w:r>
        <w:rPr>
          <w:w w:val="100"/>
        </w:rPr>
        <w:t> </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部分进一步阐述了我们在这些准则下的责任。按照中国注册会计</w:t>
      </w:r>
      <w:r>
        <w:rPr>
          <w:spacing w:val="-50"/>
        </w:rPr>
        <w:t> </w:t>
      </w:r>
      <w:r>
        <w:rPr>
          <w:spacing w:val="-50"/>
        </w:rPr>
      </w:r>
      <w:r>
        <w:rPr>
          <w:spacing w:val="-2"/>
        </w:rPr>
        <w:t>师职业道德守则，我们独立于建科院集团，并履行了职业道德方面的其他责任。我们相信，我们获取</w:t>
      </w:r>
      <w:r>
        <w:rPr>
          <w:spacing w:val="-72"/>
        </w:rPr>
        <w:t> </w:t>
      </w:r>
      <w:r>
        <w:rPr>
          <w:spacing w:val="-72"/>
        </w:rPr>
      </w:r>
      <w:r>
        <w:rPr/>
        <w:t>的审计证据是充分、适当的，为发表审计意见提供了基础。</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2"/>
          <w:szCs w:val="32"/>
        </w:rPr>
      </w:pPr>
    </w:p>
    <w:p>
      <w:pPr>
        <w:pStyle w:val="Heading4"/>
        <w:spacing w:line="240" w:lineRule="auto" w:before="0"/>
        <w:ind w:right="3038"/>
        <w:jc w:val="center"/>
        <w:rPr>
          <w:b w:val="0"/>
          <w:bCs w:val="0"/>
        </w:rPr>
      </w:pPr>
      <w:r>
        <w:rPr/>
        <w:t>审计报告（续）</w:t>
      </w:r>
      <w:r>
        <w:rPr>
          <w:b w:val="0"/>
          <w:bCs w:val="0"/>
        </w:rPr>
      </w:r>
    </w:p>
    <w:p>
      <w:pPr>
        <w:spacing w:line="240" w:lineRule="auto" w:before="2"/>
        <w:rPr>
          <w:rFonts w:ascii="宋体" w:hAnsi="宋体" w:cs="宋体" w:eastAsia="宋体" w:hint="default"/>
          <w:b/>
          <w:bCs/>
          <w:sz w:val="28"/>
          <w:szCs w:val="28"/>
        </w:rPr>
      </w:pPr>
    </w:p>
    <w:p>
      <w:pPr>
        <w:pStyle w:val="BodyText"/>
        <w:spacing w:line="240" w:lineRule="auto"/>
        <w:ind w:left="0" w:right="1128"/>
        <w:jc w:val="right"/>
      </w:pPr>
      <w:r>
        <w:rPr/>
        <w:t>毕马威华振审字第</w:t>
      </w:r>
      <w:r>
        <w:rPr>
          <w:rFonts w:ascii="Times New Roman" w:hAnsi="Times New Roman" w:cs="Times New Roman" w:eastAsia="Times New Roman" w:hint="default"/>
        </w:rPr>
        <w:t>2001811</w:t>
      </w:r>
      <w:r>
        <w:rPr/>
        <w:t>号</w:t>
      </w:r>
    </w:p>
    <w:p>
      <w:pPr>
        <w:spacing w:after="0" w:line="240" w:lineRule="auto"/>
        <w:jc w:val="righ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4"/>
        <w:spacing w:line="240" w:lineRule="auto"/>
        <w:ind w:left="594" w:right="0"/>
        <w:jc w:val="left"/>
        <w:rPr>
          <w:b w:val="0"/>
          <w:bCs w:val="0"/>
        </w:rPr>
      </w:pPr>
      <w:r>
        <w:rPr/>
        <w:t>三、关键审计事项</w:t>
      </w:r>
      <w:r>
        <w:rPr>
          <w:b w:val="0"/>
          <w:bCs w:val="0"/>
        </w:rPr>
      </w:r>
    </w:p>
    <w:p>
      <w:pPr>
        <w:spacing w:line="240" w:lineRule="auto" w:before="9"/>
        <w:rPr>
          <w:rFonts w:ascii="宋体" w:hAnsi="宋体" w:cs="宋体" w:eastAsia="宋体" w:hint="default"/>
          <w:b/>
          <w:bCs/>
          <w:sz w:val="25"/>
          <w:szCs w:val="25"/>
        </w:rPr>
      </w:pPr>
    </w:p>
    <w:p>
      <w:pPr>
        <w:pStyle w:val="Heading5"/>
        <w:spacing w:line="259" w:lineRule="auto"/>
        <w:ind w:right="0" w:firstLine="442"/>
        <w:jc w:val="left"/>
      </w:pPr>
      <w:r>
        <w:rPr>
          <w:spacing w:val="-3"/>
        </w:rPr>
        <w:t>关键审计事项是我们根据职业判断，认为对本期财务报表审计最为重要的事项。这些事项的应对</w:t>
      </w:r>
      <w:r>
        <w:rPr>
          <w:w w:val="100"/>
        </w:rPr>
        <w:t> </w:t>
      </w:r>
      <w:r>
        <w:rPr/>
        <w:t>以对财务报表整体进行审计并形成审计意见为背景，我们不对这些事项单独发表意见。</w:t>
      </w:r>
    </w:p>
    <w:p>
      <w:pPr>
        <w:spacing w:line="240" w:lineRule="auto" w:before="2"/>
        <w:rPr>
          <w:rFonts w:ascii="宋体" w:hAnsi="宋体" w:cs="宋体" w:eastAsia="宋体" w:hint="default"/>
          <w:sz w:val="2"/>
          <w:szCs w:val="2"/>
        </w:rPr>
      </w:pPr>
    </w:p>
    <w:tbl>
      <w:tblPr>
        <w:tblW w:w="0" w:type="auto"/>
        <w:jc w:val="left"/>
        <w:tblInd w:w="150" w:type="dxa"/>
        <w:tblLayout w:type="fixed"/>
        <w:tblCellMar>
          <w:top w:w="0" w:type="dxa"/>
          <w:left w:w="0" w:type="dxa"/>
          <w:bottom w:w="0" w:type="dxa"/>
          <w:right w:w="0" w:type="dxa"/>
        </w:tblCellMar>
        <w:tblLook w:val="01E0"/>
      </w:tblPr>
      <w:tblGrid>
        <w:gridCol w:w="4508"/>
        <w:gridCol w:w="4595"/>
      </w:tblGrid>
      <w:tr>
        <w:trPr>
          <w:trHeight w:val="588" w:hRule="exact"/>
        </w:trPr>
        <w:tc>
          <w:tcPr>
            <w:tcW w:w="91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22"/>
                <w:szCs w:val="22"/>
              </w:rPr>
            </w:pPr>
            <w:r>
              <w:rPr>
                <w:rFonts w:ascii="宋体" w:hAnsi="宋体" w:cs="宋体" w:eastAsia="宋体" w:hint="default"/>
                <w:b/>
                <w:bCs/>
                <w:sz w:val="22"/>
                <w:szCs w:val="22"/>
              </w:rPr>
              <w:t>收入确认</w:t>
            </w:r>
            <w:r>
              <w:rPr>
                <w:rFonts w:ascii="宋体" w:hAnsi="宋体" w:cs="宋体" w:eastAsia="宋体" w:hint="default"/>
                <w:sz w:val="22"/>
                <w:szCs w:val="22"/>
              </w:rPr>
            </w:r>
          </w:p>
        </w:tc>
      </w:tr>
      <w:tr>
        <w:trPr>
          <w:trHeight w:val="898" w:hRule="exact"/>
        </w:trPr>
        <w:tc>
          <w:tcPr>
            <w:tcW w:w="91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4" w:lineRule="auto" w:before="108"/>
              <w:ind w:left="4" w:right="0"/>
              <w:jc w:val="left"/>
              <w:rPr>
                <w:rFonts w:ascii="宋体" w:hAnsi="宋体" w:cs="宋体" w:eastAsia="宋体" w:hint="default"/>
                <w:sz w:val="22"/>
                <w:szCs w:val="22"/>
              </w:rPr>
            </w:pPr>
            <w:r>
              <w:rPr>
                <w:rFonts w:ascii="宋体" w:hAnsi="宋体" w:cs="宋体" w:eastAsia="宋体" w:hint="default"/>
                <w:spacing w:val="-2"/>
                <w:sz w:val="22"/>
                <w:szCs w:val="22"/>
              </w:rPr>
              <w:t>请参阅财务报表附注</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三、公司重要会计政策、会计估计</w:t>
            </w:r>
            <w:r>
              <w:rPr>
                <w:rFonts w:ascii="Times New Roman" w:hAnsi="Times New Roman" w:cs="Times New Roman" w:eastAsia="Times New Roman" w:hint="default"/>
                <w:spacing w:val="-2"/>
                <w:sz w:val="22"/>
                <w:szCs w:val="22"/>
              </w:rPr>
              <w:t>”21</w:t>
            </w:r>
            <w:r>
              <w:rPr>
                <w:rFonts w:ascii="宋体" w:hAnsi="宋体" w:cs="宋体" w:eastAsia="宋体" w:hint="default"/>
                <w:spacing w:val="-2"/>
                <w:sz w:val="22"/>
                <w:szCs w:val="22"/>
              </w:rPr>
              <w:t>所述的会计政策、</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五、合并财务报</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z w:val="22"/>
                <w:szCs w:val="22"/>
              </w:rPr>
              <w:t>表项目注释</w:t>
            </w:r>
            <w:r>
              <w:rPr>
                <w:rFonts w:ascii="Times New Roman" w:hAnsi="Times New Roman" w:cs="Times New Roman" w:eastAsia="Times New Roman" w:hint="default"/>
                <w:sz w:val="22"/>
                <w:szCs w:val="22"/>
              </w:rPr>
              <w:t>”32</w:t>
            </w:r>
            <w:r>
              <w:rPr>
                <w:rFonts w:ascii="宋体" w:hAnsi="宋体" w:cs="宋体" w:eastAsia="宋体" w:hint="default"/>
                <w:sz w:val="22"/>
                <w:szCs w:val="22"/>
              </w:rPr>
              <w:t>及</w:t>
            </w:r>
            <w:r>
              <w:rPr>
                <w:rFonts w:ascii="Times New Roman" w:hAnsi="Times New Roman" w:cs="Times New Roman" w:eastAsia="Times New Roman" w:hint="default"/>
                <w:sz w:val="22"/>
                <w:szCs w:val="22"/>
              </w:rPr>
              <w:t>“</w:t>
            </w:r>
            <w:r>
              <w:rPr>
                <w:rFonts w:ascii="宋体" w:hAnsi="宋体" w:cs="宋体" w:eastAsia="宋体" w:hint="default"/>
                <w:sz w:val="22"/>
                <w:szCs w:val="22"/>
              </w:rPr>
              <w:t>十六、母公司财务报表主要项目注释</w:t>
            </w:r>
            <w:r>
              <w:rPr>
                <w:rFonts w:ascii="Times New Roman" w:hAnsi="Times New Roman" w:cs="Times New Roman" w:eastAsia="Times New Roman" w:hint="default"/>
                <w:sz w:val="22"/>
                <w:szCs w:val="22"/>
              </w:rPr>
              <w:t>”5</w:t>
            </w:r>
            <w:r>
              <w:rPr>
                <w:rFonts w:ascii="宋体" w:hAnsi="宋体" w:cs="宋体" w:eastAsia="宋体" w:hint="default"/>
                <w:sz w:val="22"/>
                <w:szCs w:val="22"/>
              </w:rPr>
              <w:t>。</w:t>
            </w:r>
          </w:p>
        </w:tc>
      </w:tr>
      <w:tr>
        <w:trPr>
          <w:trHeight w:val="588"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left"/>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left"/>
              <w:rPr>
                <w:rFonts w:ascii="宋体" w:hAnsi="宋体" w:cs="宋体" w:eastAsia="宋体" w:hint="default"/>
                <w:sz w:val="22"/>
                <w:szCs w:val="22"/>
              </w:rPr>
            </w:pPr>
            <w:r>
              <w:rPr>
                <w:rFonts w:ascii="宋体" w:hAnsi="宋体" w:cs="宋体" w:eastAsia="宋体" w:hint="default"/>
                <w:b/>
                <w:bCs/>
                <w:sz w:val="22"/>
                <w:szCs w:val="22"/>
              </w:rPr>
              <w:t>在审计中如何应对该事项</w:t>
            </w:r>
            <w:r>
              <w:rPr>
                <w:rFonts w:ascii="宋体" w:hAnsi="宋体" w:cs="宋体" w:eastAsia="宋体" w:hint="default"/>
                <w:sz w:val="22"/>
                <w:szCs w:val="22"/>
              </w:rPr>
            </w:r>
          </w:p>
        </w:tc>
      </w:tr>
      <w:tr>
        <w:trPr>
          <w:trHeight w:val="6805"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before="108"/>
              <w:ind w:left="4" w:right="-3"/>
              <w:jc w:val="both"/>
              <w:rPr>
                <w:rFonts w:ascii="宋体" w:hAnsi="宋体" w:cs="宋体" w:eastAsia="宋体" w:hint="default"/>
                <w:sz w:val="22"/>
                <w:szCs w:val="22"/>
              </w:rPr>
            </w:pPr>
            <w:r>
              <w:rPr>
                <w:rFonts w:ascii="宋体" w:hAnsi="宋体" w:cs="宋体" w:eastAsia="宋体" w:hint="default"/>
                <w:spacing w:val="2"/>
                <w:sz w:val="22"/>
                <w:szCs w:val="22"/>
              </w:rPr>
              <w:t>建科院集团的主要业务包括城市规划、公信服</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6"/>
                <w:sz w:val="22"/>
                <w:szCs w:val="22"/>
              </w:rPr>
              <w:t>务、建筑设计、建筑咨询、</w:t>
            </w:r>
            <w:r>
              <w:rPr>
                <w:rFonts w:ascii="Times New Roman" w:hAnsi="Times New Roman" w:cs="Times New Roman" w:eastAsia="Times New Roman" w:hint="default"/>
                <w:spacing w:val="-6"/>
                <w:sz w:val="22"/>
                <w:szCs w:val="22"/>
              </w:rPr>
              <w:t>EPC</w:t>
            </w:r>
            <w:r>
              <w:rPr>
                <w:rFonts w:ascii="宋体" w:hAnsi="宋体" w:cs="宋体" w:eastAsia="宋体" w:hint="default"/>
                <w:spacing w:val="-6"/>
                <w:sz w:val="22"/>
                <w:szCs w:val="22"/>
              </w:rPr>
              <w:t>及项目全过程管</w:t>
            </w:r>
            <w:r>
              <w:rPr>
                <w:rFonts w:ascii="宋体" w:hAnsi="宋体" w:cs="宋体" w:eastAsia="宋体" w:hint="default"/>
                <w:spacing w:val="-78"/>
                <w:sz w:val="22"/>
                <w:szCs w:val="22"/>
              </w:rPr>
              <w:t> </w:t>
            </w:r>
            <w:r>
              <w:rPr>
                <w:rFonts w:ascii="宋体" w:hAnsi="宋体" w:cs="宋体" w:eastAsia="宋体" w:hint="default"/>
                <w:spacing w:val="-78"/>
                <w:sz w:val="22"/>
                <w:szCs w:val="22"/>
              </w:rPr>
            </w:r>
            <w:r>
              <w:rPr>
                <w:rFonts w:ascii="宋体" w:hAnsi="宋体" w:cs="宋体" w:eastAsia="宋体" w:hint="default"/>
                <w:sz w:val="22"/>
                <w:szCs w:val="22"/>
              </w:rPr>
              <w:t>理等服务。</w:t>
            </w:r>
          </w:p>
          <w:p>
            <w:pPr>
              <w:pStyle w:val="TableParagraph"/>
              <w:spacing w:line="259" w:lineRule="auto" w:before="131"/>
              <w:ind w:left="4" w:right="1"/>
              <w:jc w:val="both"/>
              <w:rPr>
                <w:rFonts w:ascii="宋体" w:hAnsi="宋体" w:cs="宋体" w:eastAsia="宋体" w:hint="default"/>
                <w:sz w:val="22"/>
                <w:szCs w:val="22"/>
              </w:rPr>
            </w:pPr>
            <w:r>
              <w:rPr>
                <w:rFonts w:ascii="宋体" w:hAnsi="宋体" w:cs="宋体" w:eastAsia="宋体" w:hint="default"/>
                <w:spacing w:val="2"/>
                <w:sz w:val="22"/>
                <w:szCs w:val="22"/>
              </w:rPr>
              <w:t>建科院集团在履行合同义务时，在每个资产负</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债表日评估在该期间已完成的工作量，在获得</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13"/>
                <w:sz w:val="22"/>
                <w:szCs w:val="22"/>
              </w:rPr>
              <w:t>客户或相关第三方关于该已完成工作量的确</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pacing w:val="2"/>
                <w:sz w:val="22"/>
                <w:szCs w:val="22"/>
              </w:rPr>
              <w:t>认，相关经济利益很可能流入时，按照完工百</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分比法确认收入。</w:t>
            </w:r>
          </w:p>
          <w:p>
            <w:pPr>
              <w:pStyle w:val="TableParagraph"/>
              <w:spacing w:line="252" w:lineRule="auto" w:before="126"/>
              <w:ind w:left="4" w:right="-2"/>
              <w:jc w:val="both"/>
              <w:rPr>
                <w:rFonts w:ascii="宋体" w:hAnsi="宋体" w:cs="宋体" w:eastAsia="宋体" w:hint="default"/>
                <w:sz w:val="22"/>
                <w:szCs w:val="22"/>
              </w:rPr>
            </w:pP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年度，建科院集团确认的营业收入为人民</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5"/>
                <w:sz w:val="22"/>
                <w:szCs w:val="22"/>
              </w:rPr>
              <w:t>币</w:t>
            </w:r>
            <w:r>
              <w:rPr>
                <w:rFonts w:ascii="Times New Roman" w:hAnsi="Times New Roman" w:cs="Times New Roman" w:eastAsia="Times New Roman" w:hint="default"/>
                <w:spacing w:val="-5"/>
                <w:sz w:val="22"/>
                <w:szCs w:val="22"/>
              </w:rPr>
              <w:t>4.68</w:t>
            </w:r>
            <w:r>
              <w:rPr>
                <w:rFonts w:ascii="宋体" w:hAnsi="宋体" w:cs="宋体" w:eastAsia="宋体" w:hint="default"/>
                <w:spacing w:val="-5"/>
                <w:sz w:val="22"/>
                <w:szCs w:val="22"/>
              </w:rPr>
              <w:t>亿元，考虑到营业收入对建科院集团的重</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2"/>
                <w:sz w:val="22"/>
                <w:szCs w:val="22"/>
              </w:rPr>
              <w:t>要性，且在确定已完成工作量时涉及重大的管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理层判断和估计，我们将收入确认识别为关键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审计事项。</w:t>
            </w:r>
          </w:p>
        </w:tc>
        <w:tc>
          <w:tcPr>
            <w:tcW w:w="4595"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108"/>
              <w:ind w:left="4" w:right="1"/>
              <w:jc w:val="left"/>
              <w:rPr>
                <w:rFonts w:ascii="宋体" w:hAnsi="宋体" w:cs="宋体" w:eastAsia="宋体" w:hint="default"/>
                <w:sz w:val="22"/>
                <w:szCs w:val="22"/>
              </w:rPr>
            </w:pPr>
            <w:r>
              <w:rPr>
                <w:rFonts w:ascii="宋体" w:hAnsi="宋体" w:cs="宋体" w:eastAsia="宋体" w:hint="default"/>
                <w:spacing w:val="6"/>
                <w:sz w:val="22"/>
                <w:szCs w:val="22"/>
              </w:rPr>
              <w:t>与评价收入确认相关的审计程序中包括以下程</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序：</w:t>
            </w:r>
          </w:p>
          <w:p>
            <w:pPr>
              <w:pStyle w:val="TableParagraph"/>
              <w:spacing w:line="259" w:lineRule="auto" w:before="124"/>
              <w:ind w:left="364" w:right="0" w:hanging="36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了解并评价与收入确认相关的关键内部控制</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的设计合理性和运行有效性；</w:t>
            </w:r>
          </w:p>
          <w:p>
            <w:pPr>
              <w:pStyle w:val="TableParagraph"/>
              <w:spacing w:line="259" w:lineRule="auto" w:before="126"/>
              <w:ind w:left="364" w:right="0" w:hanging="36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选取样本，检查建科院集团与客户签订的服</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务合同，以了解合同的条款，并评价建科院</w:t>
            </w:r>
            <w:r>
              <w:rPr>
                <w:rFonts w:ascii="宋体" w:hAnsi="宋体" w:cs="宋体" w:eastAsia="宋体" w:hint="default"/>
                <w:w w:val="100"/>
                <w:sz w:val="22"/>
                <w:szCs w:val="22"/>
              </w:rPr>
              <w:t> </w:t>
            </w:r>
            <w:r>
              <w:rPr>
                <w:rFonts w:ascii="宋体" w:hAnsi="宋体" w:cs="宋体" w:eastAsia="宋体" w:hint="default"/>
                <w:sz w:val="22"/>
                <w:szCs w:val="22"/>
              </w:rPr>
              <w:t>集团收入确认的会计政策是否符合企业会计</w:t>
            </w:r>
            <w:r>
              <w:rPr>
                <w:rFonts w:ascii="宋体" w:hAnsi="宋体" w:cs="宋体" w:eastAsia="宋体" w:hint="default"/>
                <w:w w:val="100"/>
                <w:sz w:val="22"/>
                <w:szCs w:val="22"/>
              </w:rPr>
              <w:t> </w:t>
            </w:r>
            <w:r>
              <w:rPr>
                <w:rFonts w:ascii="宋体" w:hAnsi="宋体" w:cs="宋体" w:eastAsia="宋体" w:hint="default"/>
                <w:sz w:val="22"/>
                <w:szCs w:val="22"/>
              </w:rPr>
              <w:t>准则的要求；</w:t>
            </w:r>
          </w:p>
          <w:p>
            <w:pPr>
              <w:pStyle w:val="TableParagraph"/>
              <w:spacing w:line="259" w:lineRule="auto" w:before="126"/>
              <w:ind w:left="364" w:right="-3" w:hanging="36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在抽样的基础上，将本年度确认的收入核对</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至公司内部对合同履行进度的评估文件、客</w:t>
            </w:r>
            <w:r>
              <w:rPr>
                <w:rFonts w:ascii="宋体" w:hAnsi="宋体" w:cs="宋体" w:eastAsia="宋体" w:hint="default"/>
                <w:w w:val="100"/>
                <w:sz w:val="22"/>
                <w:szCs w:val="22"/>
              </w:rPr>
              <w:t> </w:t>
            </w:r>
            <w:r>
              <w:rPr>
                <w:rFonts w:ascii="宋体" w:hAnsi="宋体" w:cs="宋体" w:eastAsia="宋体" w:hint="default"/>
                <w:sz w:val="22"/>
                <w:szCs w:val="22"/>
              </w:rPr>
              <w:t>户或相关第三方就进度的确认文件，以评价</w:t>
            </w:r>
            <w:r>
              <w:rPr>
                <w:rFonts w:ascii="宋体" w:hAnsi="宋体" w:cs="宋体" w:eastAsia="宋体" w:hint="default"/>
                <w:w w:val="100"/>
                <w:sz w:val="22"/>
                <w:szCs w:val="22"/>
              </w:rPr>
              <w:t> </w:t>
            </w:r>
            <w:r>
              <w:rPr>
                <w:rFonts w:ascii="宋体" w:hAnsi="宋体" w:cs="宋体" w:eastAsia="宋体" w:hint="default"/>
                <w:sz w:val="22"/>
                <w:szCs w:val="22"/>
              </w:rPr>
              <w:t>收入是否按照建科院集团的会计政策予以确</w:t>
            </w:r>
            <w:r>
              <w:rPr>
                <w:rFonts w:ascii="宋体" w:hAnsi="宋体" w:cs="宋体" w:eastAsia="宋体" w:hint="default"/>
                <w:w w:val="100"/>
                <w:sz w:val="22"/>
                <w:szCs w:val="22"/>
              </w:rPr>
              <w:t> </w:t>
            </w:r>
            <w:r>
              <w:rPr>
                <w:rFonts w:ascii="宋体" w:hAnsi="宋体" w:cs="宋体" w:eastAsia="宋体" w:hint="default"/>
                <w:sz w:val="22"/>
                <w:szCs w:val="22"/>
              </w:rPr>
              <w:t>认；</w:t>
            </w:r>
          </w:p>
          <w:p>
            <w:pPr>
              <w:pStyle w:val="TableParagraph"/>
              <w:spacing w:line="259" w:lineRule="auto" w:before="126"/>
              <w:ind w:left="364" w:right="0" w:hanging="36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选取样本，就本年度的收入确认金额实施函</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证程序；</w:t>
            </w:r>
          </w:p>
          <w:p>
            <w:pPr>
              <w:pStyle w:val="TableParagraph"/>
              <w:spacing w:line="259" w:lineRule="auto" w:before="126"/>
              <w:ind w:left="364" w:right="0" w:hanging="36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选取样本，检查本年度满足特定风险条件并</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与营业收入确认有关的会计分录，向管理层</w:t>
            </w:r>
            <w:r>
              <w:rPr>
                <w:rFonts w:ascii="宋体" w:hAnsi="宋体" w:cs="宋体" w:eastAsia="宋体" w:hint="default"/>
                <w:w w:val="100"/>
                <w:sz w:val="22"/>
                <w:szCs w:val="22"/>
              </w:rPr>
              <w:t> </w:t>
            </w:r>
            <w:r>
              <w:rPr>
                <w:rFonts w:ascii="宋体" w:hAnsi="宋体" w:cs="宋体" w:eastAsia="宋体" w:hint="default"/>
                <w:sz w:val="22"/>
                <w:szCs w:val="22"/>
              </w:rPr>
              <w:t>询问作出以上会计分录的原因，并检查相关</w:t>
            </w:r>
            <w:r>
              <w:rPr>
                <w:rFonts w:ascii="宋体" w:hAnsi="宋体" w:cs="宋体" w:eastAsia="宋体" w:hint="default"/>
                <w:w w:val="100"/>
                <w:sz w:val="22"/>
                <w:szCs w:val="22"/>
              </w:rPr>
              <w:t> </w:t>
            </w:r>
            <w:r>
              <w:rPr>
                <w:rFonts w:ascii="宋体" w:hAnsi="宋体" w:cs="宋体" w:eastAsia="宋体" w:hint="default"/>
                <w:sz w:val="22"/>
                <w:szCs w:val="22"/>
              </w:rPr>
              <w:t>支持性文件。</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3038"/>
        <w:jc w:val="center"/>
        <w:rPr>
          <w:b w:val="0"/>
          <w:bCs w:val="0"/>
        </w:rPr>
      </w:pPr>
      <w:r>
        <w:rPr/>
        <w:t>审计报告（续）</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44"/>
        <w:ind w:left="0" w:right="1128"/>
        <w:jc w:val="right"/>
      </w:pPr>
      <w:r>
        <w:rPr/>
        <w:t>毕马威华振审字第</w:t>
      </w:r>
      <w:r>
        <w:rPr>
          <w:rFonts w:ascii="Times New Roman" w:hAnsi="Times New Roman" w:cs="Times New Roman" w:eastAsia="Times New Roman" w:hint="default"/>
        </w:rPr>
        <w:t>2001811</w:t>
      </w:r>
      <w:r>
        <w:rPr/>
        <w:t>号</w:t>
      </w:r>
    </w:p>
    <w:p>
      <w:pPr>
        <w:spacing w:line="240" w:lineRule="auto" w:before="9"/>
        <w:rPr>
          <w:rFonts w:ascii="宋体" w:hAnsi="宋体" w:cs="宋体" w:eastAsia="宋体" w:hint="default"/>
          <w:sz w:val="23"/>
          <w:szCs w:val="23"/>
        </w:rPr>
      </w:pPr>
    </w:p>
    <w:p>
      <w:pPr>
        <w:pStyle w:val="Heading4"/>
        <w:spacing w:line="240" w:lineRule="auto"/>
        <w:ind w:left="594" w:right="0"/>
        <w:jc w:val="left"/>
        <w:rPr>
          <w:b w:val="0"/>
          <w:bCs w:val="0"/>
        </w:rPr>
      </w:pPr>
      <w:r>
        <w:rPr/>
        <w:t>三、关键审计事项（续）</w:t>
      </w:r>
      <w:r>
        <w:rPr>
          <w:b w:val="0"/>
          <w:bCs w:val="0"/>
        </w:rPr>
      </w:r>
    </w:p>
    <w:p>
      <w:pPr>
        <w:spacing w:line="240" w:lineRule="auto" w:before="12"/>
        <w:rPr>
          <w:rFonts w:ascii="宋体" w:hAnsi="宋体" w:cs="宋体" w:eastAsia="宋体" w:hint="default"/>
          <w:b/>
          <w:bCs/>
          <w:sz w:val="27"/>
          <w:szCs w:val="27"/>
        </w:rPr>
      </w:pPr>
    </w:p>
    <w:p>
      <w:pPr>
        <w:spacing w:line="585" w:lineRule="exact"/>
        <w:ind w:left="157"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455.15pt;height:29.3pt;mso-position-horizontal-relative:char;mso-position-vertical-relative:line" type="#_x0000_t202" filled="false" stroked="true" strokeweight=".71997pt" strokecolor="#000000">
            <w10:anchorlock/>
            <v:textbox inset="0,0,0,0">
              <w:txbxContent>
                <w:p>
                  <w:pPr>
                    <w:spacing w:before="107"/>
                    <w:ind w:left="4" w:right="0" w:firstLine="0"/>
                    <w:jc w:val="left"/>
                    <w:rPr>
                      <w:rFonts w:ascii="宋体" w:hAnsi="宋体" w:cs="宋体" w:eastAsia="宋体" w:hint="default"/>
                      <w:sz w:val="22"/>
                      <w:szCs w:val="22"/>
                    </w:rPr>
                  </w:pPr>
                  <w:r>
                    <w:rPr>
                      <w:rFonts w:ascii="宋体" w:hAnsi="宋体" w:cs="宋体" w:eastAsia="宋体" w:hint="default"/>
                      <w:b/>
                      <w:bCs/>
                      <w:sz w:val="22"/>
                      <w:szCs w:val="22"/>
                    </w:rPr>
                    <w:t>应收账款坏账准备</w:t>
                  </w:r>
                  <w:r>
                    <w:rPr>
                      <w:rFonts w:ascii="宋体" w:hAnsi="宋体" w:cs="宋体" w:eastAsia="宋体" w:hint="default"/>
                      <w:sz w:val="22"/>
                      <w:szCs w:val="22"/>
                    </w:rPr>
                  </w:r>
                </w:p>
              </w:txbxContent>
            </v:textbox>
          </v:shape>
        </w:pict>
      </w:r>
      <w:r>
        <w:rPr>
          <w:rFonts w:ascii="宋体" w:hAnsi="宋体" w:cs="宋体" w:eastAsia="宋体" w:hint="default"/>
          <w:position w:val="-11"/>
          <w:sz w:val="20"/>
          <w:szCs w:val="20"/>
        </w:rPr>
      </w:r>
    </w:p>
    <w:p>
      <w:pPr>
        <w:spacing w:after="0" w:line="585" w:lineRule="exact"/>
        <w:rPr>
          <w:rFonts w:ascii="宋体" w:hAnsi="宋体" w:cs="宋体" w:eastAsia="宋体" w:hint="default"/>
          <w:sz w:val="20"/>
          <w:szCs w:val="20"/>
        </w:rPr>
        <w:sectPr>
          <w:pgSz w:w="11910" w:h="16840"/>
          <w:pgMar w:header="748" w:footer="975"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50" w:type="dxa"/>
        <w:tblLayout w:type="fixed"/>
        <w:tblCellMar>
          <w:top w:w="0" w:type="dxa"/>
          <w:left w:w="0" w:type="dxa"/>
          <w:bottom w:w="0" w:type="dxa"/>
          <w:right w:w="0" w:type="dxa"/>
        </w:tblCellMar>
        <w:tblLook w:val="01E0"/>
      </w:tblPr>
      <w:tblGrid>
        <w:gridCol w:w="4508"/>
        <w:gridCol w:w="4595"/>
      </w:tblGrid>
      <w:tr>
        <w:trPr>
          <w:trHeight w:val="900" w:hRule="exact"/>
        </w:trPr>
        <w:tc>
          <w:tcPr>
            <w:tcW w:w="91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4" w:lineRule="auto" w:before="108"/>
              <w:ind w:left="4" w:right="0"/>
              <w:jc w:val="left"/>
              <w:rPr>
                <w:rFonts w:ascii="宋体" w:hAnsi="宋体" w:cs="宋体" w:eastAsia="宋体" w:hint="default"/>
                <w:sz w:val="22"/>
                <w:szCs w:val="22"/>
              </w:rPr>
            </w:pPr>
            <w:r>
              <w:rPr>
                <w:rFonts w:ascii="宋体" w:hAnsi="宋体" w:cs="宋体" w:eastAsia="宋体" w:hint="default"/>
                <w:sz w:val="22"/>
                <w:szCs w:val="22"/>
              </w:rPr>
              <w:t>请参阅财务报表附注</w:t>
            </w:r>
            <w:r>
              <w:rPr>
                <w:rFonts w:ascii="Times New Roman" w:hAnsi="Times New Roman" w:cs="Times New Roman" w:eastAsia="Times New Roman" w:hint="default"/>
                <w:sz w:val="22"/>
                <w:szCs w:val="22"/>
              </w:rPr>
              <w:t>“</w:t>
            </w:r>
            <w:r>
              <w:rPr>
                <w:rFonts w:ascii="宋体" w:hAnsi="宋体" w:cs="宋体" w:eastAsia="宋体" w:hint="default"/>
                <w:sz w:val="22"/>
                <w:szCs w:val="22"/>
              </w:rPr>
              <w:t>三、公司重要会计政策、会计估计</w:t>
            </w:r>
            <w:r>
              <w:rPr>
                <w:rFonts w:ascii="Times New Roman" w:hAnsi="Times New Roman" w:cs="Times New Roman" w:eastAsia="Times New Roman" w:hint="default"/>
                <w:sz w:val="22"/>
                <w:szCs w:val="22"/>
              </w:rPr>
              <w:t>”9(6)</w:t>
            </w:r>
            <w:r>
              <w:rPr>
                <w:rFonts w:ascii="宋体" w:hAnsi="宋体" w:cs="宋体" w:eastAsia="宋体" w:hint="default"/>
                <w:sz w:val="22"/>
                <w:szCs w:val="22"/>
              </w:rPr>
              <w:t>所述的会计政策、</w:t>
            </w:r>
            <w:r>
              <w:rPr>
                <w:rFonts w:ascii="Times New Roman" w:hAnsi="Times New Roman" w:cs="Times New Roman" w:eastAsia="Times New Roman" w:hint="default"/>
                <w:sz w:val="22"/>
                <w:szCs w:val="22"/>
              </w:rPr>
              <w:t>“</w:t>
            </w:r>
            <w:r>
              <w:rPr>
                <w:rFonts w:ascii="宋体" w:hAnsi="宋体" w:cs="宋体" w:eastAsia="宋体" w:hint="default"/>
                <w:sz w:val="22"/>
                <w:szCs w:val="22"/>
              </w:rPr>
              <w:t>五、合并财务</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报表项目注释</w:t>
            </w:r>
            <w:r>
              <w:rPr>
                <w:rFonts w:ascii="Times New Roman" w:hAnsi="Times New Roman" w:cs="Times New Roman" w:eastAsia="Times New Roman" w:hint="default"/>
                <w:sz w:val="22"/>
                <w:szCs w:val="22"/>
              </w:rPr>
              <w:t>”4</w:t>
            </w:r>
            <w:r>
              <w:rPr>
                <w:rFonts w:ascii="宋体" w:hAnsi="宋体" w:cs="宋体" w:eastAsia="宋体" w:hint="default"/>
                <w:sz w:val="22"/>
                <w:szCs w:val="22"/>
              </w:rPr>
              <w:t>及</w:t>
            </w:r>
            <w:r>
              <w:rPr>
                <w:rFonts w:ascii="Times New Roman" w:hAnsi="Times New Roman" w:cs="Times New Roman" w:eastAsia="Times New Roman" w:hint="default"/>
                <w:sz w:val="22"/>
                <w:szCs w:val="22"/>
              </w:rPr>
              <w:t>“</w:t>
            </w:r>
            <w:r>
              <w:rPr>
                <w:rFonts w:ascii="宋体" w:hAnsi="宋体" w:cs="宋体" w:eastAsia="宋体" w:hint="default"/>
                <w:sz w:val="22"/>
                <w:szCs w:val="22"/>
              </w:rPr>
              <w:t>十六、母公司财务报表主要项目注释</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p>
        </w:tc>
      </w:tr>
      <w:tr>
        <w:trPr>
          <w:trHeight w:val="586"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22"/>
                <w:szCs w:val="22"/>
              </w:rPr>
            </w:pPr>
            <w:r>
              <w:rPr>
                <w:rFonts w:ascii="宋体" w:hAnsi="宋体" w:cs="宋体" w:eastAsia="宋体" w:hint="default"/>
                <w:b/>
                <w:bCs/>
                <w:sz w:val="22"/>
                <w:szCs w:val="22"/>
              </w:rPr>
              <w:t>在审计中如何应对该事项</w:t>
            </w:r>
            <w:r>
              <w:rPr>
                <w:rFonts w:ascii="宋体" w:hAnsi="宋体" w:cs="宋体" w:eastAsia="宋体" w:hint="default"/>
                <w:sz w:val="22"/>
                <w:szCs w:val="22"/>
              </w:rPr>
            </w:r>
          </w:p>
        </w:tc>
      </w:tr>
      <w:tr>
        <w:trPr>
          <w:trHeight w:val="5437"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ind w:left="4" w:right="-2"/>
              <w:jc w:val="left"/>
              <w:rPr>
                <w:rFonts w:ascii="宋体" w:hAnsi="宋体" w:cs="宋体" w:eastAsia="宋体" w:hint="default"/>
                <w:sz w:val="22"/>
                <w:szCs w:val="22"/>
              </w:rPr>
            </w:pPr>
            <w:r>
              <w:rPr>
                <w:rFonts w:ascii="宋体" w:hAnsi="宋体" w:cs="宋体" w:eastAsia="宋体" w:hint="default"/>
                <w:sz w:val="22"/>
                <w:szCs w:val="22"/>
              </w:rPr>
              <w:t>于</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r>
              <w:rPr>
                <w:rFonts w:ascii="宋体" w:hAnsi="宋体" w:cs="宋体" w:eastAsia="宋体" w:hint="default"/>
                <w:spacing w:val="-24"/>
                <w:sz w:val="22"/>
                <w:szCs w:val="22"/>
              </w:rPr>
              <w:t> </w:t>
            </w:r>
            <w:r>
              <w:rPr>
                <w:rFonts w:ascii="宋体" w:hAnsi="宋体" w:cs="宋体" w:eastAsia="宋体" w:hint="default"/>
                <w:sz w:val="22"/>
                <w:szCs w:val="22"/>
              </w:rPr>
              <w:t>建科院集团应收账款总额</w:t>
            </w:r>
            <w:r>
              <w:rPr>
                <w:rFonts w:ascii="宋体" w:hAnsi="宋体" w:cs="宋体" w:eastAsia="宋体" w:hint="default"/>
                <w:w w:val="100"/>
                <w:sz w:val="22"/>
                <w:szCs w:val="22"/>
              </w:rPr>
              <w:t> </w:t>
            </w:r>
            <w:r>
              <w:rPr>
                <w:rFonts w:ascii="宋体" w:hAnsi="宋体" w:cs="宋体" w:eastAsia="宋体" w:hint="default"/>
                <w:spacing w:val="-5"/>
                <w:sz w:val="22"/>
                <w:szCs w:val="22"/>
              </w:rPr>
              <w:t>为人民币</w:t>
            </w:r>
            <w:r>
              <w:rPr>
                <w:rFonts w:ascii="Times New Roman" w:hAnsi="Times New Roman" w:cs="Times New Roman" w:eastAsia="Times New Roman" w:hint="default"/>
                <w:spacing w:val="-5"/>
                <w:sz w:val="22"/>
                <w:szCs w:val="22"/>
              </w:rPr>
              <w:t>3.55</w:t>
            </w:r>
            <w:r>
              <w:rPr>
                <w:rFonts w:ascii="宋体" w:hAnsi="宋体" w:cs="宋体" w:eastAsia="宋体" w:hint="default"/>
                <w:spacing w:val="-5"/>
                <w:sz w:val="22"/>
                <w:szCs w:val="22"/>
              </w:rPr>
              <w:t>亿元，已计提的应收账款坏账准备</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金额为人民币</w:t>
            </w:r>
            <w:r>
              <w:rPr>
                <w:rFonts w:ascii="Times New Roman" w:hAnsi="Times New Roman" w:cs="Times New Roman" w:eastAsia="Times New Roman" w:hint="default"/>
                <w:sz w:val="22"/>
                <w:szCs w:val="22"/>
              </w:rPr>
              <w:t>6,588</w:t>
            </w:r>
            <w:r>
              <w:rPr>
                <w:rFonts w:ascii="宋体" w:hAnsi="宋体" w:cs="宋体" w:eastAsia="宋体" w:hint="default"/>
                <w:sz w:val="22"/>
                <w:szCs w:val="22"/>
              </w:rPr>
              <w:t>万元。建科院集团的应收账</w:t>
            </w:r>
            <w:r>
              <w:rPr>
                <w:rFonts w:ascii="宋体" w:hAnsi="宋体" w:cs="宋体" w:eastAsia="宋体" w:hint="default"/>
                <w:w w:val="100"/>
                <w:sz w:val="22"/>
                <w:szCs w:val="22"/>
              </w:rPr>
              <w:t> </w:t>
            </w:r>
            <w:r>
              <w:rPr>
                <w:rFonts w:ascii="宋体" w:hAnsi="宋体" w:cs="宋体" w:eastAsia="宋体" w:hint="default"/>
                <w:sz w:val="22"/>
                <w:szCs w:val="22"/>
              </w:rPr>
              <w:t>款主要来自建筑设计业务、公信业务和城市规</w:t>
            </w:r>
            <w:r>
              <w:rPr>
                <w:rFonts w:ascii="宋体" w:hAnsi="宋体" w:cs="宋体" w:eastAsia="宋体" w:hint="default"/>
                <w:w w:val="100"/>
                <w:sz w:val="22"/>
                <w:szCs w:val="22"/>
              </w:rPr>
              <w:t> </w:t>
            </w:r>
            <w:r>
              <w:rPr>
                <w:rFonts w:ascii="宋体" w:hAnsi="宋体" w:cs="宋体" w:eastAsia="宋体" w:hint="default"/>
                <w:sz w:val="22"/>
                <w:szCs w:val="22"/>
              </w:rPr>
              <w:t>划业务。</w:t>
            </w:r>
          </w:p>
          <w:p>
            <w:pPr>
              <w:pStyle w:val="TableParagraph"/>
              <w:spacing w:line="240" w:lineRule="auto"/>
              <w:ind w:right="0"/>
              <w:jc w:val="left"/>
              <w:rPr>
                <w:rFonts w:ascii="宋体" w:hAnsi="宋体" w:cs="宋体" w:eastAsia="宋体" w:hint="default"/>
                <w:b/>
                <w:bCs/>
                <w:sz w:val="25"/>
                <w:szCs w:val="25"/>
              </w:rPr>
            </w:pPr>
          </w:p>
          <w:p>
            <w:pPr>
              <w:pStyle w:val="TableParagraph"/>
              <w:spacing w:line="259" w:lineRule="auto"/>
              <w:ind w:left="4" w:right="84"/>
              <w:jc w:val="both"/>
              <w:rPr>
                <w:rFonts w:ascii="宋体" w:hAnsi="宋体" w:cs="宋体" w:eastAsia="宋体" w:hint="default"/>
                <w:sz w:val="22"/>
                <w:szCs w:val="22"/>
              </w:rPr>
            </w:pPr>
            <w:r>
              <w:rPr>
                <w:rFonts w:ascii="宋体" w:hAnsi="宋体" w:cs="宋体" w:eastAsia="宋体" w:hint="default"/>
                <w:spacing w:val="-1"/>
                <w:sz w:val="22"/>
                <w:szCs w:val="22"/>
              </w:rPr>
              <w:t>管理层基于应收账款的预期损失率，按照相当</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pacing w:val="-1"/>
                <w:sz w:val="22"/>
                <w:szCs w:val="22"/>
              </w:rPr>
              <w:t>于整个存续期内预期信用损失的金额计量应收</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pacing w:val="-1"/>
                <w:sz w:val="22"/>
                <w:szCs w:val="22"/>
              </w:rPr>
              <w:t>账款坏账准备。预期损失率考虑应收账款逾期</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pacing w:val="-1"/>
                <w:sz w:val="22"/>
                <w:szCs w:val="22"/>
              </w:rPr>
              <w:t>账龄、建科院集团不同信用风险特征客户的回</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pacing w:val="-1"/>
                <w:sz w:val="22"/>
                <w:szCs w:val="22"/>
              </w:rPr>
              <w:t>收历史、当前市场情况、客户特定情况和前瞻</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性信息。</w:t>
            </w: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59" w:lineRule="auto"/>
              <w:ind w:left="4" w:right="84"/>
              <w:jc w:val="both"/>
              <w:rPr>
                <w:rFonts w:ascii="宋体" w:hAnsi="宋体" w:cs="宋体" w:eastAsia="宋体" w:hint="default"/>
                <w:sz w:val="22"/>
                <w:szCs w:val="22"/>
              </w:rPr>
            </w:pPr>
            <w:r>
              <w:rPr>
                <w:rFonts w:ascii="宋体" w:hAnsi="宋体" w:cs="宋体" w:eastAsia="宋体" w:hint="default"/>
                <w:spacing w:val="-1"/>
                <w:sz w:val="22"/>
                <w:szCs w:val="22"/>
              </w:rPr>
              <w:t>由于坏账准备的确定涉及重大的管理层判断，</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1"/>
                <w:sz w:val="22"/>
                <w:szCs w:val="22"/>
              </w:rPr>
              <w:t>且其对财务报表的重要性，我们将应收账款坏</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账准备识别为关键审计事项。</w:t>
            </w:r>
          </w:p>
        </w:tc>
        <w:tc>
          <w:tcPr>
            <w:tcW w:w="4595"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110"/>
              <w:ind w:left="4" w:right="1"/>
              <w:jc w:val="left"/>
              <w:rPr>
                <w:rFonts w:ascii="宋体" w:hAnsi="宋体" w:cs="宋体" w:eastAsia="宋体" w:hint="default"/>
                <w:sz w:val="22"/>
                <w:szCs w:val="22"/>
              </w:rPr>
            </w:pPr>
            <w:r>
              <w:rPr>
                <w:rFonts w:ascii="宋体" w:hAnsi="宋体" w:cs="宋体" w:eastAsia="宋体" w:hint="default"/>
                <w:spacing w:val="6"/>
                <w:sz w:val="22"/>
                <w:szCs w:val="22"/>
              </w:rPr>
              <w:t>与评价应收账款坏账准备相关的审计程序中包</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括以下程序：</w:t>
            </w:r>
          </w:p>
          <w:p>
            <w:pPr>
              <w:pStyle w:val="TableParagraph"/>
              <w:spacing w:line="259" w:lineRule="auto" w:before="126"/>
              <w:ind w:left="364" w:right="0" w:hanging="36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了解与信用风险控制、款项回收及预期信用</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损失估计相关的关键财务报告内部控制，并</w:t>
            </w:r>
            <w:r>
              <w:rPr>
                <w:rFonts w:ascii="宋体" w:hAnsi="宋体" w:cs="宋体" w:eastAsia="宋体" w:hint="default"/>
                <w:w w:val="100"/>
                <w:sz w:val="22"/>
                <w:szCs w:val="22"/>
              </w:rPr>
              <w:t> </w:t>
            </w:r>
            <w:r>
              <w:rPr>
                <w:rFonts w:ascii="宋体" w:hAnsi="宋体" w:cs="宋体" w:eastAsia="宋体" w:hint="default"/>
                <w:sz w:val="22"/>
                <w:szCs w:val="22"/>
              </w:rPr>
              <w:t>评价其设计的合理性和运行有效性；</w:t>
            </w:r>
          </w:p>
          <w:p>
            <w:pPr>
              <w:pStyle w:val="TableParagraph"/>
              <w:spacing w:line="259" w:lineRule="auto" w:before="126"/>
              <w:ind w:left="364" w:right="0" w:hanging="36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按照相关会计准则的要求，评价建科院集团</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估计信用损失准备的会计政策；</w:t>
            </w:r>
          </w:p>
          <w:p>
            <w:pPr>
              <w:pStyle w:val="TableParagraph"/>
              <w:spacing w:line="259" w:lineRule="auto" w:before="127"/>
              <w:ind w:left="364" w:right="32" w:hanging="36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27"/>
                <w:sz w:val="22"/>
                <w:szCs w:val="22"/>
              </w:rPr>
              <w:t> </w:t>
            </w:r>
            <w:r>
              <w:rPr>
                <w:rFonts w:ascii="宋体" w:hAnsi="宋体" w:cs="宋体" w:eastAsia="宋体" w:hint="default"/>
                <w:sz w:val="22"/>
                <w:szCs w:val="22"/>
              </w:rPr>
              <w:t>从应收账款逾期账龄分析报告中选取测试项</w:t>
            </w:r>
            <w:r>
              <w:rPr>
                <w:rFonts w:ascii="宋体" w:hAnsi="宋体" w:cs="宋体" w:eastAsia="宋体" w:hint="default"/>
                <w:w w:val="100"/>
                <w:sz w:val="22"/>
                <w:szCs w:val="22"/>
              </w:rPr>
              <w:t> </w:t>
            </w:r>
            <w:r>
              <w:rPr>
                <w:rFonts w:ascii="宋体" w:hAnsi="宋体" w:cs="宋体" w:eastAsia="宋体" w:hint="default"/>
                <w:spacing w:val="-1"/>
                <w:sz w:val="22"/>
                <w:szCs w:val="22"/>
              </w:rPr>
              <w:t>目，核对至收入确认和付款条件相关的支持</w:t>
            </w:r>
            <w:r>
              <w:rPr>
                <w:rFonts w:ascii="宋体" w:hAnsi="宋体" w:cs="宋体" w:eastAsia="宋体" w:hint="default"/>
                <w:w w:val="100"/>
                <w:sz w:val="22"/>
                <w:szCs w:val="22"/>
              </w:rPr>
              <w:t> </w:t>
            </w:r>
            <w:r>
              <w:rPr>
                <w:rFonts w:ascii="宋体" w:hAnsi="宋体" w:cs="宋体" w:eastAsia="宋体" w:hint="default"/>
                <w:spacing w:val="-1"/>
                <w:sz w:val="22"/>
                <w:szCs w:val="22"/>
              </w:rPr>
              <w:t>性文件，以评价逾期账龄分析报告中的逾期</w:t>
            </w:r>
            <w:r>
              <w:rPr>
                <w:rFonts w:ascii="宋体" w:hAnsi="宋体" w:cs="宋体" w:eastAsia="宋体" w:hint="default"/>
                <w:w w:val="100"/>
                <w:sz w:val="22"/>
                <w:szCs w:val="22"/>
              </w:rPr>
              <w:t> </w:t>
            </w:r>
            <w:r>
              <w:rPr>
                <w:rFonts w:ascii="宋体" w:hAnsi="宋体" w:cs="宋体" w:eastAsia="宋体" w:hint="default"/>
                <w:sz w:val="22"/>
                <w:szCs w:val="22"/>
              </w:rPr>
              <w:t>账龄区间划分的准确性；</w:t>
            </w:r>
          </w:p>
          <w:p>
            <w:pPr>
              <w:pStyle w:val="TableParagraph"/>
              <w:spacing w:line="259" w:lineRule="auto" w:before="126"/>
              <w:ind w:left="364" w:right="-1" w:hanging="36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z w:val="22"/>
                <w:szCs w:val="22"/>
              </w:rPr>
              <w:t>了解管理层预期信用损失模型中所运用的关</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键参数及假设，包括管理层基于客户信用风</w:t>
            </w:r>
            <w:r>
              <w:rPr>
                <w:rFonts w:ascii="宋体" w:hAnsi="宋体" w:cs="宋体" w:eastAsia="宋体" w:hint="default"/>
                <w:w w:val="100"/>
                <w:sz w:val="22"/>
                <w:szCs w:val="22"/>
              </w:rPr>
              <w:t> </w:t>
            </w:r>
            <w:r>
              <w:rPr>
                <w:rFonts w:ascii="宋体" w:hAnsi="宋体" w:cs="宋体" w:eastAsia="宋体" w:hint="default"/>
                <w:sz w:val="22"/>
                <w:szCs w:val="22"/>
              </w:rPr>
              <w:t>险特征对应收账款进行分组的判断、以及管</w:t>
            </w:r>
            <w:r>
              <w:rPr>
                <w:rFonts w:ascii="宋体" w:hAnsi="宋体" w:cs="宋体" w:eastAsia="宋体" w:hint="default"/>
                <w:w w:val="100"/>
                <w:sz w:val="22"/>
                <w:szCs w:val="22"/>
              </w:rPr>
              <w:t> </w:t>
            </w:r>
            <w:r>
              <w:rPr>
                <w:rFonts w:ascii="宋体" w:hAnsi="宋体" w:cs="宋体" w:eastAsia="宋体" w:hint="default"/>
                <w:sz w:val="22"/>
                <w:szCs w:val="22"/>
              </w:rPr>
              <w:t>理层预期损失率中包含的历史违约数据等；</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69"/>
        <w:ind w:right="3038"/>
        <w:jc w:val="center"/>
        <w:rPr>
          <w:b w:val="0"/>
          <w:bCs w:val="0"/>
        </w:rPr>
      </w:pPr>
      <w:r>
        <w:rPr/>
        <w:t>审计报告（续）</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44"/>
        <w:ind w:left="0" w:right="1128"/>
        <w:jc w:val="right"/>
      </w:pPr>
      <w:r>
        <w:rPr/>
        <w:t>毕马威华振审字第</w:t>
      </w:r>
      <w:r>
        <w:rPr>
          <w:rFonts w:ascii="Times New Roman" w:hAnsi="Times New Roman" w:cs="Times New Roman" w:eastAsia="Times New Roman" w:hint="default"/>
        </w:rPr>
        <w:t>2001811</w:t>
      </w:r>
      <w:r>
        <w:rPr/>
        <w:t>号</w:t>
      </w:r>
    </w:p>
    <w:p>
      <w:pPr>
        <w:spacing w:line="240" w:lineRule="auto" w:before="11"/>
        <w:rPr>
          <w:rFonts w:ascii="宋体" w:hAnsi="宋体" w:cs="宋体" w:eastAsia="宋体" w:hint="default"/>
          <w:sz w:val="27"/>
          <w:szCs w:val="27"/>
        </w:rPr>
      </w:pPr>
    </w:p>
    <w:tbl>
      <w:tblPr>
        <w:tblW w:w="0" w:type="auto"/>
        <w:jc w:val="left"/>
        <w:tblInd w:w="150" w:type="dxa"/>
        <w:tblLayout w:type="fixed"/>
        <w:tblCellMar>
          <w:top w:w="0" w:type="dxa"/>
          <w:left w:w="0" w:type="dxa"/>
          <w:bottom w:w="0" w:type="dxa"/>
          <w:right w:w="0" w:type="dxa"/>
        </w:tblCellMar>
        <w:tblLook w:val="01E0"/>
      </w:tblPr>
      <w:tblGrid>
        <w:gridCol w:w="4508"/>
        <w:gridCol w:w="4595"/>
      </w:tblGrid>
      <w:tr>
        <w:trPr>
          <w:trHeight w:val="589"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left"/>
              <w:rPr>
                <w:rFonts w:ascii="宋体" w:hAnsi="宋体" w:cs="宋体" w:eastAsia="宋体" w:hint="default"/>
                <w:sz w:val="22"/>
                <w:szCs w:val="22"/>
              </w:rPr>
            </w:pPr>
            <w:r>
              <w:rPr>
                <w:rFonts w:ascii="宋体" w:hAnsi="宋体" w:cs="宋体" w:eastAsia="宋体" w:hint="default"/>
                <w:b/>
                <w:bCs/>
                <w:sz w:val="22"/>
                <w:szCs w:val="22"/>
              </w:rPr>
              <w:t>在审计中如何应对该事项</w:t>
            </w:r>
            <w:r>
              <w:rPr>
                <w:rFonts w:ascii="宋体" w:hAnsi="宋体" w:cs="宋体" w:eastAsia="宋体" w:hint="default"/>
                <w:sz w:val="22"/>
                <w:szCs w:val="22"/>
              </w:rPr>
            </w:r>
          </w:p>
        </w:tc>
      </w:tr>
      <w:tr>
        <w:trPr>
          <w:trHeight w:val="2146" w:hRule="exact"/>
        </w:trPr>
        <w:tc>
          <w:tcPr>
            <w:tcW w:w="4508" w:type="dxa"/>
            <w:tcBorders>
              <w:top w:val="single" w:sz="6" w:space="0" w:color="000000"/>
              <w:left w:val="single" w:sz="6" w:space="0" w:color="000000"/>
              <w:bottom w:val="single" w:sz="6" w:space="0" w:color="000000"/>
              <w:right w:val="single" w:sz="6" w:space="0" w:color="000000"/>
            </w:tcBorders>
          </w:tcPr>
          <w:p>
            <w:pPr/>
          </w:p>
        </w:tc>
        <w:tc>
          <w:tcPr>
            <w:tcW w:w="4595"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108"/>
              <w:ind w:left="364" w:right="0" w:hanging="36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通过检查管理层用于做出判断的信息，包括</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测试历史违约数据的准确性，评估历史违约</w:t>
            </w:r>
            <w:r>
              <w:rPr>
                <w:rFonts w:ascii="宋体" w:hAnsi="宋体" w:cs="宋体" w:eastAsia="宋体" w:hint="default"/>
                <w:w w:val="100"/>
                <w:sz w:val="22"/>
                <w:szCs w:val="22"/>
              </w:rPr>
              <w:t> </w:t>
            </w:r>
            <w:r>
              <w:rPr>
                <w:rFonts w:ascii="宋体" w:hAnsi="宋体" w:cs="宋体" w:eastAsia="宋体" w:hint="default"/>
                <w:sz w:val="22"/>
                <w:szCs w:val="22"/>
              </w:rPr>
              <w:t>率是否考虑并需要根据当前经济状况及前瞻</w:t>
            </w:r>
            <w:r>
              <w:rPr>
                <w:rFonts w:ascii="宋体" w:hAnsi="宋体" w:cs="宋体" w:eastAsia="宋体" w:hint="default"/>
                <w:w w:val="100"/>
                <w:sz w:val="22"/>
                <w:szCs w:val="22"/>
              </w:rPr>
              <w:t> </w:t>
            </w:r>
            <w:r>
              <w:rPr>
                <w:rFonts w:ascii="宋体" w:hAnsi="宋体" w:cs="宋体" w:eastAsia="宋体" w:hint="default"/>
                <w:sz w:val="22"/>
                <w:szCs w:val="22"/>
              </w:rPr>
              <w:t>性信息进行调整，评价管理层对于坏账准备</w:t>
            </w:r>
            <w:r>
              <w:rPr>
                <w:rFonts w:ascii="宋体" w:hAnsi="宋体" w:cs="宋体" w:eastAsia="宋体" w:hint="default"/>
                <w:w w:val="100"/>
                <w:sz w:val="22"/>
                <w:szCs w:val="22"/>
              </w:rPr>
              <w:t> </w:t>
            </w:r>
            <w:r>
              <w:rPr>
                <w:rFonts w:ascii="宋体" w:hAnsi="宋体" w:cs="宋体" w:eastAsia="宋体" w:hint="default"/>
                <w:sz w:val="22"/>
                <w:szCs w:val="22"/>
              </w:rPr>
              <w:t>估计的合理性；</w:t>
            </w:r>
          </w:p>
          <w:p>
            <w:pPr>
              <w:pStyle w:val="TableParagraph"/>
              <w:spacing w:line="240" w:lineRule="auto" w:before="126"/>
              <w:ind w:left="4"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z w:val="22"/>
                <w:szCs w:val="22"/>
              </w:rPr>
              <w:t>基于建科院集团信用损失准备计提的会计政</w:t>
            </w:r>
          </w:p>
        </w:tc>
      </w:tr>
    </w:tbl>
    <w:p>
      <w:pPr>
        <w:spacing w:after="0" w:line="240" w:lineRule="auto"/>
        <w:jc w:val="left"/>
        <w:rPr>
          <w:rFonts w:ascii="宋体" w:hAnsi="宋体" w:cs="宋体" w:eastAsia="宋体" w:hint="default"/>
          <w:sz w:val="22"/>
          <w:szCs w:val="22"/>
        </w:rPr>
        <w:sectPr>
          <w:pgSz w:w="11910" w:h="16840"/>
          <w:pgMar w:header="748" w:footer="975" w:top="1060" w:bottom="1160" w:left="980" w:right="0"/>
        </w:sectPr>
      </w:pPr>
    </w:p>
    <w:p>
      <w:pPr>
        <w:spacing w:line="240" w:lineRule="auto" w:before="10"/>
        <w:rPr>
          <w:rFonts w:ascii="宋体" w:hAnsi="宋体" w:cs="宋体" w:eastAsia="宋体" w:hint="default"/>
          <w:sz w:val="27"/>
          <w:szCs w:val="27"/>
        </w:rPr>
      </w:pPr>
    </w:p>
    <w:p>
      <w:pPr>
        <w:spacing w:line="1553" w:lineRule="exact"/>
        <w:ind w:left="150" w:right="0" w:firstLine="0"/>
        <w:rPr>
          <w:rFonts w:ascii="宋体" w:hAnsi="宋体" w:cs="宋体" w:eastAsia="宋体" w:hint="default"/>
          <w:sz w:val="20"/>
          <w:szCs w:val="20"/>
        </w:rPr>
      </w:pPr>
      <w:r>
        <w:rPr>
          <w:rFonts w:ascii="宋体" w:hAnsi="宋体" w:cs="宋体" w:eastAsia="宋体" w:hint="default"/>
          <w:position w:val="-30"/>
          <w:sz w:val="20"/>
          <w:szCs w:val="20"/>
        </w:rPr>
        <w:pict>
          <v:group style="width:455.9pt;height:77.7pt;mso-position-horizontal-relative:char;mso-position-vertical-relative:line" coordorigin="0,0" coordsize="9118,1554">
            <v:group style="position:absolute;left:14;top:14;width:4494;height:2" coordorigin="14,14" coordsize="4494,2">
              <v:shape style="position:absolute;left:14;top:14;width:4494;height:2" coordorigin="14,14" coordsize="4494,0" path="m14,14l4508,14e" filled="false" stroked="true" strokeweight=".72pt" strokecolor="#000000">
                <v:path arrowok="t"/>
              </v:shape>
            </v:group>
            <v:group style="position:absolute;left:4523;top:14;width:4581;height:2" coordorigin="4523,14" coordsize="4581,2">
              <v:shape style="position:absolute;left:4523;top:14;width:4581;height:2" coordorigin="4523,14" coordsize="4581,0" path="m4523,14l9103,14e" filled="false" stroked="true" strokeweight=".72pt" strokecolor="#000000">
                <v:path arrowok="t"/>
              </v:shape>
            </v:group>
            <v:group style="position:absolute;left:7;top:7;width:2;height:1539" coordorigin="7,7" coordsize="2,1539">
              <v:shape style="position:absolute;left:7;top:7;width:2;height:1539" coordorigin="7,7" coordsize="0,1539" path="m7,7l7,1546e" filled="false" stroked="true" strokeweight=".72pt" strokecolor="#000000">
                <v:path arrowok="t"/>
              </v:shape>
            </v:group>
            <v:group style="position:absolute;left:14;top:1539;width:4494;height:2" coordorigin="14,1539" coordsize="4494,2">
              <v:shape style="position:absolute;left:14;top:1539;width:4494;height:2" coordorigin="14,1539" coordsize="4494,0" path="m14,1539l4508,1539e" filled="false" stroked="true" strokeweight=".72pt" strokecolor="#000000">
                <v:path arrowok="t"/>
              </v:shape>
            </v:group>
            <v:group style="position:absolute;left:4515;top:7;width:2;height:1539" coordorigin="4515,7" coordsize="2,1539">
              <v:shape style="position:absolute;left:4515;top:7;width:2;height:1539" coordorigin="4515,7" coordsize="0,1539" path="m4515,7l4515,1546e" filled="false" stroked="true" strokeweight=".72pt" strokecolor="#000000">
                <v:path arrowok="t"/>
              </v:shape>
            </v:group>
            <v:group style="position:absolute;left:4523;top:1539;width:4581;height:2" coordorigin="4523,1539" coordsize="4581,2">
              <v:shape style="position:absolute;left:4523;top:1539;width:4581;height:2" coordorigin="4523,1539" coordsize="4581,0" path="m4523,1539l9103,1539e" filled="false" stroked="true" strokeweight=".72pt" strokecolor="#000000">
                <v:path arrowok="t"/>
              </v:shape>
            </v:group>
            <v:group style="position:absolute;left:9110;top:7;width:2;height:1539" coordorigin="9110,7" coordsize="2,1539">
              <v:shape style="position:absolute;left:9110;top:7;width:2;height:1539" coordorigin="9110,7" coordsize="0,1539" path="m9110,7l9110,1546e" filled="false" stroked="true" strokeweight=".71997pt" strokecolor="#000000">
                <v:path arrowok="t"/>
              </v:shape>
              <v:shape style="position:absolute;left:4515;top:14;width:4595;height:1525" type="#_x0000_t202" filled="false" stroked="false">
                <v:textbox inset="0,0,0,0">
                  <w:txbxContent>
                    <w:p>
                      <w:pPr>
                        <w:spacing w:line="247" w:lineRule="auto" w:before="0"/>
                        <w:ind w:left="371" w:right="3" w:firstLine="0"/>
                        <w:jc w:val="left"/>
                        <w:rPr>
                          <w:rFonts w:ascii="宋体" w:hAnsi="宋体" w:cs="宋体" w:eastAsia="宋体" w:hint="default"/>
                          <w:sz w:val="22"/>
                          <w:szCs w:val="22"/>
                        </w:rPr>
                      </w:pPr>
                      <w:r>
                        <w:rPr>
                          <w:rFonts w:ascii="宋体" w:hAnsi="宋体" w:cs="宋体" w:eastAsia="宋体" w:hint="default"/>
                          <w:sz w:val="22"/>
                          <w:szCs w:val="22"/>
                        </w:rPr>
                        <w:t>策重新计算于</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日的坏账准备；</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及</w:t>
                      </w:r>
                    </w:p>
                    <w:p>
                      <w:pPr>
                        <w:spacing w:line="244" w:lineRule="auto" w:before="137"/>
                        <w:ind w:left="371" w:right="3" w:hanging="36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z w:val="22"/>
                          <w:szCs w:val="22"/>
                        </w:rPr>
                        <w:t>选取样本，检查于</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日应收账款</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的期后回款。</w:t>
                      </w:r>
                    </w:p>
                  </w:txbxContent>
                </v:textbox>
                <w10:wrap type="none"/>
              </v:shape>
            </v:group>
          </v:group>
        </w:pict>
      </w:r>
      <w:r>
        <w:rPr>
          <w:rFonts w:ascii="宋体" w:hAnsi="宋体" w:cs="宋体" w:eastAsia="宋体" w:hint="default"/>
          <w:position w:val="-3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4"/>
        <w:spacing w:line="240" w:lineRule="auto"/>
        <w:ind w:right="3038"/>
        <w:jc w:val="center"/>
        <w:rPr>
          <w:b w:val="0"/>
          <w:bCs w:val="0"/>
        </w:rPr>
      </w:pPr>
      <w:r>
        <w:rPr/>
        <w:t>审计报告（续）</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44"/>
        <w:ind w:left="0" w:right="1128"/>
        <w:jc w:val="right"/>
      </w:pPr>
      <w:r>
        <w:rPr/>
        <w:t>毕马威华振审字第</w:t>
      </w:r>
      <w:r>
        <w:rPr>
          <w:rFonts w:ascii="Times New Roman" w:hAnsi="Times New Roman" w:cs="Times New Roman" w:eastAsia="Times New Roman" w:hint="default"/>
        </w:rPr>
        <w:t>2001811</w:t>
      </w:r>
      <w:r>
        <w:rPr/>
        <w:t>号</w:t>
      </w:r>
    </w:p>
    <w:p>
      <w:pPr>
        <w:spacing w:line="240" w:lineRule="auto" w:before="9"/>
        <w:rPr>
          <w:rFonts w:ascii="宋体" w:hAnsi="宋体" w:cs="宋体" w:eastAsia="宋体" w:hint="default"/>
          <w:sz w:val="23"/>
          <w:szCs w:val="23"/>
        </w:rPr>
      </w:pPr>
    </w:p>
    <w:p>
      <w:pPr>
        <w:pStyle w:val="Heading4"/>
        <w:spacing w:line="240" w:lineRule="auto"/>
        <w:ind w:left="594" w:right="0"/>
        <w:jc w:val="left"/>
        <w:rPr>
          <w:b w:val="0"/>
          <w:bCs w:val="0"/>
        </w:rPr>
      </w:pPr>
      <w:r>
        <w:rPr/>
        <w:t>四、其他信息</w:t>
      </w:r>
      <w:r>
        <w:rPr>
          <w:b w:val="0"/>
          <w:bCs w:val="0"/>
        </w:rPr>
      </w:r>
    </w:p>
    <w:p>
      <w:pPr>
        <w:spacing w:line="240" w:lineRule="auto" w:before="9"/>
        <w:rPr>
          <w:rFonts w:ascii="宋体" w:hAnsi="宋体" w:cs="宋体" w:eastAsia="宋体" w:hint="default"/>
          <w:b/>
          <w:bCs/>
          <w:sz w:val="25"/>
          <w:szCs w:val="25"/>
        </w:rPr>
      </w:pPr>
    </w:p>
    <w:p>
      <w:pPr>
        <w:pStyle w:val="Heading5"/>
        <w:spacing w:line="244" w:lineRule="auto"/>
        <w:ind w:right="0" w:firstLine="442"/>
        <w:jc w:val="left"/>
      </w:pPr>
      <w:r>
        <w:rPr>
          <w:spacing w:val="-2"/>
        </w:rPr>
        <w:t>建科院集团管理层对其他信息负责。其他信息包括建科院集团</w:t>
      </w:r>
      <w:r>
        <w:rPr>
          <w:rFonts w:ascii="Times New Roman" w:hAnsi="Times New Roman" w:cs="Times New Roman" w:eastAsia="Times New Roman" w:hint="default"/>
          <w:spacing w:val="-2"/>
        </w:rPr>
        <w:t>2019</w:t>
      </w:r>
      <w:r>
        <w:rPr>
          <w:spacing w:val="-2"/>
        </w:rPr>
        <w:t>年年度报告中涵盖的信息，但</w:t>
      </w:r>
      <w:r>
        <w:rPr>
          <w:w w:val="100"/>
        </w:rPr>
        <w:t> </w:t>
      </w:r>
      <w:r>
        <w:rPr/>
        <w:t>不包括财务报表和我们的审计报告。</w:t>
      </w:r>
    </w:p>
    <w:p>
      <w:pPr>
        <w:spacing w:line="240" w:lineRule="auto" w:before="11"/>
        <w:rPr>
          <w:rFonts w:ascii="宋体" w:hAnsi="宋体" w:cs="宋体" w:eastAsia="宋体" w:hint="default"/>
          <w:sz w:val="22"/>
          <w:szCs w:val="22"/>
        </w:rPr>
      </w:pPr>
    </w:p>
    <w:p>
      <w:pPr>
        <w:pStyle w:val="Heading5"/>
        <w:spacing w:line="240" w:lineRule="auto" w:before="32"/>
        <w:ind w:left="594" w:right="0"/>
        <w:jc w:val="left"/>
      </w:pPr>
      <w:r>
        <w:rPr>
          <w:spacing w:val="2"/>
        </w:rPr>
        <w:t>我们对财务报表发表的审计意见不涵盖其他信息，我们也不对其他信息发表任何形式的鉴证结</w:t>
      </w:r>
    </w:p>
    <w:p>
      <w:pPr>
        <w:pStyle w:val="Heading5"/>
        <w:spacing w:line="240" w:lineRule="auto" w:before="24"/>
        <w:ind w:right="0"/>
        <w:jc w:val="left"/>
      </w:pPr>
      <w:r>
        <w:rPr/>
        <w:t>论。</w:t>
      </w:r>
    </w:p>
    <w:p>
      <w:pPr>
        <w:spacing w:line="240" w:lineRule="auto" w:before="2"/>
        <w:rPr>
          <w:rFonts w:ascii="宋体" w:hAnsi="宋体" w:cs="宋体" w:eastAsia="宋体" w:hint="default"/>
          <w:sz w:val="23"/>
          <w:szCs w:val="23"/>
        </w:rPr>
      </w:pPr>
    </w:p>
    <w:p>
      <w:pPr>
        <w:pStyle w:val="Heading5"/>
        <w:spacing w:line="259" w:lineRule="auto" w:before="32"/>
        <w:ind w:right="0" w:firstLine="442"/>
        <w:jc w:val="left"/>
      </w:pPr>
      <w:r>
        <w:rPr>
          <w:spacing w:val="-3"/>
        </w:rPr>
        <w:t>结合我们对财务报表的审计，我们的责任是阅读其他信息，在此过程中，考虑其他信息是否与财</w:t>
      </w:r>
      <w:r>
        <w:rPr>
          <w:w w:val="100"/>
        </w:rPr>
        <w:t> </w:t>
      </w:r>
      <w:r>
        <w:rPr/>
        <w:t>务报表或我们在审计过程中了解到的情况存在重大不一致或者似乎存在重大错报。</w:t>
      </w:r>
    </w:p>
    <w:p>
      <w:pPr>
        <w:spacing w:line="240" w:lineRule="auto" w:before="4"/>
        <w:rPr>
          <w:rFonts w:ascii="宋体" w:hAnsi="宋体" w:cs="宋体" w:eastAsia="宋体" w:hint="default"/>
          <w:sz w:val="24"/>
          <w:szCs w:val="24"/>
        </w:rPr>
      </w:pPr>
    </w:p>
    <w:p>
      <w:pPr>
        <w:pStyle w:val="Heading5"/>
        <w:spacing w:line="259" w:lineRule="auto"/>
        <w:ind w:right="0" w:firstLine="442"/>
        <w:jc w:val="left"/>
      </w:pPr>
      <w:r>
        <w:rPr>
          <w:spacing w:val="-5"/>
        </w:rPr>
        <w:t>基于我们已执行的工作，如果我们确定其他信息存在重大错报，我们应当报告该事实。在这方面，</w:t>
      </w:r>
      <w:r>
        <w:rPr>
          <w:w w:val="100"/>
        </w:rPr>
        <w:t> </w:t>
      </w:r>
      <w:r>
        <w:rPr/>
        <w:t>我们无任何事项需要报告。</w:t>
      </w:r>
    </w:p>
    <w:p>
      <w:pPr>
        <w:spacing w:line="624" w:lineRule="exact" w:before="76"/>
        <w:ind w:left="594" w:right="0" w:firstLine="0"/>
        <w:jc w:val="left"/>
        <w:rPr>
          <w:rFonts w:ascii="宋体" w:hAnsi="宋体" w:cs="宋体" w:eastAsia="宋体" w:hint="default"/>
          <w:sz w:val="22"/>
          <w:szCs w:val="22"/>
        </w:rPr>
      </w:pPr>
      <w:r>
        <w:rPr>
          <w:rFonts w:ascii="宋体" w:hAnsi="宋体" w:cs="宋体" w:eastAsia="宋体" w:hint="default"/>
          <w:b/>
          <w:bCs/>
          <w:sz w:val="22"/>
          <w:szCs w:val="22"/>
        </w:rPr>
        <w:t>五、管理层和治理层对财务报表的责任</w:t>
      </w:r>
      <w:r>
        <w:rPr>
          <w:rFonts w:ascii="宋体" w:hAnsi="宋体" w:cs="宋体" w:eastAsia="宋体" w:hint="default"/>
          <w:b/>
          <w:bCs/>
          <w:w w:val="99"/>
          <w:sz w:val="22"/>
          <w:szCs w:val="22"/>
        </w:rPr>
        <w:t> </w:t>
      </w:r>
      <w:r>
        <w:rPr>
          <w:rFonts w:ascii="宋体" w:hAnsi="宋体" w:cs="宋体" w:eastAsia="宋体" w:hint="default"/>
          <w:spacing w:val="-3"/>
          <w:sz w:val="22"/>
          <w:szCs w:val="22"/>
        </w:rPr>
        <w:t>管理层负责按照企业会计准则的规定编制财务报表，使其实现公允反映，并设计、执行和维护必</w:t>
      </w:r>
    </w:p>
    <w:p>
      <w:pPr>
        <w:pStyle w:val="Heading5"/>
        <w:spacing w:line="218" w:lineRule="exact"/>
        <w:ind w:right="0"/>
        <w:jc w:val="left"/>
      </w:pPr>
      <w:r>
        <w:rPr/>
        <w:t>要的内部控制，以使财务报表不存在由于舞弊或错误导致的重大错报。</w:t>
      </w:r>
    </w:p>
    <w:p>
      <w:pPr>
        <w:spacing w:line="240" w:lineRule="auto" w:before="9"/>
        <w:rPr>
          <w:rFonts w:ascii="宋体" w:hAnsi="宋体" w:cs="宋体" w:eastAsia="宋体" w:hint="default"/>
          <w:sz w:val="25"/>
          <w:szCs w:val="25"/>
        </w:rPr>
      </w:pPr>
    </w:p>
    <w:p>
      <w:pPr>
        <w:pStyle w:val="Heading5"/>
        <w:spacing w:line="244" w:lineRule="auto"/>
        <w:ind w:right="1121" w:firstLine="442"/>
        <w:jc w:val="left"/>
      </w:pPr>
      <w:r>
        <w:rPr>
          <w:spacing w:val="-6"/>
          <w:w w:val="100"/>
        </w:rPr>
        <w:t>在编制财务报表时，管理层负责评估建科院集团的持续经营能力，披露与持续经营相关的事项</w:t>
      </w:r>
      <w:r>
        <w:rPr>
          <w:spacing w:val="-19"/>
          <w:w w:val="100"/>
        </w:rPr>
        <w:t> </w:t>
      </w:r>
      <w:r>
        <w:rPr>
          <w:rFonts w:ascii="Times New Roman" w:hAnsi="Times New Roman" w:cs="Times New Roman" w:eastAsia="Times New Roman" w:hint="default"/>
          <w:spacing w:val="-1"/>
          <w:w w:val="100"/>
        </w:rPr>
        <w:t>(</w:t>
      </w:r>
      <w:r>
        <w:rPr>
          <w:spacing w:val="-1"/>
          <w:w w:val="100"/>
        </w:rPr>
        <w:t>如</w:t>
      </w:r>
      <w:r>
        <w:rPr>
          <w:w w:val="100"/>
        </w:rPr>
        <w:t> </w:t>
      </w:r>
      <w:r>
        <w:rPr/>
        <w:t>适用</w:t>
      </w:r>
      <w:r>
        <w:rPr>
          <w:rFonts w:ascii="Times New Roman" w:hAnsi="Times New Roman" w:cs="Times New Roman" w:eastAsia="Times New Roman" w:hint="default"/>
        </w:rPr>
        <w:t>)</w:t>
      </w:r>
      <w:r>
        <w:rPr/>
        <w:t>，并运用持续经营假设，除非建科院集团计划进行清算、终止运营或别无其他现实的选择。</w:t>
      </w:r>
    </w:p>
    <w:p>
      <w:pPr>
        <w:spacing w:line="240" w:lineRule="auto" w:before="1"/>
        <w:rPr>
          <w:rFonts w:ascii="宋体" w:hAnsi="宋体" w:cs="宋体" w:eastAsia="宋体" w:hint="default"/>
          <w:sz w:val="24"/>
          <w:szCs w:val="24"/>
        </w:rPr>
      </w:pPr>
    </w:p>
    <w:p>
      <w:pPr>
        <w:pStyle w:val="Heading5"/>
        <w:spacing w:line="240" w:lineRule="auto"/>
        <w:ind w:left="594" w:right="0"/>
        <w:jc w:val="left"/>
      </w:pPr>
      <w:r>
        <w:rPr/>
        <w:t>治理层负责监督建科院集团的财务报告过程。</w:t>
      </w:r>
    </w:p>
    <w:p>
      <w:pPr>
        <w:spacing w:after="0" w:line="240" w:lineRule="auto"/>
        <w:jc w:val="left"/>
        <w:sectPr>
          <w:pgSz w:w="11910" w:h="16840"/>
          <w:pgMar w:header="748" w:footer="975" w:top="1060" w:bottom="1160" w:left="980" w:right="0"/>
        </w:sectPr>
      </w:pPr>
    </w:p>
    <w:p>
      <w:pPr>
        <w:spacing w:line="240" w:lineRule="auto" w:before="2"/>
        <w:rPr>
          <w:rFonts w:ascii="宋体" w:hAnsi="宋体" w:cs="宋体" w:eastAsia="宋体" w:hint="default"/>
          <w:sz w:val="24"/>
          <w:szCs w:val="24"/>
        </w:rPr>
      </w:pPr>
    </w:p>
    <w:p>
      <w:pPr>
        <w:pStyle w:val="Heading4"/>
        <w:spacing w:line="240" w:lineRule="auto"/>
        <w:ind w:left="594" w:right="0"/>
        <w:jc w:val="left"/>
        <w:rPr>
          <w:b w:val="0"/>
          <w:bCs w:val="0"/>
        </w:rPr>
      </w:pPr>
      <w:r>
        <w:rPr/>
        <w:t>六、注册会计师对财务报表审计的责任</w:t>
      </w:r>
      <w:r>
        <w:rPr>
          <w:b w:val="0"/>
          <w:bCs w:val="0"/>
        </w:rPr>
      </w:r>
    </w:p>
    <w:p>
      <w:pPr>
        <w:spacing w:line="240" w:lineRule="auto" w:before="9"/>
        <w:rPr>
          <w:rFonts w:ascii="宋体" w:hAnsi="宋体" w:cs="宋体" w:eastAsia="宋体" w:hint="default"/>
          <w:b/>
          <w:bCs/>
          <w:sz w:val="25"/>
          <w:szCs w:val="25"/>
        </w:rPr>
      </w:pPr>
    </w:p>
    <w:p>
      <w:pPr>
        <w:pStyle w:val="Heading5"/>
        <w:spacing w:line="259" w:lineRule="auto"/>
        <w:ind w:right="1131" w:firstLine="442"/>
        <w:jc w:val="both"/>
      </w:pPr>
      <w:r>
        <w:rPr>
          <w:spacing w:val="-3"/>
        </w:rPr>
        <w:t>我们的目标是对财务报表整体是否不存在由于舞弊或错误导致的重大错报获取合理保证，并出具</w:t>
      </w:r>
      <w:r>
        <w:rPr>
          <w:w w:val="100"/>
        </w:rPr>
        <w:t> </w:t>
      </w:r>
      <w:r>
        <w:rPr>
          <w:spacing w:val="-2"/>
        </w:rPr>
        <w:t>包含审计意见的审计报告。合理保证是高水平的保证，但并不能保证按照审计准则执行的审计在某一</w:t>
      </w:r>
      <w:r>
        <w:rPr>
          <w:spacing w:val="-70"/>
        </w:rPr>
        <w:t> </w:t>
      </w:r>
      <w:r>
        <w:rPr>
          <w:spacing w:val="-70"/>
        </w:rPr>
      </w:r>
      <w:r>
        <w:rPr>
          <w:spacing w:val="-2"/>
        </w:rPr>
        <w:t>重大错报存在时总能发现。错报可能由于舞弊或错误导致，如果合理预期错报单独或汇总起来可能影</w:t>
      </w:r>
      <w:r>
        <w:rPr>
          <w:spacing w:val="-70"/>
        </w:rPr>
        <w:t> </w:t>
      </w:r>
      <w:r>
        <w:rPr>
          <w:spacing w:val="-70"/>
        </w:rPr>
      </w:r>
      <w:r>
        <w:rPr/>
        <w:t>响财务报表使用者依据财务报表作出的经济决策，则通常认为错报是重大的。</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9"/>
          <w:szCs w:val="29"/>
        </w:rPr>
      </w:pPr>
    </w:p>
    <w:p>
      <w:pPr>
        <w:pStyle w:val="Heading4"/>
        <w:spacing w:line="240" w:lineRule="auto" w:before="0"/>
        <w:ind w:right="3038"/>
        <w:jc w:val="center"/>
        <w:rPr>
          <w:b w:val="0"/>
          <w:bCs w:val="0"/>
        </w:rPr>
      </w:pPr>
      <w:r>
        <w:rPr/>
        <w:t>审计报告（续）</w:t>
      </w:r>
      <w:r>
        <w:rPr>
          <w:b w:val="0"/>
          <w:bCs w:val="0"/>
        </w:rPr>
      </w:r>
    </w:p>
    <w:p>
      <w:pPr>
        <w:spacing w:line="240" w:lineRule="auto" w:before="2"/>
        <w:rPr>
          <w:rFonts w:ascii="宋体" w:hAnsi="宋体" w:cs="宋体" w:eastAsia="宋体" w:hint="default"/>
          <w:b/>
          <w:bCs/>
          <w:sz w:val="28"/>
          <w:szCs w:val="28"/>
        </w:rPr>
      </w:pPr>
    </w:p>
    <w:p>
      <w:pPr>
        <w:pStyle w:val="BodyText"/>
        <w:spacing w:line="240" w:lineRule="auto"/>
        <w:ind w:left="7541" w:right="0"/>
        <w:jc w:val="left"/>
      </w:pPr>
      <w:r>
        <w:rPr/>
        <w:t>毕马威华振审字第</w:t>
      </w:r>
      <w:r>
        <w:rPr>
          <w:rFonts w:ascii="Times New Roman" w:hAnsi="Times New Roman" w:cs="Times New Roman" w:eastAsia="Times New Roman" w:hint="default"/>
        </w:rPr>
        <w:t>2001811</w:t>
      </w:r>
      <w:r>
        <w:rPr/>
        <w:t>号</w:t>
      </w:r>
    </w:p>
    <w:p>
      <w:pPr>
        <w:spacing w:line="620" w:lineRule="atLeast" w:before="11"/>
        <w:ind w:left="594" w:right="0" w:firstLine="0"/>
        <w:jc w:val="left"/>
        <w:rPr>
          <w:rFonts w:ascii="宋体" w:hAnsi="宋体" w:cs="宋体" w:eastAsia="宋体" w:hint="default"/>
          <w:sz w:val="22"/>
          <w:szCs w:val="22"/>
        </w:rPr>
      </w:pPr>
      <w:r>
        <w:rPr>
          <w:rFonts w:ascii="宋体" w:hAnsi="宋体" w:cs="宋体" w:eastAsia="宋体" w:hint="default"/>
          <w:b/>
          <w:bCs/>
          <w:sz w:val="22"/>
          <w:szCs w:val="22"/>
        </w:rPr>
        <w:t>六、注册会计师对财务报表审计的责任（续）</w:t>
      </w:r>
      <w:r>
        <w:rPr>
          <w:rFonts w:ascii="宋体" w:hAnsi="宋体" w:cs="宋体" w:eastAsia="宋体" w:hint="default"/>
          <w:b/>
          <w:bCs/>
          <w:w w:val="99"/>
          <w:sz w:val="22"/>
          <w:szCs w:val="22"/>
        </w:rPr>
        <w:t> </w:t>
      </w:r>
      <w:r>
        <w:rPr>
          <w:rFonts w:ascii="宋体" w:hAnsi="宋体" w:cs="宋体" w:eastAsia="宋体" w:hint="default"/>
          <w:spacing w:val="-2"/>
          <w:sz w:val="22"/>
          <w:szCs w:val="22"/>
        </w:rPr>
        <w:t>在按照审计准则执行审计工作的过程中，我们运用职业判断，并保持职业怀疑。同时，我们也执</w:t>
      </w:r>
    </w:p>
    <w:p>
      <w:pPr>
        <w:pStyle w:val="Heading5"/>
        <w:spacing w:line="240" w:lineRule="auto" w:before="24"/>
        <w:ind w:right="0"/>
        <w:jc w:val="left"/>
      </w:pPr>
      <w:r>
        <w:rPr/>
        <w:t>行以下工作：</w:t>
      </w:r>
    </w:p>
    <w:p>
      <w:pPr>
        <w:spacing w:line="240" w:lineRule="auto" w:before="9"/>
        <w:rPr>
          <w:rFonts w:ascii="宋体" w:hAnsi="宋体" w:cs="宋体" w:eastAsia="宋体" w:hint="default"/>
          <w:sz w:val="25"/>
          <w:szCs w:val="25"/>
        </w:rPr>
      </w:pPr>
    </w:p>
    <w:p>
      <w:pPr>
        <w:pStyle w:val="Heading5"/>
        <w:spacing w:line="254" w:lineRule="auto"/>
        <w:ind w:left="1161" w:right="1134"/>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识别和评估由于舞弊或错误导致的财务报表重大错报风险，设计和实施审计程序以</w:t>
      </w:r>
      <w:r>
        <w:rPr>
          <w:w w:val="100"/>
        </w:rPr>
        <w:t> </w:t>
      </w:r>
      <w:r>
        <w:rPr/>
        <w:t>应对这些风险，并获取充分、适当的审计证据，作为发表审计意见的基础。由于舞弊可能</w:t>
      </w:r>
      <w:r>
        <w:rPr>
          <w:spacing w:val="-63"/>
        </w:rPr>
        <w:t> </w:t>
      </w:r>
      <w:r>
        <w:rPr>
          <w:spacing w:val="-63"/>
        </w:rPr>
      </w:r>
      <w:r>
        <w:rPr/>
        <w:t>涉及串通、伪造、故意遗漏、虚假陈述或凌驾于内部控制之上，未能发现由于舞弊导致的</w:t>
      </w:r>
      <w:r>
        <w:rPr>
          <w:spacing w:val="-63"/>
        </w:rPr>
        <w:t> </w:t>
      </w:r>
      <w:r>
        <w:rPr>
          <w:spacing w:val="-63"/>
        </w:rPr>
      </w:r>
      <w:r>
        <w:rPr/>
        <w:t>重大错报的风险高于未能发现由于错误导致的重大错报的风险。</w:t>
      </w:r>
    </w:p>
    <w:p>
      <w:pPr>
        <w:spacing w:line="240" w:lineRule="auto" w:before="9"/>
        <w:rPr>
          <w:rFonts w:ascii="宋体" w:hAnsi="宋体" w:cs="宋体" w:eastAsia="宋体" w:hint="default"/>
          <w:sz w:val="24"/>
          <w:szCs w:val="24"/>
        </w:rPr>
      </w:pPr>
    </w:p>
    <w:p>
      <w:pPr>
        <w:pStyle w:val="Heading5"/>
        <w:spacing w:line="240" w:lineRule="auto"/>
        <w:ind w:left="1161"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24"/>
        </w:rPr>
        <w:t> </w:t>
      </w:r>
      <w:r>
        <w:rPr/>
        <w:t>了解与审计相关的内部控制，以设计恰当的审计程序。</w:t>
      </w:r>
    </w:p>
    <w:p>
      <w:pPr>
        <w:spacing w:line="240" w:lineRule="auto" w:before="6"/>
        <w:rPr>
          <w:rFonts w:ascii="宋体" w:hAnsi="宋体" w:cs="宋体" w:eastAsia="宋体" w:hint="default"/>
          <w:sz w:val="24"/>
          <w:szCs w:val="24"/>
        </w:rPr>
      </w:pPr>
    </w:p>
    <w:p>
      <w:pPr>
        <w:pStyle w:val="Heading5"/>
        <w:spacing w:line="240" w:lineRule="auto"/>
        <w:ind w:left="1161" w:right="0"/>
        <w:jc w:val="both"/>
      </w:pPr>
      <w:r>
        <w:rPr>
          <w:rFonts w:ascii="Times New Roman" w:hAnsi="Times New Roman" w:cs="Times New Roman" w:eastAsia="Times New Roman" w:hint="default"/>
        </w:rPr>
        <w:t>(3)      </w:t>
      </w:r>
      <w:r>
        <w:rPr>
          <w:rFonts w:ascii="Times New Roman" w:hAnsi="Times New Roman" w:cs="Times New Roman" w:eastAsia="Times New Roman" w:hint="default"/>
          <w:spacing w:val="25"/>
        </w:rPr>
        <w:t> </w:t>
      </w:r>
      <w:r>
        <w:rPr/>
        <w:t>评价管理层选用会计政策的恰当性和作出会计估计及相关披露的合理性。</w:t>
      </w:r>
    </w:p>
    <w:p>
      <w:pPr>
        <w:spacing w:line="240" w:lineRule="auto" w:before="5"/>
        <w:rPr>
          <w:rFonts w:ascii="宋体" w:hAnsi="宋体" w:cs="宋体" w:eastAsia="宋体" w:hint="default"/>
          <w:sz w:val="24"/>
          <w:szCs w:val="24"/>
        </w:rPr>
      </w:pPr>
    </w:p>
    <w:p>
      <w:pPr>
        <w:pStyle w:val="Heading5"/>
        <w:spacing w:line="256" w:lineRule="auto"/>
        <w:ind w:left="1161" w:right="1134"/>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对管理层使用持续经营假设的恰当性得出结论。同时，根据获取的审计证据，就可</w:t>
      </w:r>
      <w:r>
        <w:rPr>
          <w:w w:val="100"/>
        </w:rPr>
        <w:t> </w:t>
      </w:r>
      <w:r>
        <w:rPr/>
        <w:t>能导致对建科院集团持续经营能力产生重大疑虑的事项或情况是否存在重大不确定性得出</w:t>
      </w:r>
      <w:r>
        <w:rPr>
          <w:spacing w:val="-63"/>
        </w:rPr>
        <w:t> </w:t>
      </w:r>
      <w:r>
        <w:rPr>
          <w:spacing w:val="-63"/>
        </w:rPr>
      </w:r>
      <w:r>
        <w:rPr/>
        <w:t>结论。如果我们得出结论认为存在重大不确定性，审计准则要求我们在审计报告中提请报</w:t>
      </w:r>
      <w:r>
        <w:rPr>
          <w:spacing w:val="-63"/>
        </w:rPr>
        <w:t> </w:t>
      </w:r>
      <w:r>
        <w:rPr>
          <w:spacing w:val="-63"/>
        </w:rPr>
      </w:r>
      <w:r>
        <w:rPr/>
        <w:t>表使用者注意财务报表中的相关披露；如果披露不充分，我们应当发表非无保留意见。我</w:t>
      </w:r>
      <w:r>
        <w:rPr>
          <w:spacing w:val="-63"/>
        </w:rPr>
        <w:t> </w:t>
      </w:r>
      <w:r>
        <w:rPr>
          <w:spacing w:val="-63"/>
        </w:rPr>
      </w:r>
      <w:r>
        <w:rPr/>
        <w:t>们的结论基于截至审计报告日可获得的信息。然而，未来的事项或情况可能导致建科院集</w:t>
      </w:r>
      <w:r>
        <w:rPr>
          <w:spacing w:val="-63"/>
        </w:rPr>
        <w:t> </w:t>
      </w:r>
      <w:r>
        <w:rPr>
          <w:spacing w:val="-63"/>
        </w:rPr>
      </w:r>
      <w:r>
        <w:rPr/>
        <w:t>团不能持续经营。</w:t>
      </w:r>
    </w:p>
    <w:p>
      <w:pPr>
        <w:spacing w:line="240" w:lineRule="auto" w:before="7"/>
        <w:rPr>
          <w:rFonts w:ascii="宋体" w:hAnsi="宋体" w:cs="宋体" w:eastAsia="宋体" w:hint="default"/>
          <w:sz w:val="24"/>
          <w:szCs w:val="24"/>
        </w:rPr>
      </w:pPr>
    </w:p>
    <w:p>
      <w:pPr>
        <w:pStyle w:val="Heading5"/>
        <w:spacing w:line="247" w:lineRule="auto"/>
        <w:ind w:left="1161" w:right="1131"/>
        <w:jc w:val="both"/>
      </w:pPr>
      <w:r>
        <w:rPr>
          <w:rFonts w:ascii="Times New Roman" w:hAnsi="Times New Roman" w:cs="Times New Roman" w:eastAsia="Times New Roman" w:hint="default"/>
        </w:rPr>
        <w:t>(5) </w:t>
      </w:r>
      <w:r>
        <w:rPr/>
        <w:t>评价财务报表的总体列报、结构和内容</w:t>
      </w:r>
      <w:r>
        <w:rPr>
          <w:spacing w:val="-28"/>
        </w:rPr>
        <w:t> </w:t>
      </w:r>
      <w:r>
        <w:rPr>
          <w:rFonts w:ascii="Times New Roman" w:hAnsi="Times New Roman" w:cs="Times New Roman" w:eastAsia="Times New Roman" w:hint="default"/>
        </w:rPr>
        <w:t>(</w:t>
      </w:r>
      <w:r>
        <w:rPr/>
        <w:t>包括披露</w:t>
      </w:r>
      <w:r>
        <w:rPr>
          <w:rFonts w:ascii="Times New Roman" w:hAnsi="Times New Roman" w:cs="Times New Roman" w:eastAsia="Times New Roman" w:hint="default"/>
        </w:rPr>
        <w:t>)</w:t>
      </w:r>
      <w:r>
        <w:rPr/>
        <w:t>，并评价财务报表是否公允反映</w:t>
      </w:r>
      <w:r>
        <w:rPr>
          <w:w w:val="100"/>
        </w:rPr>
        <w:t> </w:t>
      </w:r>
      <w:r>
        <w:rPr/>
        <w:t>相关交易和事项。</w:t>
      </w:r>
    </w:p>
    <w:p>
      <w:pPr>
        <w:spacing w:line="240" w:lineRule="auto" w:before="2"/>
        <w:rPr>
          <w:rFonts w:ascii="宋体" w:hAnsi="宋体" w:cs="宋体" w:eastAsia="宋体" w:hint="default"/>
          <w:sz w:val="25"/>
          <w:szCs w:val="25"/>
        </w:rPr>
      </w:pPr>
    </w:p>
    <w:p>
      <w:pPr>
        <w:pStyle w:val="Heading5"/>
        <w:spacing w:line="244" w:lineRule="auto"/>
        <w:ind w:left="1161" w:right="1135"/>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就建科院集团中实体或业务活动的财务信息获取充分、适当的审计证据，以对财务</w:t>
      </w:r>
      <w:r>
        <w:rPr>
          <w:w w:val="100"/>
        </w:rPr>
        <w:t> </w:t>
      </w:r>
      <w:r>
        <w:rPr/>
        <w:t>报表发表审计意见。我们负责指导、监督和执行集团审计，并对审计意见承担全部责任。</w:t>
      </w:r>
    </w:p>
    <w:p>
      <w:pPr>
        <w:spacing w:after="0" w:line="244" w:lineRule="auto"/>
        <w:jc w:val="both"/>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8"/>
        <w:ind w:right="3038"/>
        <w:jc w:val="center"/>
        <w:rPr>
          <w:b w:val="0"/>
          <w:bCs w:val="0"/>
        </w:rPr>
      </w:pPr>
      <w:r>
        <w:rPr/>
        <w:t>审计报告（续）</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44"/>
        <w:ind w:left="594" w:right="0" w:firstLine="6946"/>
        <w:jc w:val="left"/>
      </w:pPr>
      <w:r>
        <w:rPr/>
        <w:t>毕马威华振审字第</w:t>
      </w:r>
      <w:r>
        <w:rPr>
          <w:rFonts w:ascii="Times New Roman" w:hAnsi="Times New Roman" w:cs="Times New Roman" w:eastAsia="Times New Roman" w:hint="default"/>
        </w:rPr>
        <w:t>2001811</w:t>
      </w:r>
      <w:r>
        <w:rPr/>
        <w:t>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5"/>
        <w:spacing w:line="259" w:lineRule="auto"/>
        <w:ind w:right="0" w:firstLine="442"/>
        <w:jc w:val="left"/>
      </w:pPr>
      <w:r>
        <w:rPr>
          <w:spacing w:val="-3"/>
        </w:rPr>
        <w:t>我们与治理层就计划的审计范围、时间安排和重大审计发现等事项进行沟通，包括沟通我们在审</w:t>
      </w:r>
      <w:r>
        <w:rPr>
          <w:w w:val="100"/>
        </w:rPr>
        <w:t> </w:t>
      </w:r>
      <w:r>
        <w:rPr/>
        <w:t>计中识别出的值得关注的内部控制缺陷。</w:t>
      </w:r>
    </w:p>
    <w:p>
      <w:pPr>
        <w:spacing w:line="240" w:lineRule="auto" w:before="4"/>
        <w:rPr>
          <w:rFonts w:ascii="宋体" w:hAnsi="宋体" w:cs="宋体" w:eastAsia="宋体" w:hint="default"/>
          <w:sz w:val="24"/>
          <w:szCs w:val="24"/>
        </w:rPr>
      </w:pPr>
    </w:p>
    <w:p>
      <w:pPr>
        <w:pStyle w:val="Heading5"/>
        <w:spacing w:line="259" w:lineRule="auto"/>
        <w:ind w:right="0" w:firstLine="442"/>
        <w:jc w:val="left"/>
      </w:pPr>
      <w:r>
        <w:rPr>
          <w:spacing w:val="-3"/>
        </w:rPr>
        <w:t>我们还就已遵守与独立性相关的职业道德要求向治理层提供声明，并与治理层沟通可能被合理认</w:t>
      </w:r>
      <w:r>
        <w:rPr>
          <w:w w:val="100"/>
        </w:rPr>
        <w:t> </w:t>
      </w:r>
      <w:r>
        <w:rPr/>
        <w:t>为影响我们独立性的所有关系和其他事项，以及相关的防范措施 </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w:t>
      </w:r>
    </w:p>
    <w:p>
      <w:pPr>
        <w:spacing w:line="240" w:lineRule="auto" w:before="13"/>
        <w:rPr>
          <w:rFonts w:ascii="宋体" w:hAnsi="宋体" w:cs="宋体" w:eastAsia="宋体" w:hint="default"/>
          <w:sz w:val="22"/>
          <w:szCs w:val="22"/>
        </w:rPr>
      </w:pPr>
    </w:p>
    <w:p>
      <w:pPr>
        <w:pStyle w:val="Heading5"/>
        <w:spacing w:line="259" w:lineRule="auto"/>
        <w:ind w:right="0" w:firstLine="442"/>
        <w:jc w:val="left"/>
      </w:pPr>
      <w:r>
        <w:rPr>
          <w:spacing w:val="-3"/>
        </w:rPr>
        <w:t>从与治理层沟通过的事项中，我们确定哪些事项对本期财务报表审计最为重要，因而构成关键审</w:t>
      </w:r>
      <w:r>
        <w:rPr>
          <w:w w:val="100"/>
        </w:rPr>
        <w:t> </w:t>
      </w:r>
      <w:r>
        <w:rPr>
          <w:spacing w:val="-5"/>
        </w:rPr>
        <w:t>计事项。我们在审计报告中描述这些事项，除非法律法规禁止公开披露这些事项，或在极少数情形下，</w:t>
      </w:r>
      <w:r>
        <w:rPr>
          <w:spacing w:val="-49"/>
        </w:rPr>
        <w:t> </w:t>
      </w:r>
      <w:r>
        <w:rPr>
          <w:spacing w:val="-49"/>
        </w:rPr>
      </w:r>
      <w:r>
        <w:rPr>
          <w:spacing w:val="-2"/>
        </w:rPr>
        <w:t>如果合理预期在审计报告中沟通某事项造成的负面后果超过在公众利益方面产生的益处，我们确定不</w:t>
      </w:r>
      <w:r>
        <w:rPr>
          <w:spacing w:val="-73"/>
        </w:rPr>
        <w:t> </w:t>
      </w:r>
      <w:r>
        <w:rPr>
          <w:spacing w:val="-73"/>
        </w:rPr>
      </w:r>
      <w:r>
        <w:rPr/>
        <w:t>应在审计报告中沟通该事项。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9"/>
          <w:szCs w:val="29"/>
        </w:rPr>
      </w:pPr>
    </w:p>
    <w:p>
      <w:pPr>
        <w:pStyle w:val="Heading5"/>
        <w:tabs>
          <w:tab w:pos="4531" w:val="left" w:leader="none"/>
        </w:tabs>
        <w:spacing w:line="240" w:lineRule="auto"/>
        <w:ind w:right="0"/>
        <w:jc w:val="left"/>
      </w:pPr>
      <w:r>
        <w:rPr/>
        <w:t>毕马威华振会计师事务所</w:t>
      </w:r>
      <w:r>
        <w:rPr>
          <w:spacing w:val="-24"/>
        </w:rPr>
        <w:t> </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32"/>
          <w:szCs w:val="32"/>
        </w:rPr>
      </w:pPr>
    </w:p>
    <w:p>
      <w:pPr>
        <w:spacing w:before="0"/>
        <w:ind w:left="5971" w:right="0" w:firstLine="0"/>
        <w:jc w:val="left"/>
        <w:rPr>
          <w:rFonts w:ascii="Times New Roman" w:hAnsi="Times New Roman" w:cs="Times New Roman" w:eastAsia="Times New Roman" w:hint="default"/>
          <w:sz w:val="22"/>
          <w:szCs w:val="22"/>
        </w:rPr>
      </w:pPr>
      <w:r>
        <w:rPr>
          <w:rFonts w:ascii="宋体" w:hAnsi="宋体" w:cs="宋体" w:eastAsia="宋体" w:hint="default"/>
          <w:i/>
          <w:w w:val="95"/>
          <w:sz w:val="23"/>
          <w:szCs w:val="23"/>
        </w:rPr>
        <w:t>周永明</w:t>
      </w:r>
      <w:r>
        <w:rPr>
          <w:rFonts w:ascii="宋体" w:hAnsi="宋体" w:cs="宋体" w:eastAsia="宋体" w:hint="default"/>
          <w:i/>
          <w:spacing w:val="-6"/>
          <w:w w:val="95"/>
          <w:sz w:val="23"/>
          <w:szCs w:val="23"/>
        </w:rPr>
        <w:t> </w:t>
      </w:r>
      <w:r>
        <w:rPr>
          <w:rFonts w:ascii="Times New Roman" w:hAnsi="Times New Roman" w:cs="Times New Roman" w:eastAsia="Times New Roman" w:hint="default"/>
          <w:i/>
          <w:w w:val="95"/>
          <w:sz w:val="22"/>
          <w:szCs w:val="22"/>
        </w:rPr>
        <w:t>(</w:t>
      </w:r>
      <w:r>
        <w:rPr>
          <w:rFonts w:ascii="宋体" w:hAnsi="宋体" w:cs="宋体" w:eastAsia="宋体" w:hint="default"/>
          <w:i/>
          <w:w w:val="95"/>
          <w:sz w:val="23"/>
          <w:szCs w:val="23"/>
        </w:rPr>
        <w:t>项目合伙人</w:t>
      </w:r>
      <w:r>
        <w:rPr>
          <w:rFonts w:ascii="Times New Roman" w:hAnsi="Times New Roman" w:cs="Times New Roman" w:eastAsia="Times New Roman" w:hint="default"/>
          <w:i/>
          <w:w w:val="95"/>
          <w:sz w:val="22"/>
          <w:szCs w:val="22"/>
        </w:rPr>
        <w:t>)</w:t>
      </w:r>
      <w:r>
        <w:rPr>
          <w:rFonts w:ascii="Times New Roman" w:hAnsi="Times New Roman" w:cs="Times New Roman" w:eastAsia="Times New Roman" w:hint="default"/>
          <w:w w:val="95"/>
          <w:sz w:val="22"/>
          <w:szCs w:val="22"/>
        </w:rPr>
      </w:r>
    </w:p>
    <w:p>
      <w:pPr>
        <w:spacing w:line="240" w:lineRule="auto" w:before="0"/>
        <w:rPr>
          <w:rFonts w:ascii="Times New Roman" w:hAnsi="Times New Roman" w:cs="Times New Roman" w:eastAsia="Times New Roman" w:hint="default"/>
          <w:i/>
          <w:sz w:val="24"/>
          <w:szCs w:val="24"/>
        </w:rPr>
      </w:pPr>
    </w:p>
    <w:p>
      <w:pPr>
        <w:spacing w:line="240" w:lineRule="auto" w:before="0"/>
        <w:rPr>
          <w:rFonts w:ascii="Times New Roman" w:hAnsi="Times New Roman" w:cs="Times New Roman" w:eastAsia="Times New Roman" w:hint="default"/>
          <w:i/>
          <w:sz w:val="24"/>
          <w:szCs w:val="24"/>
        </w:rPr>
      </w:pPr>
    </w:p>
    <w:p>
      <w:pPr>
        <w:spacing w:line="240" w:lineRule="auto" w:before="0"/>
        <w:rPr>
          <w:rFonts w:ascii="Times New Roman" w:hAnsi="Times New Roman" w:cs="Times New Roman" w:eastAsia="Times New Roman" w:hint="default"/>
          <w:i/>
          <w:sz w:val="24"/>
          <w:szCs w:val="24"/>
        </w:rPr>
      </w:pPr>
    </w:p>
    <w:p>
      <w:pPr>
        <w:spacing w:line="240" w:lineRule="auto" w:before="0"/>
        <w:rPr>
          <w:rFonts w:ascii="Times New Roman" w:hAnsi="Times New Roman" w:cs="Times New Roman" w:eastAsia="Times New Roman" w:hint="default"/>
          <w:i/>
          <w:sz w:val="24"/>
          <w:szCs w:val="24"/>
        </w:rPr>
      </w:pPr>
    </w:p>
    <w:p>
      <w:pPr>
        <w:spacing w:line="240" w:lineRule="auto" w:before="0"/>
        <w:rPr>
          <w:rFonts w:ascii="Times New Roman" w:hAnsi="Times New Roman" w:cs="Times New Roman" w:eastAsia="Times New Roman" w:hint="default"/>
          <w:i/>
          <w:sz w:val="24"/>
          <w:szCs w:val="24"/>
        </w:rPr>
      </w:pPr>
    </w:p>
    <w:p>
      <w:pPr>
        <w:spacing w:line="240" w:lineRule="auto" w:before="0"/>
        <w:rPr>
          <w:rFonts w:ascii="Times New Roman" w:hAnsi="Times New Roman" w:cs="Times New Roman" w:eastAsia="Times New Roman" w:hint="default"/>
          <w:i/>
          <w:sz w:val="24"/>
          <w:szCs w:val="24"/>
        </w:rPr>
      </w:pPr>
    </w:p>
    <w:p>
      <w:pPr>
        <w:spacing w:line="240" w:lineRule="auto" w:before="5"/>
        <w:rPr>
          <w:rFonts w:ascii="Times New Roman" w:hAnsi="Times New Roman" w:cs="Times New Roman" w:eastAsia="Times New Roman" w:hint="default"/>
          <w:i/>
          <w:sz w:val="19"/>
          <w:szCs w:val="19"/>
        </w:rPr>
      </w:pPr>
    </w:p>
    <w:p>
      <w:pPr>
        <w:pStyle w:val="Heading5"/>
        <w:tabs>
          <w:tab w:pos="5914" w:val="left" w:leader="none"/>
        </w:tabs>
        <w:spacing w:line="240" w:lineRule="auto"/>
        <w:ind w:right="0"/>
        <w:jc w:val="left"/>
      </w:pPr>
      <w:r>
        <w:rPr/>
        <w:t>中国</w:t>
      </w:r>
      <w:r>
        <w:rPr>
          <w:spacing w:val="-21"/>
        </w:rPr>
        <w:t> </w:t>
      </w:r>
      <w:r>
        <w:rPr/>
        <w:t>北京</w:t>
        <w:tab/>
        <w:t>陈泳意</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7"/>
          <w:szCs w:val="27"/>
        </w:rPr>
      </w:pPr>
    </w:p>
    <w:p>
      <w:pPr>
        <w:pStyle w:val="Heading5"/>
        <w:spacing w:line="240" w:lineRule="auto"/>
        <w:ind w:left="6375" w:right="0"/>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w:t>
      </w: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财务附注中报表的单位为：元</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240" w:lineRule="auto" w:before="44"/>
        <w:ind w:right="-19"/>
        <w:jc w:val="left"/>
      </w:pPr>
      <w:r>
        <w:rPr/>
        <w:t>编制单位：深圳市建筑科学研究院股份有限公司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934" w:space="142"/>
            <w:col w:w="1642" w:space="3202"/>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64"/>
        <w:gridCol w:w="2408"/>
        <w:gridCol w:w="2199"/>
      </w:tblGrid>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8"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210,860,381.95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146,375,945.17</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43,779,895.89</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118,891,468.50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25,015,120.80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336,674.16</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288,851,268.48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226,338,644.69</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2,613,173.29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7,123,420.10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12,941,186.75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8,553,091.11</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14,794.52</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70,916.15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100,899.80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9,301,951.65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11,638,991.28</w:t>
            </w:r>
          </w:p>
        </w:tc>
      </w:tr>
      <w:tr>
        <w:trPr>
          <w:trHeight w:val="406"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593,433,894.96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519,359,134.81</w:t>
            </w:r>
          </w:p>
        </w:tc>
      </w:tr>
      <w:tr>
        <w:trPr>
          <w:trHeight w:val="394"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964"/>
        <w:gridCol w:w="2408"/>
        <w:gridCol w:w="2199"/>
      </w:tblGrid>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3,737,477.72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3,326,501.86</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9,503,556.70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116,127,414.24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87,247,624.00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197,099,469.04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91,470,942.13</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89,994,859.41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87,888,716.11</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3,605,710.96</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32,016,285.77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39,771,486.13</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18,124,624.38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8,861,586.16</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3,320,745.71</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464,026,587.23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328,070,413.09</w:t>
            </w:r>
          </w:p>
        </w:tc>
      </w:tr>
      <w:tr>
        <w:trPr>
          <w:trHeight w:val="408"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1,057,460,482.19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847,429,547.90</w:t>
            </w:r>
          </w:p>
        </w:tc>
      </w:tr>
      <w:tr>
        <w:trPr>
          <w:trHeight w:val="39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100,146,875.00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158,167,897.71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83,131,497.29</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17,636,555.95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17,747,769.09</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964"/>
        <w:gridCol w:w="2408"/>
        <w:gridCol w:w="2199"/>
      </w:tblGrid>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40,162,932.20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32,180,859.18</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16,239,474.55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10,167,783.12</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24,449,884.85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17,453,170.62</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174,638.89</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203,333.33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60,694.44</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14,118,832.08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11,725,446.43</w:t>
            </w:r>
          </w:p>
        </w:tc>
      </w:tr>
      <w:tr>
        <w:trPr>
          <w:trHeight w:val="408"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371,125,785.67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302,467,220.17</w:t>
            </w:r>
          </w:p>
        </w:tc>
      </w:tr>
      <w:tr>
        <w:trPr>
          <w:trHeight w:val="39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46,270,283.31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60,873,841.53</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366,145.77</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196,636,429.08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100,873,841.53</w:t>
            </w: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567,762,214.75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403,341,061.70</w:t>
            </w:r>
          </w:p>
        </w:tc>
      </w:tr>
      <w:tr>
        <w:trPr>
          <w:trHeight w:val="39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146,666,700.00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146,666,700.00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127,541,353.92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127,541,353.92</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963"/>
        <w:gridCol w:w="2408"/>
        <w:gridCol w:w="2199"/>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16,395,079.97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14,947,485.38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179,021,444.99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154,114,765.30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469,624,578.88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443,270,304.60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20,073,688.56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818,181.60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489,698,267.44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444,088,486.20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1,057,460,482.19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847,429,547.90</w:t>
            </w:r>
          </w:p>
        </w:tc>
      </w:tr>
    </w:tbl>
    <w:p>
      <w:pPr>
        <w:spacing w:line="240" w:lineRule="auto" w:before="2"/>
        <w:rPr>
          <w:rFonts w:ascii="Times New Roman" w:hAnsi="Times New Roman" w:cs="Times New Roman" w:eastAsia="Times New Roman" w:hint="default"/>
          <w:sz w:val="23"/>
          <w:szCs w:val="23"/>
        </w:rPr>
      </w:pPr>
    </w:p>
    <w:p>
      <w:pPr>
        <w:pStyle w:val="BodyText"/>
        <w:tabs>
          <w:tab w:pos="3334" w:val="left" w:leader="none"/>
          <w:tab w:pos="7566" w:val="left" w:leader="none"/>
        </w:tabs>
        <w:spacing w:line="240" w:lineRule="auto" w:before="44"/>
        <w:ind w:left="0" w:right="1224"/>
        <w:jc w:val="right"/>
      </w:pPr>
      <w:r>
        <w:rPr/>
        <w:t>法定代表人：叶青</w:t>
        <w:tab/>
      </w:r>
      <w:r>
        <w:rPr>
          <w:spacing w:val="-1"/>
        </w:rPr>
        <w:t>主管会计工作负责人：叶小平</w:t>
        <w:tab/>
      </w:r>
      <w:r>
        <w:rPr/>
        <w:t>会计机构负责人：陈友莲</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64"/>
        <w:gridCol w:w="2408"/>
        <w:gridCol w:w="2199"/>
      </w:tblGrid>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146,527,438.81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101,103,714.65</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43,779,895.89</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118,891,468.50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25,015,120.80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spacing w:val="-1"/>
                <w:sz w:val="18"/>
              </w:rPr>
              <w:t>336,674.16</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236,516,622.22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195,937,345.07</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1,598,240.00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2,854,812.88</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49,173,849.04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11,273,222.04</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9,300.00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13,175.00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6,957,752.30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7,347,407.19</w:t>
            </w: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509,578,219.06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437,757,819.49</w:t>
            </w:r>
          </w:p>
        </w:tc>
      </w:tr>
      <w:tr>
        <w:trPr>
          <w:trHeight w:val="39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964"/>
        <w:gridCol w:w="2408"/>
        <w:gridCol w:w="2199"/>
      </w:tblGrid>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54,783,090.92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50,272,888.36</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9,503,556.70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77,345,262.13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73,532,496.12</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197,321,254.52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91,470,942.13</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83,677,948.78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87,258,167.30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3,605,710.96</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27,073,426.77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35,181,555.98</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15,115,890.34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7,890,251.59</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1,156,048.28</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460,078,632.70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355,109,858.18</w:t>
            </w: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969,656,851.76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18"/>
                <w:szCs w:val="18"/>
              </w:rPr>
            </w:pPr>
            <w:r>
              <w:rPr>
                <w:rFonts w:ascii="Times New Roman"/>
                <w:spacing w:val="-1"/>
                <w:sz w:val="18"/>
              </w:rPr>
              <w:t>792,867,677.67</w:t>
            </w:r>
          </w:p>
        </w:tc>
      </w:tr>
      <w:tr>
        <w:trPr>
          <w:trHeight w:val="39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100,146,875.00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130,174,638.89</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157,568,495.21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77,114,762.86</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9,298,516.70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8,901,910.48</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29,501,761.52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21,691,160.00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10,416,061.87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7,472,882.16</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39,030,069.48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28,008,186.21</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964"/>
        <w:gridCol w:w="2408"/>
        <w:gridCol w:w="2199"/>
      </w:tblGrid>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203,333.33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60,694.44</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12,012,265.71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10,294,624.41</w:t>
            </w: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358,177,378.82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283,718,859.45</w:t>
            </w:r>
          </w:p>
        </w:tc>
      </w:tr>
      <w:tr>
        <w:trPr>
          <w:trHeight w:val="39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39,336,679.16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51,215,301.34</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189,336,679.16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91,215,301.34</w:t>
            </w: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547,514,057.98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374,934,160.79</w:t>
            </w:r>
          </w:p>
        </w:tc>
      </w:tr>
      <w:tr>
        <w:trPr>
          <w:trHeight w:val="39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146,666,700.00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18"/>
                <w:szCs w:val="18"/>
              </w:rPr>
            </w:pPr>
            <w:r>
              <w:rPr>
                <w:rFonts w:ascii="Times New Roman"/>
                <w:spacing w:val="-1"/>
                <w:sz w:val="18"/>
              </w:rPr>
              <w:t>146,666,700.00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128,053,280.71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128,053,280.71</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16,341,575.30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14,893,980.71</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131,081,237.77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128,319,555.46</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422,142,793.78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417,933,516.88</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969,656,851.76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792,867,677.67</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964"/>
        <w:gridCol w:w="2408"/>
        <w:gridCol w:w="2197"/>
      </w:tblGrid>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467,972,060.82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397,007,934.86</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467,972,060.82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397,007,934.86</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454,461,320.57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367,807,739.64</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305,442,226.16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245,210,537.81</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2,058,593.55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3,061,522.13</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59,577,973.30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57,461,140.24</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46,564,216.17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44,626,412.91</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37,387,758.04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14,447,108.15</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3,430,553.35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3,001,018.40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4,005,815.18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3,575,554.55</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4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715,393.98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798,593.68</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29,041,643.74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9,920,143.59</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1,643,630.20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662,817.90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-589,024.14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-558,150.57</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4"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715,804.10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891,468.50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-6,940,749.39</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-15,603,246.92</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-7,641.55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5,770.00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37,963,427.35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25,077,148.29</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5,407,110.52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14,260,798.10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964"/>
        <w:gridCol w:w="2408"/>
        <w:gridCol w:w="2197"/>
      </w:tblGrid>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3,114.26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371,800.91</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43,367,423.61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38,966,145.48</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6,114,167.30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5,934,919.19</w:t>
            </w: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37,253,256.31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33,031,226.29</w:t>
            </w:r>
          </w:p>
        </w:tc>
      </w:tr>
      <w:tr>
        <w:trPr>
          <w:trHeight w:val="39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0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37,253,256.31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33,031,226.29</w:t>
            </w:r>
          </w:p>
        </w:tc>
      </w:tr>
      <w:tr>
        <w:trPr>
          <w:trHeight w:val="408"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0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36,620,943.28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34,630,772.68</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632,313.03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-1,599,546.39</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37,253,256.31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33,031,226.29</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36,620,943.28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34,630,772.68</w:t>
            </w: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632,313.03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-1,599,546.39</w:t>
            </w:r>
          </w:p>
        </w:tc>
      </w:tr>
      <w:tr>
        <w:trPr>
          <w:trHeight w:val="39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0.2497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0.2361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963"/>
        <w:gridCol w:w="2408"/>
        <w:gridCol w:w="2197"/>
      </w:tblGrid>
      <w:tr>
        <w:trPr>
          <w:trHeight w:val="404"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0.2497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0.2361</w:t>
            </w:r>
          </w:p>
        </w:tc>
      </w:tr>
    </w:tbl>
    <w:p>
      <w:pPr>
        <w:pStyle w:val="BodyText"/>
        <w:tabs>
          <w:tab w:pos="3487" w:val="left" w:leader="none"/>
          <w:tab w:pos="7719" w:val="left" w:leader="none"/>
        </w:tabs>
        <w:spacing w:line="624" w:lineRule="auto" w:before="51"/>
        <w:ind w:right="1224"/>
        <w:jc w:val="left"/>
      </w:pPr>
      <w:r>
        <w:rPr/>
        <w:t>本期发生同一控制下企业合并的，被合并方在合并前实现的净利润为：元，上期被合并方实现的净利润为：元。 法定代表人：叶青</w:t>
        <w:tab/>
      </w:r>
      <w:r>
        <w:rPr>
          <w:spacing w:val="-1"/>
        </w:rPr>
        <w:t>主管会计工作负责人：叶小平</w:t>
        <w:tab/>
      </w:r>
      <w:r>
        <w:rPr/>
        <w:t>会计机构负责人：陈友莲</w:t>
      </w:r>
    </w:p>
    <w:p>
      <w:pPr>
        <w:pStyle w:val="Heading6"/>
        <w:spacing w:line="240" w:lineRule="auto" w:before="63"/>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64"/>
        <w:gridCol w:w="2408"/>
        <w:gridCol w:w="2199"/>
      </w:tblGrid>
      <w:tr>
        <w:trPr>
          <w:trHeight w:val="396"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8"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344,091,278.38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294,125,936.74</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222,678,730.61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165,675,073.06</w:t>
            </w:r>
          </w:p>
        </w:tc>
      </w:tr>
      <w:tr>
        <w:trPr>
          <w:trHeight w:val="404"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1,240,979.44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2,317,966.79</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48,180,011.67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52,057,639.58</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38,835,779.26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41,146,696.03</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28,462,651.44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10,397,271.31</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3,562,015.95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3,040,313.52</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4,005,815.18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3,575,554.55</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481,355.07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658,763.99</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26,082,014.73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8,253,586.33</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1,609,487.73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6,214,466.52</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-589,024.14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-558,150.57</w:t>
            </w:r>
          </w:p>
        </w:tc>
      </w:tr>
      <w:tr>
        <w:trPr>
          <w:trHeight w:val="715"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以摊余成本计量的金融资产终止确认收益（损失 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13" w:space="0" w:color="D2D2D2"/>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715,804.10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891,468.50</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-8,117,484.13</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-8,316,173.30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-17,495,083.03</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-7,641.55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5,770.00</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13,097,117.59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17,361,184.77</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4,023,893.62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13,976,724.11</w:t>
            </w:r>
          </w:p>
        </w:tc>
      </w:tr>
      <w:tr>
        <w:trPr>
          <w:trHeight w:val="404"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3,114.26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61,800.91</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17,117,896.95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31,276,107.97</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2,641,951.05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3,957,011.93</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14,475,945.90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27,319,096.04</w:t>
            </w: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9"/>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14,475,945.90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27,319,096.04</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9"/>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64"/>
        <w:gridCol w:w="2408"/>
        <w:gridCol w:w="2199"/>
      </w:tblGrid>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41" w:right="0"/>
              <w:jc w:val="left"/>
              <w:rPr>
                <w:rFonts w:ascii="Times New Roman" w:hAnsi="Times New Roman" w:cs="Times New Roman" w:eastAsia="Times New Roman" w:hint="default"/>
                <w:sz w:val="18"/>
                <w:szCs w:val="18"/>
              </w:rPr>
            </w:pPr>
            <w:r>
              <w:rPr>
                <w:rFonts w:ascii="Times New Roman"/>
                <w:sz w:val="18"/>
              </w:rPr>
              <w:t>14,475,945.90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30" w:right="0"/>
              <w:jc w:val="left"/>
              <w:rPr>
                <w:rFonts w:ascii="Times New Roman" w:hAnsi="Times New Roman" w:cs="Times New Roman" w:eastAsia="Times New Roman" w:hint="default"/>
                <w:sz w:val="18"/>
                <w:szCs w:val="18"/>
              </w:rPr>
            </w:pPr>
            <w:r>
              <w:rPr>
                <w:rFonts w:ascii="Times New Roman"/>
                <w:sz w:val="18"/>
              </w:rPr>
              <w:t>27,319,096.04</w:t>
            </w:r>
          </w:p>
        </w:tc>
      </w:tr>
      <w:tr>
        <w:trPr>
          <w:trHeight w:val="39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64"/>
        <w:gridCol w:w="2408"/>
        <w:gridCol w:w="2199"/>
      </w:tblGrid>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250" w:right="0"/>
              <w:jc w:val="left"/>
              <w:rPr>
                <w:rFonts w:ascii="Times New Roman" w:hAnsi="Times New Roman" w:cs="Times New Roman" w:eastAsia="Times New Roman" w:hint="default"/>
                <w:sz w:val="18"/>
                <w:szCs w:val="18"/>
              </w:rPr>
            </w:pPr>
            <w:r>
              <w:rPr>
                <w:rFonts w:ascii="Times New Roman"/>
                <w:sz w:val="18"/>
              </w:rPr>
              <w:t>442,808,634.82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9" w:right="0"/>
              <w:jc w:val="left"/>
              <w:rPr>
                <w:rFonts w:ascii="Times New Roman" w:hAnsi="Times New Roman" w:cs="Times New Roman" w:eastAsia="Times New Roman" w:hint="default"/>
                <w:sz w:val="18"/>
                <w:szCs w:val="18"/>
              </w:rPr>
            </w:pPr>
            <w:r>
              <w:rPr>
                <w:rFonts w:ascii="Times New Roman"/>
                <w:sz w:val="18"/>
              </w:rPr>
              <w:t>430,230,253.54</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868"/>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868"/>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964"/>
        <w:gridCol w:w="2408"/>
        <w:gridCol w:w="2199"/>
      </w:tblGrid>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23,283,046.73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34,979,859.20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466,091,681.55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465,210,112.74</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130,770,484.01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177,202,574.84</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205,014,114.85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178,086,343.44</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16,780,975.86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23,990,248.71</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50,012,393.36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42,944,151.07</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402,577,968.08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422,223,318.06</w:t>
            </w: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63,513,713.47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42,986,794.68</w:t>
            </w:r>
          </w:p>
        </w:tc>
      </w:tr>
      <w:tr>
        <w:trPr>
          <w:trHeight w:val="39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107,000,000.00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18"/>
                <w:szCs w:val="18"/>
              </w:rPr>
            </w:pPr>
            <w:r>
              <w:rPr>
                <w:rFonts w:ascii="Times New Roman"/>
                <w:spacing w:val="-1"/>
                <w:sz w:val="18"/>
              </w:rPr>
              <w:t>168,000,000.00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2,232,654.34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1,220,968.47</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283,956.88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5,970.00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109,516,611.22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169,226,938.47</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135,086,623.62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86,297,408.49</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288,000,000.00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7,316,595.09</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178,403,218.71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374,297,408.49</w:t>
            </w: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-68,886,607.49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-205,070,470.02</w:t>
            </w:r>
          </w:p>
        </w:tc>
      </w:tr>
      <w:tr>
        <w:trPr>
          <w:trHeight w:val="39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963"/>
        <w:gridCol w:w="2408"/>
        <w:gridCol w:w="2199"/>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48"/>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210,000,000.00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210,000,000.00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250,160,000.00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19,427,066.99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12,958,769.05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48"/>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149,427,066.99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162,958,769.05</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60,572,933.01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87,201,230.95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699.97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55,200,038.99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-74,881,744.42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145,584,988.20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220,466,732.62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200,785,027.19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145,584,988.20</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64"/>
        <w:gridCol w:w="2408"/>
        <w:gridCol w:w="2199"/>
      </w:tblGrid>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288,692,905.27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18"/>
                <w:szCs w:val="18"/>
              </w:rPr>
            </w:pPr>
            <w:r>
              <w:rPr>
                <w:rFonts w:ascii="Times New Roman"/>
                <w:spacing w:val="-1"/>
                <w:sz w:val="18"/>
              </w:rPr>
              <w:t>295,259,154.56</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30,827,874.94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29,112,939.26</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319,520,780.21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324,372,093.82</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111,976,952.48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113,432,451.82</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124,578,382.08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112,225,535.35</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7,682,924.93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14,829,658.16</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39,344,808.06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28,730,518.58</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283,583,067.55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269,218,163.91</w:t>
            </w:r>
          </w:p>
        </w:tc>
      </w:tr>
      <w:tr>
        <w:trPr>
          <w:trHeight w:val="409"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35,937,712.66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55,153,929.91</w:t>
            </w:r>
          </w:p>
        </w:tc>
      </w:tr>
      <w:tr>
        <w:trPr>
          <w:trHeight w:val="39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105,000,000.00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168,000,000.00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2,198,511.87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6,772,617.09</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9,820.00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5,970.00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64"/>
        <w:gridCol w:w="2408"/>
        <w:gridCol w:w="2199"/>
      </w:tblGrid>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107,208,331.87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174,778,587.09</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119,164,251.17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76,896,275.06</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307,000,000.00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12,415,400.00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167,579,651.17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383,896,275.06</w:t>
            </w:r>
          </w:p>
        </w:tc>
      </w:tr>
      <w:tr>
        <w:trPr>
          <w:trHeight w:val="40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-60,371,319.30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-209,117,687.97</w:t>
            </w:r>
          </w:p>
        </w:tc>
      </w:tr>
      <w:tr>
        <w:trPr>
          <w:trHeight w:val="397"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210,000,000.00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19,427,066.99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12,958,769.05</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149,427,066.99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162,958,769.05</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60,572,933.01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87,041,230.95</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699.97</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36,139,326.37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spacing w:val="-1"/>
                <w:sz w:val="18"/>
              </w:rPr>
              <w:t>-66,921,827.14</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100,674,245.68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167,596,072.82</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136,813,572.05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100,674,245.68</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72" w:type="dxa"/>
        <w:tblLayout w:type="fixed"/>
        <w:tblCellMar>
          <w:top w:w="0" w:type="dxa"/>
          <w:left w:w="0" w:type="dxa"/>
          <w:bottom w:w="0" w:type="dxa"/>
          <w:right w:w="0" w:type="dxa"/>
        </w:tblCellMar>
        <w:tblLook w:val="01E0"/>
      </w:tblPr>
      <w:tblGrid>
        <w:gridCol w:w="828"/>
        <w:gridCol w:w="708"/>
        <w:gridCol w:w="566"/>
        <w:gridCol w:w="577"/>
        <w:gridCol w:w="468"/>
        <w:gridCol w:w="658"/>
        <w:gridCol w:w="509"/>
        <w:gridCol w:w="583"/>
        <w:gridCol w:w="468"/>
        <w:gridCol w:w="566"/>
        <w:gridCol w:w="566"/>
        <w:gridCol w:w="710"/>
        <w:gridCol w:w="281"/>
        <w:gridCol w:w="710"/>
        <w:gridCol w:w="566"/>
        <w:gridCol w:w="797"/>
      </w:tblGrid>
      <w:tr>
        <w:trPr>
          <w:trHeight w:val="403" w:hRule="exact"/>
        </w:trPr>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73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828" w:type="dxa"/>
            <w:vMerge/>
            <w:tcBorders>
              <w:left w:val="single" w:sz="4" w:space="0" w:color="000000"/>
              <w:right w:val="single" w:sz="4" w:space="0" w:color="000000"/>
            </w:tcBorders>
            <w:shd w:val="clear" w:color="auto" w:fill="D2D2D2"/>
          </w:tcPr>
          <w:p>
            <w:pPr/>
          </w:p>
        </w:tc>
        <w:tc>
          <w:tcPr>
            <w:tcW w:w="73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9" w:lineRule="auto"/>
              <w:ind w:left="7" w:right="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9" w:lineRule="auto"/>
              <w:ind w:left="124" w:right="29"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4" w:hRule="exact"/>
        </w:trPr>
        <w:tc>
          <w:tcPr>
            <w:tcW w:w="828" w:type="dxa"/>
            <w:vMerge/>
            <w:tcBorders>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1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32"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72" w:right="-3" w:hanging="70"/>
              <w:jc w:val="left"/>
              <w:rPr>
                <w:rFonts w:ascii="宋体" w:hAnsi="宋体" w:cs="宋体" w:eastAsia="宋体" w:hint="default"/>
                <w:sz w:val="18"/>
                <w:szCs w:val="18"/>
              </w:rPr>
            </w:pPr>
            <w:r>
              <w:rPr>
                <w:rFonts w:ascii="宋体" w:hAnsi="宋体" w:cs="宋体" w:eastAsia="宋体" w:hint="default"/>
                <w:spacing w:val="-14"/>
                <w:sz w:val="18"/>
                <w:szCs w:val="18"/>
              </w:rPr>
              <w:t>减：库</w:t>
            </w:r>
            <w:r>
              <w:rPr>
                <w:rFonts w:ascii="宋体" w:hAnsi="宋体" w:cs="宋体" w:eastAsia="宋体" w:hint="default"/>
                <w:sz w:val="18"/>
                <w:szCs w:val="18"/>
              </w:rPr>
              <w:t> 存股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9" w:right="1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50" w:right="4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87" w:right="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7" w:right="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70" w:right="77"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2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5" w:right="44"/>
              <w:jc w:val="left"/>
              <w:rPr>
                <w:rFonts w:ascii="宋体" w:hAnsi="宋体" w:cs="宋体" w:eastAsia="宋体" w:hint="default"/>
                <w:sz w:val="18"/>
                <w:szCs w:val="18"/>
              </w:rPr>
            </w:pPr>
            <w:r>
              <w:rPr>
                <w:rFonts w:ascii="宋体" w:hAnsi="宋体" w:cs="宋体" w:eastAsia="宋体" w:hint="default"/>
                <w:sz w:val="18"/>
                <w:szCs w:val="18"/>
              </w:rPr>
              <w:t>其 他</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6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401" w:hRule="exact"/>
        </w:trPr>
        <w:tc>
          <w:tcPr>
            <w:tcW w:w="82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58" w:type="dxa"/>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281"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right="0"/>
              <w:jc w:val="left"/>
              <w:rPr>
                <w:rFonts w:ascii="宋体" w:hAnsi="宋体" w:cs="宋体" w:eastAsia="宋体" w:hint="default"/>
                <w:sz w:val="18"/>
                <w:szCs w:val="18"/>
              </w:rPr>
            </w:pPr>
            <w:r>
              <w:rPr>
                <w:rFonts w:ascii="宋体" w:hAnsi="宋体" w:cs="宋体" w:eastAsia="宋体" w:hint="default"/>
                <w:spacing w:val="-17"/>
                <w:sz w:val="18"/>
                <w:szCs w:val="18"/>
              </w:rPr>
              <w:t>一、上年期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末余额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1"/>
              <w:jc w:val="center"/>
              <w:rPr>
                <w:rFonts w:ascii="Times New Roman" w:hAnsi="Times New Roman" w:cs="Times New Roman" w:eastAsia="Times New Roman" w:hint="default"/>
                <w:sz w:val="18"/>
                <w:szCs w:val="18"/>
              </w:rPr>
            </w:pPr>
            <w:r>
              <w:rPr>
                <w:rFonts w:ascii="Times New Roman"/>
                <w:sz w:val="18"/>
              </w:rPr>
              <w:t>146,666,</w:t>
            </w:r>
          </w:p>
          <w:p>
            <w:pPr>
              <w:pStyle w:val="TableParagraph"/>
              <w:spacing w:line="240" w:lineRule="auto" w:before="105"/>
              <w:ind w:left="203" w:right="-1"/>
              <w:jc w:val="center"/>
              <w:rPr>
                <w:rFonts w:ascii="Times New Roman" w:hAnsi="Times New Roman" w:cs="Times New Roman" w:eastAsia="Times New Roman" w:hint="default"/>
                <w:sz w:val="18"/>
                <w:szCs w:val="18"/>
              </w:rPr>
            </w:pPr>
            <w:r>
              <w:rPr>
                <w:rFonts w:ascii="Times New Roman"/>
                <w:sz w:val="18"/>
              </w:rPr>
              <w:t>700.00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1"/>
              <w:jc w:val="center"/>
              <w:rPr>
                <w:rFonts w:ascii="Times New Roman" w:hAnsi="Times New Roman" w:cs="Times New Roman" w:eastAsia="Times New Roman" w:hint="default"/>
                <w:sz w:val="18"/>
                <w:szCs w:val="18"/>
              </w:rPr>
            </w:pPr>
            <w:r>
              <w:rPr>
                <w:rFonts w:ascii="Times New Roman"/>
                <w:sz w:val="18"/>
              </w:rPr>
              <w:t>127,541,</w:t>
            </w:r>
          </w:p>
          <w:p>
            <w:pPr>
              <w:pStyle w:val="TableParagraph"/>
              <w:spacing w:line="240" w:lineRule="auto" w:before="105"/>
              <w:ind w:left="153" w:right="-1"/>
              <w:jc w:val="center"/>
              <w:rPr>
                <w:rFonts w:ascii="Times New Roman" w:hAnsi="Times New Roman" w:cs="Times New Roman" w:eastAsia="Times New Roman" w:hint="default"/>
                <w:sz w:val="18"/>
                <w:szCs w:val="18"/>
              </w:rPr>
            </w:pPr>
            <w:r>
              <w:rPr>
                <w:rFonts w:ascii="Times New Roman"/>
                <w:sz w:val="18"/>
              </w:rPr>
              <w:t>353.92</w:t>
            </w: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2"/>
              <w:jc w:val="left"/>
              <w:rPr>
                <w:rFonts w:ascii="Times New Roman" w:hAnsi="Times New Roman" w:cs="Times New Roman" w:eastAsia="Times New Roman" w:hint="default"/>
                <w:sz w:val="18"/>
                <w:szCs w:val="18"/>
              </w:rPr>
            </w:pPr>
            <w:r>
              <w:rPr>
                <w:rFonts w:ascii="Times New Roman"/>
                <w:sz w:val="18"/>
              </w:rPr>
              <w:t>14,947,</w:t>
            </w:r>
          </w:p>
          <w:p>
            <w:pPr>
              <w:pStyle w:val="TableParagraph"/>
              <w:spacing w:line="240" w:lineRule="auto" w:before="105"/>
              <w:ind w:left="62" w:right="-1"/>
              <w:jc w:val="left"/>
              <w:rPr>
                <w:rFonts w:ascii="Times New Roman" w:hAnsi="Times New Roman" w:cs="Times New Roman" w:eastAsia="Times New Roman" w:hint="default"/>
                <w:sz w:val="18"/>
                <w:szCs w:val="18"/>
              </w:rPr>
            </w:pPr>
            <w:r>
              <w:rPr>
                <w:rFonts w:ascii="Times New Roman"/>
                <w:sz w:val="18"/>
              </w:rPr>
              <w:t>485.38</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1"/>
              <w:jc w:val="center"/>
              <w:rPr>
                <w:rFonts w:ascii="Times New Roman" w:hAnsi="Times New Roman" w:cs="Times New Roman" w:eastAsia="Times New Roman" w:hint="default"/>
                <w:sz w:val="18"/>
                <w:szCs w:val="18"/>
              </w:rPr>
            </w:pPr>
            <w:r>
              <w:rPr>
                <w:rFonts w:ascii="Times New Roman"/>
                <w:spacing w:val="-1"/>
                <w:sz w:val="18"/>
              </w:rPr>
              <w:t>154,114,</w:t>
            </w:r>
          </w:p>
          <w:p>
            <w:pPr>
              <w:pStyle w:val="TableParagraph"/>
              <w:spacing w:line="240" w:lineRule="auto" w:before="105"/>
              <w:ind w:left="206" w:right="-1"/>
              <w:jc w:val="center"/>
              <w:rPr>
                <w:rFonts w:ascii="Times New Roman" w:hAnsi="Times New Roman" w:cs="Times New Roman" w:eastAsia="Times New Roman" w:hint="default"/>
                <w:sz w:val="18"/>
                <w:szCs w:val="18"/>
              </w:rPr>
            </w:pPr>
            <w:r>
              <w:rPr>
                <w:rFonts w:ascii="Times New Roman"/>
                <w:sz w:val="18"/>
              </w:rPr>
              <w:t>765.30</w:t>
            </w: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1"/>
              <w:jc w:val="center"/>
              <w:rPr>
                <w:rFonts w:ascii="Times New Roman" w:hAnsi="Times New Roman" w:cs="Times New Roman" w:eastAsia="Times New Roman" w:hint="default"/>
                <w:sz w:val="18"/>
                <w:szCs w:val="18"/>
              </w:rPr>
            </w:pPr>
            <w:r>
              <w:rPr>
                <w:rFonts w:ascii="Times New Roman"/>
                <w:sz w:val="18"/>
              </w:rPr>
              <w:t>443,270,</w:t>
            </w:r>
          </w:p>
          <w:p>
            <w:pPr>
              <w:pStyle w:val="TableParagraph"/>
              <w:spacing w:line="240" w:lineRule="auto" w:before="105"/>
              <w:ind w:left="206" w:right="-1"/>
              <w:jc w:val="center"/>
              <w:rPr>
                <w:rFonts w:ascii="Times New Roman" w:hAnsi="Times New Roman" w:cs="Times New Roman" w:eastAsia="Times New Roman" w:hint="default"/>
                <w:sz w:val="18"/>
                <w:szCs w:val="18"/>
              </w:rPr>
            </w:pPr>
            <w:r>
              <w:rPr>
                <w:rFonts w:ascii="Times New Roman"/>
                <w:sz w:val="18"/>
              </w:rPr>
              <w:t>304.60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1"/>
              <w:jc w:val="center"/>
              <w:rPr>
                <w:rFonts w:ascii="Times New Roman" w:hAnsi="Times New Roman" w:cs="Times New Roman" w:eastAsia="Times New Roman" w:hint="default"/>
                <w:sz w:val="18"/>
                <w:szCs w:val="18"/>
              </w:rPr>
            </w:pPr>
            <w:r>
              <w:rPr>
                <w:rFonts w:ascii="Times New Roman"/>
                <w:sz w:val="18"/>
              </w:rPr>
              <w:t>818,18</w:t>
            </w:r>
          </w:p>
          <w:p>
            <w:pPr>
              <w:pStyle w:val="TableParagraph"/>
              <w:spacing w:line="240" w:lineRule="auto" w:before="105"/>
              <w:ind w:left="242" w:right="-1"/>
              <w:jc w:val="center"/>
              <w:rPr>
                <w:rFonts w:ascii="Times New Roman" w:hAnsi="Times New Roman" w:cs="Times New Roman" w:eastAsia="Times New Roman" w:hint="default"/>
                <w:sz w:val="18"/>
                <w:szCs w:val="18"/>
              </w:rPr>
            </w:pPr>
            <w:r>
              <w:rPr>
                <w:rFonts w:ascii="Times New Roman"/>
                <w:sz w:val="18"/>
              </w:rPr>
              <w:t>1.60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3"/>
              <w:jc w:val="left"/>
              <w:rPr>
                <w:rFonts w:ascii="Times New Roman" w:hAnsi="Times New Roman" w:cs="Times New Roman" w:eastAsia="Times New Roman" w:hint="default"/>
                <w:sz w:val="18"/>
                <w:szCs w:val="18"/>
              </w:rPr>
            </w:pPr>
            <w:r>
              <w:rPr>
                <w:rFonts w:ascii="Times New Roman"/>
                <w:sz w:val="18"/>
              </w:rPr>
              <w:t>444,088,4</w:t>
            </w:r>
          </w:p>
          <w:p>
            <w:pPr>
              <w:pStyle w:val="TableParagraph"/>
              <w:spacing w:line="240" w:lineRule="auto" w:before="105"/>
              <w:ind w:left="383" w:right="-4"/>
              <w:jc w:val="left"/>
              <w:rPr>
                <w:rFonts w:ascii="Times New Roman" w:hAnsi="Times New Roman" w:cs="Times New Roman" w:eastAsia="Times New Roman" w:hint="default"/>
                <w:sz w:val="18"/>
                <w:szCs w:val="18"/>
              </w:rPr>
            </w:pPr>
            <w:r>
              <w:rPr>
                <w:rFonts w:ascii="Times New Roman"/>
                <w:sz w:val="18"/>
              </w:rPr>
              <w:t>86.20</w:t>
            </w:r>
          </w:p>
        </w:tc>
      </w:tr>
      <w:tr>
        <w:trPr>
          <w:trHeight w:val="102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right="-1" w:firstLine="360"/>
              <w:jc w:val="left"/>
              <w:rPr>
                <w:rFonts w:ascii="宋体" w:hAnsi="宋体" w:cs="宋体" w:eastAsia="宋体" w:hint="default"/>
                <w:sz w:val="18"/>
                <w:szCs w:val="18"/>
              </w:rPr>
            </w:pPr>
            <w:r>
              <w:rPr>
                <w:rFonts w:ascii="宋体" w:hAnsi="宋体" w:cs="宋体" w:eastAsia="宋体" w:hint="default"/>
                <w:spacing w:val="-28"/>
                <w:sz w:val="18"/>
                <w:szCs w:val="18"/>
              </w:rPr>
              <w:t>加：会</w:t>
            </w:r>
            <w:r>
              <w:rPr>
                <w:rFonts w:ascii="宋体" w:hAnsi="宋体" w:cs="宋体" w:eastAsia="宋体" w:hint="default"/>
                <w:sz w:val="18"/>
                <w:szCs w:val="18"/>
              </w:rPr>
              <w:t> 计政策变 更</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2" w:type="dxa"/>
        <w:tblLayout w:type="fixed"/>
        <w:tblCellMar>
          <w:top w:w="0" w:type="dxa"/>
          <w:left w:w="0" w:type="dxa"/>
          <w:bottom w:w="0" w:type="dxa"/>
          <w:right w:w="0" w:type="dxa"/>
        </w:tblCellMar>
        <w:tblLook w:val="01E0"/>
      </w:tblPr>
      <w:tblGrid>
        <w:gridCol w:w="828"/>
        <w:gridCol w:w="708"/>
        <w:gridCol w:w="566"/>
        <w:gridCol w:w="577"/>
        <w:gridCol w:w="468"/>
        <w:gridCol w:w="658"/>
        <w:gridCol w:w="509"/>
        <w:gridCol w:w="583"/>
        <w:gridCol w:w="468"/>
        <w:gridCol w:w="566"/>
        <w:gridCol w:w="566"/>
        <w:gridCol w:w="710"/>
        <w:gridCol w:w="281"/>
        <w:gridCol w:w="710"/>
        <w:gridCol w:w="566"/>
        <w:gridCol w:w="797"/>
      </w:tblGrid>
      <w:tr>
        <w:trPr>
          <w:trHeight w:val="102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right="96"/>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right="96"/>
              <w:jc w:val="both"/>
              <w:rPr>
                <w:rFonts w:ascii="宋体" w:hAnsi="宋体" w:cs="宋体" w:eastAsia="宋体" w:hint="default"/>
                <w:sz w:val="18"/>
                <w:szCs w:val="18"/>
              </w:rPr>
            </w:pPr>
            <w:r>
              <w:rPr>
                <w:rFonts w:ascii="宋体" w:hAnsi="宋体" w:cs="宋体" w:eastAsia="宋体" w:hint="default"/>
                <w:sz w:val="18"/>
                <w:szCs w:val="18"/>
              </w:rPr>
              <w:t>同一控制 下企业合 并</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right="0"/>
              <w:jc w:val="left"/>
              <w:rPr>
                <w:rFonts w:ascii="宋体" w:hAnsi="宋体" w:cs="宋体" w:eastAsia="宋体" w:hint="default"/>
                <w:sz w:val="18"/>
                <w:szCs w:val="18"/>
              </w:rPr>
            </w:pPr>
            <w:r>
              <w:rPr>
                <w:rFonts w:ascii="宋体" w:hAnsi="宋体" w:cs="宋体" w:eastAsia="宋体" w:hint="default"/>
                <w:spacing w:val="-17"/>
                <w:sz w:val="18"/>
                <w:szCs w:val="18"/>
              </w:rPr>
              <w:t>二、本年期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初余额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1"/>
              <w:jc w:val="center"/>
              <w:rPr>
                <w:rFonts w:ascii="Times New Roman" w:hAnsi="Times New Roman" w:cs="Times New Roman" w:eastAsia="Times New Roman" w:hint="default"/>
                <w:sz w:val="18"/>
                <w:szCs w:val="18"/>
              </w:rPr>
            </w:pPr>
            <w:r>
              <w:rPr>
                <w:rFonts w:ascii="Times New Roman"/>
                <w:sz w:val="18"/>
              </w:rPr>
              <w:t>146,666,</w:t>
            </w:r>
          </w:p>
          <w:p>
            <w:pPr>
              <w:pStyle w:val="TableParagraph"/>
              <w:spacing w:line="240" w:lineRule="auto" w:before="102"/>
              <w:ind w:left="203" w:right="-1"/>
              <w:jc w:val="center"/>
              <w:rPr>
                <w:rFonts w:ascii="Times New Roman" w:hAnsi="Times New Roman" w:cs="Times New Roman" w:eastAsia="Times New Roman" w:hint="default"/>
                <w:sz w:val="18"/>
                <w:szCs w:val="18"/>
              </w:rPr>
            </w:pPr>
            <w:r>
              <w:rPr>
                <w:rFonts w:ascii="Times New Roman"/>
                <w:sz w:val="18"/>
              </w:rPr>
              <w:t>700.00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 w:right="-1"/>
              <w:jc w:val="center"/>
              <w:rPr>
                <w:rFonts w:ascii="Times New Roman" w:hAnsi="Times New Roman" w:cs="Times New Roman" w:eastAsia="Times New Roman" w:hint="default"/>
                <w:sz w:val="18"/>
                <w:szCs w:val="18"/>
              </w:rPr>
            </w:pPr>
            <w:r>
              <w:rPr>
                <w:rFonts w:ascii="Times New Roman"/>
                <w:sz w:val="18"/>
              </w:rPr>
              <w:t>127,541,</w:t>
            </w:r>
          </w:p>
          <w:p>
            <w:pPr>
              <w:pStyle w:val="TableParagraph"/>
              <w:spacing w:line="240" w:lineRule="auto" w:before="102"/>
              <w:ind w:left="153" w:right="-1"/>
              <w:jc w:val="center"/>
              <w:rPr>
                <w:rFonts w:ascii="Times New Roman" w:hAnsi="Times New Roman" w:cs="Times New Roman" w:eastAsia="Times New Roman" w:hint="default"/>
                <w:sz w:val="18"/>
                <w:szCs w:val="18"/>
              </w:rPr>
            </w:pPr>
            <w:r>
              <w:rPr>
                <w:rFonts w:ascii="Times New Roman"/>
                <w:sz w:val="18"/>
              </w:rPr>
              <w:t>353.92</w:t>
            </w: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 w:right="-2"/>
              <w:jc w:val="left"/>
              <w:rPr>
                <w:rFonts w:ascii="Times New Roman" w:hAnsi="Times New Roman" w:cs="Times New Roman" w:eastAsia="Times New Roman" w:hint="default"/>
                <w:sz w:val="18"/>
                <w:szCs w:val="18"/>
              </w:rPr>
            </w:pPr>
            <w:r>
              <w:rPr>
                <w:rFonts w:ascii="Times New Roman"/>
                <w:sz w:val="18"/>
              </w:rPr>
              <w:t>14,947,</w:t>
            </w:r>
          </w:p>
          <w:p>
            <w:pPr>
              <w:pStyle w:val="TableParagraph"/>
              <w:spacing w:line="240" w:lineRule="auto" w:before="102"/>
              <w:ind w:left="62" w:right="-1"/>
              <w:jc w:val="left"/>
              <w:rPr>
                <w:rFonts w:ascii="Times New Roman" w:hAnsi="Times New Roman" w:cs="Times New Roman" w:eastAsia="Times New Roman" w:hint="default"/>
                <w:sz w:val="18"/>
                <w:szCs w:val="18"/>
              </w:rPr>
            </w:pPr>
            <w:r>
              <w:rPr>
                <w:rFonts w:ascii="Times New Roman"/>
                <w:sz w:val="18"/>
              </w:rPr>
              <w:t>485.38</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1"/>
              <w:jc w:val="center"/>
              <w:rPr>
                <w:rFonts w:ascii="Times New Roman" w:hAnsi="Times New Roman" w:cs="Times New Roman" w:eastAsia="Times New Roman" w:hint="default"/>
                <w:sz w:val="18"/>
                <w:szCs w:val="18"/>
              </w:rPr>
            </w:pPr>
            <w:r>
              <w:rPr>
                <w:rFonts w:ascii="Times New Roman"/>
                <w:spacing w:val="-1"/>
                <w:sz w:val="18"/>
              </w:rPr>
              <w:t>154,114,</w:t>
            </w:r>
          </w:p>
          <w:p>
            <w:pPr>
              <w:pStyle w:val="TableParagraph"/>
              <w:spacing w:line="240" w:lineRule="auto" w:before="102"/>
              <w:ind w:left="206" w:right="-1"/>
              <w:jc w:val="center"/>
              <w:rPr>
                <w:rFonts w:ascii="Times New Roman" w:hAnsi="Times New Roman" w:cs="Times New Roman" w:eastAsia="Times New Roman" w:hint="default"/>
                <w:sz w:val="18"/>
                <w:szCs w:val="18"/>
              </w:rPr>
            </w:pPr>
            <w:r>
              <w:rPr>
                <w:rFonts w:ascii="Times New Roman"/>
                <w:sz w:val="18"/>
              </w:rPr>
              <w:t>765.30</w:t>
            </w: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1"/>
              <w:jc w:val="center"/>
              <w:rPr>
                <w:rFonts w:ascii="Times New Roman" w:hAnsi="Times New Roman" w:cs="Times New Roman" w:eastAsia="Times New Roman" w:hint="default"/>
                <w:sz w:val="18"/>
                <w:szCs w:val="18"/>
              </w:rPr>
            </w:pPr>
            <w:r>
              <w:rPr>
                <w:rFonts w:ascii="Times New Roman"/>
                <w:sz w:val="18"/>
              </w:rPr>
              <w:t>443,270,</w:t>
            </w:r>
          </w:p>
          <w:p>
            <w:pPr>
              <w:pStyle w:val="TableParagraph"/>
              <w:spacing w:line="240" w:lineRule="auto" w:before="102"/>
              <w:ind w:left="206" w:right="-1"/>
              <w:jc w:val="center"/>
              <w:rPr>
                <w:rFonts w:ascii="Times New Roman" w:hAnsi="Times New Roman" w:cs="Times New Roman" w:eastAsia="Times New Roman" w:hint="default"/>
                <w:sz w:val="18"/>
                <w:szCs w:val="18"/>
              </w:rPr>
            </w:pPr>
            <w:r>
              <w:rPr>
                <w:rFonts w:ascii="Times New Roman"/>
                <w:sz w:val="18"/>
              </w:rPr>
              <w:t>304.60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1"/>
              <w:jc w:val="center"/>
              <w:rPr>
                <w:rFonts w:ascii="Times New Roman" w:hAnsi="Times New Roman" w:cs="Times New Roman" w:eastAsia="Times New Roman" w:hint="default"/>
                <w:sz w:val="18"/>
                <w:szCs w:val="18"/>
              </w:rPr>
            </w:pPr>
            <w:r>
              <w:rPr>
                <w:rFonts w:ascii="Times New Roman"/>
                <w:sz w:val="18"/>
              </w:rPr>
              <w:t>818,18</w:t>
            </w:r>
          </w:p>
          <w:p>
            <w:pPr>
              <w:pStyle w:val="TableParagraph"/>
              <w:spacing w:line="240" w:lineRule="auto" w:before="102"/>
              <w:ind w:left="242" w:right="-1"/>
              <w:jc w:val="center"/>
              <w:rPr>
                <w:rFonts w:ascii="Times New Roman" w:hAnsi="Times New Roman" w:cs="Times New Roman" w:eastAsia="Times New Roman" w:hint="default"/>
                <w:sz w:val="18"/>
                <w:szCs w:val="18"/>
              </w:rPr>
            </w:pPr>
            <w:r>
              <w:rPr>
                <w:rFonts w:ascii="Times New Roman"/>
                <w:sz w:val="18"/>
              </w:rPr>
              <w:t>1.60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3"/>
              <w:jc w:val="left"/>
              <w:rPr>
                <w:rFonts w:ascii="Times New Roman" w:hAnsi="Times New Roman" w:cs="Times New Roman" w:eastAsia="Times New Roman" w:hint="default"/>
                <w:sz w:val="18"/>
                <w:szCs w:val="18"/>
              </w:rPr>
            </w:pPr>
            <w:r>
              <w:rPr>
                <w:rFonts w:ascii="Times New Roman"/>
                <w:sz w:val="18"/>
              </w:rPr>
              <w:t>444,088,4</w:t>
            </w:r>
          </w:p>
          <w:p>
            <w:pPr>
              <w:pStyle w:val="TableParagraph"/>
              <w:spacing w:line="240" w:lineRule="auto" w:before="102"/>
              <w:ind w:left="383" w:right="-4"/>
              <w:jc w:val="left"/>
              <w:rPr>
                <w:rFonts w:ascii="Times New Roman" w:hAnsi="Times New Roman" w:cs="Times New Roman" w:eastAsia="Times New Roman" w:hint="default"/>
                <w:sz w:val="18"/>
                <w:szCs w:val="18"/>
              </w:rPr>
            </w:pPr>
            <w:r>
              <w:rPr>
                <w:rFonts w:ascii="Times New Roman"/>
                <w:sz w:val="18"/>
              </w:rPr>
              <w:t>86.20</w:t>
            </w:r>
          </w:p>
        </w:tc>
      </w:tr>
      <w:tr>
        <w:trPr>
          <w:trHeight w:val="1649"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right="0"/>
              <w:jc w:val="left"/>
              <w:rPr>
                <w:rFonts w:ascii="宋体" w:hAnsi="宋体" w:cs="宋体" w:eastAsia="宋体" w:hint="default"/>
                <w:sz w:val="18"/>
                <w:szCs w:val="18"/>
              </w:rPr>
            </w:pPr>
            <w:r>
              <w:rPr>
                <w:rFonts w:ascii="宋体" w:hAnsi="宋体" w:cs="宋体" w:eastAsia="宋体" w:hint="default"/>
                <w:spacing w:val="-17"/>
                <w:sz w:val="18"/>
                <w:szCs w:val="18"/>
              </w:rPr>
              <w:t>三、本期增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减变动金 </w:t>
            </w:r>
            <w:r>
              <w:rPr>
                <w:rFonts w:ascii="宋体" w:hAnsi="宋体" w:cs="宋体" w:eastAsia="宋体" w:hint="default"/>
                <w:spacing w:val="-17"/>
                <w:sz w:val="18"/>
                <w:szCs w:val="18"/>
              </w:rPr>
              <w:t>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6" w:right="-1"/>
              <w:jc w:val="center"/>
              <w:rPr>
                <w:rFonts w:ascii="Times New Roman" w:hAnsi="Times New Roman" w:cs="Times New Roman" w:eastAsia="Times New Roman" w:hint="default"/>
                <w:sz w:val="18"/>
                <w:szCs w:val="18"/>
              </w:rPr>
            </w:pPr>
            <w:r>
              <w:rPr>
                <w:rFonts w:ascii="Times New Roman"/>
                <w:sz w:val="18"/>
              </w:rPr>
              <w:t>1,447,5</w:t>
            </w:r>
          </w:p>
          <w:p>
            <w:pPr>
              <w:pStyle w:val="TableParagraph"/>
              <w:spacing w:line="240" w:lineRule="auto" w:before="105"/>
              <w:ind w:left="151" w:right="-1"/>
              <w:jc w:val="center"/>
              <w:rPr>
                <w:rFonts w:ascii="Times New Roman" w:hAnsi="Times New Roman" w:cs="Times New Roman" w:eastAsia="Times New Roman" w:hint="default"/>
                <w:sz w:val="18"/>
                <w:szCs w:val="18"/>
              </w:rPr>
            </w:pPr>
            <w:r>
              <w:rPr>
                <w:rFonts w:ascii="Times New Roman"/>
                <w:sz w:val="18"/>
              </w:rPr>
              <w:t>94.59</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9" w:right="-1"/>
              <w:jc w:val="left"/>
              <w:rPr>
                <w:rFonts w:ascii="Times New Roman" w:hAnsi="Times New Roman" w:cs="Times New Roman" w:eastAsia="Times New Roman" w:hint="default"/>
                <w:sz w:val="18"/>
                <w:szCs w:val="18"/>
              </w:rPr>
            </w:pPr>
            <w:r>
              <w:rPr>
                <w:rFonts w:ascii="Times New Roman"/>
                <w:sz w:val="18"/>
              </w:rPr>
              <w:t>24,906,6</w:t>
            </w:r>
          </w:p>
          <w:p>
            <w:pPr>
              <w:pStyle w:val="TableParagraph"/>
              <w:spacing w:line="240" w:lineRule="auto" w:before="105"/>
              <w:ind w:left="295" w:right="-1"/>
              <w:jc w:val="left"/>
              <w:rPr>
                <w:rFonts w:ascii="Times New Roman" w:hAnsi="Times New Roman" w:cs="Times New Roman" w:eastAsia="Times New Roman" w:hint="default"/>
                <w:sz w:val="18"/>
                <w:szCs w:val="18"/>
              </w:rPr>
            </w:pPr>
            <w:r>
              <w:rPr>
                <w:rFonts w:ascii="Times New Roman"/>
                <w:sz w:val="18"/>
              </w:rPr>
              <w:t>79.69</w:t>
            </w: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9" w:right="-1"/>
              <w:jc w:val="left"/>
              <w:rPr>
                <w:rFonts w:ascii="Times New Roman" w:hAnsi="Times New Roman" w:cs="Times New Roman" w:eastAsia="Times New Roman" w:hint="default"/>
                <w:sz w:val="18"/>
                <w:szCs w:val="18"/>
              </w:rPr>
            </w:pPr>
            <w:r>
              <w:rPr>
                <w:rFonts w:ascii="Times New Roman"/>
                <w:sz w:val="18"/>
              </w:rPr>
              <w:t>26,354,2</w:t>
            </w:r>
          </w:p>
          <w:p>
            <w:pPr>
              <w:pStyle w:val="TableParagraph"/>
              <w:spacing w:line="240" w:lineRule="auto" w:before="105"/>
              <w:ind w:left="295" w:right="-1"/>
              <w:jc w:val="left"/>
              <w:rPr>
                <w:rFonts w:ascii="Times New Roman" w:hAnsi="Times New Roman" w:cs="Times New Roman" w:eastAsia="Times New Roman" w:hint="default"/>
                <w:sz w:val="18"/>
                <w:szCs w:val="18"/>
              </w:rPr>
            </w:pPr>
            <w:r>
              <w:rPr>
                <w:rFonts w:ascii="Times New Roman"/>
                <w:sz w:val="18"/>
              </w:rPr>
              <w:t>74.28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6" w:right="-2"/>
              <w:jc w:val="left"/>
              <w:rPr>
                <w:rFonts w:ascii="Times New Roman" w:hAnsi="Times New Roman" w:cs="Times New Roman" w:eastAsia="Times New Roman" w:hint="default"/>
                <w:sz w:val="18"/>
                <w:szCs w:val="18"/>
              </w:rPr>
            </w:pPr>
            <w:r>
              <w:rPr>
                <w:rFonts w:ascii="Times New Roman"/>
                <w:sz w:val="18"/>
              </w:rPr>
              <w:t>19,255,</w:t>
            </w:r>
          </w:p>
          <w:p>
            <w:pPr>
              <w:pStyle w:val="TableParagraph"/>
              <w:spacing w:line="240" w:lineRule="auto" w:before="105"/>
              <w:ind w:left="62" w:right="-1"/>
              <w:jc w:val="left"/>
              <w:rPr>
                <w:rFonts w:ascii="Times New Roman" w:hAnsi="Times New Roman" w:cs="Times New Roman" w:eastAsia="Times New Roman" w:hint="default"/>
                <w:sz w:val="18"/>
                <w:szCs w:val="18"/>
              </w:rPr>
            </w:pPr>
            <w:r>
              <w:rPr>
                <w:rFonts w:ascii="Times New Roman"/>
                <w:sz w:val="18"/>
              </w:rPr>
              <w:t>506.96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9" w:right="-3"/>
              <w:jc w:val="left"/>
              <w:rPr>
                <w:rFonts w:ascii="Times New Roman" w:hAnsi="Times New Roman" w:cs="Times New Roman" w:eastAsia="Times New Roman" w:hint="default"/>
                <w:sz w:val="18"/>
                <w:szCs w:val="18"/>
              </w:rPr>
            </w:pPr>
            <w:r>
              <w:rPr>
                <w:rFonts w:ascii="Times New Roman"/>
                <w:sz w:val="18"/>
              </w:rPr>
              <w:t>45,609,78</w:t>
            </w:r>
          </w:p>
          <w:p>
            <w:pPr>
              <w:pStyle w:val="TableParagraph"/>
              <w:spacing w:line="240" w:lineRule="auto" w:before="105"/>
              <w:ind w:left="475" w:right="-4"/>
              <w:jc w:val="left"/>
              <w:rPr>
                <w:rFonts w:ascii="Times New Roman" w:hAnsi="Times New Roman" w:cs="Times New Roman" w:eastAsia="Times New Roman" w:hint="default"/>
                <w:sz w:val="18"/>
                <w:szCs w:val="18"/>
              </w:rPr>
            </w:pPr>
            <w:r>
              <w:rPr>
                <w:rFonts w:ascii="Times New Roman"/>
                <w:sz w:val="18"/>
              </w:rPr>
              <w:t>1.24</w:t>
            </w:r>
          </w:p>
        </w:tc>
      </w:tr>
      <w:tr>
        <w:trPr>
          <w:trHeight w:val="71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right="0"/>
              <w:jc w:val="left"/>
              <w:rPr>
                <w:rFonts w:ascii="宋体" w:hAnsi="宋体" w:cs="宋体" w:eastAsia="宋体" w:hint="default"/>
                <w:sz w:val="18"/>
                <w:szCs w:val="18"/>
              </w:rPr>
            </w:pPr>
            <w:r>
              <w:rPr>
                <w:rFonts w:ascii="宋体" w:hAnsi="宋体" w:cs="宋体" w:eastAsia="宋体" w:hint="default"/>
                <w:spacing w:val="-17"/>
                <w:sz w:val="18"/>
                <w:szCs w:val="18"/>
              </w:rPr>
              <w:t>（一）综合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收益总额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1"/>
              <w:jc w:val="left"/>
              <w:rPr>
                <w:rFonts w:ascii="Times New Roman" w:hAnsi="Times New Roman" w:cs="Times New Roman" w:eastAsia="Times New Roman" w:hint="default"/>
                <w:sz w:val="18"/>
                <w:szCs w:val="18"/>
              </w:rPr>
            </w:pPr>
            <w:r>
              <w:rPr>
                <w:rFonts w:ascii="Times New Roman"/>
                <w:sz w:val="18"/>
              </w:rPr>
              <w:t>36,620,9</w:t>
            </w:r>
          </w:p>
          <w:p>
            <w:pPr>
              <w:pStyle w:val="TableParagraph"/>
              <w:spacing w:line="240" w:lineRule="auto" w:before="102"/>
              <w:ind w:left="295" w:right="-1"/>
              <w:jc w:val="left"/>
              <w:rPr>
                <w:rFonts w:ascii="Times New Roman" w:hAnsi="Times New Roman" w:cs="Times New Roman" w:eastAsia="Times New Roman" w:hint="default"/>
                <w:sz w:val="18"/>
                <w:szCs w:val="18"/>
              </w:rPr>
            </w:pPr>
            <w:r>
              <w:rPr>
                <w:rFonts w:ascii="Times New Roman"/>
                <w:sz w:val="18"/>
              </w:rPr>
              <w:t>43.28</w:t>
            </w: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1"/>
              <w:jc w:val="left"/>
              <w:rPr>
                <w:rFonts w:ascii="Times New Roman" w:hAnsi="Times New Roman" w:cs="Times New Roman" w:eastAsia="Times New Roman" w:hint="default"/>
                <w:sz w:val="18"/>
                <w:szCs w:val="18"/>
              </w:rPr>
            </w:pPr>
            <w:r>
              <w:rPr>
                <w:rFonts w:ascii="Times New Roman"/>
                <w:sz w:val="18"/>
              </w:rPr>
              <w:t>36,620,9</w:t>
            </w:r>
          </w:p>
          <w:p>
            <w:pPr>
              <w:pStyle w:val="TableParagraph"/>
              <w:spacing w:line="240" w:lineRule="auto" w:before="102"/>
              <w:ind w:left="295" w:right="-1"/>
              <w:jc w:val="left"/>
              <w:rPr>
                <w:rFonts w:ascii="Times New Roman" w:hAnsi="Times New Roman" w:cs="Times New Roman" w:eastAsia="Times New Roman" w:hint="default"/>
                <w:sz w:val="18"/>
                <w:szCs w:val="18"/>
              </w:rPr>
            </w:pPr>
            <w:r>
              <w:rPr>
                <w:rFonts w:ascii="Times New Roman"/>
                <w:sz w:val="18"/>
              </w:rPr>
              <w:t>43.28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1"/>
              <w:jc w:val="center"/>
              <w:rPr>
                <w:rFonts w:ascii="Times New Roman" w:hAnsi="Times New Roman" w:cs="Times New Roman" w:eastAsia="Times New Roman" w:hint="default"/>
                <w:sz w:val="18"/>
                <w:szCs w:val="18"/>
              </w:rPr>
            </w:pPr>
            <w:r>
              <w:rPr>
                <w:rFonts w:ascii="Times New Roman"/>
                <w:sz w:val="18"/>
              </w:rPr>
              <w:t>632,31</w:t>
            </w:r>
          </w:p>
          <w:p>
            <w:pPr>
              <w:pStyle w:val="TableParagraph"/>
              <w:spacing w:line="240" w:lineRule="auto" w:before="102"/>
              <w:ind w:left="242" w:right="-1"/>
              <w:jc w:val="center"/>
              <w:rPr>
                <w:rFonts w:ascii="Times New Roman" w:hAnsi="Times New Roman" w:cs="Times New Roman" w:eastAsia="Times New Roman" w:hint="default"/>
                <w:sz w:val="18"/>
                <w:szCs w:val="18"/>
              </w:rPr>
            </w:pPr>
            <w:r>
              <w:rPr>
                <w:rFonts w:ascii="Times New Roman"/>
                <w:sz w:val="18"/>
              </w:rPr>
              <w:t>3.03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3"/>
              <w:jc w:val="left"/>
              <w:rPr>
                <w:rFonts w:ascii="Times New Roman" w:hAnsi="Times New Roman" w:cs="Times New Roman" w:eastAsia="Times New Roman" w:hint="default"/>
                <w:sz w:val="18"/>
                <w:szCs w:val="18"/>
              </w:rPr>
            </w:pPr>
            <w:r>
              <w:rPr>
                <w:rFonts w:ascii="Times New Roman"/>
                <w:sz w:val="18"/>
              </w:rPr>
              <w:t>37,253,25</w:t>
            </w:r>
          </w:p>
          <w:p>
            <w:pPr>
              <w:pStyle w:val="TableParagraph"/>
              <w:spacing w:line="240" w:lineRule="auto" w:before="102"/>
              <w:ind w:left="475" w:right="-4"/>
              <w:jc w:val="left"/>
              <w:rPr>
                <w:rFonts w:ascii="Times New Roman" w:hAnsi="Times New Roman" w:cs="Times New Roman" w:eastAsia="Times New Roman" w:hint="default"/>
                <w:sz w:val="18"/>
                <w:szCs w:val="18"/>
              </w:rPr>
            </w:pPr>
            <w:r>
              <w:rPr>
                <w:rFonts w:ascii="Times New Roman"/>
                <w:sz w:val="18"/>
              </w:rPr>
              <w:t>6.31</w:t>
            </w:r>
          </w:p>
        </w:tc>
      </w:tr>
      <w:tr>
        <w:trPr>
          <w:trHeight w:val="102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right="0"/>
              <w:jc w:val="left"/>
              <w:rPr>
                <w:rFonts w:ascii="宋体" w:hAnsi="宋体" w:cs="宋体" w:eastAsia="宋体" w:hint="default"/>
                <w:sz w:val="18"/>
                <w:szCs w:val="18"/>
              </w:rPr>
            </w:pPr>
            <w:r>
              <w:rPr>
                <w:rFonts w:ascii="宋体" w:hAnsi="宋体" w:cs="宋体" w:eastAsia="宋体" w:hint="default"/>
                <w:spacing w:val="-17"/>
                <w:sz w:val="18"/>
                <w:szCs w:val="18"/>
              </w:rPr>
              <w:t>（二）所有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者投入和 减少资本</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 w:right="-2"/>
              <w:jc w:val="left"/>
              <w:rPr>
                <w:rFonts w:ascii="Times New Roman" w:hAnsi="Times New Roman" w:cs="Times New Roman" w:eastAsia="Times New Roman" w:hint="default"/>
                <w:sz w:val="18"/>
                <w:szCs w:val="18"/>
              </w:rPr>
            </w:pPr>
            <w:r>
              <w:rPr>
                <w:rFonts w:ascii="Times New Roman"/>
                <w:sz w:val="18"/>
              </w:rPr>
              <w:t>18,623,</w:t>
            </w:r>
          </w:p>
          <w:p>
            <w:pPr>
              <w:pStyle w:val="TableParagraph"/>
              <w:spacing w:line="240" w:lineRule="auto" w:before="105"/>
              <w:ind w:left="62" w:right="-1"/>
              <w:jc w:val="left"/>
              <w:rPr>
                <w:rFonts w:ascii="Times New Roman" w:hAnsi="Times New Roman" w:cs="Times New Roman" w:eastAsia="Times New Roman" w:hint="default"/>
                <w:sz w:val="18"/>
                <w:szCs w:val="18"/>
              </w:rPr>
            </w:pPr>
            <w:r>
              <w:rPr>
                <w:rFonts w:ascii="Times New Roman"/>
                <w:sz w:val="18"/>
              </w:rPr>
              <w:t>193.93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3"/>
              <w:jc w:val="left"/>
              <w:rPr>
                <w:rFonts w:ascii="Times New Roman" w:hAnsi="Times New Roman" w:cs="Times New Roman" w:eastAsia="Times New Roman" w:hint="default"/>
                <w:sz w:val="18"/>
                <w:szCs w:val="18"/>
              </w:rPr>
            </w:pPr>
            <w:r>
              <w:rPr>
                <w:rFonts w:ascii="Times New Roman"/>
                <w:sz w:val="18"/>
              </w:rPr>
              <w:t>18,623,19</w:t>
            </w:r>
          </w:p>
          <w:p>
            <w:pPr>
              <w:pStyle w:val="TableParagraph"/>
              <w:spacing w:line="240" w:lineRule="auto" w:before="105"/>
              <w:ind w:left="475" w:right="-4"/>
              <w:jc w:val="left"/>
              <w:rPr>
                <w:rFonts w:ascii="Times New Roman" w:hAnsi="Times New Roman" w:cs="Times New Roman" w:eastAsia="Times New Roman" w:hint="default"/>
                <w:sz w:val="18"/>
                <w:szCs w:val="18"/>
              </w:rPr>
            </w:pPr>
            <w:r>
              <w:rPr>
                <w:rFonts w:ascii="Times New Roman"/>
                <w:sz w:val="18"/>
              </w:rPr>
              <w:t>3.93</w:t>
            </w:r>
          </w:p>
        </w:tc>
      </w:tr>
      <w:tr>
        <w:trPr>
          <w:trHeight w:val="1028"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 投入的普 通股</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6" w:right="-2"/>
              <w:jc w:val="left"/>
              <w:rPr>
                <w:rFonts w:ascii="Times New Roman" w:hAnsi="Times New Roman" w:cs="Times New Roman" w:eastAsia="Times New Roman" w:hint="default"/>
                <w:sz w:val="18"/>
                <w:szCs w:val="18"/>
              </w:rPr>
            </w:pPr>
            <w:r>
              <w:rPr>
                <w:rFonts w:ascii="Times New Roman"/>
                <w:sz w:val="18"/>
              </w:rPr>
              <w:t>18,623,</w:t>
            </w:r>
          </w:p>
          <w:p>
            <w:pPr>
              <w:pStyle w:val="TableParagraph"/>
              <w:spacing w:line="240" w:lineRule="auto" w:before="103"/>
              <w:ind w:left="62" w:right="-1"/>
              <w:jc w:val="left"/>
              <w:rPr>
                <w:rFonts w:ascii="Times New Roman" w:hAnsi="Times New Roman" w:cs="Times New Roman" w:eastAsia="Times New Roman" w:hint="default"/>
                <w:sz w:val="18"/>
                <w:szCs w:val="18"/>
              </w:rPr>
            </w:pPr>
            <w:r>
              <w:rPr>
                <w:rFonts w:ascii="Times New Roman"/>
                <w:sz w:val="18"/>
              </w:rPr>
              <w:t>193.93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9" w:right="-3"/>
              <w:jc w:val="left"/>
              <w:rPr>
                <w:rFonts w:ascii="Times New Roman" w:hAnsi="Times New Roman" w:cs="Times New Roman" w:eastAsia="Times New Roman" w:hint="default"/>
                <w:sz w:val="18"/>
                <w:szCs w:val="18"/>
              </w:rPr>
            </w:pPr>
            <w:r>
              <w:rPr>
                <w:rFonts w:ascii="Times New Roman"/>
                <w:sz w:val="18"/>
              </w:rPr>
              <w:t>18,623,19</w:t>
            </w:r>
          </w:p>
          <w:p>
            <w:pPr>
              <w:pStyle w:val="TableParagraph"/>
              <w:spacing w:line="240" w:lineRule="auto" w:before="103"/>
              <w:ind w:left="475" w:right="-4"/>
              <w:jc w:val="left"/>
              <w:rPr>
                <w:rFonts w:ascii="Times New Roman" w:hAnsi="Times New Roman" w:cs="Times New Roman" w:eastAsia="Times New Roman" w:hint="default"/>
                <w:sz w:val="18"/>
                <w:szCs w:val="18"/>
              </w:rPr>
            </w:pPr>
            <w:r>
              <w:rPr>
                <w:rFonts w:ascii="Times New Roman"/>
                <w:sz w:val="18"/>
              </w:rPr>
              <w:t>3.93</w:t>
            </w:r>
          </w:p>
        </w:tc>
      </w:tr>
      <w:tr>
        <w:trPr>
          <w:trHeight w:val="1337"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 益工具持 有者投入 资本</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 付计入所 有者权益 的金额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right="0"/>
              <w:jc w:val="left"/>
              <w:rPr>
                <w:rFonts w:ascii="宋体" w:hAnsi="宋体" w:cs="宋体" w:eastAsia="宋体" w:hint="default"/>
                <w:sz w:val="18"/>
                <w:szCs w:val="18"/>
              </w:rPr>
            </w:pPr>
            <w:r>
              <w:rPr>
                <w:rFonts w:ascii="宋体" w:hAnsi="宋体" w:cs="宋体" w:eastAsia="宋体" w:hint="default"/>
                <w:spacing w:val="-17"/>
                <w:sz w:val="18"/>
                <w:szCs w:val="18"/>
              </w:rPr>
              <w:t>（三）利润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分配</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 w:right="-1"/>
              <w:jc w:val="center"/>
              <w:rPr>
                <w:rFonts w:ascii="Times New Roman" w:hAnsi="Times New Roman" w:cs="Times New Roman" w:eastAsia="Times New Roman" w:hint="default"/>
                <w:sz w:val="18"/>
                <w:szCs w:val="18"/>
              </w:rPr>
            </w:pPr>
            <w:r>
              <w:rPr>
                <w:rFonts w:ascii="Times New Roman"/>
                <w:sz w:val="18"/>
              </w:rPr>
              <w:t>1,447,5</w:t>
            </w:r>
          </w:p>
          <w:p>
            <w:pPr>
              <w:pStyle w:val="TableParagraph"/>
              <w:spacing w:line="240" w:lineRule="auto" w:before="102"/>
              <w:ind w:left="151" w:right="-1"/>
              <w:jc w:val="center"/>
              <w:rPr>
                <w:rFonts w:ascii="Times New Roman" w:hAnsi="Times New Roman" w:cs="Times New Roman" w:eastAsia="Times New Roman" w:hint="default"/>
                <w:sz w:val="18"/>
                <w:szCs w:val="18"/>
              </w:rPr>
            </w:pPr>
            <w:r>
              <w:rPr>
                <w:rFonts w:ascii="Times New Roman"/>
                <w:sz w:val="18"/>
              </w:rPr>
              <w:t>94.59</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 w:right="-1"/>
              <w:jc w:val="left"/>
              <w:rPr>
                <w:rFonts w:ascii="Times New Roman" w:hAnsi="Times New Roman" w:cs="Times New Roman" w:eastAsia="Times New Roman" w:hint="default"/>
                <w:sz w:val="18"/>
                <w:szCs w:val="18"/>
              </w:rPr>
            </w:pPr>
            <w:r>
              <w:rPr>
                <w:rFonts w:ascii="Times New Roman"/>
                <w:sz w:val="18"/>
              </w:rPr>
              <w:t>-11,714,2</w:t>
            </w:r>
          </w:p>
          <w:p>
            <w:pPr>
              <w:pStyle w:val="TableParagraph"/>
              <w:spacing w:line="240" w:lineRule="auto" w:before="102"/>
              <w:ind w:left="295" w:right="-1"/>
              <w:jc w:val="left"/>
              <w:rPr>
                <w:rFonts w:ascii="Times New Roman" w:hAnsi="Times New Roman" w:cs="Times New Roman" w:eastAsia="Times New Roman" w:hint="default"/>
                <w:sz w:val="18"/>
                <w:szCs w:val="18"/>
              </w:rPr>
            </w:pPr>
            <w:r>
              <w:rPr>
                <w:rFonts w:ascii="Times New Roman"/>
                <w:sz w:val="18"/>
              </w:rPr>
              <w:t>63.59</w:t>
            </w: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1"/>
              <w:jc w:val="left"/>
              <w:rPr>
                <w:rFonts w:ascii="Times New Roman" w:hAnsi="Times New Roman" w:cs="Times New Roman" w:eastAsia="Times New Roman" w:hint="default"/>
                <w:sz w:val="18"/>
                <w:szCs w:val="18"/>
              </w:rPr>
            </w:pPr>
            <w:r>
              <w:rPr>
                <w:rFonts w:ascii="Times New Roman"/>
                <w:sz w:val="18"/>
              </w:rPr>
              <w:t>-10,266,6</w:t>
            </w:r>
          </w:p>
          <w:p>
            <w:pPr>
              <w:pStyle w:val="TableParagraph"/>
              <w:spacing w:line="240" w:lineRule="auto" w:before="102"/>
              <w:ind w:left="295" w:right="-1"/>
              <w:jc w:val="left"/>
              <w:rPr>
                <w:rFonts w:ascii="Times New Roman" w:hAnsi="Times New Roman" w:cs="Times New Roman" w:eastAsia="Times New Roman" w:hint="default"/>
                <w:sz w:val="18"/>
                <w:szCs w:val="18"/>
              </w:rPr>
            </w:pPr>
            <w:r>
              <w:rPr>
                <w:rFonts w:ascii="Times New Roman"/>
                <w:sz w:val="18"/>
              </w:rPr>
              <w:t>69.00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3"/>
              <w:jc w:val="left"/>
              <w:rPr>
                <w:rFonts w:ascii="Times New Roman" w:hAnsi="Times New Roman" w:cs="Times New Roman" w:eastAsia="Times New Roman" w:hint="default"/>
                <w:sz w:val="18"/>
                <w:szCs w:val="18"/>
              </w:rPr>
            </w:pPr>
            <w:r>
              <w:rPr>
                <w:rFonts w:ascii="Times New Roman"/>
                <w:sz w:val="18"/>
              </w:rPr>
              <w:t>-10,266,66</w:t>
            </w:r>
          </w:p>
          <w:p>
            <w:pPr>
              <w:pStyle w:val="TableParagraph"/>
              <w:spacing w:line="240" w:lineRule="auto" w:before="102"/>
              <w:ind w:left="475" w:right="-4"/>
              <w:jc w:val="left"/>
              <w:rPr>
                <w:rFonts w:ascii="Times New Roman" w:hAnsi="Times New Roman" w:cs="Times New Roman" w:eastAsia="Times New Roman" w:hint="default"/>
                <w:sz w:val="18"/>
                <w:szCs w:val="18"/>
              </w:rPr>
            </w:pPr>
            <w:r>
              <w:rPr>
                <w:rFonts w:ascii="Times New Roman"/>
                <w:sz w:val="18"/>
              </w:rPr>
              <w:t>9.00</w:t>
            </w:r>
          </w:p>
        </w:tc>
      </w:tr>
      <w:tr>
        <w:trPr>
          <w:trHeight w:val="71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 余公积</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1"/>
              <w:jc w:val="center"/>
              <w:rPr>
                <w:rFonts w:ascii="Times New Roman" w:hAnsi="Times New Roman" w:cs="Times New Roman" w:eastAsia="Times New Roman" w:hint="default"/>
                <w:sz w:val="18"/>
                <w:szCs w:val="18"/>
              </w:rPr>
            </w:pPr>
            <w:r>
              <w:rPr>
                <w:rFonts w:ascii="Times New Roman"/>
                <w:sz w:val="18"/>
              </w:rPr>
              <w:t>1,447,5</w:t>
            </w:r>
          </w:p>
          <w:p>
            <w:pPr>
              <w:pStyle w:val="TableParagraph"/>
              <w:spacing w:line="240" w:lineRule="auto" w:before="105"/>
              <w:ind w:left="151" w:right="-1"/>
              <w:jc w:val="center"/>
              <w:rPr>
                <w:rFonts w:ascii="Times New Roman" w:hAnsi="Times New Roman" w:cs="Times New Roman" w:eastAsia="Times New Roman" w:hint="default"/>
                <w:sz w:val="18"/>
                <w:szCs w:val="18"/>
              </w:rPr>
            </w:pPr>
            <w:r>
              <w:rPr>
                <w:rFonts w:ascii="Times New Roman"/>
                <w:sz w:val="18"/>
              </w:rPr>
              <w:t>94.59</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1"/>
              <w:jc w:val="left"/>
              <w:rPr>
                <w:rFonts w:ascii="Times New Roman" w:hAnsi="Times New Roman" w:cs="Times New Roman" w:eastAsia="Times New Roman" w:hint="default"/>
                <w:sz w:val="18"/>
                <w:szCs w:val="18"/>
              </w:rPr>
            </w:pPr>
            <w:r>
              <w:rPr>
                <w:rFonts w:ascii="Times New Roman"/>
                <w:sz w:val="18"/>
              </w:rPr>
              <w:t>-1,447,59</w:t>
            </w:r>
          </w:p>
          <w:p>
            <w:pPr>
              <w:pStyle w:val="TableParagraph"/>
              <w:spacing w:line="240" w:lineRule="auto" w:before="105"/>
              <w:ind w:left="386" w:right="-1"/>
              <w:jc w:val="left"/>
              <w:rPr>
                <w:rFonts w:ascii="Times New Roman" w:hAnsi="Times New Roman" w:cs="Times New Roman" w:eastAsia="Times New Roman" w:hint="default"/>
                <w:sz w:val="18"/>
                <w:szCs w:val="18"/>
              </w:rPr>
            </w:pPr>
            <w:r>
              <w:rPr>
                <w:rFonts w:ascii="Times New Roman"/>
                <w:sz w:val="18"/>
              </w:rPr>
              <w:t>4.59</w:t>
            </w: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 般风险准 备</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2" w:type="dxa"/>
        <w:tblLayout w:type="fixed"/>
        <w:tblCellMar>
          <w:top w:w="0" w:type="dxa"/>
          <w:left w:w="0" w:type="dxa"/>
          <w:bottom w:w="0" w:type="dxa"/>
          <w:right w:w="0" w:type="dxa"/>
        </w:tblCellMar>
        <w:tblLook w:val="01E0"/>
      </w:tblPr>
      <w:tblGrid>
        <w:gridCol w:w="828"/>
        <w:gridCol w:w="708"/>
        <w:gridCol w:w="566"/>
        <w:gridCol w:w="577"/>
        <w:gridCol w:w="468"/>
        <w:gridCol w:w="658"/>
        <w:gridCol w:w="509"/>
        <w:gridCol w:w="583"/>
        <w:gridCol w:w="468"/>
        <w:gridCol w:w="566"/>
        <w:gridCol w:w="566"/>
        <w:gridCol w:w="710"/>
        <w:gridCol w:w="281"/>
        <w:gridCol w:w="710"/>
        <w:gridCol w:w="566"/>
        <w:gridCol w:w="797"/>
      </w:tblGrid>
      <w:tr>
        <w:trPr>
          <w:trHeight w:val="102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 者（或股 </w:t>
            </w:r>
            <w:r>
              <w:rPr>
                <w:rFonts w:ascii="宋体" w:hAnsi="宋体" w:cs="宋体" w:eastAsia="宋体" w:hint="default"/>
                <w:spacing w:val="-17"/>
                <w:sz w:val="18"/>
                <w:szCs w:val="18"/>
              </w:rPr>
              <w:t>东）的分配</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1"/>
              <w:jc w:val="left"/>
              <w:rPr>
                <w:rFonts w:ascii="Times New Roman" w:hAnsi="Times New Roman" w:cs="Times New Roman" w:eastAsia="Times New Roman" w:hint="default"/>
                <w:sz w:val="18"/>
                <w:szCs w:val="18"/>
              </w:rPr>
            </w:pPr>
            <w:r>
              <w:rPr>
                <w:rFonts w:ascii="Times New Roman"/>
                <w:sz w:val="18"/>
              </w:rPr>
              <w:t>-10,266,6</w:t>
            </w:r>
          </w:p>
          <w:p>
            <w:pPr>
              <w:pStyle w:val="TableParagraph"/>
              <w:spacing w:line="240" w:lineRule="auto" w:before="105"/>
              <w:ind w:left="295" w:right="-1"/>
              <w:jc w:val="left"/>
              <w:rPr>
                <w:rFonts w:ascii="Times New Roman" w:hAnsi="Times New Roman" w:cs="Times New Roman" w:eastAsia="Times New Roman" w:hint="default"/>
                <w:sz w:val="18"/>
                <w:szCs w:val="18"/>
              </w:rPr>
            </w:pPr>
            <w:r>
              <w:rPr>
                <w:rFonts w:ascii="Times New Roman"/>
                <w:sz w:val="18"/>
              </w:rPr>
              <w:t>69.00</w:t>
            </w: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1"/>
              <w:jc w:val="left"/>
              <w:rPr>
                <w:rFonts w:ascii="Times New Roman" w:hAnsi="Times New Roman" w:cs="Times New Roman" w:eastAsia="Times New Roman" w:hint="default"/>
                <w:sz w:val="18"/>
                <w:szCs w:val="18"/>
              </w:rPr>
            </w:pPr>
            <w:r>
              <w:rPr>
                <w:rFonts w:ascii="Times New Roman"/>
                <w:sz w:val="18"/>
              </w:rPr>
              <w:t>-10,266,6</w:t>
            </w:r>
          </w:p>
          <w:p>
            <w:pPr>
              <w:pStyle w:val="TableParagraph"/>
              <w:spacing w:line="240" w:lineRule="auto" w:before="105"/>
              <w:ind w:left="295" w:right="-1"/>
              <w:jc w:val="left"/>
              <w:rPr>
                <w:rFonts w:ascii="Times New Roman" w:hAnsi="Times New Roman" w:cs="Times New Roman" w:eastAsia="Times New Roman" w:hint="default"/>
                <w:sz w:val="18"/>
                <w:szCs w:val="18"/>
              </w:rPr>
            </w:pPr>
            <w:r>
              <w:rPr>
                <w:rFonts w:ascii="Times New Roman"/>
                <w:sz w:val="18"/>
              </w:rPr>
              <w:t>69.00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 w:right="-3"/>
              <w:jc w:val="left"/>
              <w:rPr>
                <w:rFonts w:ascii="Times New Roman" w:hAnsi="Times New Roman" w:cs="Times New Roman" w:eastAsia="Times New Roman" w:hint="default"/>
                <w:sz w:val="18"/>
                <w:szCs w:val="18"/>
              </w:rPr>
            </w:pPr>
            <w:r>
              <w:rPr>
                <w:rFonts w:ascii="Times New Roman"/>
                <w:sz w:val="18"/>
              </w:rPr>
              <w:t>-10,266,66</w:t>
            </w:r>
          </w:p>
          <w:p>
            <w:pPr>
              <w:pStyle w:val="TableParagraph"/>
              <w:spacing w:line="240" w:lineRule="auto" w:before="105"/>
              <w:ind w:left="475" w:right="-4"/>
              <w:jc w:val="left"/>
              <w:rPr>
                <w:rFonts w:ascii="Times New Roman" w:hAnsi="Times New Roman" w:cs="Times New Roman" w:eastAsia="Times New Roman" w:hint="default"/>
                <w:sz w:val="18"/>
                <w:szCs w:val="18"/>
              </w:rPr>
            </w:pPr>
            <w:r>
              <w:rPr>
                <w:rFonts w:ascii="Times New Roman"/>
                <w:sz w:val="18"/>
              </w:rPr>
              <w:t>9.00</w:t>
            </w:r>
          </w:p>
        </w:tc>
      </w:tr>
      <w:tr>
        <w:trPr>
          <w:trHeight w:val="40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right="0"/>
              <w:jc w:val="left"/>
              <w:rPr>
                <w:rFonts w:ascii="宋体" w:hAnsi="宋体" w:cs="宋体" w:eastAsia="宋体" w:hint="default"/>
                <w:sz w:val="18"/>
                <w:szCs w:val="18"/>
              </w:rPr>
            </w:pPr>
            <w:r>
              <w:rPr>
                <w:rFonts w:ascii="宋体" w:hAnsi="宋体" w:cs="宋体" w:eastAsia="宋体" w:hint="default"/>
                <w:spacing w:val="-17"/>
                <w:sz w:val="18"/>
                <w:szCs w:val="18"/>
              </w:rPr>
              <w:t>（四）所有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者权益内 部结转</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 积转增资 本（或股 本）</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 积转增资 本（或股 本）</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 积弥补亏 损</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 益计划变 动额结转 留存收益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 合收益结 转留存收 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right="0"/>
              <w:jc w:val="left"/>
              <w:rPr>
                <w:rFonts w:ascii="宋体" w:hAnsi="宋体" w:cs="宋体" w:eastAsia="宋体" w:hint="default"/>
                <w:sz w:val="18"/>
                <w:szCs w:val="18"/>
              </w:rPr>
            </w:pPr>
            <w:r>
              <w:rPr>
                <w:rFonts w:ascii="宋体" w:hAnsi="宋体" w:cs="宋体" w:eastAsia="宋体" w:hint="default"/>
                <w:spacing w:val="-17"/>
                <w:sz w:val="18"/>
                <w:szCs w:val="18"/>
              </w:rPr>
              <w:t>（五）专项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储备</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 取</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 用</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pacing w:val="-82"/>
                <w:sz w:val="18"/>
                <w:szCs w:val="18"/>
              </w:rPr>
              <w:t>）</w:t>
            </w: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right="0"/>
              <w:jc w:val="left"/>
              <w:rPr>
                <w:rFonts w:ascii="宋体" w:hAnsi="宋体" w:cs="宋体" w:eastAsia="宋体" w:hint="default"/>
                <w:sz w:val="18"/>
                <w:szCs w:val="18"/>
              </w:rPr>
            </w:pPr>
            <w:r>
              <w:rPr>
                <w:rFonts w:ascii="宋体" w:hAnsi="宋体" w:cs="宋体" w:eastAsia="宋体" w:hint="default"/>
                <w:spacing w:val="-17"/>
                <w:sz w:val="18"/>
                <w:szCs w:val="18"/>
              </w:rPr>
              <w:t>四、本期期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末余额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1"/>
              <w:jc w:val="center"/>
              <w:rPr>
                <w:rFonts w:ascii="Times New Roman" w:hAnsi="Times New Roman" w:cs="Times New Roman" w:eastAsia="Times New Roman" w:hint="default"/>
                <w:sz w:val="18"/>
                <w:szCs w:val="18"/>
              </w:rPr>
            </w:pPr>
            <w:r>
              <w:rPr>
                <w:rFonts w:ascii="Times New Roman"/>
                <w:sz w:val="18"/>
              </w:rPr>
              <w:t>146,666,</w:t>
            </w:r>
          </w:p>
          <w:p>
            <w:pPr>
              <w:pStyle w:val="TableParagraph"/>
              <w:spacing w:line="240" w:lineRule="auto" w:before="102"/>
              <w:ind w:left="203" w:right="-1"/>
              <w:jc w:val="center"/>
              <w:rPr>
                <w:rFonts w:ascii="Times New Roman" w:hAnsi="Times New Roman" w:cs="Times New Roman" w:eastAsia="Times New Roman" w:hint="default"/>
                <w:sz w:val="18"/>
                <w:szCs w:val="18"/>
              </w:rPr>
            </w:pPr>
            <w:r>
              <w:rPr>
                <w:rFonts w:ascii="Times New Roman"/>
                <w:sz w:val="18"/>
              </w:rPr>
              <w:t>700.00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 w:right="-1"/>
              <w:jc w:val="center"/>
              <w:rPr>
                <w:rFonts w:ascii="Times New Roman" w:hAnsi="Times New Roman" w:cs="Times New Roman" w:eastAsia="Times New Roman" w:hint="default"/>
                <w:sz w:val="18"/>
                <w:szCs w:val="18"/>
              </w:rPr>
            </w:pPr>
            <w:r>
              <w:rPr>
                <w:rFonts w:ascii="Times New Roman"/>
                <w:sz w:val="18"/>
              </w:rPr>
              <w:t>127,541,</w:t>
            </w:r>
          </w:p>
          <w:p>
            <w:pPr>
              <w:pStyle w:val="TableParagraph"/>
              <w:spacing w:line="240" w:lineRule="auto" w:before="102"/>
              <w:ind w:left="153" w:right="-1"/>
              <w:jc w:val="center"/>
              <w:rPr>
                <w:rFonts w:ascii="Times New Roman" w:hAnsi="Times New Roman" w:cs="Times New Roman" w:eastAsia="Times New Roman" w:hint="default"/>
                <w:sz w:val="18"/>
                <w:szCs w:val="18"/>
              </w:rPr>
            </w:pPr>
            <w:r>
              <w:rPr>
                <w:rFonts w:ascii="Times New Roman"/>
                <w:sz w:val="18"/>
              </w:rPr>
              <w:t>353.92</w:t>
            </w:r>
          </w:p>
        </w:tc>
        <w:tc>
          <w:tcPr>
            <w:tcW w:w="509"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 w:right="-2"/>
              <w:jc w:val="left"/>
              <w:rPr>
                <w:rFonts w:ascii="Times New Roman" w:hAnsi="Times New Roman" w:cs="Times New Roman" w:eastAsia="Times New Roman" w:hint="default"/>
                <w:sz w:val="18"/>
                <w:szCs w:val="18"/>
              </w:rPr>
            </w:pPr>
            <w:r>
              <w:rPr>
                <w:rFonts w:ascii="Times New Roman"/>
                <w:sz w:val="18"/>
              </w:rPr>
              <w:t>16,395,</w:t>
            </w:r>
          </w:p>
          <w:p>
            <w:pPr>
              <w:pStyle w:val="TableParagraph"/>
              <w:spacing w:line="240" w:lineRule="auto" w:before="102"/>
              <w:ind w:left="62" w:right="-1"/>
              <w:jc w:val="left"/>
              <w:rPr>
                <w:rFonts w:ascii="Times New Roman" w:hAnsi="Times New Roman" w:cs="Times New Roman" w:eastAsia="Times New Roman" w:hint="default"/>
                <w:sz w:val="18"/>
                <w:szCs w:val="18"/>
              </w:rPr>
            </w:pPr>
            <w:r>
              <w:rPr>
                <w:rFonts w:ascii="Times New Roman"/>
                <w:sz w:val="18"/>
              </w:rPr>
              <w:t>079.97</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1"/>
              <w:jc w:val="center"/>
              <w:rPr>
                <w:rFonts w:ascii="Times New Roman" w:hAnsi="Times New Roman" w:cs="Times New Roman" w:eastAsia="Times New Roman" w:hint="default"/>
                <w:sz w:val="18"/>
                <w:szCs w:val="18"/>
              </w:rPr>
            </w:pPr>
            <w:r>
              <w:rPr>
                <w:rFonts w:ascii="Times New Roman"/>
                <w:sz w:val="18"/>
              </w:rPr>
              <w:t>179,021,</w:t>
            </w:r>
          </w:p>
          <w:p>
            <w:pPr>
              <w:pStyle w:val="TableParagraph"/>
              <w:spacing w:line="240" w:lineRule="auto" w:before="102"/>
              <w:ind w:left="206" w:right="-1"/>
              <w:jc w:val="center"/>
              <w:rPr>
                <w:rFonts w:ascii="Times New Roman" w:hAnsi="Times New Roman" w:cs="Times New Roman" w:eastAsia="Times New Roman" w:hint="default"/>
                <w:sz w:val="18"/>
                <w:szCs w:val="18"/>
              </w:rPr>
            </w:pPr>
            <w:r>
              <w:rPr>
                <w:rFonts w:ascii="Times New Roman"/>
                <w:sz w:val="18"/>
              </w:rPr>
              <w:t>444.99</w:t>
            </w:r>
          </w:p>
        </w:tc>
        <w:tc>
          <w:tcPr>
            <w:tcW w:w="28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1"/>
              <w:jc w:val="center"/>
              <w:rPr>
                <w:rFonts w:ascii="Times New Roman" w:hAnsi="Times New Roman" w:cs="Times New Roman" w:eastAsia="Times New Roman" w:hint="default"/>
                <w:sz w:val="18"/>
                <w:szCs w:val="18"/>
              </w:rPr>
            </w:pPr>
            <w:r>
              <w:rPr>
                <w:rFonts w:ascii="Times New Roman"/>
                <w:sz w:val="18"/>
              </w:rPr>
              <w:t>469,624,</w:t>
            </w:r>
          </w:p>
          <w:p>
            <w:pPr>
              <w:pStyle w:val="TableParagraph"/>
              <w:spacing w:line="240" w:lineRule="auto" w:before="102"/>
              <w:ind w:left="206" w:right="-1"/>
              <w:jc w:val="center"/>
              <w:rPr>
                <w:rFonts w:ascii="Times New Roman" w:hAnsi="Times New Roman" w:cs="Times New Roman" w:eastAsia="Times New Roman" w:hint="default"/>
                <w:sz w:val="18"/>
                <w:szCs w:val="18"/>
              </w:rPr>
            </w:pPr>
            <w:r>
              <w:rPr>
                <w:rFonts w:ascii="Times New Roman"/>
                <w:sz w:val="18"/>
              </w:rPr>
              <w:t>578.88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 w:right="-2"/>
              <w:jc w:val="left"/>
              <w:rPr>
                <w:rFonts w:ascii="Times New Roman" w:hAnsi="Times New Roman" w:cs="Times New Roman" w:eastAsia="Times New Roman" w:hint="default"/>
                <w:sz w:val="18"/>
                <w:szCs w:val="18"/>
              </w:rPr>
            </w:pPr>
            <w:r>
              <w:rPr>
                <w:rFonts w:ascii="Times New Roman"/>
                <w:sz w:val="18"/>
              </w:rPr>
              <w:t>20,073,</w:t>
            </w:r>
          </w:p>
          <w:p>
            <w:pPr>
              <w:pStyle w:val="TableParagraph"/>
              <w:spacing w:line="240" w:lineRule="auto" w:before="102"/>
              <w:ind w:left="62" w:right="-1"/>
              <w:jc w:val="left"/>
              <w:rPr>
                <w:rFonts w:ascii="Times New Roman" w:hAnsi="Times New Roman" w:cs="Times New Roman" w:eastAsia="Times New Roman" w:hint="default"/>
                <w:sz w:val="18"/>
                <w:szCs w:val="18"/>
              </w:rPr>
            </w:pPr>
            <w:r>
              <w:rPr>
                <w:rFonts w:ascii="Times New Roman"/>
                <w:sz w:val="18"/>
              </w:rPr>
              <w:t>688.56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3"/>
              <w:jc w:val="left"/>
              <w:rPr>
                <w:rFonts w:ascii="Times New Roman" w:hAnsi="Times New Roman" w:cs="Times New Roman" w:eastAsia="Times New Roman" w:hint="default"/>
                <w:sz w:val="18"/>
                <w:szCs w:val="18"/>
              </w:rPr>
            </w:pPr>
            <w:r>
              <w:rPr>
                <w:rFonts w:ascii="Times New Roman"/>
                <w:sz w:val="18"/>
              </w:rPr>
              <w:t>489,698,2</w:t>
            </w:r>
          </w:p>
          <w:p>
            <w:pPr>
              <w:pStyle w:val="TableParagraph"/>
              <w:spacing w:line="240" w:lineRule="auto" w:before="102"/>
              <w:ind w:left="383" w:right="-4"/>
              <w:jc w:val="left"/>
              <w:rPr>
                <w:rFonts w:ascii="Times New Roman" w:hAnsi="Times New Roman" w:cs="Times New Roman" w:eastAsia="Times New Roman" w:hint="default"/>
                <w:sz w:val="18"/>
                <w:szCs w:val="18"/>
              </w:rPr>
            </w:pPr>
            <w:r>
              <w:rPr>
                <w:rFonts w:ascii="Times New Roman"/>
                <w:sz w:val="18"/>
              </w:rPr>
              <w:t>67.44</w:t>
            </w:r>
          </w:p>
        </w:tc>
      </w:tr>
    </w:tbl>
    <w:p>
      <w:pPr>
        <w:pStyle w:val="BodyText"/>
        <w:spacing w:line="240" w:lineRule="auto" w:before="51"/>
        <w:ind w:right="0"/>
        <w:jc w:val="left"/>
      </w:pPr>
      <w:r>
        <w:rPr/>
        <w:t>上期金额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8718"/>
      </w:tblGrid>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bl>
    <w:p>
      <w:pPr>
        <w:spacing w:after="0" w:line="240" w:lineRule="auto"/>
        <w:jc w:val="center"/>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708"/>
        <w:gridCol w:w="590"/>
        <w:gridCol w:w="449"/>
        <w:gridCol w:w="492"/>
        <w:gridCol w:w="737"/>
        <w:gridCol w:w="415"/>
        <w:gridCol w:w="578"/>
        <w:gridCol w:w="576"/>
        <w:gridCol w:w="698"/>
        <w:gridCol w:w="456"/>
        <w:gridCol w:w="679"/>
        <w:gridCol w:w="281"/>
        <w:gridCol w:w="763"/>
        <w:gridCol w:w="641"/>
        <w:gridCol w:w="653"/>
      </w:tblGrid>
      <w:tr>
        <w:trPr>
          <w:trHeight w:val="402" w:hRule="exact"/>
        </w:trPr>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42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4"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852" w:type="dxa"/>
            <w:vMerge w:val="restart"/>
            <w:tcBorders>
              <w:top w:val="nil" w:sz="6" w:space="0" w:color="auto"/>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4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4" w:right="19"/>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54" w:right="7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4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43" w:right="4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55"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2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48" w:right="41"/>
              <w:jc w:val="left"/>
              <w:rPr>
                <w:rFonts w:ascii="宋体" w:hAnsi="宋体" w:cs="宋体" w:eastAsia="宋体" w:hint="default"/>
                <w:sz w:val="18"/>
                <w:szCs w:val="18"/>
              </w:rPr>
            </w:pPr>
            <w:r>
              <w:rPr>
                <w:rFonts w:ascii="宋体" w:hAnsi="宋体" w:cs="宋体" w:eastAsia="宋体" w:hint="default"/>
                <w:sz w:val="18"/>
                <w:szCs w:val="18"/>
              </w:rPr>
              <w:t>其 他</w:t>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3" w:hRule="exact"/>
        </w:trPr>
        <w:tc>
          <w:tcPr>
            <w:tcW w:w="852"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1" w:right="10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7" w:type="dxa"/>
            <w:vMerge/>
            <w:tcBorders>
              <w:left w:val="single" w:sz="4" w:space="0" w:color="000000"/>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456"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281"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6"/>
              <w:jc w:val="left"/>
              <w:rPr>
                <w:rFonts w:ascii="宋体" w:hAnsi="宋体" w:cs="宋体" w:eastAsia="宋体" w:hint="default"/>
                <w:sz w:val="18"/>
                <w:szCs w:val="18"/>
              </w:rPr>
            </w:pPr>
            <w:r>
              <w:rPr>
                <w:rFonts w:ascii="宋体" w:hAnsi="宋体" w:cs="宋体" w:eastAsia="宋体" w:hint="default"/>
                <w:sz w:val="18"/>
                <w:szCs w:val="18"/>
              </w:rPr>
              <w:t>一、上年 期末余额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146,666,</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700.00</w:t>
            </w: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127,541,</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353.92</w:t>
            </w: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12,215,5</w:t>
            </w:r>
          </w:p>
          <w:p>
            <w:pPr>
              <w:pStyle w:val="TableParagraph"/>
              <w:spacing w:line="240" w:lineRule="auto" w:before="102"/>
              <w:ind w:left="261" w:right="0"/>
              <w:jc w:val="left"/>
              <w:rPr>
                <w:rFonts w:ascii="Times New Roman" w:hAnsi="Times New Roman" w:cs="Times New Roman" w:eastAsia="Times New Roman" w:hint="default"/>
                <w:sz w:val="18"/>
                <w:szCs w:val="18"/>
              </w:rPr>
            </w:pPr>
            <w:r>
              <w:rPr>
                <w:rFonts w:ascii="Times New Roman"/>
                <w:sz w:val="18"/>
              </w:rPr>
              <w:t>75.78</w:t>
            </w: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131,749</w:t>
            </w:r>
          </w:p>
          <w:p>
            <w:pPr>
              <w:pStyle w:val="TableParagraph"/>
              <w:spacing w:line="240" w:lineRule="auto" w:before="102"/>
              <w:ind w:left="107" w:right="0"/>
              <w:jc w:val="left"/>
              <w:rPr>
                <w:rFonts w:ascii="Times New Roman" w:hAnsi="Times New Roman" w:cs="Times New Roman" w:eastAsia="Times New Roman" w:hint="default"/>
                <w:sz w:val="18"/>
                <w:szCs w:val="18"/>
              </w:rPr>
            </w:pPr>
            <w:r>
              <w:rPr>
                <w:rFonts w:ascii="Times New Roman"/>
                <w:sz w:val="18"/>
              </w:rPr>
              <w:t>,237.72</w:t>
            </w: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0" w:right="0"/>
              <w:jc w:val="center"/>
              <w:rPr>
                <w:rFonts w:ascii="Times New Roman" w:hAnsi="Times New Roman" w:cs="Times New Roman" w:eastAsia="Times New Roman" w:hint="default"/>
                <w:sz w:val="18"/>
                <w:szCs w:val="18"/>
              </w:rPr>
            </w:pPr>
            <w:r>
              <w:rPr>
                <w:rFonts w:ascii="Times New Roman"/>
                <w:sz w:val="18"/>
              </w:rPr>
              <w:t>418,172,</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867.42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2,257,7</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27.99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420,430</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,595.41</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firstLine="360"/>
              <w:jc w:val="both"/>
              <w:rPr>
                <w:rFonts w:ascii="宋体" w:hAnsi="宋体" w:cs="宋体" w:eastAsia="宋体" w:hint="default"/>
                <w:sz w:val="18"/>
                <w:szCs w:val="18"/>
              </w:rPr>
            </w:pPr>
            <w:r>
              <w:rPr>
                <w:rFonts w:ascii="宋体" w:hAnsi="宋体" w:cs="宋体" w:eastAsia="宋体" w:hint="default"/>
                <w:sz w:val="18"/>
                <w:szCs w:val="18"/>
              </w:rPr>
              <w:t>加： 会计政策 变更</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4" w:right="96"/>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96"/>
              <w:jc w:val="both"/>
              <w:rPr>
                <w:rFonts w:ascii="宋体" w:hAnsi="宋体" w:cs="宋体" w:eastAsia="宋体" w:hint="default"/>
                <w:sz w:val="18"/>
                <w:szCs w:val="18"/>
              </w:rPr>
            </w:pPr>
            <w:r>
              <w:rPr>
                <w:rFonts w:ascii="宋体" w:hAnsi="宋体" w:cs="宋体" w:eastAsia="宋体" w:hint="default"/>
                <w:sz w:val="18"/>
                <w:szCs w:val="18"/>
              </w:rPr>
              <w:t>同一控制 下企业合 并</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二、本年 期初余额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146,666,</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700.00</w:t>
            </w: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127,541,</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353.92</w:t>
            </w: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12,215,5</w:t>
            </w:r>
          </w:p>
          <w:p>
            <w:pPr>
              <w:pStyle w:val="TableParagraph"/>
              <w:spacing w:line="240" w:lineRule="auto" w:before="105"/>
              <w:ind w:left="261" w:right="0"/>
              <w:jc w:val="left"/>
              <w:rPr>
                <w:rFonts w:ascii="Times New Roman" w:hAnsi="Times New Roman" w:cs="Times New Roman" w:eastAsia="Times New Roman" w:hint="default"/>
                <w:sz w:val="18"/>
                <w:szCs w:val="18"/>
              </w:rPr>
            </w:pPr>
            <w:r>
              <w:rPr>
                <w:rFonts w:ascii="Times New Roman"/>
                <w:sz w:val="18"/>
              </w:rPr>
              <w:t>75.78</w:t>
            </w: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131,749</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,237.72</w:t>
            </w: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418,172,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867.42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2,257,7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27.99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420,430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,595.41</w:t>
            </w:r>
          </w:p>
        </w:tc>
      </w:tr>
      <w:tr>
        <w:trPr>
          <w:trHeight w:val="1652"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6"/>
              <w:jc w:val="both"/>
              <w:rPr>
                <w:rFonts w:ascii="宋体" w:hAnsi="宋体" w:cs="宋体" w:eastAsia="宋体" w:hint="default"/>
                <w:sz w:val="18"/>
                <w:szCs w:val="18"/>
              </w:rPr>
            </w:pPr>
            <w:r>
              <w:rPr>
                <w:rFonts w:ascii="宋体" w:hAnsi="宋体" w:cs="宋体" w:eastAsia="宋体" w:hint="default"/>
                <w:sz w:val="18"/>
                <w:szCs w:val="18"/>
              </w:rPr>
              <w:t>三、本期 增减变动 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35" w:right="0"/>
              <w:jc w:val="left"/>
              <w:rPr>
                <w:rFonts w:ascii="Times New Roman" w:hAnsi="Times New Roman" w:cs="Times New Roman" w:eastAsia="Times New Roman" w:hint="default"/>
                <w:sz w:val="18"/>
                <w:szCs w:val="18"/>
              </w:rPr>
            </w:pPr>
            <w:r>
              <w:rPr>
                <w:rFonts w:ascii="Times New Roman"/>
                <w:sz w:val="18"/>
              </w:rPr>
              <w:t>2,731,90</w:t>
            </w:r>
          </w:p>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9.60</w:t>
            </w: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7" w:right="0"/>
              <w:jc w:val="left"/>
              <w:rPr>
                <w:rFonts w:ascii="Times New Roman" w:hAnsi="Times New Roman" w:cs="Times New Roman" w:eastAsia="Times New Roman" w:hint="default"/>
                <w:sz w:val="18"/>
                <w:szCs w:val="18"/>
              </w:rPr>
            </w:pPr>
            <w:r>
              <w:rPr>
                <w:rFonts w:ascii="Times New Roman"/>
                <w:sz w:val="18"/>
              </w:rPr>
              <w:t>22,365,</w:t>
            </w:r>
          </w:p>
          <w:p>
            <w:pPr>
              <w:pStyle w:val="TableParagraph"/>
              <w:spacing w:line="240" w:lineRule="auto" w:before="102"/>
              <w:ind w:left="153" w:right="0"/>
              <w:jc w:val="left"/>
              <w:rPr>
                <w:rFonts w:ascii="Times New Roman" w:hAnsi="Times New Roman" w:cs="Times New Roman" w:eastAsia="Times New Roman" w:hint="default"/>
                <w:sz w:val="18"/>
                <w:szCs w:val="18"/>
              </w:rPr>
            </w:pPr>
            <w:r>
              <w:rPr>
                <w:rFonts w:ascii="Times New Roman"/>
                <w:sz w:val="18"/>
              </w:rPr>
              <w:t>527.58</w:t>
            </w: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0" w:right="0"/>
              <w:jc w:val="left"/>
              <w:rPr>
                <w:rFonts w:ascii="Times New Roman" w:hAnsi="Times New Roman" w:cs="Times New Roman" w:eastAsia="Times New Roman" w:hint="default"/>
                <w:sz w:val="18"/>
                <w:szCs w:val="18"/>
              </w:rPr>
            </w:pPr>
            <w:r>
              <w:rPr>
                <w:rFonts w:ascii="Times New Roman"/>
                <w:sz w:val="18"/>
              </w:rPr>
              <w:t>25,097,4</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37.18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03" w:right="0"/>
              <w:jc w:val="left"/>
              <w:rPr>
                <w:rFonts w:ascii="Times New Roman" w:hAnsi="Times New Roman" w:cs="Times New Roman" w:eastAsia="Times New Roman" w:hint="default"/>
                <w:sz w:val="18"/>
                <w:szCs w:val="18"/>
              </w:rPr>
            </w:pPr>
            <w:r>
              <w:rPr>
                <w:rFonts w:ascii="Times New Roman"/>
                <w:sz w:val="18"/>
              </w:rPr>
              <w:t>-1,439,</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546.39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81" w:right="0"/>
              <w:jc w:val="left"/>
              <w:rPr>
                <w:rFonts w:ascii="Times New Roman" w:hAnsi="Times New Roman" w:cs="Times New Roman" w:eastAsia="Times New Roman" w:hint="default"/>
                <w:sz w:val="18"/>
                <w:szCs w:val="18"/>
              </w:rPr>
            </w:pPr>
            <w:r>
              <w:rPr>
                <w:rFonts w:ascii="Times New Roman"/>
                <w:sz w:val="18"/>
              </w:rPr>
              <w:t>23,657,</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890.79</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（一）综 合收益总 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34,630,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772.68</w:t>
            </w: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34,630,7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72.68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-1,599,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546.39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33,031,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226.29</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6"/>
              <w:jc w:val="both"/>
              <w:rPr>
                <w:rFonts w:ascii="宋体" w:hAnsi="宋体" w:cs="宋体" w:eastAsia="宋体" w:hint="default"/>
                <w:sz w:val="18"/>
                <w:szCs w:val="18"/>
              </w:rPr>
            </w:pPr>
            <w:r>
              <w:rPr>
                <w:rFonts w:ascii="宋体" w:hAnsi="宋体" w:cs="宋体" w:eastAsia="宋体" w:hint="default"/>
                <w:sz w:val="18"/>
                <w:szCs w:val="18"/>
              </w:rPr>
              <w:t>（二）所 有者投入 和减少资 本</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2"/>
              <w:ind w:left="395" w:right="0"/>
              <w:jc w:val="lef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w:t>
            </w:r>
            <w:r>
              <w:rPr>
                <w:rFonts w:ascii="宋体" w:hAnsi="宋体" w:cs="宋体" w:eastAsia="宋体" w:hint="default"/>
                <w:sz w:val="18"/>
                <w:szCs w:val="18"/>
              </w:rPr>
              <w:t> 投入的普 通股</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w:t>
            </w:r>
            <w:r>
              <w:rPr>
                <w:rFonts w:ascii="宋体" w:hAnsi="宋体" w:cs="宋体" w:eastAsia="宋体" w:hint="default"/>
                <w:sz w:val="18"/>
                <w:szCs w:val="18"/>
              </w:rPr>
              <w:t> 益工具持 有者投入 资本</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708"/>
        <w:gridCol w:w="590"/>
        <w:gridCol w:w="449"/>
        <w:gridCol w:w="492"/>
        <w:gridCol w:w="737"/>
        <w:gridCol w:w="415"/>
        <w:gridCol w:w="578"/>
        <w:gridCol w:w="576"/>
        <w:gridCol w:w="698"/>
        <w:gridCol w:w="456"/>
        <w:gridCol w:w="679"/>
        <w:gridCol w:w="281"/>
        <w:gridCol w:w="763"/>
        <w:gridCol w:w="641"/>
        <w:gridCol w:w="653"/>
      </w:tblGrid>
      <w:tr>
        <w:trPr>
          <w:trHeight w:val="987"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96"/>
              <w:jc w:val="both"/>
              <w:rPr>
                <w:rFonts w:ascii="宋体" w:hAnsi="宋体" w:cs="宋体" w:eastAsia="宋体" w:hint="default"/>
                <w:sz w:val="18"/>
                <w:szCs w:val="18"/>
              </w:rPr>
            </w:pPr>
            <w:r>
              <w:rPr>
                <w:rFonts w:ascii="宋体" w:hAnsi="宋体" w:cs="宋体" w:eastAsia="宋体" w:hint="default"/>
                <w:sz w:val="18"/>
                <w:szCs w:val="18"/>
              </w:rPr>
              <w:t>付计入所 有者权益 的金额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（三）利 润分配</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2,731,90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9.60</w:t>
            </w: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center"/>
              <w:rPr>
                <w:rFonts w:ascii="Times New Roman" w:hAnsi="Times New Roman" w:cs="Times New Roman" w:eastAsia="Times New Roman" w:hint="default"/>
                <w:sz w:val="18"/>
                <w:szCs w:val="18"/>
              </w:rPr>
            </w:pPr>
            <w:r>
              <w:rPr>
                <w:rFonts w:ascii="Times New Roman"/>
                <w:sz w:val="18"/>
              </w:rPr>
              <w:t>-12,265,</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245.10</w:t>
            </w: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-9,533,33</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5.50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-9,533,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335.50</w:t>
            </w:r>
          </w:p>
        </w:tc>
      </w:tr>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w:t>
            </w:r>
            <w:r>
              <w:rPr>
                <w:rFonts w:ascii="宋体" w:hAnsi="宋体" w:cs="宋体" w:eastAsia="宋体" w:hint="default"/>
                <w:sz w:val="18"/>
                <w:szCs w:val="18"/>
              </w:rPr>
              <w:t> 余公积</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2,731,90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9.60</w:t>
            </w: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center"/>
              <w:rPr>
                <w:rFonts w:ascii="Times New Roman" w:hAnsi="Times New Roman" w:cs="Times New Roman" w:eastAsia="Times New Roman" w:hint="default"/>
                <w:sz w:val="18"/>
                <w:szCs w:val="18"/>
              </w:rPr>
            </w:pPr>
            <w:r>
              <w:rPr>
                <w:rFonts w:ascii="Times New Roman"/>
                <w:sz w:val="18"/>
              </w:rPr>
              <w:t>-2,731,9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09.60</w:t>
            </w: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w:t>
            </w:r>
            <w:r>
              <w:rPr>
                <w:rFonts w:ascii="宋体" w:hAnsi="宋体" w:cs="宋体" w:eastAsia="宋体" w:hint="default"/>
                <w:sz w:val="18"/>
                <w:szCs w:val="18"/>
              </w:rPr>
              <w:t> 般风险准 备</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w:t>
            </w:r>
            <w:r>
              <w:rPr>
                <w:rFonts w:ascii="宋体" w:hAnsi="宋体" w:cs="宋体" w:eastAsia="宋体" w:hint="default"/>
                <w:sz w:val="18"/>
                <w:szCs w:val="18"/>
              </w:rPr>
              <w:t> 者（或股 东）的分 配</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35.50</w:t>
            </w: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-9,533,33</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5.50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,335.50</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（四）所 有者权益 内部结转</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w:t>
            </w:r>
            <w:r>
              <w:rPr>
                <w:rFonts w:ascii="宋体" w:hAnsi="宋体" w:cs="宋体" w:eastAsia="宋体" w:hint="default"/>
                <w:sz w:val="18"/>
                <w:szCs w:val="18"/>
              </w:rPr>
              <w:t> 积转增资 本（或股 本）</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w:t>
            </w:r>
            <w:r>
              <w:rPr>
                <w:rFonts w:ascii="宋体" w:hAnsi="宋体" w:cs="宋体" w:eastAsia="宋体" w:hint="default"/>
                <w:sz w:val="18"/>
                <w:szCs w:val="18"/>
              </w:rPr>
              <w:t> 积转增资 本（或股 本）</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w:t>
            </w:r>
            <w:r>
              <w:rPr>
                <w:rFonts w:ascii="宋体" w:hAnsi="宋体" w:cs="宋体" w:eastAsia="宋体" w:hint="default"/>
                <w:sz w:val="18"/>
                <w:szCs w:val="18"/>
              </w:rPr>
              <w:t> 积弥补亏 损</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w:t>
            </w:r>
            <w:r>
              <w:rPr>
                <w:rFonts w:ascii="宋体" w:hAnsi="宋体" w:cs="宋体" w:eastAsia="宋体" w:hint="default"/>
                <w:sz w:val="18"/>
                <w:szCs w:val="18"/>
              </w:rPr>
              <w:t> 益计划变 动额结转 留存收益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w:t>
            </w:r>
            <w:r>
              <w:rPr>
                <w:rFonts w:ascii="宋体" w:hAnsi="宋体" w:cs="宋体" w:eastAsia="宋体" w:hint="default"/>
                <w:sz w:val="18"/>
                <w:szCs w:val="18"/>
              </w:rPr>
              <w:t> 合收益结 转留存收 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（五）专</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708"/>
        <w:gridCol w:w="590"/>
        <w:gridCol w:w="449"/>
        <w:gridCol w:w="492"/>
        <w:gridCol w:w="737"/>
        <w:gridCol w:w="415"/>
        <w:gridCol w:w="578"/>
        <w:gridCol w:w="576"/>
        <w:gridCol w:w="698"/>
        <w:gridCol w:w="456"/>
        <w:gridCol w:w="679"/>
        <w:gridCol w:w="281"/>
        <w:gridCol w:w="763"/>
        <w:gridCol w:w="641"/>
        <w:gridCol w:w="653"/>
      </w:tblGrid>
      <w:tr>
        <w:trPr>
          <w:trHeight w:val="36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项储备</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．本期提</w:t>
            </w:r>
            <w:r>
              <w:rPr>
                <w:rFonts w:ascii="宋体" w:hAnsi="宋体" w:cs="宋体" w:eastAsia="宋体" w:hint="default"/>
                <w:sz w:val="18"/>
                <w:szCs w:val="18"/>
              </w:rPr>
              <w:t> 取</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．本期使</w:t>
            </w:r>
            <w:r>
              <w:rPr>
                <w:rFonts w:ascii="宋体" w:hAnsi="宋体" w:cs="宋体" w:eastAsia="宋体" w:hint="default"/>
                <w:sz w:val="18"/>
                <w:szCs w:val="18"/>
              </w:rPr>
              <w:t> 用</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（六）其 他</w:t>
            </w:r>
          </w:p>
        </w:tc>
        <w:tc>
          <w:tcPr>
            <w:tcW w:w="708"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四、本期 期末余额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146,666,</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700.00</w:t>
            </w:r>
          </w:p>
        </w:tc>
        <w:tc>
          <w:tcPr>
            <w:tcW w:w="5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127,541,</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353.92</w:t>
            </w:r>
          </w:p>
        </w:tc>
        <w:tc>
          <w:tcPr>
            <w:tcW w:w="41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14,947,4</w:t>
            </w:r>
          </w:p>
          <w:p>
            <w:pPr>
              <w:pStyle w:val="TableParagraph"/>
              <w:spacing w:line="240" w:lineRule="auto" w:before="105"/>
              <w:ind w:left="261" w:right="0"/>
              <w:jc w:val="left"/>
              <w:rPr>
                <w:rFonts w:ascii="Times New Roman" w:hAnsi="Times New Roman" w:cs="Times New Roman" w:eastAsia="Times New Roman" w:hint="default"/>
                <w:sz w:val="18"/>
                <w:szCs w:val="18"/>
              </w:rPr>
            </w:pPr>
            <w:r>
              <w:rPr>
                <w:rFonts w:ascii="Times New Roman"/>
                <w:sz w:val="18"/>
              </w:rPr>
              <w:t>85.38</w:t>
            </w:r>
          </w:p>
        </w:tc>
        <w:tc>
          <w:tcPr>
            <w:tcW w:w="45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154,114</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,765.30</w:t>
            </w:r>
          </w:p>
        </w:tc>
        <w:tc>
          <w:tcPr>
            <w:tcW w:w="28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443,270,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304.60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818,181</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.60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444,088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,486.20</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850"/>
        <w:gridCol w:w="711"/>
        <w:gridCol w:w="708"/>
        <w:gridCol w:w="566"/>
        <w:gridCol w:w="850"/>
        <w:gridCol w:w="569"/>
        <w:gridCol w:w="708"/>
        <w:gridCol w:w="566"/>
        <w:gridCol w:w="708"/>
        <w:gridCol w:w="711"/>
        <w:gridCol w:w="566"/>
        <w:gridCol w:w="919"/>
      </w:tblGrid>
      <w:tr>
        <w:trPr>
          <w:trHeight w:val="402"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43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136" w:type="dxa"/>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98" w:right="22"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59" w:right="7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70" w:right="80"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84" w:right="91"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146,666,7</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128,053,2</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80.71</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14,893,9</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80.71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128,319,</w:t>
            </w:r>
          </w:p>
          <w:p>
            <w:pPr>
              <w:pStyle w:val="TableParagraph"/>
              <w:spacing w:line="240" w:lineRule="auto" w:before="102"/>
              <w:ind w:left="159" w:right="0"/>
              <w:jc w:val="center"/>
              <w:rPr>
                <w:rFonts w:ascii="Times New Roman" w:hAnsi="Times New Roman" w:cs="Times New Roman" w:eastAsia="Times New Roman" w:hint="default"/>
                <w:sz w:val="18"/>
                <w:szCs w:val="18"/>
              </w:rPr>
            </w:pPr>
            <w:r>
              <w:rPr>
                <w:rFonts w:ascii="Times New Roman"/>
                <w:sz w:val="18"/>
              </w:rPr>
              <w:t>555.46</w:t>
            </w: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417,933,51</w:t>
            </w:r>
          </w:p>
          <w:p>
            <w:pPr>
              <w:pStyle w:val="TableParagraph"/>
              <w:spacing w:line="240" w:lineRule="auto" w:before="102"/>
              <w:ind w:left="573" w:right="0"/>
              <w:jc w:val="left"/>
              <w:rPr>
                <w:rFonts w:ascii="Times New Roman" w:hAnsi="Times New Roman" w:cs="Times New Roman" w:eastAsia="Times New Roman" w:hint="default"/>
                <w:sz w:val="18"/>
                <w:szCs w:val="18"/>
              </w:rPr>
            </w:pPr>
            <w:r>
              <w:rPr>
                <w:rFonts w:ascii="Times New Roman"/>
                <w:sz w:val="18"/>
              </w:rPr>
              <w:t>6.88</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1"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199"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146,666,7</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128,053,2</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80.71</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14,893,9</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80.71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128,319,</w:t>
            </w:r>
          </w:p>
          <w:p>
            <w:pPr>
              <w:pStyle w:val="TableParagraph"/>
              <w:spacing w:line="240" w:lineRule="auto" w:before="102"/>
              <w:ind w:left="159" w:right="0"/>
              <w:jc w:val="center"/>
              <w:rPr>
                <w:rFonts w:ascii="Times New Roman" w:hAnsi="Times New Roman" w:cs="Times New Roman" w:eastAsia="Times New Roman" w:hint="default"/>
                <w:sz w:val="18"/>
                <w:szCs w:val="18"/>
              </w:rPr>
            </w:pPr>
            <w:r>
              <w:rPr>
                <w:rFonts w:ascii="Times New Roman"/>
                <w:sz w:val="18"/>
              </w:rPr>
              <w:t>555.46</w:t>
            </w: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417,933,51</w:t>
            </w:r>
          </w:p>
          <w:p>
            <w:pPr>
              <w:pStyle w:val="TableParagraph"/>
              <w:spacing w:line="240" w:lineRule="auto" w:before="102"/>
              <w:ind w:left="573" w:right="0"/>
              <w:jc w:val="left"/>
              <w:rPr>
                <w:rFonts w:ascii="Times New Roman" w:hAnsi="Times New Roman" w:cs="Times New Roman" w:eastAsia="Times New Roman" w:hint="default"/>
                <w:sz w:val="18"/>
                <w:szCs w:val="18"/>
              </w:rPr>
            </w:pPr>
            <w:r>
              <w:rPr>
                <w:rFonts w:ascii="Times New Roman"/>
                <w:sz w:val="18"/>
              </w:rPr>
              <w:t>6.88</w:t>
            </w:r>
          </w:p>
        </w:tc>
      </w:tr>
      <w:tr>
        <w:trPr>
          <w:trHeight w:val="1337"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1,447,59</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4.59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2,761,68</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2.31</w:t>
            </w: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4,209,276.9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14,475,9</w:t>
            </w:r>
          </w:p>
          <w:p>
            <w:pPr>
              <w:pStyle w:val="TableParagraph"/>
              <w:spacing w:line="240" w:lineRule="auto" w:before="103"/>
              <w:ind w:left="271" w:right="0"/>
              <w:jc w:val="left"/>
              <w:rPr>
                <w:rFonts w:ascii="Times New Roman" w:hAnsi="Times New Roman" w:cs="Times New Roman" w:eastAsia="Times New Roman" w:hint="default"/>
                <w:sz w:val="18"/>
                <w:szCs w:val="18"/>
              </w:rPr>
            </w:pPr>
            <w:r>
              <w:rPr>
                <w:rFonts w:ascii="Times New Roman"/>
                <w:sz w:val="18"/>
              </w:rPr>
              <w:t>45.90</w:t>
            </w: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14,475,945.</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90</w:t>
            </w: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（二）所有者 投入和减少 资本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711"/>
        <w:gridCol w:w="708"/>
        <w:gridCol w:w="566"/>
        <w:gridCol w:w="850"/>
        <w:gridCol w:w="569"/>
        <w:gridCol w:w="708"/>
        <w:gridCol w:w="566"/>
        <w:gridCol w:w="708"/>
        <w:gridCol w:w="711"/>
        <w:gridCol w:w="566"/>
        <w:gridCol w:w="919"/>
      </w:tblGrid>
      <w:tr>
        <w:trPr>
          <w:trHeight w:val="67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01"/>
              <w:jc w:val="left"/>
              <w:rPr>
                <w:rFonts w:ascii="宋体" w:hAnsi="宋体" w:cs="宋体" w:eastAsia="宋体" w:hint="default"/>
                <w:sz w:val="18"/>
                <w:szCs w:val="18"/>
              </w:rPr>
            </w:pPr>
            <w:r>
              <w:rPr>
                <w:rFonts w:ascii="宋体" w:hAnsi="宋体" w:cs="宋体" w:eastAsia="宋体" w:hint="default"/>
                <w:sz w:val="18"/>
                <w:szCs w:val="18"/>
              </w:rPr>
              <w:t>工具持有者 投入资本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1,447,59</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4.59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-11,714,</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263.59</w:t>
            </w: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left"/>
              <w:rPr>
                <w:rFonts w:ascii="Times New Roman" w:hAnsi="Times New Roman" w:cs="Times New Roman" w:eastAsia="Times New Roman" w:hint="default"/>
                <w:sz w:val="18"/>
                <w:szCs w:val="18"/>
              </w:rPr>
            </w:pPr>
            <w:r>
              <w:rPr>
                <w:rFonts w:ascii="Times New Roman"/>
                <w:sz w:val="18"/>
              </w:rPr>
              <w:t>-10,266,66</w:t>
            </w:r>
          </w:p>
          <w:p>
            <w:pPr>
              <w:pStyle w:val="TableParagraph"/>
              <w:spacing w:line="240" w:lineRule="auto" w:before="105"/>
              <w:ind w:left="573" w:right="0"/>
              <w:jc w:val="left"/>
              <w:rPr>
                <w:rFonts w:ascii="Times New Roman" w:hAnsi="Times New Roman" w:cs="Times New Roman" w:eastAsia="Times New Roman" w:hint="default"/>
                <w:sz w:val="18"/>
                <w:szCs w:val="18"/>
              </w:rPr>
            </w:pPr>
            <w:r>
              <w:rPr>
                <w:rFonts w:ascii="Times New Roman"/>
                <w:sz w:val="18"/>
              </w:rPr>
              <w:t>9.00</w:t>
            </w: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1,447,59</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4.59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-1,447,5</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94.59</w:t>
            </w: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-10,266,</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669.00</w:t>
            </w: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-10,266,66</w:t>
            </w:r>
          </w:p>
          <w:p>
            <w:pPr>
              <w:pStyle w:val="TableParagraph"/>
              <w:spacing w:line="240" w:lineRule="auto" w:before="105"/>
              <w:ind w:left="573" w:right="0"/>
              <w:jc w:val="left"/>
              <w:rPr>
                <w:rFonts w:ascii="Times New Roman" w:hAnsi="Times New Roman" w:cs="Times New Roman" w:eastAsia="Times New Roman" w:hint="default"/>
                <w:sz w:val="18"/>
                <w:szCs w:val="18"/>
              </w:rPr>
            </w:pPr>
            <w:r>
              <w:rPr>
                <w:rFonts w:ascii="Times New Roman"/>
                <w:sz w:val="18"/>
              </w:rPr>
              <w:t>9.00</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（四）所有者 权益内部结 转</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转增资本（或 股本）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转增资本（或 股本）</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四、本期期末</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8" w:right="0"/>
              <w:jc w:val="left"/>
              <w:rPr>
                <w:rFonts w:ascii="Times New Roman" w:hAnsi="Times New Roman" w:cs="Times New Roman" w:eastAsia="Times New Roman" w:hint="default"/>
                <w:sz w:val="18"/>
                <w:szCs w:val="18"/>
              </w:rPr>
            </w:pPr>
            <w:r>
              <w:rPr>
                <w:rFonts w:ascii="Times New Roman"/>
                <w:sz w:val="18"/>
              </w:rPr>
              <w:t>146,666,7</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8" w:right="0"/>
              <w:jc w:val="left"/>
              <w:rPr>
                <w:rFonts w:ascii="Times New Roman" w:hAnsi="Times New Roman" w:cs="Times New Roman" w:eastAsia="Times New Roman" w:hint="default"/>
                <w:sz w:val="18"/>
                <w:szCs w:val="18"/>
              </w:rPr>
            </w:pPr>
            <w:r>
              <w:rPr>
                <w:rFonts w:ascii="Times New Roman"/>
                <w:sz w:val="18"/>
              </w:rPr>
              <w:t>128,053,2</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5" w:right="0"/>
              <w:jc w:val="left"/>
              <w:rPr>
                <w:rFonts w:ascii="Times New Roman" w:hAnsi="Times New Roman" w:cs="Times New Roman" w:eastAsia="Times New Roman" w:hint="default"/>
                <w:sz w:val="18"/>
                <w:szCs w:val="18"/>
              </w:rPr>
            </w:pPr>
            <w:r>
              <w:rPr>
                <w:rFonts w:ascii="Times New Roman"/>
                <w:sz w:val="18"/>
              </w:rPr>
              <w:t>16,341,5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5" w:right="0"/>
              <w:jc w:val="left"/>
              <w:rPr>
                <w:rFonts w:ascii="Times New Roman" w:hAnsi="Times New Roman" w:cs="Times New Roman" w:eastAsia="Times New Roman" w:hint="default"/>
                <w:sz w:val="18"/>
                <w:szCs w:val="18"/>
              </w:rPr>
            </w:pPr>
            <w:r>
              <w:rPr>
                <w:rFonts w:ascii="Times New Roman"/>
                <w:sz w:val="18"/>
              </w:rPr>
              <w:t>131,081,</w:t>
            </w: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422,142,79</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711"/>
        <w:gridCol w:w="708"/>
        <w:gridCol w:w="566"/>
        <w:gridCol w:w="850"/>
        <w:gridCol w:w="569"/>
        <w:gridCol w:w="708"/>
        <w:gridCol w:w="566"/>
        <w:gridCol w:w="708"/>
        <w:gridCol w:w="711"/>
        <w:gridCol w:w="566"/>
        <w:gridCol w:w="919"/>
      </w:tblGrid>
      <w:tr>
        <w:trPr>
          <w:trHeight w:val="36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2" w:right="0"/>
              <w:jc w:val="left"/>
              <w:rPr>
                <w:rFonts w:ascii="Times New Roman" w:hAnsi="Times New Roman" w:cs="Times New Roman" w:eastAsia="Times New Roman" w:hint="default"/>
                <w:sz w:val="18"/>
                <w:szCs w:val="18"/>
              </w:rPr>
            </w:pPr>
            <w:r>
              <w:rPr>
                <w:rFonts w:ascii="Times New Roman"/>
                <w:sz w:val="18"/>
              </w:rPr>
              <w:t>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2" w:right="0"/>
              <w:jc w:val="left"/>
              <w:rPr>
                <w:rFonts w:ascii="Times New Roman" w:hAnsi="Times New Roman" w:cs="Times New Roman" w:eastAsia="Times New Roman" w:hint="default"/>
                <w:sz w:val="18"/>
                <w:szCs w:val="18"/>
              </w:rPr>
            </w:pPr>
            <w:r>
              <w:rPr>
                <w:rFonts w:ascii="Times New Roman"/>
                <w:sz w:val="18"/>
              </w:rPr>
              <w:t>80.71</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1" w:right="0"/>
              <w:jc w:val="left"/>
              <w:rPr>
                <w:rFonts w:ascii="Times New Roman" w:hAnsi="Times New Roman" w:cs="Times New Roman" w:eastAsia="Times New Roman" w:hint="default"/>
                <w:sz w:val="18"/>
                <w:szCs w:val="18"/>
              </w:rPr>
            </w:pPr>
            <w:r>
              <w:rPr>
                <w:rFonts w:ascii="Times New Roman"/>
                <w:sz w:val="18"/>
              </w:rPr>
              <w:t>75.30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2" w:right="0"/>
              <w:jc w:val="left"/>
              <w:rPr>
                <w:rFonts w:ascii="Times New Roman" w:hAnsi="Times New Roman" w:cs="Times New Roman" w:eastAsia="Times New Roman" w:hint="default"/>
                <w:sz w:val="18"/>
                <w:szCs w:val="18"/>
              </w:rPr>
            </w:pPr>
            <w:r>
              <w:rPr>
                <w:rFonts w:ascii="Times New Roman"/>
                <w:sz w:val="18"/>
              </w:rPr>
              <w:t>237.77</w:t>
            </w:r>
          </w:p>
        </w:tc>
        <w:tc>
          <w:tcPr>
            <w:tcW w:w="566"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3" w:right="0"/>
              <w:jc w:val="left"/>
              <w:rPr>
                <w:rFonts w:ascii="Times New Roman" w:hAnsi="Times New Roman" w:cs="Times New Roman" w:eastAsia="Times New Roman" w:hint="default"/>
                <w:sz w:val="18"/>
                <w:szCs w:val="18"/>
              </w:rPr>
            </w:pPr>
            <w:r>
              <w:rPr>
                <w:rFonts w:ascii="Times New Roman"/>
                <w:sz w:val="18"/>
              </w:rPr>
              <w:t>3.78</w:t>
            </w:r>
          </w:p>
        </w:tc>
      </w:tr>
    </w:tbl>
    <w:p>
      <w:pPr>
        <w:pStyle w:val="BodyText"/>
        <w:spacing w:line="240" w:lineRule="auto" w:before="51"/>
        <w:ind w:right="0"/>
        <w:jc w:val="left"/>
      </w:pPr>
      <w:r>
        <w:rPr/>
        <w:t>上期金额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2"/>
        <w:gridCol w:w="754"/>
        <w:gridCol w:w="711"/>
        <w:gridCol w:w="708"/>
        <w:gridCol w:w="566"/>
        <w:gridCol w:w="850"/>
        <w:gridCol w:w="569"/>
        <w:gridCol w:w="708"/>
        <w:gridCol w:w="566"/>
        <w:gridCol w:w="850"/>
        <w:gridCol w:w="852"/>
        <w:gridCol w:w="425"/>
        <w:gridCol w:w="780"/>
      </w:tblGrid>
      <w:tr>
        <w:trPr>
          <w:trHeight w:val="402"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232" w:type="dxa"/>
            <w:vMerge/>
            <w:tcBorders>
              <w:left w:val="single" w:sz="4" w:space="0" w:color="000000"/>
              <w:right w:val="single" w:sz="4" w:space="0" w:color="000000"/>
            </w:tcBorders>
            <w:shd w:val="clear" w:color="auto" w:fill="D2D2D2"/>
          </w:tcPr>
          <w:p>
            <w:pPr/>
          </w:p>
        </w:tc>
        <w:tc>
          <w:tcPr>
            <w:tcW w:w="7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98" w:right="22"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33" w:right="59"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4"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75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0" w:right="0"/>
              <w:jc w:val="center"/>
              <w:rPr>
                <w:rFonts w:ascii="Times New Roman" w:hAnsi="Times New Roman" w:cs="Times New Roman" w:eastAsia="Times New Roman" w:hint="default"/>
                <w:sz w:val="18"/>
                <w:szCs w:val="18"/>
              </w:rPr>
            </w:pPr>
            <w:r>
              <w:rPr>
                <w:rFonts w:ascii="Times New Roman"/>
                <w:sz w:val="18"/>
              </w:rPr>
              <w:t>146,666,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128,053,2</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80.71</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12,162,07</w:t>
            </w:r>
          </w:p>
          <w:p>
            <w:pPr>
              <w:pStyle w:val="TableParagraph"/>
              <w:spacing w:line="240" w:lineRule="auto" w:before="102"/>
              <w:ind w:left="511" w:right="0"/>
              <w:jc w:val="left"/>
              <w:rPr>
                <w:rFonts w:ascii="Times New Roman" w:hAnsi="Times New Roman" w:cs="Times New Roman" w:eastAsia="Times New Roman" w:hint="default"/>
                <w:sz w:val="18"/>
                <w:szCs w:val="18"/>
              </w:rPr>
            </w:pPr>
            <w:r>
              <w:rPr>
                <w:rFonts w:ascii="Times New Roman"/>
                <w:sz w:val="18"/>
              </w:rPr>
              <w:t>1.11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8" w:right="0"/>
              <w:jc w:val="left"/>
              <w:rPr>
                <w:rFonts w:ascii="Times New Roman" w:hAnsi="Times New Roman" w:cs="Times New Roman" w:eastAsia="Times New Roman" w:hint="default"/>
                <w:sz w:val="18"/>
                <w:szCs w:val="18"/>
              </w:rPr>
            </w:pPr>
            <w:r>
              <w:rPr>
                <w:rFonts w:ascii="Times New Roman"/>
                <w:sz w:val="18"/>
              </w:rPr>
              <w:t>113,265,7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04.52</w:t>
            </w: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400,147,7</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56.34</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0" w:right="0"/>
              <w:jc w:val="center"/>
              <w:rPr>
                <w:rFonts w:ascii="Times New Roman" w:hAnsi="Times New Roman" w:cs="Times New Roman" w:eastAsia="Times New Roman" w:hint="default"/>
                <w:sz w:val="18"/>
                <w:szCs w:val="18"/>
              </w:rPr>
            </w:pPr>
            <w:r>
              <w:rPr>
                <w:rFonts w:ascii="Times New Roman"/>
                <w:sz w:val="18"/>
              </w:rPr>
              <w:t>146,666,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128,053,2</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80.71</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12,162,07</w:t>
            </w:r>
          </w:p>
          <w:p>
            <w:pPr>
              <w:pStyle w:val="TableParagraph"/>
              <w:spacing w:line="240" w:lineRule="auto" w:before="102"/>
              <w:ind w:left="511" w:right="0"/>
              <w:jc w:val="left"/>
              <w:rPr>
                <w:rFonts w:ascii="Times New Roman" w:hAnsi="Times New Roman" w:cs="Times New Roman" w:eastAsia="Times New Roman" w:hint="default"/>
                <w:sz w:val="18"/>
                <w:szCs w:val="18"/>
              </w:rPr>
            </w:pPr>
            <w:r>
              <w:rPr>
                <w:rFonts w:ascii="Times New Roman"/>
                <w:sz w:val="18"/>
              </w:rPr>
              <w:t>1.11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8" w:right="0"/>
              <w:jc w:val="left"/>
              <w:rPr>
                <w:rFonts w:ascii="Times New Roman" w:hAnsi="Times New Roman" w:cs="Times New Roman" w:eastAsia="Times New Roman" w:hint="default"/>
                <w:sz w:val="18"/>
                <w:szCs w:val="18"/>
              </w:rPr>
            </w:pPr>
            <w:r>
              <w:rPr>
                <w:rFonts w:ascii="Times New Roman"/>
                <w:sz w:val="18"/>
              </w:rPr>
              <w:t>113,265,7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04.52</w:t>
            </w: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400,147,7</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56.34</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2,731,909.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15,053,85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0.94</w:t>
            </w: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17,785,76</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0.54</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27,319,09</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6.04</w:t>
            </w: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27,319,09</w:t>
            </w:r>
          </w:p>
          <w:p>
            <w:pPr>
              <w:pStyle w:val="TableParagraph"/>
              <w:spacing w:line="240" w:lineRule="auto" w:before="102"/>
              <w:ind w:left="431" w:right="0"/>
              <w:jc w:val="left"/>
              <w:rPr>
                <w:rFonts w:ascii="Times New Roman" w:hAnsi="Times New Roman" w:cs="Times New Roman" w:eastAsia="Times New Roman" w:hint="default"/>
                <w:sz w:val="18"/>
                <w:szCs w:val="18"/>
              </w:rPr>
            </w:pPr>
            <w:r>
              <w:rPr>
                <w:rFonts w:ascii="Times New Roman"/>
                <w:sz w:val="18"/>
              </w:rPr>
              <w:t>6.04</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2,731,909.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-12,265,24</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5.10</w:t>
            </w: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-9,533,33</w:t>
            </w:r>
          </w:p>
          <w:p>
            <w:pPr>
              <w:pStyle w:val="TableParagraph"/>
              <w:spacing w:line="240" w:lineRule="auto" w:before="102"/>
              <w:ind w:left="431" w:right="0"/>
              <w:jc w:val="left"/>
              <w:rPr>
                <w:rFonts w:ascii="Times New Roman" w:hAnsi="Times New Roman" w:cs="Times New Roman" w:eastAsia="Times New Roman" w:hint="default"/>
                <w:sz w:val="18"/>
                <w:szCs w:val="18"/>
              </w:rPr>
            </w:pPr>
            <w:r>
              <w:rPr>
                <w:rFonts w:ascii="Times New Roman"/>
                <w:sz w:val="18"/>
              </w:rPr>
              <w:t>5.50</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2,731,909.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-2,731,909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-9,533,335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.50</w:t>
            </w: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-9,533,33</w:t>
            </w:r>
          </w:p>
          <w:p>
            <w:pPr>
              <w:pStyle w:val="TableParagraph"/>
              <w:spacing w:line="240" w:lineRule="auto" w:before="102"/>
              <w:ind w:left="431" w:right="0"/>
              <w:jc w:val="left"/>
              <w:rPr>
                <w:rFonts w:ascii="Times New Roman" w:hAnsi="Times New Roman" w:cs="Times New Roman" w:eastAsia="Times New Roman" w:hint="default"/>
                <w:sz w:val="18"/>
                <w:szCs w:val="18"/>
              </w:rPr>
            </w:pPr>
            <w:r>
              <w:rPr>
                <w:rFonts w:ascii="Times New Roman"/>
                <w:sz w:val="18"/>
              </w:rPr>
              <w:t>5.50</w:t>
            </w:r>
          </w:p>
        </w:tc>
      </w:tr>
      <w:tr>
        <w:trPr>
          <w:trHeight w:val="40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0"/>
        <w:gridCol w:w="754"/>
        <w:gridCol w:w="711"/>
        <w:gridCol w:w="708"/>
        <w:gridCol w:w="566"/>
        <w:gridCol w:w="850"/>
        <w:gridCol w:w="569"/>
        <w:gridCol w:w="708"/>
        <w:gridCol w:w="566"/>
        <w:gridCol w:w="850"/>
        <w:gridCol w:w="852"/>
        <w:gridCol w:w="425"/>
        <w:gridCol w:w="780"/>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75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0" w:right="0"/>
              <w:jc w:val="center"/>
              <w:rPr>
                <w:rFonts w:ascii="Times New Roman" w:hAnsi="Times New Roman" w:cs="Times New Roman" w:eastAsia="Times New Roman" w:hint="default"/>
                <w:sz w:val="18"/>
                <w:szCs w:val="18"/>
              </w:rPr>
            </w:pPr>
            <w:r>
              <w:rPr>
                <w:rFonts w:ascii="Times New Roman"/>
                <w:sz w:val="18"/>
              </w:rPr>
              <w:t>146,666,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128,053,2</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80.71</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14,893,98</w:t>
            </w:r>
          </w:p>
          <w:p>
            <w:pPr>
              <w:pStyle w:val="TableParagraph"/>
              <w:spacing w:line="240" w:lineRule="auto" w:before="102"/>
              <w:ind w:left="504" w:right="0"/>
              <w:jc w:val="left"/>
              <w:rPr>
                <w:rFonts w:ascii="Times New Roman" w:hAnsi="Times New Roman" w:cs="Times New Roman" w:eastAsia="Times New Roman" w:hint="default"/>
                <w:sz w:val="18"/>
                <w:szCs w:val="18"/>
              </w:rPr>
            </w:pPr>
            <w:r>
              <w:rPr>
                <w:rFonts w:ascii="Times New Roman"/>
                <w:sz w:val="18"/>
              </w:rPr>
              <w:t>0.71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128,319,5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55.46</w:t>
            </w:r>
          </w:p>
        </w:tc>
        <w:tc>
          <w:tcPr>
            <w:tcW w:w="42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417,933,5</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16.88</w:t>
            </w:r>
          </w:p>
        </w:tc>
      </w:tr>
    </w:tbl>
    <w:p>
      <w:pPr>
        <w:spacing w:line="240" w:lineRule="auto" w:before="3"/>
        <w:rPr>
          <w:rFonts w:ascii="宋体" w:hAnsi="宋体" w:cs="宋体" w:eastAsia="宋体" w:hint="default"/>
          <w:sz w:val="18"/>
          <w:szCs w:val="18"/>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8"/>
        <w:jc w:val="both"/>
      </w:pPr>
      <w:r>
        <w:rPr/>
        <w:t>深圳市建筑科学研究院股份有限公司 </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 </w:t>
      </w:r>
      <w:r>
        <w:rPr/>
        <w:t>原名深圳市建筑科学研究院，系根据深圳市委常委会议</w:t>
      </w:r>
      <w:r>
        <w:rPr>
          <w:spacing w:val="-81"/>
        </w:rPr>
        <w:t> </w:t>
      </w:r>
      <w:r>
        <w:rPr>
          <w:spacing w:val="-81"/>
        </w:rPr>
      </w:r>
      <w:r>
        <w:rPr/>
        <w:t>纪要 </w:t>
      </w:r>
      <w:r>
        <w:rPr>
          <w:rFonts w:ascii="Times New Roman" w:hAnsi="Times New Roman" w:cs="Times New Roman" w:eastAsia="Times New Roman" w:hint="default"/>
        </w:rPr>
        <w:t>(</w:t>
      </w:r>
      <w:r>
        <w:rPr/>
        <w:t>深常纪 </w:t>
      </w:r>
      <w:r>
        <w:rPr>
          <w:rFonts w:ascii="Times New Roman" w:hAnsi="Times New Roman" w:cs="Times New Roman" w:eastAsia="Times New Roman" w:hint="default"/>
        </w:rPr>
        <w:t>[1991] </w:t>
      </w:r>
      <w:r>
        <w:rPr>
          <w:spacing w:val="-3"/>
        </w:rPr>
        <w:t>第</w:t>
      </w:r>
      <w:r>
        <w:rPr>
          <w:rFonts w:ascii="Times New Roman" w:hAnsi="Times New Roman" w:cs="Times New Roman" w:eastAsia="Times New Roman" w:hint="default"/>
          <w:spacing w:val="-3"/>
        </w:rPr>
        <w:t>39</w:t>
      </w:r>
      <w:r>
        <w:rPr>
          <w:spacing w:val="-3"/>
        </w:rPr>
        <w:t>号</w:t>
      </w:r>
      <w:r>
        <w:rPr>
          <w:rFonts w:ascii="Times New Roman" w:hAnsi="Times New Roman" w:cs="Times New Roman" w:eastAsia="Times New Roman" w:hint="default"/>
          <w:spacing w:val="-3"/>
        </w:rPr>
        <w:t>)</w:t>
      </w:r>
      <w:r>
        <w:rPr>
          <w:spacing w:val="-3"/>
        </w:rPr>
        <w:t>、深圳市机构编制委员会 </w:t>
      </w:r>
      <w:r>
        <w:rPr>
          <w:rFonts w:ascii="Times New Roman" w:hAnsi="Times New Roman" w:cs="Times New Roman" w:eastAsia="Times New Roman" w:hint="default"/>
        </w:rPr>
        <w:t>(</w:t>
      </w:r>
      <w:r>
        <w:rPr/>
        <w:t>深编 </w:t>
      </w:r>
      <w:r>
        <w:rPr>
          <w:rFonts w:ascii="Times New Roman" w:hAnsi="Times New Roman" w:cs="Times New Roman" w:eastAsia="Times New Roman" w:hint="default"/>
        </w:rPr>
        <w:t>[1991] </w:t>
      </w:r>
      <w:r>
        <w:rPr>
          <w:rFonts w:ascii="Times New Roman" w:hAnsi="Times New Roman" w:cs="Times New Roman" w:eastAsia="Times New Roman" w:hint="default"/>
          <w:spacing w:val="-3"/>
        </w:rPr>
        <w:t>103</w:t>
      </w:r>
      <w:r>
        <w:rPr>
          <w:spacing w:val="-3"/>
        </w:rPr>
        <w:t>号</w:t>
      </w:r>
      <w:r>
        <w:rPr>
          <w:rFonts w:ascii="Times New Roman" w:hAnsi="Times New Roman" w:cs="Times New Roman" w:eastAsia="Times New Roman" w:hint="default"/>
          <w:spacing w:val="-3"/>
        </w:rPr>
        <w:t>)</w:t>
      </w:r>
      <w:r>
        <w:rPr>
          <w:spacing w:val="-3"/>
        </w:rPr>
        <w:t>《关于重新组建深圳市建筑设计院的通知》和</w:t>
      </w:r>
      <w:r>
        <w:rPr>
          <w:spacing w:val="-53"/>
        </w:rPr>
        <w:t> </w:t>
      </w:r>
      <w:r>
        <w:rPr>
          <w:rFonts w:ascii="Times New Roman" w:hAnsi="Times New Roman" w:cs="Times New Roman" w:eastAsia="Times New Roman" w:hint="default"/>
        </w:rPr>
        <w:t>(</w:t>
      </w:r>
      <w:r>
        <w:rPr/>
        <w:t>深</w:t>
      </w:r>
      <w:r>
        <w:rPr>
          <w:w w:val="99"/>
        </w:rPr>
        <w:t> </w:t>
      </w:r>
      <w:r>
        <w:rPr/>
        <w:t>编</w:t>
      </w:r>
      <w:r>
        <w:rPr>
          <w:spacing w:val="-28"/>
        </w:rPr>
        <w:t> </w:t>
      </w:r>
      <w:r>
        <w:rPr>
          <w:rFonts w:ascii="Times New Roman" w:hAnsi="Times New Roman" w:cs="Times New Roman" w:eastAsia="Times New Roman" w:hint="default"/>
        </w:rPr>
        <w:t>[1992]</w:t>
      </w:r>
      <w:r>
        <w:rPr>
          <w:rFonts w:ascii="Times New Roman" w:hAnsi="Times New Roman" w:cs="Times New Roman" w:eastAsia="Times New Roman" w:hint="default"/>
          <w:spacing w:val="-14"/>
        </w:rPr>
        <w:t> </w:t>
      </w:r>
      <w:r>
        <w:rPr>
          <w:rFonts w:ascii="Times New Roman" w:hAnsi="Times New Roman" w:cs="Times New Roman" w:eastAsia="Times New Roman" w:hint="default"/>
        </w:rPr>
        <w:t>46</w:t>
      </w:r>
      <w:r>
        <w:rPr/>
        <w:t>号</w:t>
      </w:r>
      <w:r>
        <w:rPr>
          <w:rFonts w:ascii="Times New Roman" w:hAnsi="Times New Roman" w:cs="Times New Roman" w:eastAsia="Times New Roman" w:hint="default"/>
        </w:rPr>
        <w:t>)</w:t>
      </w:r>
      <w:r>
        <w:rPr/>
        <w:t>《关于市建筑设计院机构编制问题的批复》，在</w:t>
      </w:r>
      <w:r>
        <w:rPr>
          <w:rFonts w:ascii="Times New Roman" w:hAnsi="Times New Roman" w:cs="Times New Roman" w:eastAsia="Times New Roman" w:hint="default"/>
        </w:rPr>
        <w:t>1991</w:t>
      </w:r>
      <w:r>
        <w:rPr/>
        <w:t>年重新组建深圳市建筑设计院的同时，作为深圳市建筑</w:t>
      </w:r>
      <w:r>
        <w:rPr>
          <w:w w:val="99"/>
        </w:rPr>
        <w:t> </w:t>
      </w:r>
      <w:r>
        <w:rPr/>
        <w:t>设计院</w:t>
      </w:r>
      <w:r>
        <w:rPr>
          <w:spacing w:val="-4"/>
        </w:rPr>
        <w:t> </w:t>
      </w:r>
      <w:r>
        <w:rPr>
          <w:rFonts w:ascii="Times New Roman" w:hAnsi="Times New Roman" w:cs="Times New Roman" w:eastAsia="Times New Roman" w:hint="default"/>
        </w:rPr>
        <w:t>(</w:t>
      </w:r>
      <w:r>
        <w:rPr/>
        <w:t>现深圳市建筑设计研究总院有限公司</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spacing w:val="-3"/>
        </w:rPr>
        <w:t>下属单位深圳市建筑科学研究所设立，为财政核拨补助的事业单位。</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9</w:t>
      </w:r>
      <w:r>
        <w:rPr>
          <w:rFonts w:ascii="Times New Roman" w:hAnsi="Times New Roman" w:cs="Times New Roman" w:eastAsia="Times New Roman" w:hint="default"/>
          <w:spacing w:val="-43"/>
        </w:rPr>
        <w:t> </w:t>
      </w:r>
      <w:r>
        <w:rPr/>
        <w:t>月经深圳市机构编制委员会办公室 </w:t>
      </w:r>
      <w:r>
        <w:rPr>
          <w:rFonts w:ascii="Times New Roman" w:hAnsi="Times New Roman" w:cs="Times New Roman" w:eastAsia="Times New Roman" w:hint="default"/>
        </w:rPr>
        <w:t>(</w:t>
      </w:r>
      <w:r>
        <w:rPr/>
        <w:t>深编办 </w:t>
      </w:r>
      <w:r>
        <w:rPr>
          <w:rFonts w:ascii="Times New Roman" w:hAnsi="Times New Roman" w:cs="Times New Roman" w:eastAsia="Times New Roman" w:hint="default"/>
        </w:rPr>
        <w:t>[2001] 55</w:t>
      </w:r>
      <w:r>
        <w:rPr/>
        <w:t>号《关于深圳市建筑科学研究所更名的批复》批准，更名为深圳市建</w:t>
      </w:r>
      <w:r>
        <w:rPr>
          <w:spacing w:val="-89"/>
        </w:rPr>
        <w:t> </w:t>
      </w:r>
      <w:r>
        <w:rPr>
          <w:spacing w:val="-89"/>
        </w:rPr>
      </w:r>
      <w:r>
        <w:rPr/>
        <w:t>筑科学研究院。</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月经深圳市科技和信息局、深圳市机构编制委员会办公室深科信</w:t>
      </w:r>
      <w:r>
        <w:rPr>
          <w:spacing w:val="-47"/>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4"/>
        </w:rPr>
        <w:t> </w:t>
      </w:r>
      <w:r>
        <w:rPr>
          <w:rFonts w:ascii="Times New Roman" w:hAnsi="Times New Roman" w:cs="Times New Roman" w:eastAsia="Times New Roman" w:hint="default"/>
        </w:rPr>
        <w:t>376</w:t>
      </w:r>
      <w:r>
        <w:rPr/>
        <w:t>号文件批准，本公司由</w:t>
      </w:r>
    </w:p>
    <w:p>
      <w:pPr>
        <w:pStyle w:val="BodyText"/>
        <w:spacing w:line="304" w:lineRule="auto" w:before="13"/>
        <w:ind w:right="1128"/>
        <w:jc w:val="both"/>
      </w:pPr>
      <w:r>
        <w:rPr/>
        <w:t>事业单位改制为企业单位。根据</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日中共深圳市委办公厅、深圳市人民政府办公厅深办 </w:t>
      </w:r>
      <w:r>
        <w:rPr>
          <w:rFonts w:ascii="Times New Roman" w:hAnsi="Times New Roman" w:cs="Times New Roman" w:eastAsia="Times New Roman" w:hint="default"/>
        </w:rPr>
        <w:t>[2006]</w:t>
      </w:r>
      <w:r>
        <w:rPr>
          <w:rFonts w:ascii="Times New Roman" w:hAnsi="Times New Roman" w:cs="Times New Roman" w:eastAsia="Times New Roman" w:hint="default"/>
          <w:spacing w:val="21"/>
        </w:rPr>
        <w:t> </w:t>
      </w:r>
      <w:r>
        <w:rPr>
          <w:rFonts w:ascii="Times New Roman" w:hAnsi="Times New Roman" w:cs="Times New Roman" w:eastAsia="Times New Roman" w:hint="default"/>
        </w:rPr>
        <w:t>35</w:t>
      </w:r>
      <w:r>
        <w:rPr/>
        <w:t>号文件《关于印 发 </w:t>
      </w:r>
      <w:r>
        <w:rPr>
          <w:rFonts w:ascii="Times New Roman" w:hAnsi="Times New Roman" w:cs="Times New Roman" w:eastAsia="Times New Roman" w:hint="default"/>
        </w:rPr>
        <w:t>&lt;</w:t>
      </w:r>
      <w:r>
        <w:rPr/>
        <w:t>深圳市党政机关事业单位所属企业、转企事业单位划转工作实施方案</w:t>
      </w:r>
      <w:r>
        <w:rPr>
          <w:rFonts w:ascii="Times New Roman" w:hAnsi="Times New Roman" w:cs="Times New Roman" w:eastAsia="Times New Roman" w:hint="default"/>
        </w:rPr>
        <w:t>&gt;</w:t>
      </w:r>
      <w:r>
        <w:rPr>
          <w:rFonts w:ascii="Times New Roman" w:hAnsi="Times New Roman" w:cs="Times New Roman" w:eastAsia="Times New Roman" w:hint="default"/>
          <w:spacing w:val="25"/>
        </w:rPr>
        <w:t> </w:t>
      </w:r>
      <w:r>
        <w:rPr/>
        <w:t>的通知》，及</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日深圳市规划局、深 </w:t>
      </w:r>
      <w:r>
        <w:rPr>
          <w:spacing w:val="-2"/>
        </w:rPr>
        <w:t>圳市投资控股有限公司签订的《关于深圳市建筑设计研究总院划转和移交工作备忘录》，本公司随深圳市建筑设计研究总院</w:t>
      </w:r>
      <w:r>
        <w:rPr>
          <w:spacing w:val="-65"/>
        </w:rPr>
        <w:t> </w:t>
      </w:r>
      <w:r>
        <w:rPr>
          <w:spacing w:val="-65"/>
        </w:rPr>
      </w:r>
      <w:r>
        <w:rPr/>
        <w:t>划转到深圳市投资控股有限公司。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日，本公司办理了工商注册登记手续，领取了深圳市工商行政管理局颁发的</w:t>
      </w:r>
      <w:r>
        <w:rPr>
          <w:spacing w:val="-85"/>
        </w:rPr>
        <w:t> </w:t>
      </w:r>
      <w:r>
        <w:rPr>
          <w:spacing w:val="-85"/>
        </w:rPr>
      </w:r>
      <w:r>
        <w:rPr>
          <w:rFonts w:ascii="Times New Roman" w:hAnsi="Times New Roman" w:cs="Times New Roman" w:eastAsia="Times New Roman" w:hint="default"/>
        </w:rPr>
        <w:t>440301102792750</w:t>
      </w:r>
      <w:r>
        <w:rPr/>
        <w:t>号企业法人营业执照，公司类型为有限责任公司</w:t>
      </w:r>
      <w:r>
        <w:rPr>
          <w:spacing w:val="-26"/>
        </w:rPr>
        <w:t> </w:t>
      </w:r>
      <w:r>
        <w:rPr>
          <w:rFonts w:ascii="Times New Roman" w:hAnsi="Times New Roman" w:cs="Times New Roman" w:eastAsia="Times New Roman" w:hint="default"/>
        </w:rPr>
        <w:t>(</w:t>
      </w:r>
      <w:r>
        <w:rPr/>
        <w:t>法人独资</w:t>
      </w:r>
      <w:r>
        <w:rPr>
          <w:rFonts w:ascii="Times New Roman" w:hAnsi="Times New Roman" w:cs="Times New Roman" w:eastAsia="Times New Roman" w:hint="default"/>
        </w:rPr>
        <w:t>)</w:t>
      </w:r>
      <w:r>
        <w:rPr/>
        <w:t>，股东为深圳市投资控股有限公司，占股比例 为</w:t>
      </w:r>
      <w:r>
        <w:rPr>
          <w:rFonts w:ascii="Times New Roman" w:hAnsi="Times New Roman" w:cs="Times New Roman" w:eastAsia="Times New Roman" w:hint="default"/>
        </w:rPr>
        <w:t>100%</w:t>
      </w:r>
      <w:r>
        <w:rPr/>
        <w:t>，注册资本</w:t>
      </w:r>
      <w:r>
        <w:rPr>
          <w:rFonts w:ascii="Times New Roman" w:hAnsi="Times New Roman" w:cs="Times New Roman" w:eastAsia="Times New Roman" w:hint="default"/>
        </w:rPr>
        <w:t>2,000</w:t>
      </w:r>
      <w:r>
        <w:rPr/>
        <w:t>万元，扣除以土地评估增值出资的</w:t>
      </w:r>
      <w:r>
        <w:rPr>
          <w:rFonts w:ascii="Times New Roman" w:hAnsi="Times New Roman" w:cs="Times New Roman" w:eastAsia="Times New Roman" w:hint="default"/>
        </w:rPr>
        <w:t>1,995,759.92</w:t>
      </w:r>
      <w:r>
        <w:rPr/>
        <w:t>元后实收资本为</w:t>
      </w:r>
      <w:r>
        <w:rPr>
          <w:rFonts w:ascii="Times New Roman" w:hAnsi="Times New Roman" w:cs="Times New Roman" w:eastAsia="Times New Roman" w:hint="default"/>
        </w:rPr>
        <w:t>18,004,240.08</w:t>
      </w:r>
      <w:r>
        <w:rPr/>
        <w:t>元。</w:t>
      </w:r>
    </w:p>
    <w:p>
      <w:pPr>
        <w:spacing w:line="240" w:lineRule="auto" w:before="7"/>
        <w:rPr>
          <w:rFonts w:ascii="宋体" w:hAnsi="宋体" w:cs="宋体" w:eastAsia="宋体" w:hint="default"/>
          <w:sz w:val="24"/>
          <w:szCs w:val="24"/>
        </w:rPr>
      </w:pPr>
    </w:p>
    <w:p>
      <w:pPr>
        <w:pStyle w:val="BodyText"/>
        <w:spacing w:line="300" w:lineRule="auto"/>
        <w:ind w:right="1131"/>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10</w:t>
      </w:r>
      <w:r>
        <w:rPr>
          <w:spacing w:val="-1"/>
        </w:rPr>
        <w:t>日，根据《深圳市投资控股有限公司关于完善深圳市建筑科学研究院有限公司注册资本金问题的批复》</w:t>
      </w:r>
      <w:r>
        <w:rPr>
          <w:rFonts w:ascii="Times New Roman" w:hAnsi="Times New Roman" w:cs="Times New Roman" w:eastAsia="Times New Roman" w:hint="default"/>
          <w:spacing w:val="-1"/>
        </w:rPr>
        <w:t>(</w:t>
      </w:r>
      <w:r>
        <w:rPr>
          <w:spacing w:val="-1"/>
        </w:rPr>
        <w:t>深投控</w:t>
      </w:r>
      <w:r>
        <w:rPr>
          <w:spacing w:val="-87"/>
        </w:rPr>
        <w:t> </w:t>
      </w:r>
      <w:r>
        <w:rPr>
          <w:rFonts w:ascii="Times New Roman" w:hAnsi="Times New Roman" w:cs="Times New Roman" w:eastAsia="Times New Roman" w:hint="default"/>
        </w:rPr>
        <w:t>[2012] 169</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文件，深圳市投资控股有限公司以货币资金人民币</w:t>
      </w:r>
      <w:r>
        <w:rPr>
          <w:rFonts w:ascii="Times New Roman" w:hAnsi="Times New Roman" w:cs="Times New Roman" w:eastAsia="Times New Roman" w:hint="default"/>
        </w:rPr>
        <w:t>1,995,759.92</w:t>
      </w:r>
      <w:r>
        <w:rPr/>
        <w:t>元等额置换</w:t>
      </w:r>
      <w:r>
        <w:rPr>
          <w:rFonts w:ascii="Times New Roman" w:hAnsi="Times New Roman" w:cs="Times New Roman" w:eastAsia="Times New Roman" w:hint="default"/>
        </w:rPr>
        <w:t>2007</w:t>
      </w:r>
      <w:r>
        <w:rPr/>
        <w:t>年改制土地评估增值出资，出</w:t>
      </w:r>
    </w:p>
    <w:p>
      <w:pPr>
        <w:spacing w:after="0" w:line="300"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资后，公司注册资本</w:t>
      </w:r>
      <w:r>
        <w:rPr>
          <w:rFonts w:ascii="Times New Roman" w:hAnsi="Times New Roman" w:cs="Times New Roman" w:eastAsia="Times New Roman" w:hint="default"/>
        </w:rPr>
        <w:t>2,000</w:t>
      </w:r>
      <w:r>
        <w:rPr/>
        <w:t>万元，实收资本</w:t>
      </w:r>
      <w:r>
        <w:rPr>
          <w:rFonts w:ascii="Times New Roman" w:hAnsi="Times New Roman" w:cs="Times New Roman" w:eastAsia="Times New Roman" w:hint="default"/>
        </w:rPr>
        <w:t>2,000</w:t>
      </w:r>
      <w:r>
        <w:rPr/>
        <w:t>万元。</w:t>
      </w:r>
    </w:p>
    <w:p>
      <w:pPr>
        <w:spacing w:line="240" w:lineRule="auto" w:before="0"/>
        <w:rPr>
          <w:rFonts w:ascii="宋体" w:hAnsi="宋体" w:cs="宋体" w:eastAsia="宋体" w:hint="default"/>
          <w:sz w:val="18"/>
          <w:szCs w:val="18"/>
        </w:rPr>
      </w:pPr>
    </w:p>
    <w:p>
      <w:pPr>
        <w:pStyle w:val="BodyText"/>
        <w:spacing w:line="300" w:lineRule="auto" w:before="139"/>
        <w:ind w:right="1034"/>
        <w:jc w:val="left"/>
      </w:pP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日深圳市人民政府国有资产监督管理委员会深国资委</w:t>
      </w:r>
      <w:r>
        <w:rPr>
          <w:spacing w:val="-1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7"/>
        </w:rPr>
        <w:t> </w:t>
      </w:r>
      <w:r>
        <w:rPr>
          <w:rFonts w:ascii="Times New Roman" w:hAnsi="Times New Roman" w:cs="Times New Roman" w:eastAsia="Times New Roman" w:hint="default"/>
        </w:rPr>
        <w:t>132</w:t>
      </w:r>
      <w:r>
        <w:rPr/>
        <w:t>号文件《关于深圳市建筑科学研究院有限</w:t>
      </w:r>
      <w:r>
        <w:rPr>
          <w:spacing w:val="-85"/>
        </w:rPr>
        <w:t> </w:t>
      </w:r>
      <w:r>
        <w:rPr>
          <w:spacing w:val="-85"/>
        </w:rPr>
      </w:r>
      <w:r>
        <w:rPr/>
        <w:t>公司引进战略投资者同时实施管理层和核心骨干持股总体方案的批复》，</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日经本公司股东会决议和增资协议， 本公司注册资本由原来 </w:t>
      </w:r>
      <w:r>
        <w:rPr>
          <w:rFonts w:ascii="Times New Roman" w:hAnsi="Times New Roman" w:cs="Times New Roman" w:eastAsia="Times New Roman" w:hint="default"/>
        </w:rPr>
        <w:t>2,000</w:t>
      </w:r>
      <w:r>
        <w:rPr/>
        <w:t>万元人民币变更为</w:t>
      </w:r>
      <w:r>
        <w:rPr>
          <w:rFonts w:ascii="Times New Roman" w:hAnsi="Times New Roman" w:cs="Times New Roman" w:eastAsia="Times New Roman" w:hint="default"/>
        </w:rPr>
        <w:t>3,333.3333</w:t>
      </w:r>
      <w:r>
        <w:rPr/>
        <w:t>万元人民币，变更后股东出资和股权比例为：深圳市投资控股有</w:t>
      </w:r>
      <w:r>
        <w:rPr>
          <w:spacing w:val="-53"/>
        </w:rPr>
        <w:t> </w:t>
      </w:r>
      <w:r>
        <w:rPr>
          <w:spacing w:val="-53"/>
        </w:rPr>
      </w:r>
      <w:r>
        <w:rPr/>
        <w:t>限公司出资额</w:t>
      </w:r>
      <w:r>
        <w:rPr>
          <w:rFonts w:ascii="Times New Roman" w:hAnsi="Times New Roman" w:cs="Times New Roman" w:eastAsia="Times New Roman" w:hint="default"/>
        </w:rPr>
        <w:t>2,000</w:t>
      </w:r>
      <w:r>
        <w:rPr/>
        <w:t>万元人民币，股权比例为</w:t>
      </w:r>
      <w:r>
        <w:rPr>
          <w:rFonts w:ascii="Times New Roman" w:hAnsi="Times New Roman" w:cs="Times New Roman" w:eastAsia="Times New Roman" w:hint="default"/>
        </w:rPr>
        <w:t>60%</w:t>
      </w:r>
      <w:r>
        <w:rPr/>
        <w:t>；中关村发展集团股份有限公司出资额</w:t>
      </w:r>
      <w:r>
        <w:rPr>
          <w:rFonts w:ascii="Times New Roman" w:hAnsi="Times New Roman" w:cs="Times New Roman" w:eastAsia="Times New Roman" w:hint="default"/>
        </w:rPr>
        <w:t>333.3333</w:t>
      </w:r>
      <w:r>
        <w:rPr/>
        <w:t>万元人民币，股权比例为</w:t>
      </w:r>
      <w:r>
        <w:rPr>
          <w:spacing w:val="20"/>
        </w:rPr>
        <w:t> </w:t>
      </w:r>
      <w:r>
        <w:rPr>
          <w:spacing w:val="20"/>
        </w:rPr>
      </w:r>
      <w:r>
        <w:rPr>
          <w:rFonts w:ascii="Times New Roman" w:hAnsi="Times New Roman" w:cs="Times New Roman" w:eastAsia="Times New Roman" w:hint="default"/>
        </w:rPr>
        <w:t>10%</w:t>
      </w:r>
      <w:r>
        <w:rPr/>
        <w:t>；深圳市英龙建安</w:t>
      </w:r>
      <w:r>
        <w:rPr>
          <w:spacing w:val="-54"/>
        </w:rPr>
        <w:t> </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有限公司出资额</w:t>
      </w:r>
      <w:r>
        <w:rPr>
          <w:rFonts w:ascii="Times New Roman" w:hAnsi="Times New Roman" w:cs="Times New Roman" w:eastAsia="Times New Roman" w:hint="default"/>
        </w:rPr>
        <w:t>333.3333</w:t>
      </w:r>
      <w:r>
        <w:rPr/>
        <w:t>万元人民币，股权比例为</w:t>
      </w:r>
      <w:r>
        <w:rPr>
          <w:rFonts w:ascii="Times New Roman" w:hAnsi="Times New Roman" w:cs="Times New Roman" w:eastAsia="Times New Roman" w:hint="default"/>
        </w:rPr>
        <w:t>10%</w:t>
      </w:r>
      <w:r>
        <w:rPr/>
        <w:t>；深圳市创新投资集团有限公司出资额</w:t>
      </w:r>
    </w:p>
    <w:p>
      <w:pPr>
        <w:pStyle w:val="BodyText"/>
        <w:spacing w:line="300" w:lineRule="auto" w:before="13"/>
        <w:ind w:right="1131"/>
        <w:jc w:val="both"/>
      </w:pPr>
      <w:r>
        <w:rPr>
          <w:rFonts w:ascii="Times New Roman" w:hAnsi="Times New Roman" w:cs="Times New Roman" w:eastAsia="Times New Roman" w:hint="default"/>
        </w:rPr>
        <w:t>166.6667</w:t>
      </w:r>
      <w:r>
        <w:rPr/>
        <w:t>万元人民币，股权比例为</w:t>
      </w:r>
      <w:r>
        <w:rPr>
          <w:rFonts w:ascii="Times New Roman" w:hAnsi="Times New Roman" w:cs="Times New Roman" w:eastAsia="Times New Roman" w:hint="default"/>
        </w:rPr>
        <w:t>5%</w:t>
      </w:r>
      <w:r>
        <w:rPr/>
        <w:t>；深圳市建科投资股份有限公司出资额</w:t>
      </w:r>
      <w:r>
        <w:rPr>
          <w:rFonts w:ascii="Times New Roman" w:hAnsi="Times New Roman" w:cs="Times New Roman" w:eastAsia="Times New Roman" w:hint="default"/>
        </w:rPr>
        <w:t>500</w:t>
      </w:r>
      <w:r>
        <w:rPr/>
        <w:t>万元人民币，股权比例为</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spacing w:val="-3"/>
        </w:rPr>
        <w:t>。上述出资已</w:t>
      </w:r>
      <w:r>
        <w:rPr/>
        <w:t> 经中天运会计师事务所有限公司深圳分所出具的中天运</w:t>
      </w:r>
      <w:r>
        <w:rPr>
          <w:spacing w:val="11"/>
        </w:rPr>
        <w:t> </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验字第</w:t>
      </w:r>
      <w:r>
        <w:rPr>
          <w:rFonts w:ascii="Times New Roman" w:hAnsi="Times New Roman" w:cs="Times New Roman" w:eastAsia="Times New Roman" w:hint="default"/>
        </w:rPr>
        <w:t>00007</w:t>
      </w:r>
      <w:r>
        <w:rPr/>
        <w:t>号《验资报告》验证。本公司已于</w:t>
      </w:r>
      <w:r>
        <w:rPr>
          <w:rFonts w:ascii="Times New Roman" w:hAnsi="Times New Roman" w:cs="Times New Roman" w:eastAsia="Times New Roman" w:hint="default"/>
        </w:rPr>
        <w:t>2012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日办理了工商变更登记手续。</w:t>
      </w:r>
    </w:p>
    <w:p>
      <w:pPr>
        <w:spacing w:line="240" w:lineRule="auto" w:before="11"/>
        <w:rPr>
          <w:rFonts w:ascii="宋体" w:hAnsi="宋体" w:cs="宋体" w:eastAsia="宋体" w:hint="default"/>
          <w:sz w:val="24"/>
          <w:szCs w:val="24"/>
        </w:rPr>
      </w:pPr>
    </w:p>
    <w:p>
      <w:pPr>
        <w:pStyle w:val="BodyText"/>
        <w:spacing w:line="300" w:lineRule="auto"/>
        <w:ind w:right="1029"/>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日，本公司按照发起人协议及章程</w:t>
      </w:r>
      <w:r>
        <w:rPr>
          <w:spacing w:val="-43"/>
        </w:rPr>
        <w:t> </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的规定，以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日为基准日，将深圳市建筑科学研究院有限 公司整体变更设立为股份有限公司，以截至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日深圳市建筑科学研究院有限公司的净资产人民币</w:t>
      </w:r>
      <w:r>
        <w:rPr>
          <w:rFonts w:ascii="Times New Roman" w:hAnsi="Times New Roman" w:cs="Times New Roman" w:eastAsia="Times New Roman" w:hint="default"/>
        </w:rPr>
        <w:t>166,322,358.71</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元，按</w:t>
      </w:r>
      <w:r>
        <w:rPr>
          <w:rFonts w:ascii="Times New Roman" w:hAnsi="Times New Roman" w:cs="Times New Roman" w:eastAsia="Times New Roman" w:hint="default"/>
        </w:rPr>
        <w:t>1:0.6614</w:t>
      </w:r>
      <w:r>
        <w:rPr/>
        <w:t>的比例折合股份总额</w:t>
      </w:r>
      <w:r>
        <w:rPr>
          <w:rFonts w:ascii="Times New Roman" w:hAnsi="Times New Roman" w:cs="Times New Roman" w:eastAsia="Times New Roman" w:hint="default"/>
        </w:rPr>
        <w:t>11,000</w:t>
      </w:r>
      <w:r>
        <w:rPr/>
        <w:t>万股，每股</w:t>
      </w:r>
      <w:r>
        <w:rPr>
          <w:rFonts w:ascii="Times New Roman" w:hAnsi="Times New Roman" w:cs="Times New Roman" w:eastAsia="Times New Roman" w:hint="default"/>
        </w:rPr>
        <w:t>1</w:t>
      </w:r>
      <w:r>
        <w:rPr/>
        <w:t>元，共计股本人民币</w:t>
      </w:r>
      <w:r>
        <w:rPr>
          <w:rFonts w:ascii="Times New Roman" w:hAnsi="Times New Roman" w:cs="Times New Roman" w:eastAsia="Times New Roman" w:hint="default"/>
        </w:rPr>
        <w:t>110,000,000.00</w:t>
      </w:r>
      <w:r>
        <w:rPr/>
        <w:t>元，大于股本部分计入资本公积。 变更后股东出资和股权比例为：深圳市投资控股有限公司出资额</w:t>
      </w:r>
      <w:r>
        <w:rPr>
          <w:rFonts w:ascii="Times New Roman" w:hAnsi="Times New Roman" w:cs="Times New Roman" w:eastAsia="Times New Roman" w:hint="default"/>
        </w:rPr>
        <w:t>6,600</w:t>
      </w:r>
      <w:r>
        <w:rPr/>
        <w:t>万元人民币，股权比例为</w:t>
      </w:r>
      <w:r>
        <w:rPr>
          <w:rFonts w:ascii="Times New Roman" w:hAnsi="Times New Roman" w:cs="Times New Roman" w:eastAsia="Times New Roman" w:hint="default"/>
        </w:rPr>
        <w:t>60%</w:t>
      </w:r>
      <w:r>
        <w:rPr/>
        <w:t>；深圳市建科投资股份</w:t>
      </w:r>
      <w:r>
        <w:rPr>
          <w:spacing w:val="-16"/>
        </w:rPr>
        <w:t> </w:t>
      </w:r>
      <w:r>
        <w:rPr>
          <w:spacing w:val="-16"/>
        </w:rPr>
      </w:r>
      <w:r>
        <w:rPr>
          <w:spacing w:val="-4"/>
        </w:rPr>
        <w:t>有限公司出资额</w:t>
      </w:r>
      <w:r>
        <w:rPr>
          <w:rFonts w:ascii="Times New Roman" w:hAnsi="Times New Roman" w:cs="Times New Roman" w:eastAsia="Times New Roman" w:hint="default"/>
          <w:spacing w:val="-4"/>
        </w:rPr>
        <w:t>1,650</w:t>
      </w:r>
      <w:r>
        <w:rPr>
          <w:spacing w:val="-4"/>
        </w:rPr>
        <w:t>万元人民币，股权比例为</w:t>
      </w:r>
      <w:r>
        <w:rPr>
          <w:rFonts w:ascii="Times New Roman" w:hAnsi="Times New Roman" w:cs="Times New Roman" w:eastAsia="Times New Roman" w:hint="default"/>
          <w:spacing w:val="-4"/>
        </w:rPr>
        <w:t>15%</w:t>
      </w:r>
      <w:r>
        <w:rPr>
          <w:spacing w:val="-4"/>
        </w:rPr>
        <w:t>；中关村发展集团股份有限公司出资额</w:t>
      </w:r>
      <w:r>
        <w:rPr>
          <w:rFonts w:ascii="Times New Roman" w:hAnsi="Times New Roman" w:cs="Times New Roman" w:eastAsia="Times New Roman" w:hint="default"/>
          <w:spacing w:val="-4"/>
        </w:rPr>
        <w:t>1,100</w:t>
      </w:r>
      <w:r>
        <w:rPr>
          <w:spacing w:val="-4"/>
        </w:rPr>
        <w:t>万元人民币，股权比例为</w:t>
      </w:r>
      <w:r>
        <w:rPr>
          <w:rFonts w:ascii="Times New Roman" w:hAnsi="Times New Roman" w:cs="Times New Roman" w:eastAsia="Times New Roman" w:hint="default"/>
          <w:spacing w:val="-4"/>
        </w:rPr>
        <w:t>10%</w:t>
      </w:r>
      <w:r>
        <w:rPr>
          <w:spacing w:val="-4"/>
        </w:rPr>
        <w:t>；</w:t>
      </w:r>
      <w:r>
        <w:rPr>
          <w:spacing w:val="-48"/>
        </w:rPr>
        <w:t> </w:t>
      </w:r>
      <w:r>
        <w:rPr/>
        <w:t>深圳市英龙建安 </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 </w:t>
      </w:r>
      <w:r>
        <w:rPr/>
        <w:t>有限公司出资额</w:t>
      </w:r>
      <w:r>
        <w:rPr>
          <w:rFonts w:ascii="Times New Roman" w:hAnsi="Times New Roman" w:cs="Times New Roman" w:eastAsia="Times New Roman" w:hint="default"/>
        </w:rPr>
        <w:t>1,100</w:t>
      </w:r>
      <w:r>
        <w:rPr/>
        <w:t>万元人民币，股权比例为</w:t>
      </w:r>
      <w:r>
        <w:rPr>
          <w:rFonts w:ascii="Times New Roman" w:hAnsi="Times New Roman" w:cs="Times New Roman" w:eastAsia="Times New Roman" w:hint="default"/>
        </w:rPr>
        <w:t>10%</w:t>
      </w:r>
      <w:r>
        <w:rPr/>
        <w:t>；深圳市创新投资集团有限公司出资额</w:t>
      </w:r>
      <w:r>
        <w:rPr>
          <w:rFonts w:ascii="Times New Roman" w:hAnsi="Times New Roman" w:cs="Times New Roman" w:eastAsia="Times New Roman" w:hint="default"/>
        </w:rPr>
        <w:t>550</w:t>
      </w:r>
      <w:r>
        <w:rPr/>
        <w:t>万元</w:t>
      </w:r>
      <w:r>
        <w:rPr>
          <w:spacing w:val="-44"/>
        </w:rPr>
        <w:t> </w:t>
      </w:r>
      <w:r>
        <w:rPr/>
        <w:t>人民币，股权比例为</w:t>
      </w:r>
      <w:r>
        <w:rPr>
          <w:rFonts w:ascii="Times New Roman" w:hAnsi="Times New Roman" w:cs="Times New Roman" w:eastAsia="Times New Roman" w:hint="default"/>
        </w:rPr>
        <w:t>5% </w:t>
      </w:r>
      <w:r>
        <w:rPr/>
        <w:t>。上述出资已经立信会计师事务所 </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 </w:t>
      </w:r>
      <w:r>
        <w:rPr/>
        <w:t>出具的信会师报字 </w:t>
      </w:r>
      <w:r>
        <w:rPr>
          <w:rFonts w:ascii="Times New Roman" w:hAnsi="Times New Roman" w:cs="Times New Roman" w:eastAsia="Times New Roman" w:hint="default"/>
        </w:rPr>
        <w:t>[2013]</w:t>
      </w:r>
      <w:r>
        <w:rPr>
          <w:rFonts w:ascii="Times New Roman" w:hAnsi="Times New Roman" w:cs="Times New Roman" w:eastAsia="Times New Roman" w:hint="default"/>
          <w:spacing w:val="22"/>
        </w:rPr>
        <w:t> </w:t>
      </w:r>
      <w:r>
        <w:rPr/>
        <w:t>第</w:t>
      </w:r>
      <w:r>
        <w:rPr>
          <w:rFonts w:ascii="Times New Roman" w:hAnsi="Times New Roman" w:cs="Times New Roman" w:eastAsia="Times New Roman" w:hint="default"/>
        </w:rPr>
        <w:t>310546</w:t>
      </w:r>
      <w:r>
        <w:rPr/>
        <w:t>号《验资报 告》验证。本公司已于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日办理了工商变更登记手续。</w:t>
      </w:r>
    </w:p>
    <w:p>
      <w:pPr>
        <w:spacing w:line="240" w:lineRule="auto" w:before="11"/>
        <w:rPr>
          <w:rFonts w:ascii="宋体" w:hAnsi="宋体" w:cs="宋体" w:eastAsia="宋体" w:hint="default"/>
          <w:sz w:val="24"/>
          <w:szCs w:val="24"/>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日，根据深圳市人民政府国有资产监督管理委员会关于对本公司股权实施战略性调整的通知</w:t>
      </w:r>
      <w:r>
        <w:rPr>
          <w:spacing w:val="-43"/>
        </w:rPr>
        <w:t> </w:t>
      </w:r>
      <w:r>
        <w:rPr>
          <w:rFonts w:ascii="Times New Roman" w:hAnsi="Times New Roman" w:cs="Times New Roman" w:eastAsia="Times New Roman" w:hint="default"/>
        </w:rPr>
        <w:t>(</w:t>
      </w:r>
      <w:r>
        <w:rPr/>
        <w:t>深国资委</w:t>
      </w:r>
      <w:r>
        <w:rPr>
          <w:spacing w:val="-43"/>
        </w:rPr>
        <w:t> </w:t>
      </w:r>
      <w:r>
        <w:rPr>
          <w:rFonts w:ascii="Times New Roman" w:hAnsi="Times New Roman" w:cs="Times New Roman" w:eastAsia="Times New Roman" w:hint="default"/>
        </w:rPr>
        <w:t>[2014]</w:t>
      </w:r>
    </w:p>
    <w:p>
      <w:pPr>
        <w:pStyle w:val="BodyText"/>
        <w:spacing w:line="300" w:lineRule="auto" w:before="63"/>
        <w:ind w:right="1129"/>
        <w:jc w:val="both"/>
      </w:pPr>
      <w:r>
        <w:rPr>
          <w:rFonts w:ascii="Times New Roman" w:hAnsi="Times New Roman" w:cs="Times New Roman" w:eastAsia="Times New Roman" w:hint="default"/>
        </w:rPr>
        <w:t>564</w:t>
      </w:r>
      <w:r>
        <w:rPr/>
        <w:t>号</w:t>
      </w:r>
      <w:r>
        <w:rPr>
          <w:rFonts w:ascii="Times New Roman" w:hAnsi="Times New Roman" w:cs="Times New Roman" w:eastAsia="Times New Roman" w:hint="default"/>
        </w:rPr>
        <w:t>)</w:t>
      </w:r>
      <w:r>
        <w:rPr/>
        <w:t>，决定将深圳市投资控股有限公司持有的本公司</w:t>
      </w:r>
      <w:r>
        <w:rPr>
          <w:rFonts w:ascii="Times New Roman" w:hAnsi="Times New Roman" w:cs="Times New Roman" w:eastAsia="Times New Roman" w:hint="default"/>
        </w:rPr>
        <w:t>60%</w:t>
      </w:r>
      <w:r>
        <w:rPr/>
        <w:t>股权战略性调整至深圳市资本运营集团有限公司</w:t>
      </w:r>
      <w:r>
        <w:rPr>
          <w:spacing w:val="-66"/>
        </w:rPr>
        <w:t> </w:t>
      </w:r>
      <w:r>
        <w:rPr>
          <w:rFonts w:ascii="Times New Roman" w:hAnsi="Times New Roman" w:cs="Times New Roman" w:eastAsia="Times New Roman" w:hint="default"/>
        </w:rPr>
        <w:t>(</w:t>
      </w:r>
      <w:r>
        <w:rPr/>
        <w:t>原名</w:t>
      </w:r>
      <w:r>
        <w:rPr>
          <w:rFonts w:ascii="Times New Roman" w:hAnsi="Times New Roman" w:cs="Times New Roman" w:eastAsia="Times New Roman" w:hint="default"/>
        </w:rPr>
        <w:t>“</w:t>
      </w:r>
      <w:r>
        <w:rPr/>
        <w:t>深圳市远 </w:t>
      </w:r>
      <w:r>
        <w:rPr>
          <w:spacing w:val="-2"/>
        </w:rPr>
        <w:t>致投资有限公司</w:t>
      </w:r>
      <w:r>
        <w:rPr>
          <w:rFonts w:ascii="Times New Roman" w:hAnsi="Times New Roman" w:cs="Times New Roman" w:eastAsia="Times New Roman" w:hint="default"/>
          <w:spacing w:val="-2"/>
        </w:rPr>
        <w:t>”</w:t>
      </w:r>
      <w:r>
        <w:rPr>
          <w:spacing w:val="-2"/>
        </w:rPr>
        <w:t>，经深圳市人民政府国有资产监督管理委员会批准、深圳市市场监督管理局核准，</w:t>
      </w:r>
      <w:r>
        <w:rPr>
          <w:rFonts w:ascii="Times New Roman" w:hAnsi="Times New Roman" w:cs="Times New Roman" w:eastAsia="Times New Roman" w:hint="default"/>
          <w:spacing w:val="-2"/>
        </w:rPr>
        <w:t>“</w:t>
      </w:r>
      <w:r>
        <w:rPr>
          <w:spacing w:val="-2"/>
        </w:rPr>
        <w:t>深圳市远致投资有限公</w:t>
      </w:r>
      <w:r>
        <w:rPr>
          <w:spacing w:val="-42"/>
        </w:rPr>
        <w:t> </w:t>
      </w:r>
      <w:r>
        <w:rPr>
          <w:spacing w:val="-42"/>
        </w:rPr>
      </w:r>
      <w:r>
        <w:rPr/>
        <w:t>司</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日正式更名为</w:t>
      </w:r>
      <w:r>
        <w:rPr>
          <w:rFonts w:ascii="Times New Roman" w:hAnsi="Times New Roman" w:cs="Times New Roman" w:eastAsia="Times New Roman" w:hint="default"/>
        </w:rPr>
        <w:t>“</w:t>
      </w:r>
      <w:r>
        <w:rPr/>
        <w:t>深圳市资本运营集团有限公司</w:t>
      </w:r>
      <w:r>
        <w:rPr>
          <w:rFonts w:ascii="Times New Roman" w:hAnsi="Times New Roman" w:cs="Times New Roman" w:eastAsia="Times New Roman" w:hint="default"/>
        </w:rPr>
        <w:t>”) </w:t>
      </w:r>
      <w:r>
        <w:rPr/>
        <w:t>，深圳市投资控股有限公司已于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日在深圳联</w:t>
      </w:r>
      <w:r>
        <w:rPr>
          <w:spacing w:val="-82"/>
        </w:rPr>
        <w:t> </w:t>
      </w:r>
      <w:r>
        <w:rPr>
          <w:spacing w:val="-82"/>
        </w:rPr>
      </w:r>
      <w:r>
        <w:rPr/>
        <w:t>合产权交易所办理完权益交割。</w:t>
      </w:r>
    </w:p>
    <w:p>
      <w:pPr>
        <w:spacing w:line="240" w:lineRule="auto" w:before="4"/>
        <w:rPr>
          <w:rFonts w:ascii="宋体" w:hAnsi="宋体" w:cs="宋体" w:eastAsia="宋体" w:hint="default"/>
          <w:sz w:val="26"/>
          <w:szCs w:val="26"/>
        </w:rPr>
      </w:pPr>
    </w:p>
    <w:p>
      <w:pPr>
        <w:pStyle w:val="BodyText"/>
        <w:spacing w:line="300" w:lineRule="auto"/>
        <w:ind w:right="1131"/>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日，本公司经中国证券监督管理委员会证监许可</w:t>
      </w:r>
      <w:r>
        <w:rPr>
          <w:spacing w:val="-46"/>
        </w:rPr>
        <w:t> </w:t>
      </w:r>
      <w:r>
        <w:rPr>
          <w:rFonts w:ascii="Times New Roman" w:hAnsi="Times New Roman" w:cs="Times New Roman" w:eastAsia="Times New Roman" w:hint="default"/>
        </w:rPr>
        <w:t>[2017]1</w:t>
      </w:r>
      <w:r>
        <w:rPr>
          <w:rFonts w:ascii="Times New Roman" w:hAnsi="Times New Roman" w:cs="Times New Roman" w:eastAsia="Times New Roman" w:hint="default"/>
          <w:spacing w:val="-23"/>
        </w:rPr>
        <w:t> </w:t>
      </w:r>
      <w:r>
        <w:rPr>
          <w:rFonts w:ascii="Times New Roman" w:hAnsi="Times New Roman" w:cs="Times New Roman" w:eastAsia="Times New Roman" w:hint="default"/>
        </w:rPr>
        <w:t>028</w:t>
      </w:r>
      <w:r>
        <w:rPr/>
        <w:t>号文《关于核准深圳市建筑科学研究院股份有限公 司首次公开发行股票的批复》核准向社会公众公开发行人民币普通股 </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rFonts w:ascii="Times New Roman" w:hAnsi="Times New Roman" w:cs="Times New Roman" w:eastAsia="Times New Roman" w:hint="default"/>
        </w:rPr>
        <w:t>36,666,700</w:t>
      </w:r>
      <w:r>
        <w:rPr/>
        <w:t>股。本公司于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日向社会公 众投资者定价发行人民币普通股</w:t>
      </w:r>
      <w:r>
        <w:rPr>
          <w:spacing w:val="-43"/>
        </w:rPr>
        <w:t> </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rFonts w:ascii="Times New Roman" w:hAnsi="Times New Roman" w:cs="Times New Roman" w:eastAsia="Times New Roman" w:hint="default"/>
        </w:rPr>
        <w:t>36,666,700</w:t>
      </w:r>
      <w:r>
        <w:rPr/>
        <w:t>股，注册资本变更为人民币</w:t>
      </w:r>
      <w:r>
        <w:rPr>
          <w:rFonts w:ascii="Times New Roman" w:hAnsi="Times New Roman" w:cs="Times New Roman" w:eastAsia="Times New Roman" w:hint="default"/>
        </w:rPr>
        <w:t>146,666,700.00</w:t>
      </w:r>
      <w:r>
        <w:rPr/>
        <w:t>元。上述出资已经立信会计师事 务所</w:t>
      </w:r>
      <w:r>
        <w:rPr>
          <w:spacing w:val="-35"/>
        </w:rPr>
        <w:t> </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出具的信会师报字</w:t>
      </w:r>
      <w:r>
        <w:rPr>
          <w:spacing w:val="-3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第</w:t>
      </w:r>
      <w:r>
        <w:rPr>
          <w:rFonts w:ascii="Times New Roman" w:hAnsi="Times New Roman" w:cs="Times New Roman" w:eastAsia="Times New Roman" w:hint="default"/>
        </w:rPr>
        <w:t>ZI10642</w:t>
      </w:r>
      <w:r>
        <w:rPr/>
        <w:t>号《验资报告》验证。本公司股票于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日在深圳证券交 易所挂牌交易。</w:t>
      </w:r>
    </w:p>
    <w:p>
      <w:pPr>
        <w:spacing w:line="240" w:lineRule="auto" w:before="3"/>
        <w:rPr>
          <w:rFonts w:ascii="宋体" w:hAnsi="宋体" w:cs="宋体" w:eastAsia="宋体" w:hint="default"/>
          <w:sz w:val="26"/>
          <w:szCs w:val="26"/>
        </w:rPr>
      </w:pPr>
    </w:p>
    <w:p>
      <w:pPr>
        <w:pStyle w:val="BodyText"/>
        <w:spacing w:line="240" w:lineRule="auto"/>
        <w:ind w:right="0"/>
        <w:jc w:val="both"/>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日，公司注册资本为人民币</w:t>
      </w:r>
      <w:r>
        <w:rPr>
          <w:rFonts w:ascii="Times New Roman" w:hAnsi="Times New Roman" w:cs="Times New Roman" w:eastAsia="Times New Roman" w:hint="default"/>
        </w:rPr>
        <w:t>146,666,700.00</w:t>
      </w:r>
      <w:r>
        <w:rPr/>
        <w:t>元。</w:t>
      </w:r>
    </w:p>
    <w:p>
      <w:pPr>
        <w:spacing w:line="240" w:lineRule="auto" w:before="0"/>
        <w:rPr>
          <w:rFonts w:ascii="宋体" w:hAnsi="宋体" w:cs="宋体" w:eastAsia="宋体" w:hint="default"/>
          <w:sz w:val="18"/>
          <w:szCs w:val="18"/>
        </w:rPr>
      </w:pPr>
    </w:p>
    <w:p>
      <w:pPr>
        <w:pStyle w:val="BodyText"/>
        <w:spacing w:line="312" w:lineRule="auto" w:before="139"/>
        <w:ind w:right="1048"/>
        <w:jc w:val="both"/>
      </w:pPr>
      <w:r>
        <w:rPr>
          <w:spacing w:val="-2"/>
        </w:rPr>
        <w:t>公司经营范围：城市及建筑科学研究，城市规划编制，工程咨询、勘察、设计、质量检测与检查、项目管理、监理及相关技</w:t>
      </w:r>
      <w:r>
        <w:rPr>
          <w:spacing w:val="-65"/>
        </w:rPr>
        <w:t> </w:t>
      </w:r>
      <w:r>
        <w:rPr>
          <w:spacing w:val="-65"/>
        </w:rPr>
      </w:r>
      <w:r>
        <w:rPr>
          <w:spacing w:val="-2"/>
        </w:rPr>
        <w:t>术服务，环境工程检测和咨询，建筑工程性能评估，能耗测评及节能检测评价，绿色节能改造咨询与施工，绿色建筑与园区</w:t>
      </w:r>
      <w:r>
        <w:rPr>
          <w:spacing w:val="-67"/>
        </w:rPr>
        <w:t> </w:t>
      </w:r>
      <w:r>
        <w:rPr>
          <w:spacing w:val="-67"/>
        </w:rPr>
      </w:r>
      <w:r>
        <w:rPr/>
        <w:t>运营管理，碳审计与评估，绿色低碳技术与产品开发、咨询、投资、培训推广和销售贸易，会议展览，物业租赁与管理</w:t>
      </w:r>
      <w:r>
        <w:rPr>
          <w:rFonts w:ascii="Times New Roman" w:hAnsi="Times New Roman" w:cs="Times New Roman" w:eastAsia="Times New Roman" w:hint="default"/>
        </w:rPr>
        <w:t>,</w:t>
      </w:r>
      <w:r>
        <w:rPr/>
        <w:t>建</w:t>
      </w:r>
      <w:r>
        <w:rPr>
          <w:spacing w:val="-42"/>
        </w:rPr>
        <w:t> </w:t>
      </w:r>
      <w:r>
        <w:rPr/>
        <w:t>筑服务，绿色低碳技术培训推广。</w:t>
      </w:r>
    </w:p>
    <w:p>
      <w:pPr>
        <w:spacing w:line="240" w:lineRule="auto" w:before="7"/>
        <w:rPr>
          <w:rFonts w:ascii="宋体" w:hAnsi="宋体" w:cs="宋体" w:eastAsia="宋体" w:hint="default"/>
          <w:sz w:val="25"/>
          <w:szCs w:val="25"/>
        </w:rPr>
      </w:pPr>
    </w:p>
    <w:p>
      <w:pPr>
        <w:pStyle w:val="BodyText"/>
        <w:spacing w:line="309" w:lineRule="auto"/>
        <w:ind w:right="1034"/>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日止，公司合并财务报表范围内子公司共</w:t>
      </w:r>
      <w:r>
        <w:rPr>
          <w:rFonts w:ascii="Times New Roman" w:hAnsi="Times New Roman" w:cs="Times New Roman" w:eastAsia="Times New Roman" w:hint="default"/>
        </w:rPr>
        <w:t>17</w:t>
      </w:r>
      <w:r>
        <w:rPr/>
        <w:t>户，包括：建研检测、市政中心、北京艾科城、深圳艾科城、 </w:t>
      </w:r>
      <w:r>
        <w:rPr>
          <w:spacing w:val="-2"/>
        </w:rPr>
        <w:t>常州城建艾科、上海爱轲、迪赛恩、艾科筑业、深圳玖伊、雄安玖壹、绿研检验、建信筑和、湖北建胜、丰天工程、图强建</w:t>
      </w:r>
      <w:r>
        <w:rPr>
          <w:spacing w:val="-73"/>
        </w:rPr>
        <w:t> </w:t>
      </w:r>
      <w:r>
        <w:rPr>
          <w:spacing w:val="-73"/>
        </w:rPr>
      </w:r>
      <w:r>
        <w:rPr/>
        <w:t>设、精兴建设、领航培训，其中湖北建胜、丰天工程、图强建设、精兴建设、领航培训为本期新增子公司。</w:t>
      </w:r>
    </w:p>
    <w:p>
      <w:pPr>
        <w:spacing w:after="0" w:line="309" w:lineRule="auto"/>
        <w:jc w:val="left"/>
        <w:sectPr>
          <w:pgSz w:w="11910" w:h="16840"/>
          <w:pgMar w:header="748" w:footer="97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9"/>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3"/>
        </w:rPr>
        <w:t> </w:t>
      </w:r>
      <w:r>
        <w:rPr>
          <w:spacing w:val="-63"/>
        </w:rPr>
      </w:r>
      <w:r>
        <w:rPr>
          <w:spacing w:val="-2"/>
        </w:rPr>
        <w:t>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r>
        <w:rPr>
          <w:spacing w:val="-46"/>
        </w:rPr>
        <w:t> </w:t>
      </w:r>
      <w:r>
        <w:rPr>
          <w:spacing w:val="-46"/>
        </w:rPr>
      </w:r>
      <w:r>
        <w:rPr/>
        <w:t>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1"/>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spacing w:val="-2"/>
        </w:rPr>
        <w:t>本公司已评价自报告期末起至少</w:t>
      </w:r>
      <w:r>
        <w:rPr>
          <w:rFonts w:ascii="Times New Roman" w:hAnsi="Times New Roman" w:cs="Times New Roman" w:eastAsia="Times New Roman" w:hint="default"/>
          <w:spacing w:val="-2"/>
        </w:rPr>
        <w:t>12</w:t>
      </w:r>
      <w:r>
        <w:rPr>
          <w:spacing w:val="-2"/>
        </w:rPr>
        <w:t>个月的持续经营能力，本公司管理层相信公司能自本财务报表批准日后不短于</w:t>
      </w:r>
      <w:r>
        <w:rPr>
          <w:rFonts w:ascii="Times New Roman" w:hAnsi="Times New Roman" w:cs="Times New Roman" w:eastAsia="Times New Roman" w:hint="default"/>
          <w:spacing w:val="-2"/>
        </w:rPr>
        <w:t>12</w:t>
      </w:r>
      <w:r>
        <w:rPr>
          <w:spacing w:val="-2"/>
        </w:rPr>
        <w:t>个月的可</w:t>
      </w:r>
      <w:r>
        <w:rPr>
          <w:spacing w:val="-61"/>
        </w:rPr>
        <w:t> </w:t>
      </w:r>
      <w:r>
        <w:rPr>
          <w:spacing w:val="-61"/>
        </w:rPr>
      </w:r>
      <w:r>
        <w:rPr/>
        <w:t>预见未来期间内持续经营。因此，本公司以持续经营为基础编制截至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月</w:t>
      </w:r>
      <w:r>
        <w:rPr>
          <w:rFonts w:ascii="Times New Roman" w:hAnsi="Times New Roman" w:cs="Times New Roman" w:eastAsia="Times New Roman" w:hint="default"/>
        </w:rPr>
        <w:t>31</w:t>
      </w:r>
      <w:r>
        <w:rPr/>
        <w:t>日止的财务报表。</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2"/>
        <w:spacing w:line="240" w:lineRule="auto"/>
        <w:ind w:right="0"/>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574"/>
        <w:jc w:val="left"/>
      </w:pPr>
      <w:r>
        <w:rPr/>
        <w:t>具体会计政策和会计估计提示： 公司重要会计政策及会计估计，是依据财政部发布的企业会计准则的有关规定并结合本公司生产经营特点所制定的。</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031"/>
        <w:jc w:val="left"/>
      </w:pPr>
      <w:r>
        <w:rPr>
          <w:spacing w:val="-3"/>
        </w:rPr>
        <w:t>本财务报表符合财政部颁布的企业会计准则的要求，真实、完整地反映了本公司</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日的合并财务状况和财务状况、</w:t>
      </w:r>
      <w:r>
        <w:rPr>
          <w:spacing w:val="-87"/>
        </w:rPr>
        <w:t> </w:t>
      </w:r>
      <w:r>
        <w:rPr>
          <w:rFonts w:ascii="Times New Roman" w:hAnsi="Times New Roman" w:cs="Times New Roman" w:eastAsia="Times New Roman" w:hint="default"/>
        </w:rPr>
        <w:t>2019</w:t>
      </w:r>
      <w:r>
        <w:rPr/>
        <w:t>年度的合并经营成果和经营成果及合并现金流量和现金流量。 此外，本公司的财务报表同时符合中国证券监督管理委员会</w:t>
      </w:r>
      <w:r>
        <w:rPr>
          <w:spacing w:val="-6"/>
        </w:rPr>
        <w:t> </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证监会</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rFonts w:ascii="Times New Roman" w:hAnsi="Times New Roman" w:cs="Times New Roman" w:eastAsia="Times New Roman" w:hint="default"/>
        </w:rPr>
        <w:t>2014</w:t>
      </w:r>
      <w:r>
        <w:rPr/>
        <w:t>年修订的《公开发行证券的公司信息</w:t>
      </w:r>
      <w:r>
        <w:rPr>
          <w:spacing w:val="-80"/>
        </w:rPr>
        <w:t> </w:t>
      </w:r>
      <w:r>
        <w:rPr>
          <w:spacing w:val="-80"/>
        </w:rPr>
      </w:r>
      <w:r>
        <w:rPr/>
        <w:t>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财务报告的一般规定》有关财务报表及其附注的披露要求。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1"/>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line="547" w:lineRule="auto" w:before="0"/>
        <w:ind w:left="152" w:right="85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04"/>
          <w:sz w:val="21"/>
          <w:szCs w:val="21"/>
        </w:rPr>
        <w:t> </w:t>
      </w: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316" w:lineRule="auto" w:before="49"/>
        <w:ind w:right="0"/>
        <w:jc w:val="left"/>
      </w:pPr>
      <w:r>
        <w:rPr>
          <w:spacing w:val="-2"/>
        </w:rPr>
        <w:t>本公司的记账本位币为人民币，编制财务报表采用的货币为人民币。本公司及子公司选定记账本位币的依据是主要业务收支</w:t>
      </w:r>
      <w:r>
        <w:rPr>
          <w:spacing w:val="-63"/>
        </w:rPr>
        <w:t> </w:t>
      </w:r>
      <w:r>
        <w:rPr>
          <w:spacing w:val="-63"/>
        </w:rPr>
      </w:r>
      <w:r>
        <w:rPr/>
        <w:t>的计价和结算币种。</w:t>
      </w:r>
    </w:p>
    <w:p>
      <w:pPr>
        <w:spacing w:after="0" w:line="316" w:lineRule="auto"/>
        <w:jc w:val="left"/>
        <w:sectPr>
          <w:footerReference w:type="default" r:id="rId13"/>
          <w:pgSz w:w="11910" w:h="16840"/>
          <w:pgMar w:footer="975" w:header="748"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20"/>
        <w:jc w:val="left"/>
      </w:pPr>
      <w:r>
        <w:rPr/>
        <w:t>同一控制下的企业合并 </w:t>
      </w:r>
      <w:r>
        <w:rPr>
          <w:spacing w:val="-2"/>
        </w:rPr>
        <w:t>参与合并的企业在合并前后均受同一方或相同的多方最终控制且该控制并非暂时性的，为同一控制下的企业合并。合并方在</w:t>
      </w:r>
      <w:r>
        <w:rPr>
          <w:spacing w:val="-64"/>
        </w:rPr>
        <w:t> </w:t>
      </w:r>
      <w:r>
        <w:rPr>
          <w:spacing w:val="-64"/>
        </w:rPr>
      </w:r>
      <w:r>
        <w:rPr>
          <w:spacing w:val="-2"/>
        </w:rPr>
        <w:t>企业合并中取得的资产和负债，按照合并日在最终控制方合并财务报表中的账面价值计量。取得的净资产账面价值与支付的</w:t>
      </w:r>
      <w:r>
        <w:rPr>
          <w:spacing w:val="-64"/>
        </w:rPr>
        <w:t> </w:t>
      </w:r>
      <w:r>
        <w:rPr>
          <w:spacing w:val="-64"/>
        </w:rPr>
      </w:r>
      <w:r>
        <w:rPr/>
        <w:t>合并对价账面价值 </w:t>
      </w:r>
      <w:r>
        <w:rPr>
          <w:rFonts w:ascii="Times New Roman" w:hAnsi="Times New Roman" w:cs="Times New Roman" w:eastAsia="Times New Roman" w:hint="default"/>
        </w:rPr>
        <w:t>(</w:t>
      </w:r>
      <w:r>
        <w:rPr/>
        <w:t>或发行股份面值总额</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t>的差额，调整资本公积中的股本溢价；资本公积中的股本溢价不足冲减的，调整 </w:t>
      </w:r>
      <w:r>
        <w:rPr>
          <w:spacing w:val="-2"/>
        </w:rPr>
        <w:t>留存收益。为进行企业合并发生的直接相关费用，于发生时计入当期损益。合并日为合并方实际取得对被合并方控制权的日</w:t>
      </w:r>
      <w:r>
        <w:rPr>
          <w:spacing w:val="-62"/>
        </w:rPr>
        <w:t> </w:t>
      </w:r>
      <w:r>
        <w:rPr>
          <w:spacing w:val="-62"/>
        </w:rPr>
      </w:r>
      <w:r>
        <w:rPr/>
        <w:t>期。</w:t>
      </w:r>
    </w:p>
    <w:p>
      <w:pPr>
        <w:pStyle w:val="BodyText"/>
        <w:spacing w:line="314" w:lineRule="auto" w:before="20"/>
        <w:ind w:right="1117"/>
        <w:jc w:val="left"/>
      </w:pPr>
      <w:r>
        <w:rPr/>
        <w:t>非同一控制下的企业合并 </w:t>
      </w:r>
      <w:r>
        <w:rPr>
          <w:spacing w:val="-2"/>
        </w:rPr>
        <w:t>参与合并的各方在合并前后不受同一方或相同的多方最终控制的，为非同一控制下的企业合并。本集团作为购买方，为取得</w:t>
      </w:r>
      <w:r>
        <w:rPr>
          <w:spacing w:val="-66"/>
        </w:rPr>
        <w:t> </w:t>
      </w:r>
      <w:r>
        <w:rPr>
          <w:spacing w:val="-66"/>
        </w:rPr>
      </w:r>
      <w:r>
        <w:rPr/>
        <w:t>被购买方控制权而付出的资产 </w:t>
      </w:r>
      <w:r>
        <w:rPr>
          <w:rFonts w:ascii="Times New Roman" w:hAnsi="Times New Roman" w:cs="Times New Roman" w:eastAsia="Times New Roman" w:hint="default"/>
        </w:rPr>
        <w:t>(</w:t>
      </w:r>
      <w:r>
        <w:rPr/>
        <w:t>包括购买日之前所持有的被购买方的股权</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、发生或承担的负债以及发行的权益性证券在购 </w:t>
      </w:r>
      <w:r>
        <w:rPr>
          <w:spacing w:val="-2"/>
        </w:rPr>
        <w:t>买日的公允价值之和，减去合并中取得的被购买方可辨认净资产于购买日公允价值份额的差额，如为正数则确认为商誉；如</w:t>
      </w:r>
      <w:r>
        <w:rPr>
          <w:spacing w:val="-63"/>
        </w:rPr>
        <w:t> </w:t>
      </w:r>
      <w:r>
        <w:rPr>
          <w:spacing w:val="-63"/>
        </w:rPr>
      </w:r>
      <w:r>
        <w:rPr>
          <w:spacing w:val="-2"/>
        </w:rPr>
        <w:t>为负数则计入当期损益。本集团将作为合并对价发行的权益性证券或债务性证券的交易费用，计入权益性证券或债务性证券</w:t>
      </w:r>
      <w:r>
        <w:rPr>
          <w:spacing w:val="-62"/>
        </w:rPr>
        <w:t> </w:t>
      </w:r>
      <w:r>
        <w:rPr>
          <w:spacing w:val="-62"/>
        </w:rPr>
      </w:r>
      <w:r>
        <w:rPr>
          <w:spacing w:val="-2"/>
        </w:rPr>
        <w:t>的初始确认金额。本集团为进行企业合并发生的各项直接费用计入当期损益。付出资产的公允价值与其账面价值的差额，计</w:t>
      </w:r>
      <w:r>
        <w:rPr>
          <w:spacing w:val="-63"/>
        </w:rPr>
        <w:t> </w:t>
      </w:r>
      <w:r>
        <w:rPr>
          <w:spacing w:val="-63"/>
        </w:rPr>
      </w:r>
      <w:r>
        <w:rPr>
          <w:spacing w:val="-2"/>
        </w:rPr>
        <w:t>入当期损益。本集团在购买日按公允价值确认所取得的被购买方符合确认条件的各项可辨认资产、负债及或有负债。购买日</w:t>
      </w:r>
      <w:r>
        <w:rPr>
          <w:spacing w:val="-66"/>
        </w:rPr>
        <w:t> </w:t>
      </w:r>
      <w:r>
        <w:rPr>
          <w:spacing w:val="-66"/>
        </w:rPr>
      </w:r>
      <w:r>
        <w:rPr/>
        <w:t>是指购买方实际取得对被购买方控制权的日期。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8"/>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11"/>
        <w:jc w:val="left"/>
      </w:pPr>
      <w:r>
        <w:rPr/>
        <w:t>总体原则 </w:t>
      </w:r>
      <w:r>
        <w:rPr>
          <w:spacing w:val="-2"/>
        </w:rPr>
        <w:t>合并财务报表的合并范围以控制为基础予以确定，包括本公司及本公司控制的子公司。控制，是指本集团拥有对被投资方的</w:t>
      </w:r>
      <w:r>
        <w:rPr>
          <w:spacing w:val="-63"/>
        </w:rPr>
        <w:t> </w:t>
      </w:r>
      <w:r>
        <w:rPr>
          <w:spacing w:val="-63"/>
        </w:rPr>
      </w:r>
      <w:r>
        <w:rPr>
          <w:spacing w:val="-2"/>
        </w:rPr>
        <w:t>权力，通过参与被投资方的相关活动而享有可变回报，并且有能力运用对被投资方的权力影响其回报金额。在判断本集团是</w:t>
      </w:r>
      <w:r>
        <w:rPr>
          <w:spacing w:val="-61"/>
        </w:rPr>
        <w:t> </w:t>
      </w:r>
      <w:r>
        <w:rPr>
          <w:spacing w:val="-61"/>
        </w:rPr>
      </w:r>
      <w:r>
        <w:rPr/>
        <w:t>否拥有对被投资方的权力时，本集团仅考虑与被投资方相关的实质性权利</w:t>
      </w:r>
      <w:r>
        <w:rPr>
          <w:spacing w:val="-47"/>
        </w:rPr>
        <w:t> </w:t>
      </w:r>
      <w:r>
        <w:rPr>
          <w:rFonts w:ascii="Times New Roman" w:hAnsi="Times New Roman" w:cs="Times New Roman" w:eastAsia="Times New Roman" w:hint="default"/>
        </w:rPr>
        <w:t>(</w:t>
      </w:r>
      <w:r>
        <w:rPr/>
        <w:t>包括本集团自身所享有的及其他方所享有的实质 性权利</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。子公司的财务状况、经营成果和现金流量由控制开始日起至控制结束日止包含于合并财务报表中。 </w:t>
      </w:r>
      <w:r>
        <w:rPr>
          <w:spacing w:val="-2"/>
        </w:rPr>
        <w:t>子公司少数股东应占的权益、损益和综合收益总额分别在合并资产负债表的股东权益中和合并利润表的净利润及综合收益总</w:t>
      </w:r>
      <w:r>
        <w:rPr>
          <w:spacing w:val="-64"/>
        </w:rPr>
        <w:t> </w:t>
      </w:r>
      <w:r>
        <w:rPr>
          <w:spacing w:val="-64"/>
        </w:rPr>
      </w:r>
      <w:r>
        <w:rPr/>
        <w:t>额项目后单独列示。 </w:t>
      </w:r>
      <w:r>
        <w:rPr>
          <w:spacing w:val="-2"/>
        </w:rPr>
        <w:t>如果子公司少数股东分担的当期亏损超过了少数股东在该子公司期初所有者权益中所享有的份额的，其余额仍冲减少数股东</w:t>
      </w:r>
      <w:r>
        <w:rPr>
          <w:spacing w:val="-64"/>
        </w:rPr>
        <w:t> </w:t>
      </w:r>
      <w:r>
        <w:rPr>
          <w:spacing w:val="-64"/>
        </w:rPr>
      </w:r>
      <w:r>
        <w:rPr/>
        <w:t>权益。 </w:t>
      </w:r>
      <w:r>
        <w:rPr>
          <w:spacing w:val="-2"/>
        </w:rPr>
        <w:t>当子公司所采用的会计期间或会计政策与本公司不一致时，合并时已按照本公司的会计期间或会计政策对子公司财务报表进</w:t>
      </w:r>
      <w:r>
        <w:rPr>
          <w:spacing w:val="-63"/>
        </w:rPr>
        <w:t> </w:t>
      </w:r>
      <w:r>
        <w:rPr>
          <w:spacing w:val="-63"/>
        </w:rPr>
      </w:r>
      <w:r>
        <w:rPr>
          <w:spacing w:val="-2"/>
        </w:rPr>
        <w:t>行必要的调整。合并时所有集团内部交易及余额，包括未实现内部交易损益均已抵销。集团内部交易发生的未实现损失，有</w:t>
      </w:r>
      <w:r>
        <w:rPr>
          <w:spacing w:val="-64"/>
        </w:rPr>
        <w:t> </w:t>
      </w:r>
      <w:r>
        <w:rPr>
          <w:spacing w:val="-64"/>
        </w:rPr>
      </w:r>
      <w:r>
        <w:rPr/>
        <w:t>证据表明该损失是相关资产减值损失的，则全额确认该损失。</w:t>
      </w:r>
    </w:p>
    <w:p>
      <w:pPr>
        <w:pStyle w:val="BodyText"/>
        <w:spacing w:line="319" w:lineRule="auto" w:before="20"/>
        <w:ind w:right="0"/>
        <w:jc w:val="left"/>
      </w:pPr>
      <w:r>
        <w:rPr/>
        <w:t>合并取得子公司 </w:t>
      </w:r>
      <w:r>
        <w:rPr>
          <w:spacing w:val="-2"/>
        </w:rPr>
        <w:t>对于通过同一控制下企业合并取得的子公司，在编制合并当期财务报表时，以被合并子公司的各项资产、负债在最终控制方</w:t>
      </w:r>
      <w:r>
        <w:rPr>
          <w:spacing w:val="-63"/>
        </w:rPr>
        <w:t> </w:t>
      </w:r>
      <w:r>
        <w:rPr>
          <w:spacing w:val="-63"/>
        </w:rPr>
      </w:r>
      <w:r>
        <w:rPr>
          <w:spacing w:val="-2"/>
        </w:rPr>
        <w:t>财务报表中的账面价值为基础，视同被合并子公司在本公司最终控制方对其开始实施控制时纳入本公司合并范围，并对合并</w:t>
      </w:r>
      <w:r>
        <w:rPr>
          <w:spacing w:val="-64"/>
        </w:rPr>
        <w:t> </w:t>
      </w:r>
      <w:r>
        <w:rPr>
          <w:spacing w:val="-64"/>
        </w:rPr>
      </w:r>
      <w:r>
        <w:rPr/>
        <w:t>财务报表的期初数以及前期比较报表进行相应调整。 </w:t>
      </w:r>
      <w:r>
        <w:rPr>
          <w:spacing w:val="-4"/>
        </w:rPr>
        <w:t>对于通过非同一控制下企业合并取得的子公司，在编制合并当期财务报表时，以购买日确定的被购买子公司各项可辨认资产、</w:t>
      </w:r>
      <w:r>
        <w:rPr>
          <w:spacing w:val="-44"/>
        </w:rPr>
        <w:t> </w:t>
      </w:r>
      <w:r>
        <w:rPr>
          <w:spacing w:val="-44"/>
        </w:rPr>
      </w:r>
      <w:r>
        <w:rPr/>
        <w:t>负债的公允价值为基础自购买日起将被购买子公司纳入本公司合并范围。</w:t>
      </w:r>
    </w:p>
    <w:p>
      <w:pPr>
        <w:pStyle w:val="BodyText"/>
        <w:spacing w:line="316" w:lineRule="auto" w:before="17"/>
        <w:ind w:right="1034"/>
        <w:jc w:val="left"/>
      </w:pPr>
      <w:r>
        <w:rPr/>
        <w:t>处置子公司 </w:t>
      </w:r>
      <w:r>
        <w:rPr>
          <w:spacing w:val="-4"/>
        </w:rPr>
        <w:t>本集团丧失对原有子公司控制权时，由此产生的任何处置收益或损失，计入丧失控制权当期的投资收益。对于剩余股权投资，</w:t>
      </w:r>
      <w:r>
        <w:rPr>
          <w:spacing w:val="-44"/>
        </w:rPr>
        <w:t> </w:t>
      </w:r>
      <w:r>
        <w:rPr>
          <w:spacing w:val="-44"/>
        </w:rPr>
      </w:r>
      <w:r>
        <w:rPr/>
        <w:t>本集团按照其在丧失控制权日的公允价值进行重新计量，由此产生的任何收益或损失，也计入丧失控制权当期的投资收益。 少数股东权益变动 </w:t>
      </w:r>
      <w:r>
        <w:rPr>
          <w:spacing w:val="-2"/>
        </w:rPr>
        <w:t>本公司因购买少数股权新取得的长期股权投资成本与按照新增持股比例计算应享有子公司的净资产份额之间的差额，以及在</w:t>
      </w:r>
      <w:r>
        <w:rPr>
          <w:spacing w:val="-62"/>
        </w:rPr>
        <w:t> </w:t>
      </w:r>
      <w:r>
        <w:rPr>
          <w:spacing w:val="-62"/>
        </w:rPr>
      </w:r>
      <w:r>
        <w:rPr/>
        <w:t>不丧失控制权的情况下因部分处置对子公司的股权投资而取得的处置价款与处置长期股权投资相对应享有子公司净资产的</w:t>
      </w:r>
    </w:p>
    <w:p>
      <w:pPr>
        <w:spacing w:after="0" w:line="316" w:lineRule="auto"/>
        <w:jc w:val="left"/>
        <w:sectPr>
          <w:footerReference w:type="default" r:id="rId14"/>
          <w:pgSz w:w="11910" w:h="16840"/>
          <w:pgMar w:footer="975" w:header="748" w:top="1060" w:bottom="1160" w:left="980" w:right="0"/>
          <w:pgNumType w:start="101"/>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差额，均调整合并资产负债表中的资本公积 </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，资本公积 </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现金和现金等价物包括库存现金、可以随时用于支付的存款以及持有期限短、流动性强、易于转换为已知金额现金、价值变</w:t>
      </w:r>
      <w:r>
        <w:rPr>
          <w:spacing w:val="-64"/>
        </w:rPr>
        <w:t> </w:t>
      </w:r>
      <w:r>
        <w:rPr>
          <w:spacing w:val="-64"/>
        </w:rPr>
      </w:r>
      <w:r>
        <w:rPr/>
        <w:t>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6"/>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9"/>
        <w:jc w:val="left"/>
      </w:pPr>
      <w:r>
        <w:rPr>
          <w:spacing w:val="-2"/>
        </w:rPr>
        <w:t>本集团收到投资者以外币投入资本时按当日即期汇率折合为人民币，其他外币交易在初始确认时按交易发生日的即期汇率折</w:t>
      </w:r>
      <w:r>
        <w:rPr>
          <w:spacing w:val="-63"/>
        </w:rPr>
        <w:t> </w:t>
      </w:r>
      <w:r>
        <w:rPr>
          <w:spacing w:val="-63"/>
        </w:rPr>
      </w:r>
      <w:r>
        <w:rPr/>
        <w:t>合为人民币。 </w:t>
      </w:r>
      <w:r>
        <w:rPr>
          <w:spacing w:val="-2"/>
        </w:rPr>
        <w:t>于资产负债表日，外币货币性项目采用该日的即期汇率折算。除与购建符合资本化条件资产有关的专门借款本金和利息的汇</w:t>
      </w:r>
      <w:r>
        <w:rPr>
          <w:spacing w:val="-64"/>
        </w:rPr>
        <w:t> </w:t>
      </w:r>
      <w:r>
        <w:rPr>
          <w:spacing w:val="-64"/>
        </w:rPr>
      </w:r>
      <w:r>
        <w:rPr>
          <w:spacing w:val="-2"/>
        </w:rPr>
        <w:t>兑差额外，其他汇兑差额计入当期损益。以历史成本计量的外币非货币性项目，仍采用交易发生日的即期汇率折算。以公允</w:t>
      </w:r>
      <w:r>
        <w:rPr>
          <w:spacing w:val="-65"/>
        </w:rPr>
        <w:t> </w:t>
      </w:r>
      <w:r>
        <w:rPr>
          <w:spacing w:val="-65"/>
        </w:rPr>
      </w:r>
      <w:r>
        <w:rPr>
          <w:spacing w:val="-2"/>
        </w:rPr>
        <w:t>价值计量的外币非货币性项目，采用公允价值确定日的即期汇率折算，由此产生的汇兑差额，属于以公允价值计量且其变动</w:t>
      </w:r>
      <w:r>
        <w:rPr>
          <w:spacing w:val="-63"/>
        </w:rPr>
        <w:t> </w:t>
      </w:r>
      <w:r>
        <w:rPr>
          <w:spacing w:val="-63"/>
        </w:rPr>
      </w:r>
      <w:r>
        <w:rPr/>
        <w:t>计入其他综合收益的权益工具投资的差额，计入其他综合收益；其他差额计入当期损益。 </w:t>
      </w:r>
      <w:r>
        <w:rPr>
          <w:spacing w:val="-2"/>
        </w:rPr>
        <w:t>对境外经营的财务报表进行折算时，资产负债表中的资产和负债项目，采用资产负债表日的即期汇率折算，股东权益项目中</w:t>
      </w:r>
      <w:r>
        <w:rPr>
          <w:spacing w:val="-62"/>
        </w:rPr>
        <w:t> </w:t>
      </w:r>
      <w:r>
        <w:rPr>
          <w:spacing w:val="-62"/>
        </w:rPr>
      </w:r>
      <w:r>
        <w:rPr>
          <w:spacing w:val="-2"/>
        </w:rPr>
        <w:t>除未分配利润及其他综合收益中的外币财务报表折算差额项目外，其他项目采用发生时的即期汇率折算。利润表中的收入和</w:t>
      </w:r>
      <w:r>
        <w:rPr>
          <w:spacing w:val="-64"/>
        </w:rPr>
        <w:t> </w:t>
      </w:r>
      <w:r>
        <w:rPr>
          <w:spacing w:val="-64"/>
        </w:rPr>
      </w:r>
      <w:r>
        <w:rPr>
          <w:spacing w:val="-2"/>
        </w:rPr>
        <w:t>费用项目，采用交易发生日的即期汇率折算。按照上述折算产生的外币财务报表折算差额，在其他综合收益中列示。处置境</w:t>
      </w:r>
      <w:r>
        <w:rPr>
          <w:spacing w:val="-64"/>
        </w:rPr>
        <w:t> </w:t>
      </w:r>
      <w:r>
        <w:rPr>
          <w:spacing w:val="-64"/>
        </w:rPr>
      </w:r>
      <w:r>
        <w:rPr/>
        <w:t>外经营时，相关的外币财务报表折算差额自其他综合收益转入处置当期损益。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6"/>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tabs>
          <w:tab w:pos="573" w:val="left" w:leader="none"/>
        </w:tabs>
        <w:spacing w:line="309" w:lineRule="auto"/>
        <w:ind w:right="2311"/>
        <w:jc w:val="left"/>
      </w:pPr>
      <w:r>
        <w:rPr/>
        <w:t>本集团的金融工具包括货币资金、除长期股权投资以外的股权投资、应收款项、应付款项、借款及股本等。 </w:t>
      </w:r>
      <w:r>
        <w:rPr>
          <w:rFonts w:ascii="Times New Roman" w:hAnsi="Times New Roman" w:cs="Times New Roman" w:eastAsia="Times New Roman" w:hint="default"/>
        </w:rPr>
        <w:t>(1)</w:t>
        <w:tab/>
      </w:r>
      <w:r>
        <w:rPr/>
        <w:t>金融资产及金融负债的确认和初始计量 金融资产和金融负债在本集团成为相关金融工具合同条款的一方时，于资产负债表内确认。</w:t>
      </w:r>
    </w:p>
    <w:p>
      <w:pPr>
        <w:pStyle w:val="BodyText"/>
        <w:spacing w:line="316" w:lineRule="auto" w:before="24"/>
        <w:ind w:right="1130"/>
        <w:jc w:val="both"/>
      </w:pPr>
      <w:r>
        <w:rPr>
          <w:spacing w:val="-2"/>
        </w:rPr>
        <w:t>除不具有重大融资成分的应收账款外，在初始确认时，金融资产及金融负债均以公允价值计量。对于以公允价值计量且其变</w:t>
      </w:r>
      <w:r>
        <w:rPr>
          <w:spacing w:val="-66"/>
        </w:rPr>
        <w:t> </w:t>
      </w:r>
      <w:r>
        <w:rPr>
          <w:spacing w:val="-66"/>
        </w:rPr>
      </w:r>
      <w:r>
        <w:rPr>
          <w:spacing w:val="-2"/>
        </w:rPr>
        <w:t>动计入当期损益的金融资产或金融负债，相关交易费用直接计入当期损益；对于其他类别的金融资产或金融负债，相关交易</w:t>
      </w:r>
      <w:r>
        <w:rPr>
          <w:spacing w:val="-63"/>
        </w:rPr>
        <w:t> </w:t>
      </w:r>
      <w:r>
        <w:rPr>
          <w:spacing w:val="-63"/>
        </w:rPr>
      </w:r>
      <w:r>
        <w:rPr>
          <w:spacing w:val="-2"/>
        </w:rPr>
        <w:t>费用计入初始确认金额。对于不具有重大融资成分的应收账款，本集团按照根据收入的会计政策确定的交易价格进行初始计</w:t>
      </w:r>
      <w:r>
        <w:rPr>
          <w:spacing w:val="-64"/>
        </w:rPr>
        <w:t> </w:t>
      </w:r>
      <w:r>
        <w:rPr>
          <w:spacing w:val="-64"/>
        </w:rPr>
      </w:r>
      <w:r>
        <w:rPr/>
        <w:t>量。</w:t>
      </w:r>
    </w:p>
    <w:p>
      <w:pPr>
        <w:spacing w:line="240" w:lineRule="auto" w:before="4"/>
        <w:rPr>
          <w:rFonts w:ascii="宋体" w:hAnsi="宋体" w:cs="宋体" w:eastAsia="宋体" w:hint="default"/>
          <w:sz w:val="25"/>
          <w:szCs w:val="25"/>
        </w:rPr>
      </w:pPr>
    </w:p>
    <w:p>
      <w:pPr>
        <w:pStyle w:val="BodyText"/>
        <w:tabs>
          <w:tab w:pos="573" w:val="left" w:leader="none"/>
        </w:tabs>
        <w:spacing w:line="240" w:lineRule="auto"/>
        <w:ind w:right="0"/>
        <w:jc w:val="left"/>
      </w:pPr>
      <w:r>
        <w:rPr>
          <w:rFonts w:ascii="Times New Roman" w:hAnsi="Times New Roman" w:cs="Times New Roman" w:eastAsia="Times New Roman" w:hint="default"/>
        </w:rPr>
        <w:t>(2)</w:t>
        <w:tab/>
      </w:r>
      <w:r>
        <w:rPr/>
        <w:t>金融资产的分类和后续计量</w:t>
      </w:r>
    </w:p>
    <w:p>
      <w:pPr>
        <w:pStyle w:val="BodyText"/>
        <w:tabs>
          <w:tab w:pos="573" w:val="left" w:leader="none"/>
        </w:tabs>
        <w:spacing w:line="314" w:lineRule="auto" w:before="63"/>
        <w:ind w:right="1131"/>
        <w:jc w:val="left"/>
      </w:pPr>
      <w:r>
        <w:rPr>
          <w:rFonts w:ascii="Times New Roman" w:hAnsi="Times New Roman" w:cs="Times New Roman" w:eastAsia="Times New Roman" w:hint="default"/>
          <w:spacing w:val="-1"/>
        </w:rPr>
        <w:t>(a)</w:t>
        <w:tab/>
      </w:r>
      <w:r>
        <w:rPr/>
        <w:t>本集团金融资产的分类</w:t>
      </w:r>
      <w:r>
        <w:rPr>
          <w:w w:val="99"/>
        </w:rPr>
        <w:t> </w:t>
      </w:r>
      <w:r>
        <w:rPr>
          <w:spacing w:val="-2"/>
        </w:rPr>
        <w:t>本集团通常根据管理金融资产的业务模式和金融资产的合同现金流量特征，在初始确认时将金融资产分为不同类别：以摊余</w:t>
      </w:r>
      <w:r>
        <w:rPr>
          <w:spacing w:val="-64"/>
        </w:rPr>
        <w:t> </w:t>
      </w:r>
      <w:r>
        <w:rPr>
          <w:spacing w:val="-64"/>
        </w:rPr>
      </w:r>
      <w:r>
        <w:rPr>
          <w:spacing w:val="-2"/>
          <w:w w:val="99"/>
        </w:rPr>
        <w:t>成本计量的金融资产、以公允价值计量且其变动计入其他综合收益的金融资产及以公允价值计量且其变动计入当期损益的金</w:t>
      </w:r>
      <w:r>
        <w:rPr>
          <w:spacing w:val="-64"/>
          <w:w w:val="99"/>
        </w:rPr>
        <w:t> </w:t>
      </w:r>
      <w:r>
        <w:rPr>
          <w:spacing w:val="-64"/>
          <w:w w:val="99"/>
        </w:rPr>
      </w:r>
      <w:r>
        <w:rPr/>
        <w:t>融资产。</w:t>
      </w:r>
      <w:r>
        <w:rPr>
          <w:w w:val="99"/>
        </w:rPr>
        <w:t> </w:t>
      </w:r>
      <w:r>
        <w:rPr>
          <w:spacing w:val="-2"/>
        </w:rPr>
        <w:t>除非本集团改变管理金融资产的业务模式，在此情形下，所有受影响的相关金融资产在业务模式发生变更后的首个报告期间</w:t>
      </w:r>
      <w:r>
        <w:rPr>
          <w:spacing w:val="-65"/>
        </w:rPr>
        <w:t> </w:t>
      </w:r>
      <w:r>
        <w:rPr>
          <w:spacing w:val="-65"/>
        </w:rPr>
      </w:r>
      <w:r>
        <w:rPr/>
        <w:t>的第一天进行重分类，否则金融资产在初始确认后不得进行重分类。</w:t>
      </w:r>
    </w:p>
    <w:p>
      <w:pPr>
        <w:spacing w:line="240" w:lineRule="auto" w:before="6"/>
        <w:rPr>
          <w:rFonts w:ascii="宋体" w:hAnsi="宋体" w:cs="宋体" w:eastAsia="宋体" w:hint="default"/>
          <w:sz w:val="25"/>
          <w:szCs w:val="25"/>
        </w:rPr>
      </w:pPr>
    </w:p>
    <w:p>
      <w:pPr>
        <w:pStyle w:val="BodyText"/>
        <w:spacing w:line="316" w:lineRule="auto"/>
        <w:ind w:right="1119"/>
        <w:jc w:val="left"/>
      </w:pPr>
      <w:r>
        <w:rPr>
          <w:spacing w:val="-2"/>
        </w:rPr>
        <w:t>本集团将同时符合下列条件且未被指定为以公允价值计量且其变动计入当期损益的金融资产，分类为以摊余成本计量的金融</w:t>
      </w:r>
      <w:r>
        <w:rPr>
          <w:spacing w:val="-64"/>
        </w:rPr>
        <w:t> </w:t>
      </w:r>
      <w:r>
        <w:rPr>
          <w:spacing w:val="-64"/>
        </w:rPr>
      </w:r>
      <w:r>
        <w:rPr/>
        <w:t>资产：</w:t>
      </w:r>
    </w:p>
    <w:p>
      <w:pPr>
        <w:pStyle w:val="BodyText"/>
        <w:tabs>
          <w:tab w:pos="573" w:val="left" w:leader="none"/>
        </w:tabs>
        <w:spacing w:line="240" w:lineRule="auto" w:before="18"/>
        <w:ind w:right="0"/>
        <w:jc w:val="left"/>
      </w:pPr>
      <w:r>
        <w:rPr>
          <w:rFonts w:ascii="Times New Roman" w:hAnsi="Times New Roman" w:cs="Times New Roman" w:eastAsia="Times New Roman" w:hint="default"/>
        </w:rPr>
        <w:t>-</w:t>
        <w:tab/>
      </w:r>
      <w:r>
        <w:rPr/>
        <w:t>本集团管理该金融资产的业务模式是以收取合同现金流量为目标；</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该金融资产的合同条款规定，在特定日期产生的现金流量，仅为对本金和以未偿付本金金额为基础的利息的支付。</w:t>
      </w:r>
    </w:p>
    <w:p>
      <w:pPr>
        <w:spacing w:after="0" w:line="240"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316" w:lineRule="auto" w:before="44"/>
        <w:ind w:right="0"/>
        <w:jc w:val="left"/>
      </w:pPr>
      <w:r>
        <w:rPr>
          <w:spacing w:val="-2"/>
        </w:rPr>
        <w:t>本集团将同时符合下列条件且未被指定为以公允价值计量且其变动计入当期损益的金融资产，分类为以公允价值计量且其变</w:t>
      </w:r>
      <w:r>
        <w:rPr>
          <w:spacing w:val="-64"/>
        </w:rPr>
        <w:t> </w:t>
      </w:r>
      <w:r>
        <w:rPr>
          <w:spacing w:val="-64"/>
        </w:rPr>
      </w:r>
      <w:r>
        <w:rPr/>
        <w:t>动计入其他综合收益的金融资产：</w:t>
      </w:r>
    </w:p>
    <w:p>
      <w:pPr>
        <w:pStyle w:val="BodyText"/>
        <w:tabs>
          <w:tab w:pos="573" w:val="left" w:leader="none"/>
        </w:tabs>
        <w:spacing w:line="240" w:lineRule="auto" w:before="19"/>
        <w:ind w:right="0"/>
        <w:jc w:val="left"/>
      </w:pPr>
      <w:r>
        <w:rPr>
          <w:rFonts w:ascii="Times New Roman" w:hAnsi="Times New Roman" w:cs="Times New Roman" w:eastAsia="Times New Roman" w:hint="default"/>
        </w:rPr>
        <w:t>-</w:t>
        <w:tab/>
      </w:r>
      <w:r>
        <w:rPr/>
        <w:t>本集团管理该金融资产的业务模式既以收取合同现金流量为目标又以出售该金融资产为目标；</w:t>
      </w:r>
    </w:p>
    <w:p>
      <w:pPr>
        <w:pStyle w:val="BodyText"/>
        <w:tabs>
          <w:tab w:pos="573" w:val="left" w:leader="none"/>
        </w:tabs>
        <w:spacing w:line="309" w:lineRule="auto" w:before="63"/>
        <w:ind w:right="1131"/>
        <w:jc w:val="left"/>
      </w:pPr>
      <w:r>
        <w:rPr>
          <w:rFonts w:ascii="Times New Roman" w:hAnsi="Times New Roman" w:cs="Times New Roman" w:eastAsia="Times New Roman" w:hint="default"/>
        </w:rPr>
        <w:t>-</w:t>
        <w:tab/>
      </w:r>
      <w:r>
        <w:rPr/>
        <w:t>该金融资产的合同条款规定，在特定日期产生的现金流量，仅为对本金和以未偿付本金金额为基础的利息的支付。</w:t>
      </w:r>
      <w:r>
        <w:rPr>
          <w:w w:val="99"/>
        </w:rPr>
        <w:t> </w:t>
      </w:r>
      <w:r>
        <w:rPr>
          <w:spacing w:val="-2"/>
          <w:w w:val="99"/>
        </w:rPr>
        <w:t>对于非交易性权益工具投资，本集团可在初始确认时将其不可撤销地指定为以公允价值计量且其变动计入其他综合收益的金</w:t>
      </w:r>
      <w:r>
        <w:rPr>
          <w:spacing w:val="-63"/>
          <w:w w:val="99"/>
        </w:rPr>
        <w:t> </w:t>
      </w:r>
      <w:r>
        <w:rPr>
          <w:spacing w:val="-63"/>
          <w:w w:val="99"/>
        </w:rPr>
      </w:r>
      <w:r>
        <w:rPr/>
        <w:t>融资产。该指定在单项投资的基础上作出，且相关投资从发行者的角度符合权益工具的定义。</w:t>
      </w:r>
    </w:p>
    <w:p>
      <w:pPr>
        <w:spacing w:line="240" w:lineRule="auto" w:before="9"/>
        <w:rPr>
          <w:rFonts w:ascii="宋体" w:hAnsi="宋体" w:cs="宋体" w:eastAsia="宋体" w:hint="default"/>
          <w:sz w:val="25"/>
          <w:szCs w:val="25"/>
        </w:rPr>
      </w:pPr>
    </w:p>
    <w:p>
      <w:pPr>
        <w:pStyle w:val="BodyText"/>
        <w:spacing w:line="316" w:lineRule="auto"/>
        <w:ind w:right="0"/>
        <w:jc w:val="left"/>
      </w:pPr>
      <w:r>
        <w:rPr>
          <w:spacing w:val="-2"/>
        </w:rPr>
        <w:t>除上述以摊余成本计量和以公允价值计量且其变动计入其他综合收益的金融资产外，本集团将其余所有的金融资产分类为以</w:t>
      </w:r>
      <w:r>
        <w:rPr>
          <w:spacing w:val="-64"/>
        </w:rPr>
        <w:t> </w:t>
      </w:r>
      <w:r>
        <w:rPr>
          <w:spacing w:val="-64"/>
        </w:rPr>
      </w:r>
      <w:r>
        <w:rPr>
          <w:spacing w:val="-2"/>
        </w:rPr>
        <w:t>公允价值计量且其变动计入当期损益的金融资产。在初始确认时，如果能够消除或显著减少会计错配，本集团可以将本应以</w:t>
      </w:r>
      <w:r>
        <w:rPr>
          <w:spacing w:val="-63"/>
        </w:rPr>
        <w:t> </w:t>
      </w:r>
      <w:r>
        <w:rPr>
          <w:spacing w:val="-63"/>
        </w:rPr>
      </w:r>
      <w:r>
        <w:rPr/>
        <w:t>摊余成本计量或以公允价值计量且其变动计入其他综合收益的金融资产不可撤销地指定为以公允价值计量且其变动计入当 期损益的金融资产。</w:t>
      </w:r>
    </w:p>
    <w:p>
      <w:pPr>
        <w:spacing w:line="240" w:lineRule="auto" w:before="4"/>
        <w:rPr>
          <w:rFonts w:ascii="宋体" w:hAnsi="宋体" w:cs="宋体" w:eastAsia="宋体" w:hint="default"/>
          <w:sz w:val="25"/>
          <w:szCs w:val="25"/>
        </w:rPr>
      </w:pPr>
    </w:p>
    <w:p>
      <w:pPr>
        <w:pStyle w:val="BodyText"/>
        <w:spacing w:line="316" w:lineRule="auto"/>
        <w:ind w:right="1130"/>
        <w:jc w:val="both"/>
      </w:pPr>
      <w:r>
        <w:rPr>
          <w:spacing w:val="-2"/>
        </w:rPr>
        <w:t>管理金融资产的业务模式，是指本集团如何管理金融资产以产生现金流量。业务模式决定本集团所管理金融资产现金流量的</w:t>
      </w:r>
      <w:r>
        <w:rPr>
          <w:spacing w:val="-63"/>
        </w:rPr>
        <w:t> </w:t>
      </w:r>
      <w:r>
        <w:rPr>
          <w:spacing w:val="-63"/>
        </w:rPr>
      </w:r>
      <w:r>
        <w:rPr>
          <w:spacing w:val="-2"/>
        </w:rPr>
        <w:t>来源是收取合同现金流量、出售金融资产还是两者兼有。本集团以客观事实为依据、以关键管理人员决定的对金融资产进行</w:t>
      </w:r>
      <w:r>
        <w:rPr>
          <w:spacing w:val="-63"/>
        </w:rPr>
        <w:t> </w:t>
      </w:r>
      <w:r>
        <w:rPr>
          <w:spacing w:val="-63"/>
        </w:rPr>
      </w:r>
      <w:r>
        <w:rPr/>
        <w:t>管理的特定业务目标为基础，确定管理金融资产的业务模式。</w:t>
      </w:r>
    </w:p>
    <w:p>
      <w:pPr>
        <w:spacing w:line="240" w:lineRule="auto" w:before="4"/>
        <w:rPr>
          <w:rFonts w:ascii="宋体" w:hAnsi="宋体" w:cs="宋体" w:eastAsia="宋体" w:hint="default"/>
          <w:sz w:val="25"/>
          <w:szCs w:val="25"/>
        </w:rPr>
      </w:pPr>
    </w:p>
    <w:p>
      <w:pPr>
        <w:pStyle w:val="BodyText"/>
        <w:spacing w:line="316" w:lineRule="auto"/>
        <w:ind w:right="1129"/>
        <w:jc w:val="both"/>
      </w:pPr>
      <w:r>
        <w:rPr>
          <w:spacing w:val="-2"/>
        </w:rPr>
        <w:t>本集团对金融资产的合同现金流量特征进行评估，以确定相关金融资产在特定日期产生的合同现金流量是否仅为对本金和以</w:t>
      </w:r>
      <w:r>
        <w:rPr>
          <w:spacing w:val="-64"/>
        </w:rPr>
        <w:t> </w:t>
      </w:r>
      <w:r>
        <w:rPr>
          <w:spacing w:val="-64"/>
        </w:rPr>
      </w:r>
      <w:r>
        <w:rPr>
          <w:spacing w:val="-2"/>
        </w:rPr>
        <w:t>未偿付本金金额为基础的利息的支付。其中，本金是指金融资产在初始确认时的公允价值；利息包括对货币时间价值、与特</w:t>
      </w:r>
      <w:r>
        <w:rPr>
          <w:spacing w:val="-66"/>
        </w:rPr>
        <w:t> </w:t>
      </w:r>
      <w:r>
        <w:rPr>
          <w:spacing w:val="-66"/>
        </w:rPr>
      </w:r>
      <w:r>
        <w:rPr>
          <w:spacing w:val="-2"/>
        </w:rPr>
        <w:t>定时期未偿付本金金额相关的信用风险、以及其他基本借贷风险、成本和利润的对价。此外，本集团对可能导致金融资产合</w:t>
      </w:r>
      <w:r>
        <w:rPr>
          <w:spacing w:val="-63"/>
        </w:rPr>
        <w:t> </w:t>
      </w:r>
      <w:r>
        <w:rPr>
          <w:spacing w:val="-63"/>
        </w:rPr>
      </w:r>
      <w:r>
        <w:rPr/>
        <w:t>同现金流量的时间分布或金额发生变更的合同条款进行评估，以确定其是否满足上述合同现金流量特征的要求。</w:t>
      </w:r>
    </w:p>
    <w:p>
      <w:pPr>
        <w:pStyle w:val="BodyText"/>
        <w:tabs>
          <w:tab w:pos="724" w:val="left" w:leader="none"/>
        </w:tabs>
        <w:spacing w:line="240" w:lineRule="auto" w:before="19"/>
        <w:ind w:right="0"/>
        <w:jc w:val="left"/>
      </w:pPr>
      <w:r>
        <w:rPr>
          <w:rFonts w:ascii="Times New Roman" w:hAnsi="Times New Roman" w:cs="Times New Roman" w:eastAsia="Times New Roman" w:hint="default"/>
        </w:rPr>
        <w:t>(b)</w:t>
        <w:tab/>
      </w:r>
      <w:r>
        <w:rPr/>
        <w:t>本集团金融资产的后续计量</w:t>
      </w:r>
    </w:p>
    <w:p>
      <w:pPr>
        <w:pStyle w:val="BodyText"/>
        <w:tabs>
          <w:tab w:pos="573" w:val="left" w:leader="none"/>
        </w:tabs>
        <w:spacing w:line="300" w:lineRule="auto" w:before="63"/>
        <w:ind w:right="1145"/>
        <w:jc w:val="left"/>
      </w:pPr>
      <w:r>
        <w:rPr>
          <w:rFonts w:ascii="Times New Roman" w:hAnsi="Times New Roman" w:cs="Times New Roman" w:eastAsia="Times New Roman" w:hint="default"/>
        </w:rPr>
        <w:t>-</w:t>
        <w:tab/>
      </w:r>
      <w:r>
        <w:rPr/>
        <w:t>以公允价值计量且其变动计入当期损益的金融资产</w:t>
      </w:r>
      <w:r>
        <w:rPr>
          <w:w w:val="99"/>
        </w:rPr>
        <w:t> </w:t>
      </w:r>
      <w:r>
        <w:rPr/>
        <w:t>初始确认后，对于该类金融资产以公允价值进行后续计量，产生的利得或损失 </w:t>
      </w:r>
      <w:r>
        <w:rPr>
          <w:rFonts w:ascii="Times New Roman" w:hAnsi="Times New Roman" w:cs="Times New Roman" w:eastAsia="Times New Roman" w:hint="default"/>
        </w:rPr>
        <w:t>(</w:t>
      </w:r>
      <w:r>
        <w:rPr/>
        <w:t>包括利息和股利收入</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计入当期损益，除非</w:t>
      </w:r>
      <w:r>
        <w:rPr>
          <w:w w:val="99"/>
        </w:rPr>
        <w:t> </w:t>
      </w:r>
      <w:r>
        <w:rPr/>
        <w:t>该金融资产属于套期关系的一部分。</w:t>
      </w:r>
    </w:p>
    <w:p>
      <w:pPr>
        <w:pStyle w:val="BodyText"/>
        <w:tabs>
          <w:tab w:pos="573" w:val="left" w:leader="none"/>
        </w:tabs>
        <w:spacing w:line="309" w:lineRule="auto" w:before="32"/>
        <w:ind w:right="1131"/>
        <w:jc w:val="left"/>
      </w:pPr>
      <w:r>
        <w:rPr>
          <w:rFonts w:ascii="Times New Roman" w:hAnsi="Times New Roman" w:cs="Times New Roman" w:eastAsia="Times New Roman" w:hint="default"/>
        </w:rPr>
        <w:t>-</w:t>
        <w:tab/>
      </w:r>
      <w:r>
        <w:rPr/>
        <w:t>以摊余成本计量的金融资产</w:t>
      </w:r>
      <w:r>
        <w:rPr>
          <w:w w:val="99"/>
        </w:rPr>
        <w:t> </w:t>
      </w:r>
      <w:r>
        <w:rPr>
          <w:spacing w:val="-2"/>
        </w:rPr>
        <w:t>初始确认后，对于该类金融资产采用实际利率法以摊余成本计量。以摊余成本计量且不属于任何套期关系的一部分的金融资</w:t>
      </w:r>
      <w:r>
        <w:rPr>
          <w:spacing w:val="-63"/>
        </w:rPr>
        <w:t> </w:t>
      </w:r>
      <w:r>
        <w:rPr>
          <w:spacing w:val="-63"/>
        </w:rPr>
      </w:r>
      <w:r>
        <w:rPr/>
        <w:t>产所产生的利得或损失，在终止确认、按照实际利率法摊销或确认减值时，计入当期损益。</w:t>
      </w:r>
    </w:p>
    <w:p>
      <w:pPr>
        <w:pStyle w:val="BodyText"/>
        <w:tabs>
          <w:tab w:pos="573" w:val="left" w:leader="none"/>
        </w:tabs>
        <w:spacing w:line="312" w:lineRule="auto" w:before="24"/>
        <w:ind w:right="1130"/>
        <w:jc w:val="left"/>
      </w:pPr>
      <w:r>
        <w:rPr>
          <w:rFonts w:ascii="Times New Roman" w:hAnsi="Times New Roman" w:cs="Times New Roman" w:eastAsia="Times New Roman" w:hint="default"/>
        </w:rPr>
        <w:t>-</w:t>
        <w:tab/>
      </w:r>
      <w:r>
        <w:rPr/>
        <w:t>以公允价值计量且其变动计入其他综合收益的债权投资</w:t>
      </w:r>
      <w:r>
        <w:rPr>
          <w:w w:val="99"/>
        </w:rPr>
        <w:t> </w:t>
      </w:r>
      <w:r>
        <w:rPr>
          <w:spacing w:val="-2"/>
        </w:rPr>
        <w:t>初始确认后，对于该类金融资产以公允价值进行后续计量。采用实际利率法计算的利息、减值损失或利得及汇兑损益计入当</w:t>
      </w:r>
      <w:r>
        <w:rPr>
          <w:spacing w:val="-64"/>
        </w:rPr>
        <w:t> </w:t>
      </w:r>
      <w:r>
        <w:rPr>
          <w:spacing w:val="-64"/>
        </w:rPr>
      </w:r>
      <w:r>
        <w:rPr>
          <w:spacing w:val="-2"/>
        </w:rPr>
        <w:t>期损益，其他利得或损失计入其他综合收益。终止确认时，将之前计入其他综合收益的累计利得或损失从其他综合收益中转</w:t>
      </w:r>
      <w:r>
        <w:rPr>
          <w:spacing w:val="-66"/>
        </w:rPr>
        <w:t> </w:t>
      </w:r>
      <w:r>
        <w:rPr>
          <w:spacing w:val="-66"/>
        </w:rPr>
      </w:r>
      <w:r>
        <w:rPr/>
        <w:t>出，计入当期损益。</w:t>
      </w:r>
    </w:p>
    <w:p>
      <w:pPr>
        <w:pStyle w:val="BodyText"/>
        <w:tabs>
          <w:tab w:pos="573" w:val="left" w:leader="none"/>
        </w:tabs>
        <w:spacing w:line="309" w:lineRule="auto" w:before="22"/>
        <w:ind w:right="1129"/>
        <w:jc w:val="left"/>
      </w:pPr>
      <w:r>
        <w:rPr>
          <w:rFonts w:ascii="Times New Roman" w:hAnsi="Times New Roman" w:cs="Times New Roman" w:eastAsia="Times New Roman" w:hint="default"/>
        </w:rPr>
        <w:t>-</w:t>
        <w:tab/>
      </w:r>
      <w:r>
        <w:rPr/>
        <w:t>以公允价值计量且其变动计入其他综合收益的权益工具投资</w:t>
      </w:r>
      <w:r>
        <w:rPr>
          <w:w w:val="99"/>
        </w:rPr>
        <w:t> </w:t>
      </w:r>
      <w:r>
        <w:rPr>
          <w:spacing w:val="-2"/>
        </w:rPr>
        <w:t>初始确认后，对于该类金融资产以公允价值进行后续计量。股利收入计入损益，其他利得或损失计入其他综合收益。终止确</w:t>
      </w:r>
      <w:r>
        <w:rPr>
          <w:spacing w:val="-64"/>
        </w:rPr>
        <w:t> </w:t>
      </w:r>
      <w:r>
        <w:rPr>
          <w:spacing w:val="-64"/>
        </w:rPr>
      </w:r>
      <w:r>
        <w:rPr/>
        <w:t>认时，将之前计入其他综合收益的累计利得或损失从其他综合收益中转出，计入留存收益。</w:t>
      </w:r>
    </w:p>
    <w:p>
      <w:pPr>
        <w:spacing w:line="240" w:lineRule="auto" w:before="10"/>
        <w:rPr>
          <w:rFonts w:ascii="宋体" w:hAnsi="宋体" w:cs="宋体" w:eastAsia="宋体" w:hint="default"/>
          <w:sz w:val="25"/>
          <w:szCs w:val="25"/>
        </w:rPr>
      </w:pPr>
    </w:p>
    <w:p>
      <w:pPr>
        <w:pStyle w:val="BodyText"/>
        <w:tabs>
          <w:tab w:pos="573" w:val="left" w:leader="none"/>
        </w:tabs>
        <w:spacing w:line="300" w:lineRule="auto"/>
        <w:ind w:right="2311"/>
        <w:jc w:val="left"/>
      </w:pPr>
      <w:r>
        <w:rPr>
          <w:rFonts w:ascii="Times New Roman" w:hAnsi="Times New Roman" w:cs="Times New Roman" w:eastAsia="Times New Roman" w:hint="default"/>
        </w:rPr>
        <w:t>(3)</w:t>
        <w:tab/>
      </w:r>
      <w:r>
        <w:rPr/>
        <w:t>金融负债的分类和后续计量</w:t>
      </w:r>
      <w:r>
        <w:rPr>
          <w:w w:val="99"/>
        </w:rPr>
        <w:t> </w:t>
      </w:r>
      <w:r>
        <w:rPr/>
        <w:t>本集团将金融负债分类为以公允价值计量且其变动计入当期损益的金融负债及以摊余成本计量的金融负债。</w:t>
      </w:r>
    </w:p>
    <w:p>
      <w:pPr>
        <w:pStyle w:val="BodyText"/>
        <w:tabs>
          <w:tab w:pos="573" w:val="left" w:leader="none"/>
        </w:tabs>
        <w:spacing w:line="240" w:lineRule="auto" w:before="31"/>
        <w:ind w:right="0"/>
        <w:jc w:val="left"/>
      </w:pPr>
      <w:r>
        <w:rPr>
          <w:rFonts w:ascii="Times New Roman" w:hAnsi="Times New Roman" w:cs="Times New Roman" w:eastAsia="Times New Roman" w:hint="default"/>
        </w:rPr>
        <w:t>-</w:t>
        <w:tab/>
      </w:r>
      <w:r>
        <w:rPr/>
        <w:t>以公允价值计量且其变动计入当期损益的金融负债</w:t>
      </w:r>
    </w:p>
    <w:p>
      <w:pPr>
        <w:pStyle w:val="BodyText"/>
        <w:spacing w:line="300" w:lineRule="auto" w:before="63"/>
        <w:ind w:right="1129"/>
        <w:jc w:val="left"/>
      </w:pPr>
      <w:r>
        <w:rPr/>
        <w:t>该类金融负债包括交易性金融负债 </w:t>
      </w:r>
      <w:r>
        <w:rPr>
          <w:rFonts w:ascii="Times New Roman" w:hAnsi="Times New Roman" w:cs="Times New Roman" w:eastAsia="Times New Roman" w:hint="default"/>
        </w:rPr>
        <w:t>(</w:t>
      </w:r>
      <w:r>
        <w:rPr/>
        <w:t>含属于金融负债的衍生工具</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和指定为以公允价值计量且其变动计入当期损益的金融负 债。</w:t>
      </w:r>
    </w:p>
    <w:p>
      <w:pPr>
        <w:pStyle w:val="BodyText"/>
        <w:spacing w:line="300" w:lineRule="auto" w:before="31"/>
        <w:ind w:right="1117"/>
        <w:jc w:val="left"/>
      </w:pPr>
      <w:r>
        <w:rPr/>
        <w:t>初始确认后，对于该类金融负债以公允价值进行后续计量，除与套期会计有关外，产生的利得或损失 </w:t>
      </w:r>
      <w:r>
        <w:rPr>
          <w:rFonts w:ascii="Times New Roman" w:hAnsi="Times New Roman" w:cs="Times New Roman" w:eastAsia="Times New Roman" w:hint="default"/>
        </w:rPr>
        <w:t>(</w:t>
      </w:r>
      <w:r>
        <w:rPr/>
        <w:t>包括利息费用</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计入</w:t>
      </w:r>
      <w:r>
        <w:rPr>
          <w:spacing w:val="2"/>
        </w:rPr>
        <w:t> </w:t>
      </w:r>
      <w:r>
        <w:rPr/>
        <w:t>当期损益。</w:t>
      </w:r>
    </w:p>
    <w:p>
      <w:pPr>
        <w:pStyle w:val="BodyText"/>
        <w:tabs>
          <w:tab w:pos="573" w:val="left" w:leader="none"/>
        </w:tabs>
        <w:spacing w:line="240" w:lineRule="auto" w:before="31"/>
        <w:ind w:right="0"/>
        <w:jc w:val="left"/>
      </w:pPr>
      <w:r>
        <w:rPr>
          <w:rFonts w:ascii="Times New Roman" w:hAnsi="Times New Roman" w:cs="Times New Roman" w:eastAsia="Times New Roman" w:hint="default"/>
        </w:rPr>
        <w:t>-</w:t>
        <w:tab/>
      </w:r>
      <w:r>
        <w:rPr/>
        <w:t>以摊余成本计量的金融负债</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初始确认后，对于该类金融负债采用实际利率法以摊余成本计量。</w:t>
      </w:r>
    </w:p>
    <w:p>
      <w:pPr>
        <w:spacing w:line="240" w:lineRule="auto" w:before="0"/>
        <w:rPr>
          <w:rFonts w:ascii="宋体" w:hAnsi="宋体" w:cs="宋体" w:eastAsia="宋体" w:hint="default"/>
          <w:sz w:val="18"/>
          <w:szCs w:val="18"/>
        </w:rPr>
      </w:pPr>
    </w:p>
    <w:p>
      <w:pPr>
        <w:pStyle w:val="BodyText"/>
        <w:tabs>
          <w:tab w:pos="573" w:val="left" w:leader="none"/>
        </w:tabs>
        <w:spacing w:line="309" w:lineRule="auto" w:before="153"/>
        <w:ind w:right="1131"/>
        <w:jc w:val="left"/>
      </w:pPr>
      <w:r>
        <w:rPr>
          <w:rFonts w:ascii="Times New Roman" w:hAnsi="Times New Roman" w:cs="Times New Roman" w:eastAsia="Times New Roman" w:hint="default"/>
        </w:rPr>
        <w:t>(4)</w:t>
        <w:tab/>
      </w:r>
      <w:r>
        <w:rPr/>
        <w:t>抵销</w:t>
      </w:r>
      <w:r>
        <w:rPr>
          <w:w w:val="99"/>
        </w:rPr>
        <w:t> </w:t>
      </w:r>
      <w:r>
        <w:rPr>
          <w:spacing w:val="-2"/>
        </w:rPr>
        <w:t>金融资产和金融负债在资产负债表内分别列示，没有相互抵销。但是，同时满足下列条件的，以相互抵销后的净额在资产负</w:t>
      </w:r>
      <w:r>
        <w:rPr>
          <w:spacing w:val="-65"/>
        </w:rPr>
        <w:t> </w:t>
      </w:r>
      <w:r>
        <w:rPr>
          <w:spacing w:val="-65"/>
        </w:rPr>
      </w:r>
      <w:r>
        <w:rPr/>
        <w:t>债表内列示：</w:t>
      </w:r>
    </w:p>
    <w:p>
      <w:pPr>
        <w:pStyle w:val="BodyText"/>
        <w:tabs>
          <w:tab w:pos="573" w:val="left" w:leader="none"/>
        </w:tabs>
        <w:spacing w:line="240" w:lineRule="auto" w:before="24"/>
        <w:ind w:right="0"/>
        <w:jc w:val="left"/>
      </w:pPr>
      <w:r>
        <w:rPr>
          <w:rFonts w:ascii="Times New Roman" w:hAnsi="Times New Roman" w:cs="Times New Roman" w:eastAsia="Times New Roman" w:hint="default"/>
        </w:rPr>
        <w:t>-</w:t>
        <w:tab/>
      </w:r>
      <w:r>
        <w:rPr/>
        <w:t>本集团具有抵销已确认金额的法定权利，且该种法定权利是当前可执行的；</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本集团计划以净额结算，或同时变现该金融资产和清偿该金融负债。</w:t>
      </w:r>
    </w:p>
    <w:p>
      <w:pPr>
        <w:spacing w:line="240" w:lineRule="auto" w:before="0"/>
        <w:rPr>
          <w:rFonts w:ascii="宋体" w:hAnsi="宋体" w:cs="宋体" w:eastAsia="宋体" w:hint="default"/>
          <w:sz w:val="18"/>
          <w:szCs w:val="18"/>
        </w:rPr>
      </w:pPr>
    </w:p>
    <w:p>
      <w:pPr>
        <w:pStyle w:val="BodyText"/>
        <w:tabs>
          <w:tab w:pos="573" w:val="left" w:leader="none"/>
        </w:tabs>
        <w:spacing w:line="300" w:lineRule="auto" w:before="139"/>
        <w:ind w:right="6631"/>
        <w:jc w:val="left"/>
      </w:pPr>
      <w:r>
        <w:rPr>
          <w:rFonts w:ascii="Times New Roman" w:hAnsi="Times New Roman" w:cs="Times New Roman" w:eastAsia="Times New Roman" w:hint="default"/>
        </w:rPr>
        <w:t>(5)</w:t>
        <w:tab/>
      </w:r>
      <w:r>
        <w:rPr/>
        <w:t>金融资产和金融负债的终止确认</w:t>
      </w:r>
      <w:r>
        <w:rPr>
          <w:w w:val="99"/>
        </w:rPr>
        <w:t> </w:t>
      </w:r>
      <w:r>
        <w:rPr/>
        <w:t>满足下列条件之一时，本集团终止确认该金融资产：</w:t>
      </w:r>
    </w:p>
    <w:p>
      <w:pPr>
        <w:pStyle w:val="BodyText"/>
        <w:tabs>
          <w:tab w:pos="573" w:val="left" w:leader="none"/>
        </w:tabs>
        <w:spacing w:line="240" w:lineRule="auto" w:before="31"/>
        <w:ind w:right="0"/>
        <w:jc w:val="left"/>
      </w:pPr>
      <w:r>
        <w:rPr>
          <w:rFonts w:ascii="Times New Roman" w:hAnsi="Times New Roman" w:cs="Times New Roman" w:eastAsia="Times New Roman" w:hint="default"/>
        </w:rPr>
        <w:t>-</w:t>
        <w:tab/>
      </w:r>
      <w:r>
        <w:rPr/>
        <w:t>收取该金融资产现金流量的合同权利终止；</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该金融资产已转移，且本集团将金融资产所有权上几乎所有的风险和报酬转移给转入方；</w:t>
      </w:r>
    </w:p>
    <w:p>
      <w:pPr>
        <w:pStyle w:val="BodyText"/>
        <w:tabs>
          <w:tab w:pos="573" w:val="left" w:leader="none"/>
        </w:tabs>
        <w:spacing w:line="300" w:lineRule="auto" w:before="63"/>
        <w:ind w:right="1138"/>
        <w:jc w:val="left"/>
      </w:pPr>
      <w:r>
        <w:rPr>
          <w:rFonts w:ascii="Times New Roman" w:hAnsi="Times New Roman" w:cs="Times New Roman" w:eastAsia="Times New Roman" w:hint="default"/>
        </w:rPr>
        <w:t>-</w:t>
        <w:tab/>
      </w:r>
      <w:r>
        <w:rPr/>
        <w:t>该金融资产已转移，虽然本集团既没有转移也没有保留金融资产所有权上几乎所有的风险和报酬，但是未保留对该金</w:t>
      </w:r>
      <w:r>
        <w:rPr>
          <w:spacing w:val="-61"/>
        </w:rPr>
        <w:t> </w:t>
      </w:r>
      <w:r>
        <w:rPr>
          <w:spacing w:val="-61"/>
        </w:rPr>
      </w:r>
      <w:r>
        <w:rPr/>
        <w:t>融资产的控制。</w:t>
      </w:r>
    </w:p>
    <w:p>
      <w:pPr>
        <w:pStyle w:val="BodyText"/>
        <w:spacing w:line="240" w:lineRule="auto" w:before="31"/>
        <w:ind w:right="0"/>
        <w:jc w:val="left"/>
      </w:pPr>
      <w:r>
        <w:rPr/>
        <w:t>金融资产转移整体满足终止确认条件的，本集团将下列两项金额的差额计入当期损益：</w:t>
      </w:r>
    </w:p>
    <w:p>
      <w:pPr>
        <w:pStyle w:val="BodyText"/>
        <w:tabs>
          <w:tab w:pos="573" w:val="left" w:leader="none"/>
        </w:tabs>
        <w:spacing w:line="240" w:lineRule="auto" w:before="76"/>
        <w:ind w:right="0"/>
        <w:jc w:val="left"/>
      </w:pPr>
      <w:r>
        <w:rPr>
          <w:rFonts w:ascii="Times New Roman" w:hAnsi="Times New Roman" w:cs="Times New Roman" w:eastAsia="Times New Roman" w:hint="default"/>
        </w:rPr>
        <w:t>-</w:t>
        <w:tab/>
      </w:r>
      <w:r>
        <w:rPr/>
        <w:t>被转移金融资产在终止确认日的账面价值；</w:t>
      </w:r>
    </w:p>
    <w:p>
      <w:pPr>
        <w:pStyle w:val="BodyText"/>
        <w:tabs>
          <w:tab w:pos="573" w:val="left" w:leader="none"/>
        </w:tabs>
        <w:spacing w:line="300" w:lineRule="auto" w:before="63"/>
        <w:ind w:right="1126"/>
        <w:jc w:val="left"/>
      </w:pPr>
      <w:r>
        <w:rPr>
          <w:rFonts w:ascii="Times New Roman" w:hAnsi="Times New Roman" w:cs="Times New Roman" w:eastAsia="Times New Roman" w:hint="default"/>
        </w:rPr>
        <w:t>-</w:t>
        <w:tab/>
      </w:r>
      <w:r>
        <w:rPr/>
        <w:t>因转移金融资产而收到的对价，与原直接计入其他综合收益的公允价值变动累计额中对应终止确认部分的金额</w:t>
      </w:r>
      <w:r>
        <w:rPr>
          <w:spacing w:val="61"/>
        </w:rPr>
        <w:t> </w:t>
      </w:r>
      <w:r>
        <w:rPr>
          <w:rFonts w:ascii="Times New Roman" w:hAnsi="Times New Roman" w:cs="Times New Roman" w:eastAsia="Times New Roman" w:hint="default"/>
          <w:spacing w:val="2"/>
        </w:rPr>
        <w:t>(</w:t>
      </w:r>
      <w:r>
        <w:rPr>
          <w:spacing w:val="2"/>
        </w:rPr>
        <w:t>涉及</w:t>
      </w:r>
      <w:r>
        <w:rPr>
          <w:spacing w:val="2"/>
          <w:w w:val="99"/>
        </w:rPr>
        <w:t> </w:t>
      </w:r>
      <w:r>
        <w:rPr/>
        <w:t>转移的金融资产为以公允价值计量且其变动计入其他综合收益的债权投资</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之和。</w:t>
      </w:r>
    </w:p>
    <w:p>
      <w:pPr>
        <w:pStyle w:val="BodyText"/>
        <w:spacing w:line="240" w:lineRule="auto" w:before="13"/>
        <w:ind w:right="0"/>
        <w:jc w:val="left"/>
      </w:pPr>
      <w:r>
        <w:rPr/>
        <w:t>金融负债 </w:t>
      </w:r>
      <w:r>
        <w:rPr>
          <w:rFonts w:ascii="Times New Roman" w:hAnsi="Times New Roman" w:cs="Times New Roman" w:eastAsia="Times New Roman" w:hint="default"/>
        </w:rPr>
        <w:t>(</w:t>
      </w:r>
      <w:r>
        <w:rPr/>
        <w:t>或其一部分</w:t>
      </w:r>
      <w:r>
        <w:rPr>
          <w:rFonts w:ascii="Times New Roman" w:hAnsi="Times New Roman" w:cs="Times New Roman" w:eastAsia="Times New Roman" w:hint="default"/>
        </w:rPr>
        <w:t>) </w:t>
      </w:r>
      <w:r>
        <w:rPr/>
        <w:t>的现时义务已经解除的，本集团终止确认该金融负债 </w:t>
      </w:r>
      <w:r>
        <w:rPr>
          <w:rFonts w:ascii="Times New Roman" w:hAnsi="Times New Roman" w:cs="Times New Roman" w:eastAsia="Times New Roman" w:hint="default"/>
        </w:rPr>
        <w:t>(</w:t>
      </w:r>
      <w:r>
        <w:rPr/>
        <w:t>或该部分金融负债</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w:t>
      </w:r>
    </w:p>
    <w:p>
      <w:pPr>
        <w:spacing w:line="240" w:lineRule="auto" w:before="0"/>
        <w:rPr>
          <w:rFonts w:ascii="宋体" w:hAnsi="宋体" w:cs="宋体" w:eastAsia="宋体" w:hint="default"/>
          <w:sz w:val="18"/>
          <w:szCs w:val="18"/>
        </w:rPr>
      </w:pPr>
    </w:p>
    <w:p>
      <w:pPr>
        <w:pStyle w:val="BodyText"/>
        <w:tabs>
          <w:tab w:pos="573" w:val="left" w:leader="none"/>
        </w:tabs>
        <w:spacing w:line="300" w:lineRule="auto" w:before="139"/>
        <w:ind w:right="4471"/>
        <w:jc w:val="left"/>
      </w:pPr>
      <w:r>
        <w:rPr>
          <w:rFonts w:ascii="Times New Roman" w:hAnsi="Times New Roman" w:cs="Times New Roman" w:eastAsia="Times New Roman" w:hint="default"/>
        </w:rPr>
        <w:t>(6)</w:t>
        <w:tab/>
      </w:r>
      <w:r>
        <w:rPr/>
        <w:t>减值</w:t>
      </w:r>
      <w:r>
        <w:rPr>
          <w:w w:val="99"/>
        </w:rPr>
        <w:t> </w:t>
      </w:r>
      <w:r>
        <w:rPr/>
        <w:t>本集团以预期信用损失为基础，对下列项目进行减值会计处理并确认损失准备：</w:t>
      </w:r>
    </w:p>
    <w:p>
      <w:pPr>
        <w:pStyle w:val="BodyText"/>
        <w:tabs>
          <w:tab w:pos="573" w:val="left" w:leader="none"/>
        </w:tabs>
        <w:spacing w:line="309" w:lineRule="auto" w:before="31"/>
        <w:ind w:right="1133"/>
        <w:jc w:val="left"/>
      </w:pPr>
      <w:r>
        <w:rPr>
          <w:rFonts w:ascii="Times New Roman" w:hAnsi="Times New Roman" w:cs="Times New Roman" w:eastAsia="Times New Roman" w:hint="default"/>
        </w:rPr>
        <w:t>-</w:t>
        <w:tab/>
      </w:r>
      <w:r>
        <w:rPr/>
        <w:t>以摊余成本计量的金融资产；</w:t>
      </w:r>
      <w:r>
        <w:rPr>
          <w:w w:val="99"/>
        </w:rPr>
        <w:t> </w:t>
      </w:r>
      <w:r>
        <w:rPr>
          <w:spacing w:val="-2"/>
          <w:w w:val="99"/>
        </w:rPr>
        <w:t>本集团持有的其他以公允价值计量的金融资产不适用预期信用损失模型，包括以公允价值计量且其变动计入当期损益的债权</w:t>
      </w:r>
      <w:r>
        <w:rPr>
          <w:spacing w:val="-64"/>
          <w:w w:val="99"/>
        </w:rPr>
        <w:t> </w:t>
      </w:r>
      <w:r>
        <w:rPr>
          <w:spacing w:val="-64"/>
          <w:w w:val="99"/>
        </w:rPr>
      </w:r>
      <w:r>
        <w:rPr/>
        <w:t>投资。</w:t>
      </w:r>
    </w:p>
    <w:p>
      <w:pPr>
        <w:pStyle w:val="BodyText"/>
        <w:spacing w:line="312" w:lineRule="auto" w:before="24"/>
        <w:ind w:right="1121"/>
        <w:jc w:val="left"/>
      </w:pPr>
      <w:r>
        <w:rPr/>
        <w:t>预期信用损失的计量 </w:t>
      </w:r>
      <w:r>
        <w:rPr>
          <w:spacing w:val="-2"/>
        </w:rPr>
        <w:t>预期信用损失，是指以发生违约的风险为权重的金融工具信用损失的加权平均值。信用损失，是指本集团按照原实际利率折</w:t>
      </w:r>
      <w:r>
        <w:rPr>
          <w:spacing w:val="-63"/>
        </w:rPr>
        <w:t> </w:t>
      </w:r>
      <w:r>
        <w:rPr>
          <w:spacing w:val="-63"/>
        </w:rPr>
      </w:r>
      <w:r>
        <w:rPr/>
        <w:t>现的、根据合同应收的所有合同现金流量与预期收取的所有现金流量之间的差额，即全部现金短缺的现值。</w:t>
      </w:r>
      <w:r>
        <w:rPr/>
        <w:t> 在计量预期信用损失时，本集团需考虑的最长期限为企业面临信用风险的最长合同期限 </w:t>
      </w:r>
      <w:r>
        <w:rPr>
          <w:rFonts w:ascii="Times New Roman" w:hAnsi="Times New Roman" w:cs="Times New Roman" w:eastAsia="Times New Roman" w:hint="default"/>
        </w:rPr>
        <w:t>(</w:t>
      </w:r>
      <w:r>
        <w:rPr/>
        <w:t>包括考虑续约选择权</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 整个存续期预期信用损失，是指因金融工具整个预计存续期内所有可能发生的违约事件而导致的预期信用损失。 未来</w:t>
      </w:r>
      <w:r>
        <w:rPr>
          <w:rFonts w:ascii="Times New Roman" w:hAnsi="Times New Roman" w:cs="Times New Roman" w:eastAsia="Times New Roman" w:hint="default"/>
        </w:rPr>
        <w:t>12</w:t>
      </w:r>
      <w:r>
        <w:rPr/>
        <w:t>个月内预期信用损失，是指因资产负债表日后</w:t>
      </w:r>
      <w:r>
        <w:rPr>
          <w:rFonts w:ascii="Times New Roman" w:hAnsi="Times New Roman" w:cs="Times New Roman" w:eastAsia="Times New Roman" w:hint="default"/>
        </w:rPr>
        <w:t>12</w:t>
      </w:r>
      <w:r>
        <w:rPr/>
        <w:t>个月内 </w:t>
      </w:r>
      <w:r>
        <w:rPr>
          <w:rFonts w:ascii="Times New Roman" w:hAnsi="Times New Roman" w:cs="Times New Roman" w:eastAsia="Times New Roman" w:hint="default"/>
        </w:rPr>
        <w:t>(</w:t>
      </w:r>
      <w:r>
        <w:rPr/>
        <w:t>若金融工具的预计存续期少于</w:t>
      </w:r>
      <w:r>
        <w:rPr>
          <w:rFonts w:ascii="Times New Roman" w:hAnsi="Times New Roman" w:cs="Times New Roman" w:eastAsia="Times New Roman" w:hint="default"/>
        </w:rPr>
        <w:t>12</w:t>
      </w:r>
      <w:r>
        <w:rPr/>
        <w:t>个月，则为预计存续期</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可 能发生的金融工具违约事件而导致的预期信用损失，是整个存续期预期信用损失的一部分。 </w:t>
      </w:r>
      <w:r>
        <w:rPr>
          <w:spacing w:val="-2"/>
        </w:rPr>
        <w:t>除应收账款外，本集团对满足下列情形的金融工具按照相当于未来</w:t>
      </w:r>
      <w:r>
        <w:rPr>
          <w:rFonts w:ascii="Times New Roman" w:hAnsi="Times New Roman" w:cs="Times New Roman" w:eastAsia="Times New Roman" w:hint="default"/>
          <w:spacing w:val="-2"/>
        </w:rPr>
        <w:t>12</w:t>
      </w:r>
      <w:r>
        <w:rPr>
          <w:spacing w:val="-2"/>
        </w:rPr>
        <w:t>个月内预期信用损失的金额计量其损失准备，对其他金</w:t>
      </w:r>
      <w:r>
        <w:rPr>
          <w:spacing w:val="-62"/>
        </w:rPr>
        <w:t> </w:t>
      </w:r>
      <w:r>
        <w:rPr>
          <w:spacing w:val="-62"/>
        </w:rPr>
      </w:r>
      <w:r>
        <w:rPr/>
        <w:t>融工具按照相当于整个存续期内预期信用损失的金额计量其损失准备：</w:t>
      </w:r>
    </w:p>
    <w:p>
      <w:pPr>
        <w:pStyle w:val="BodyText"/>
        <w:tabs>
          <w:tab w:pos="573" w:val="left" w:leader="none"/>
        </w:tabs>
        <w:spacing w:line="240" w:lineRule="auto" w:before="22"/>
        <w:ind w:right="0"/>
        <w:jc w:val="left"/>
      </w:pPr>
      <w:r>
        <w:rPr>
          <w:rFonts w:ascii="Times New Roman" w:hAnsi="Times New Roman" w:cs="Times New Roman" w:eastAsia="Times New Roman" w:hint="default"/>
        </w:rPr>
        <w:t>-</w:t>
        <w:tab/>
      </w:r>
      <w:r>
        <w:rPr/>
        <w:t>该金融工具在资产负债表日只具有较低的信用风险；或</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该金融工具的信用风险自初始确认后并未显著增加。</w:t>
      </w:r>
    </w:p>
    <w:p>
      <w:pPr>
        <w:spacing w:line="240" w:lineRule="auto" w:before="0"/>
        <w:rPr>
          <w:rFonts w:ascii="宋体" w:hAnsi="宋体" w:cs="宋体" w:eastAsia="宋体" w:hint="default"/>
          <w:sz w:val="18"/>
          <w:szCs w:val="18"/>
        </w:rPr>
      </w:pPr>
    </w:p>
    <w:p>
      <w:pPr>
        <w:pStyle w:val="BodyText"/>
        <w:spacing w:line="316" w:lineRule="auto" w:before="140"/>
        <w:ind w:right="0"/>
        <w:jc w:val="left"/>
      </w:pPr>
      <w:r>
        <w:rPr/>
        <w:t>具有较低的信用风险 </w:t>
      </w:r>
      <w:r>
        <w:rPr>
          <w:spacing w:val="-2"/>
        </w:rPr>
        <w:t>如果金融工具的违约风险较低，借款人在短期内履行其合同现金流量义务的能力很强，并且即便较长时期内经济形势和经营</w:t>
      </w:r>
      <w:r>
        <w:rPr>
          <w:spacing w:val="-64"/>
        </w:rPr>
        <w:t> </w:t>
      </w:r>
      <w:r>
        <w:rPr>
          <w:spacing w:val="-64"/>
        </w:rPr>
      </w:r>
      <w:r>
        <w:rPr/>
        <w:t>环境存在不利变化但未必一定降低借款人履行其合同现金流量义务的能力，该金融工具被视为具有较低的信用风险。</w:t>
      </w:r>
    </w:p>
    <w:p>
      <w:pPr>
        <w:spacing w:line="240" w:lineRule="auto" w:before="4"/>
        <w:rPr>
          <w:rFonts w:ascii="宋体" w:hAnsi="宋体" w:cs="宋体" w:eastAsia="宋体" w:hint="default"/>
          <w:sz w:val="25"/>
          <w:szCs w:val="25"/>
        </w:rPr>
      </w:pPr>
    </w:p>
    <w:p>
      <w:pPr>
        <w:pStyle w:val="BodyText"/>
        <w:spacing w:line="316" w:lineRule="auto"/>
        <w:ind w:right="0"/>
        <w:jc w:val="left"/>
      </w:pPr>
      <w:r>
        <w:rPr/>
        <w:t>信用风险显著增加 </w:t>
      </w:r>
      <w:r>
        <w:rPr>
          <w:spacing w:val="-2"/>
        </w:rPr>
        <w:t>本集团通过比较金融工具在资产负债表日发生违约的风险与在初始确认日发生违约的风险，以确定金融工具预计存续期内发</w:t>
      </w:r>
      <w:r>
        <w:rPr>
          <w:spacing w:val="-64"/>
        </w:rPr>
        <w:t> </w:t>
      </w:r>
      <w:r>
        <w:rPr>
          <w:spacing w:val="-64"/>
        </w:rPr>
      </w:r>
      <w:r>
        <w:rPr/>
        <w:t>生违约风险的相对变化，以评估金融工具的信用风险自初始确认后是否已显著增加。</w:t>
      </w:r>
    </w:p>
    <w:p>
      <w:pPr>
        <w:spacing w:after="0" w:line="316"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在确定信用风险自初始确认后是否显著增加时，本集团考虑无须付出不必要的额外成本或努力即可获得的合理且有依据的信</w:t>
      </w:r>
      <w:r>
        <w:rPr>
          <w:spacing w:val="-64"/>
        </w:rPr>
        <w:t> </w:t>
      </w:r>
      <w:r>
        <w:rPr>
          <w:spacing w:val="-64"/>
        </w:rPr>
      </w:r>
      <w:r>
        <w:rPr/>
        <w:t>息，包括前瞻性信息。本集团考虑的信息包括：</w:t>
      </w:r>
    </w:p>
    <w:p>
      <w:pPr>
        <w:pStyle w:val="BodyText"/>
        <w:tabs>
          <w:tab w:pos="573" w:val="left" w:leader="none"/>
        </w:tabs>
        <w:spacing w:line="240" w:lineRule="auto" w:before="17"/>
        <w:ind w:right="0"/>
        <w:jc w:val="left"/>
      </w:pPr>
      <w:r>
        <w:rPr>
          <w:rFonts w:ascii="Times New Roman" w:hAnsi="Times New Roman" w:cs="Times New Roman" w:eastAsia="Times New Roman" w:hint="default"/>
        </w:rPr>
        <w:t>-</w:t>
        <w:tab/>
      </w:r>
      <w:r>
        <w:rPr/>
        <w:t>债务人未能按合同到期日支付本金和利息的情况；</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已发生的或预期的金融工具的外部或内部信用评级 </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的严重恶化；</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已发生的或预期的债务人经营成果的严重恶化；</w:t>
      </w:r>
    </w:p>
    <w:p>
      <w:pPr>
        <w:pStyle w:val="BodyText"/>
        <w:tabs>
          <w:tab w:pos="573" w:val="left" w:leader="none"/>
        </w:tabs>
        <w:spacing w:line="312" w:lineRule="auto" w:before="63"/>
        <w:ind w:right="1133"/>
        <w:jc w:val="left"/>
      </w:pPr>
      <w:r>
        <w:rPr>
          <w:rFonts w:ascii="Times New Roman" w:hAnsi="Times New Roman" w:cs="Times New Roman" w:eastAsia="Times New Roman" w:hint="default"/>
        </w:rPr>
        <w:t>-</w:t>
        <w:tab/>
      </w:r>
      <w:r>
        <w:rPr/>
        <w:t>现存的或预期的技术、市场、经济或法律环境变化，并将对债务人对本集团的还款能力产生重大不利影响。</w:t>
      </w:r>
      <w:r>
        <w:rPr>
          <w:w w:val="99"/>
        </w:rPr>
        <w:t> </w:t>
      </w:r>
      <w:r>
        <w:rPr>
          <w:spacing w:val="-2"/>
        </w:rPr>
        <w:t>根据金融工具的性质，本集团以单项金融工具或金融工具组合为基础评估信用风险是否显著增加。以金融工具组合为基础进</w:t>
      </w:r>
      <w:r>
        <w:rPr>
          <w:spacing w:val="-65"/>
        </w:rPr>
        <w:t> </w:t>
      </w:r>
      <w:r>
        <w:rPr>
          <w:spacing w:val="-65"/>
        </w:rPr>
      </w:r>
      <w:r>
        <w:rPr/>
        <w:t>行评估时，本集团可基于共同信用风险特征对金融工具进行分类，例如逾期信息和信用风险评级。</w:t>
      </w:r>
      <w:r>
        <w:rPr>
          <w:w w:val="99"/>
        </w:rPr>
        <w:t> </w:t>
      </w:r>
      <w:r>
        <w:rPr/>
        <w:t>如果逾期超过</w:t>
      </w:r>
      <w:r>
        <w:rPr>
          <w:rFonts w:ascii="Times New Roman" w:hAnsi="Times New Roman" w:cs="Times New Roman" w:eastAsia="Times New Roman" w:hint="default"/>
        </w:rPr>
        <w:t>30</w:t>
      </w:r>
      <w:r>
        <w:rPr/>
        <w:t>日，本集团确定金融工具的信用风险已经显著增加。</w:t>
      </w:r>
    </w:p>
    <w:p>
      <w:pPr>
        <w:pStyle w:val="BodyText"/>
        <w:spacing w:line="240" w:lineRule="auto" w:before="3"/>
        <w:ind w:right="0"/>
        <w:jc w:val="left"/>
      </w:pPr>
      <w:r>
        <w:rPr/>
        <w:t>本集团认为金融资产在下列情况发生违约：</w:t>
      </w:r>
    </w:p>
    <w:p>
      <w:pPr>
        <w:pStyle w:val="BodyText"/>
        <w:tabs>
          <w:tab w:pos="573" w:val="left" w:leader="none"/>
        </w:tabs>
        <w:spacing w:line="240" w:lineRule="auto" w:before="76"/>
        <w:ind w:right="0"/>
        <w:jc w:val="left"/>
      </w:pPr>
      <w:r>
        <w:rPr>
          <w:rFonts w:ascii="Times New Roman" w:hAnsi="Times New Roman" w:cs="Times New Roman" w:eastAsia="Times New Roman" w:hint="default"/>
        </w:rPr>
        <w:t>-</w:t>
        <w:tab/>
      </w:r>
      <w:r>
        <w:rPr/>
        <w:t>借款人不大可能全额支付其对本集团的欠款，该评估不考虑本集团采取例如变现抵押品 </w:t>
      </w:r>
      <w:r>
        <w:rPr>
          <w:rFonts w:ascii="Times New Roman" w:hAnsi="Times New Roman" w:cs="Times New Roman" w:eastAsia="Times New Roman" w:hint="default"/>
        </w:rPr>
        <w:t>(</w:t>
      </w:r>
      <w:r>
        <w:rPr/>
        <w:t>如果持有</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等追索行动；或</w:t>
      </w:r>
    </w:p>
    <w:p>
      <w:pPr>
        <w:pStyle w:val="BodyText"/>
        <w:tabs>
          <w:tab w:pos="573" w:val="left" w:leader="none"/>
        </w:tabs>
        <w:spacing w:line="300" w:lineRule="auto" w:before="63"/>
        <w:ind w:right="8368"/>
        <w:jc w:val="left"/>
      </w:pPr>
      <w:r>
        <w:rPr>
          <w:rFonts w:ascii="Times New Roman" w:hAnsi="Times New Roman" w:cs="Times New Roman" w:eastAsia="Times New Roman" w:hint="default"/>
        </w:rPr>
        <w:t>-</w:t>
        <w:tab/>
      </w:r>
      <w:r>
        <w:rPr/>
        <w:t>金融资产逾期超过</w:t>
      </w:r>
      <w:r>
        <w:rPr>
          <w:rFonts w:ascii="Times New Roman" w:hAnsi="Times New Roman" w:cs="Times New Roman" w:eastAsia="Times New Roman" w:hint="default"/>
        </w:rPr>
        <w:t>90</w:t>
      </w:r>
      <w:r>
        <w:rPr/>
        <w:t>天。</w:t>
      </w:r>
      <w:r>
        <w:rPr>
          <w:w w:val="99"/>
        </w:rPr>
        <w:t> </w:t>
      </w:r>
      <w:r>
        <w:rPr/>
        <w:t>已发生信用减值的金融资产</w:t>
      </w:r>
    </w:p>
    <w:p>
      <w:pPr>
        <w:pStyle w:val="BodyText"/>
        <w:spacing w:line="316" w:lineRule="auto" w:before="32"/>
        <w:ind w:right="1133"/>
        <w:jc w:val="both"/>
      </w:pPr>
      <w:r>
        <w:rPr>
          <w:spacing w:val="-2"/>
        </w:rPr>
        <w:t>本集团在资产负债表日评估以摊余成本计量的金融资产是否已发生信用减值。当对金融资产预期未来现金流量具有不利影响</w:t>
      </w:r>
      <w:r>
        <w:rPr>
          <w:spacing w:val="-64"/>
        </w:rPr>
        <w:t> </w:t>
      </w:r>
      <w:r>
        <w:rPr>
          <w:spacing w:val="-64"/>
        </w:rPr>
      </w:r>
      <w:r>
        <w:rPr>
          <w:spacing w:val="-2"/>
        </w:rPr>
        <w:t>的一项或多项事件发生时，该金融资产成为已发生信用减值的金融资产。金融资产已发生信用减值的证据包括下列可观察信</w:t>
      </w:r>
      <w:r>
        <w:rPr>
          <w:spacing w:val="-64"/>
        </w:rPr>
        <w:t> </w:t>
      </w:r>
      <w:r>
        <w:rPr>
          <w:spacing w:val="-64"/>
        </w:rPr>
      </w:r>
      <w:r>
        <w:rPr/>
        <w:t>息：</w:t>
      </w:r>
    </w:p>
    <w:p>
      <w:pPr>
        <w:pStyle w:val="BodyText"/>
        <w:tabs>
          <w:tab w:pos="573" w:val="left" w:leader="none"/>
        </w:tabs>
        <w:spacing w:line="240" w:lineRule="auto" w:before="19"/>
        <w:ind w:right="0"/>
        <w:jc w:val="left"/>
      </w:pPr>
      <w:r>
        <w:rPr>
          <w:rFonts w:ascii="Times New Roman" w:hAnsi="Times New Roman" w:cs="Times New Roman" w:eastAsia="Times New Roman" w:hint="default"/>
        </w:rPr>
        <w:t>-</w:t>
        <w:tab/>
      </w:r>
      <w:r>
        <w:rPr/>
        <w:t>发行方或债务人发生重大财务困难；</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债务人违反合同，如偿付利息或本金违约或逾期等；</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本集团出于与债务人财务困难有关的经济或合同考虑，给予债务人在任何其他情况下都不会做出的让步；</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债务人很可能破产或进行其他财务重组；</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发行方或债务人财务困难导致该金融资产的活跃市场消失。</w:t>
      </w:r>
    </w:p>
    <w:p>
      <w:pPr>
        <w:spacing w:line="240" w:lineRule="auto" w:before="0"/>
        <w:rPr>
          <w:rFonts w:ascii="宋体" w:hAnsi="宋体" w:cs="宋体" w:eastAsia="宋体" w:hint="default"/>
          <w:sz w:val="18"/>
          <w:szCs w:val="18"/>
        </w:rPr>
      </w:pPr>
    </w:p>
    <w:p>
      <w:pPr>
        <w:pStyle w:val="BodyText"/>
        <w:spacing w:line="319" w:lineRule="auto" w:before="139"/>
        <w:ind w:right="0"/>
        <w:jc w:val="left"/>
      </w:pPr>
      <w:r>
        <w:rPr/>
        <w:t>预期信用损失准备的列报 </w:t>
      </w:r>
      <w:r>
        <w:rPr>
          <w:spacing w:val="-2"/>
        </w:rPr>
        <w:t>为反映金融工具的信用风险自初始确认后的变化，本集团在每个资产负债表日重新计量预期信用损失，由此形成的损失准备</w:t>
      </w:r>
      <w:r>
        <w:rPr>
          <w:spacing w:val="-64"/>
        </w:rPr>
        <w:t> </w:t>
      </w:r>
      <w:r>
        <w:rPr>
          <w:spacing w:val="-64"/>
        </w:rPr>
      </w:r>
      <w:r>
        <w:rPr>
          <w:spacing w:val="-2"/>
        </w:rPr>
        <w:t>的增加或转回金额，应当作为减值损失或利得计入当期损益。对于以摊余成本计量的金融资产，损失准备抵减该金融资产在</w:t>
      </w:r>
      <w:r>
        <w:rPr>
          <w:spacing w:val="-63"/>
        </w:rPr>
        <w:t> </w:t>
      </w:r>
      <w:r>
        <w:rPr>
          <w:spacing w:val="-63"/>
        </w:rPr>
      </w:r>
      <w:r>
        <w:rPr>
          <w:spacing w:val="-2"/>
        </w:rPr>
        <w:t>资产负债表中列示的账面价值；对于以公允价值计量且其变动计入其他综合收益的债权投资，本集团在其他综合收益中确认</w:t>
      </w:r>
      <w:r>
        <w:rPr>
          <w:spacing w:val="-64"/>
        </w:rPr>
        <w:t> </w:t>
      </w:r>
      <w:r>
        <w:rPr>
          <w:spacing w:val="-64"/>
        </w:rPr>
      </w:r>
      <w:r>
        <w:rPr/>
        <w:t>其损失准备，不抵减该金融资产的账面价值。</w:t>
      </w:r>
    </w:p>
    <w:p>
      <w:pPr>
        <w:spacing w:line="240" w:lineRule="auto" w:before="2"/>
        <w:rPr>
          <w:rFonts w:ascii="宋体" w:hAnsi="宋体" w:cs="宋体" w:eastAsia="宋体" w:hint="default"/>
          <w:sz w:val="25"/>
          <w:szCs w:val="25"/>
        </w:rPr>
      </w:pPr>
    </w:p>
    <w:p>
      <w:pPr>
        <w:pStyle w:val="BodyText"/>
        <w:spacing w:line="316" w:lineRule="auto"/>
        <w:ind w:right="1119"/>
        <w:jc w:val="left"/>
      </w:pPr>
      <w:r>
        <w:rPr/>
        <w:t>核销 </w:t>
      </w:r>
      <w:r>
        <w:rPr>
          <w:spacing w:val="-2"/>
        </w:rPr>
        <w:t>如果本集团不再合理预期金融资产合同现金流量能够全部或部分收回，则直接减记该金融资产的账面余额。这种减记构成相</w:t>
      </w:r>
      <w:r>
        <w:rPr>
          <w:spacing w:val="-63"/>
        </w:rPr>
        <w:t> </w:t>
      </w:r>
      <w:r>
        <w:rPr>
          <w:spacing w:val="-63"/>
        </w:rPr>
      </w:r>
      <w:r>
        <w:rPr>
          <w:spacing w:val="-2"/>
        </w:rPr>
        <w:t>关金融资产的终止确认。这种情况通常发生在本集团确定债务人没有资产或收入来源可产生足够的现金流量以偿还将被减记</w:t>
      </w:r>
      <w:r>
        <w:rPr>
          <w:spacing w:val="-64"/>
        </w:rPr>
        <w:t> </w:t>
      </w:r>
      <w:r>
        <w:rPr>
          <w:spacing w:val="-64"/>
        </w:rPr>
      </w:r>
      <w:r>
        <w:rPr/>
        <w:t>的金额。但是，被减记的金融资产仍可能受到本集团催收到期款项相关执行活动的影响。 已减记的金融资产以后又收回的，作为减值损失的转回计入收回当期的损益。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6"/>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存货的分类和成本</w:t>
      </w:r>
    </w:p>
    <w:p>
      <w:pPr>
        <w:pStyle w:val="BodyText"/>
        <w:spacing w:line="309" w:lineRule="auto" w:before="76"/>
        <w:ind w:right="193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存货包括库存商品等。</w:t>
      </w:r>
      <w:r>
        <w:rPr>
          <w:w w:val="99"/>
        </w:rPr>
        <w:t> </w:t>
      </w:r>
      <w:r>
        <w:rPr/>
        <w:t>存货按成本进行初始计量。存货成本包括采购成本、加工成本和使存货达到目前场所和状态所发生的其他支出。</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发出存货的计价方法</w:t>
      </w:r>
    </w:p>
    <w:p>
      <w:pPr>
        <w:pStyle w:val="BodyText"/>
        <w:spacing w:line="240" w:lineRule="auto" w:before="5"/>
        <w:ind w:right="0"/>
        <w:jc w:val="left"/>
      </w:pPr>
      <w:r>
        <w:rPr/>
        <w:t>发出存货的实际成本采用加权平均法计量。</w:t>
      </w:r>
    </w:p>
    <w:p>
      <w:pPr>
        <w:pStyle w:val="BodyText"/>
        <w:spacing w:line="300" w:lineRule="auto" w:before="76"/>
        <w:ind w:right="615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存货可变现净值的确定依据及存货跌价准备的计提方法</w:t>
      </w:r>
      <w:r>
        <w:rPr>
          <w:w w:val="99"/>
        </w:rPr>
        <w:t> </w:t>
      </w:r>
      <w:r>
        <w:rPr/>
        <w:t>资产负债表日，存货按照成本与可变现净值孰低计量。</w:t>
      </w:r>
    </w:p>
    <w:p>
      <w:pPr>
        <w:spacing w:after="0" w:line="30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可变现净值，是指在日常活动中，存货的估计售价减去至完工时估计将要发生的成本、估计的销售费用以及相关税费后的金</w:t>
      </w:r>
      <w:r>
        <w:rPr>
          <w:spacing w:val="-63"/>
        </w:rPr>
        <w:t> </w:t>
      </w:r>
      <w:r>
        <w:rPr>
          <w:spacing w:val="-63"/>
        </w:rPr>
      </w:r>
      <w:r>
        <w:rPr/>
        <w:t>额。为执行销售合同或者劳务合同而持有的存货，其可变现净值以合同价格为基础计算。 </w:t>
      </w:r>
      <w:r>
        <w:rPr>
          <w:spacing w:val="-2"/>
        </w:rPr>
        <w:t>按单个存货项目计算的成本高于其可变现净值的差额，计提存货跌价准备，计入当期损益；但对于数量繁多、单价较低的存</w:t>
      </w:r>
      <w:r>
        <w:rPr>
          <w:spacing w:val="-64"/>
        </w:rPr>
        <w:t> </w:t>
      </w:r>
      <w:r>
        <w:rPr>
          <w:spacing w:val="-64"/>
        </w:rPr>
      </w:r>
      <w:r>
        <w:rPr>
          <w:spacing w:val="-2"/>
        </w:rPr>
        <w:t>货，按照存货类别计提存货跌价准备；与在同一地区生产和销售的产品系列相关、具有相同或类似最终用途或目的，且难以</w:t>
      </w:r>
      <w:r>
        <w:rPr>
          <w:spacing w:val="-63"/>
        </w:rPr>
        <w:t> </w:t>
      </w:r>
      <w:r>
        <w:rPr>
          <w:spacing w:val="-63"/>
        </w:rPr>
      </w:r>
      <w:r>
        <w:rPr/>
        <w:t>与其他项目分开计量的存货，则合并计提存货跌价准备。</w:t>
      </w:r>
    </w:p>
    <w:p>
      <w:pPr>
        <w:pStyle w:val="BodyText"/>
        <w:spacing w:line="300" w:lineRule="auto" w:before="17"/>
        <w:ind w:right="787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存货的盘存制度</w:t>
      </w:r>
      <w:r>
        <w:rPr>
          <w:w w:val="99"/>
        </w:rPr>
        <w:t> </w:t>
      </w:r>
      <w:r>
        <w:rPr/>
        <w:t>本集团存货盘存制度为永续盘存制。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49"/>
        <w:ind w:right="0"/>
        <w:jc w:val="both"/>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7854"/>
        <w:jc w:val="left"/>
      </w:pPr>
      <w:r>
        <w:rPr>
          <w:rFonts w:ascii="Times New Roman" w:hAnsi="Times New Roman" w:cs="Times New Roman" w:eastAsia="Times New Roman" w:hint="default"/>
        </w:rPr>
        <w:t>(1)</w:t>
      </w:r>
      <w:r>
        <w:rPr/>
        <w:t>长期股权投资投资成本确定</w:t>
      </w:r>
      <w:r>
        <w:rPr>
          <w:w w:val="99"/>
        </w:rPr>
        <w:t> </w:t>
      </w:r>
      <w:r>
        <w:rPr>
          <w:rFonts w:ascii="Times New Roman" w:hAnsi="Times New Roman" w:cs="Times New Roman" w:eastAsia="Times New Roman" w:hint="default"/>
        </w:rPr>
        <w:t>(a)</w:t>
      </w:r>
      <w:r>
        <w:rPr/>
        <w:t>通过企业合并形成的长期股权投资</w:t>
      </w:r>
    </w:p>
    <w:p>
      <w:pPr>
        <w:pStyle w:val="BodyText"/>
        <w:spacing w:line="309" w:lineRule="auto" w:before="13"/>
        <w:ind w:right="1133"/>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对于同一控制下的企业合并形成的对子公司的长期股权投资，本公司按照合并日取得的被合并方所有者权益在最终控</w:t>
      </w:r>
      <w:r>
        <w:rPr>
          <w:w w:val="99"/>
        </w:rPr>
        <w:t> </w:t>
      </w:r>
      <w:r>
        <w:rPr>
          <w:spacing w:val="-2"/>
          <w:w w:val="99"/>
        </w:rPr>
        <w:t>制方合并财务报表中的账面价值的份额作为长期股权投资的初始投资成本。长期股权投资初始投资成本与支付对价账面价值</w:t>
      </w:r>
      <w:r>
        <w:rPr>
          <w:spacing w:val="-64"/>
          <w:w w:val="99"/>
        </w:rPr>
        <w:t> </w:t>
      </w:r>
      <w:r>
        <w:rPr>
          <w:spacing w:val="-64"/>
          <w:w w:val="99"/>
        </w:rPr>
      </w:r>
      <w:r>
        <w:rPr/>
        <w:t>之间的差额，调整资本公积中的股本溢价；资本公积中的股本溢价不足冲减时，调整留存收益。</w:t>
      </w:r>
    </w:p>
    <w:p>
      <w:pPr>
        <w:pStyle w:val="BodyText"/>
        <w:spacing w:line="300" w:lineRule="auto" w:before="24"/>
        <w:ind w:right="1138"/>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对于非同一控制下企业合并形成的对子公司的长期股权投资，本公司按照购买日取得对被购买方的控制权而付出的资</w:t>
      </w:r>
      <w:r>
        <w:rPr>
          <w:w w:val="99"/>
        </w:rPr>
        <w:t> </w:t>
      </w:r>
      <w:r>
        <w:rPr/>
        <w:t>产、发生或承担的负债以及发行的权益性证券的公允价值，作为该投资的初始投资成本。</w:t>
      </w:r>
    </w:p>
    <w:p>
      <w:pPr>
        <w:pStyle w:val="BodyText"/>
        <w:spacing w:line="240" w:lineRule="auto" w:before="31"/>
        <w:ind w:right="0"/>
        <w:jc w:val="both"/>
      </w:pPr>
      <w:r>
        <w:rPr>
          <w:rFonts w:ascii="Times New Roman" w:hAnsi="Times New Roman" w:cs="Times New Roman" w:eastAsia="Times New Roman" w:hint="default"/>
        </w:rPr>
        <w:t>(b)</w:t>
      </w:r>
      <w:r>
        <w:rPr/>
        <w:t>其他方式取得的长期股权投资</w:t>
      </w:r>
    </w:p>
    <w:p>
      <w:pPr>
        <w:pStyle w:val="BodyText"/>
        <w:spacing w:line="309" w:lineRule="auto" w:before="63"/>
        <w:ind w:right="1133"/>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对于通过企业合并以外的其他方式取得的长期股权投资，在初始确认时，对于以支付现金取得的长期股权投资，本集</w:t>
      </w:r>
      <w:r>
        <w:rPr>
          <w:w w:val="99"/>
        </w:rPr>
        <w:t> </w:t>
      </w:r>
      <w:r>
        <w:rPr>
          <w:spacing w:val="-2"/>
        </w:rPr>
        <w:t>团按照实际支付的购买价款作为初始投资成本；对于发行权益性证券取得的长期股权投资，本集团按照发行权益性证券的公</w:t>
      </w:r>
      <w:r>
        <w:rPr>
          <w:spacing w:val="-65"/>
        </w:rPr>
        <w:t> </w:t>
      </w:r>
      <w:r>
        <w:rPr>
          <w:spacing w:val="-65"/>
        </w:rPr>
      </w:r>
      <w:r>
        <w:rPr/>
        <w:t>允价值作为初始投资成本。</w:t>
      </w:r>
    </w:p>
    <w:p>
      <w:pPr>
        <w:pStyle w:val="BodyText"/>
        <w:spacing w:line="300" w:lineRule="auto" w:before="24"/>
        <w:ind w:right="7484"/>
        <w:jc w:val="left"/>
      </w:pPr>
      <w:r>
        <w:rPr>
          <w:rFonts w:ascii="Times New Roman" w:hAnsi="Times New Roman" w:cs="Times New Roman" w:eastAsia="Times New Roman" w:hint="default"/>
        </w:rPr>
        <w:t>(2)</w:t>
      </w:r>
      <w:r>
        <w:rPr/>
        <w:t>长期股权投资后续计量及损益确认方法</w:t>
      </w:r>
      <w:r>
        <w:rPr>
          <w:w w:val="99"/>
        </w:rPr>
        <w:t> </w:t>
      </w:r>
      <w:r>
        <w:rPr>
          <w:rFonts w:ascii="Times New Roman" w:hAnsi="Times New Roman" w:cs="Times New Roman" w:eastAsia="Times New Roman" w:hint="default"/>
        </w:rPr>
        <w:t>(a)</w:t>
      </w:r>
      <w:r>
        <w:rPr/>
        <w:t>对子公司的投资</w:t>
      </w:r>
    </w:p>
    <w:p>
      <w:pPr>
        <w:pStyle w:val="BodyText"/>
        <w:spacing w:line="319" w:lineRule="auto" w:before="13"/>
        <w:ind w:right="1133"/>
        <w:jc w:val="both"/>
      </w:pPr>
      <w:r>
        <w:rPr>
          <w:spacing w:val="-2"/>
        </w:rPr>
        <w:t>在本公司个别财务报表中，本公司采用成本法对子公司的长期股权投资进行后续计量。对被投资单位宣告分派的现金股利或</w:t>
      </w:r>
      <w:r>
        <w:rPr>
          <w:spacing w:val="-64"/>
        </w:rPr>
        <w:t> </w:t>
      </w:r>
      <w:r>
        <w:rPr>
          <w:spacing w:val="-64"/>
        </w:rPr>
      </w:r>
      <w:r>
        <w:rPr>
          <w:spacing w:val="-2"/>
        </w:rPr>
        <w:t>利润由本公司享有的部分确认为当期投资收益，但取得投资时实际支付的价款或对价中包含的已宣告但尚未发放的现金股利</w:t>
      </w:r>
      <w:r>
        <w:rPr>
          <w:spacing w:val="-64"/>
        </w:rPr>
        <w:t> </w:t>
      </w:r>
      <w:r>
        <w:rPr>
          <w:spacing w:val="-64"/>
        </w:rPr>
      </w:r>
      <w:r>
        <w:rPr/>
        <w:t>或利润除外。</w:t>
      </w:r>
    </w:p>
    <w:p>
      <w:pPr>
        <w:pStyle w:val="BodyText"/>
        <w:spacing w:line="314" w:lineRule="auto" w:before="17"/>
        <w:ind w:right="3374"/>
        <w:jc w:val="left"/>
      </w:pPr>
      <w:r>
        <w:rPr/>
        <w:t>对子公司的投资按照成本减去减值准备后在资产负债表内列示。 对子公司投资的减值测试方法及减值准备计提方法参见除存货及金融资产外的其他资产减值。 在本集团合并财务报表中，对子公司按合并报表的编制方法进行处理。 </w:t>
      </w:r>
      <w:r>
        <w:rPr>
          <w:rFonts w:ascii="Times New Roman" w:hAnsi="Times New Roman" w:cs="Times New Roman" w:eastAsia="Times New Roman" w:hint="default"/>
        </w:rPr>
        <w:t>(b)</w:t>
      </w:r>
      <w:r>
        <w:rPr/>
        <w:t>对合营企业和联营企业的投资 合营企业指本集团与其他合营方共同控制且仅对其净资产享有权利的一项安排。 联营企业指本集团能够对其施加重大影响的企业。 后续计量时，对合营企业和联营企业的长期股权投资采用权益法核算。 本集团在采用权益法核算时的具体会计处理包括：</w:t>
      </w:r>
    </w:p>
    <w:p>
      <w:pPr>
        <w:pStyle w:val="BodyText"/>
        <w:spacing w:line="307" w:lineRule="auto" w:before="20"/>
        <w:ind w:right="1133"/>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对于长期股权投资的初始投资成本大于投资时应享有被投资单位可辨认净资产公允价值份额的，以前者作为长期股权</w:t>
      </w:r>
      <w:r>
        <w:rPr>
          <w:w w:val="99"/>
        </w:rPr>
        <w:t> </w:t>
      </w:r>
      <w:r>
        <w:rPr>
          <w:spacing w:val="-2"/>
        </w:rPr>
        <w:t>投资的成本；对于长期股权投资的初始投资成本小于投资时应享有被投资单位可辨认净资产公允价值份额的，以后者作为长</w:t>
      </w:r>
      <w:r>
        <w:rPr>
          <w:spacing w:val="-65"/>
        </w:rPr>
        <w:t> </w:t>
      </w:r>
      <w:r>
        <w:rPr>
          <w:spacing w:val="-65"/>
        </w:rPr>
      </w:r>
      <w:r>
        <w:rPr/>
        <w:t>期股权投资的成本，长期股权投资的成本与初始投资成本的差额计入当期损益。</w:t>
      </w:r>
    </w:p>
    <w:p>
      <w:pPr>
        <w:pStyle w:val="BodyText"/>
        <w:spacing w:line="309" w:lineRule="auto" w:before="26"/>
        <w:ind w:right="113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取得对合营企业和联营企业投资后，本集团按照应享有或应分担的被投资单位实现的净损益和其他综合收益的份额，</w:t>
      </w:r>
      <w:r>
        <w:rPr>
          <w:w w:val="99"/>
        </w:rPr>
        <w:t> </w:t>
      </w:r>
      <w:r>
        <w:rPr>
          <w:spacing w:val="-2"/>
          <w:w w:val="99"/>
        </w:rPr>
        <w:t>分别确认投资损益和其他综合收益并调整长期股权投资的账面价值；按照被投资单位宣告分派的利润或现金股利计算应分得</w:t>
      </w:r>
      <w:r>
        <w:rPr>
          <w:spacing w:val="-64"/>
          <w:w w:val="99"/>
        </w:rPr>
        <w:t> </w:t>
      </w:r>
      <w:r>
        <w:rPr>
          <w:spacing w:val="-64"/>
          <w:w w:val="99"/>
        </w:rPr>
      </w:r>
      <w:r>
        <w:rPr>
          <w:spacing w:val="-2"/>
        </w:rPr>
        <w:t>的部分，相应减少长期股权投资的账面价值。对合营企业或联营企业除净损益、其他综合收益和利润分配以外所有者权益的</w:t>
      </w:r>
      <w:r>
        <w:rPr>
          <w:spacing w:val="-64"/>
        </w:rPr>
        <w:t> </w:t>
      </w:r>
      <w:r>
        <w:rPr>
          <w:spacing w:val="-64"/>
        </w:rPr>
      </w:r>
      <w:r>
        <w:rPr/>
        <w:t>其他变动 </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其他所有者权益变动</w:t>
      </w:r>
      <w:r>
        <w:rPr>
          <w:rFonts w:ascii="Times New Roman" w:hAnsi="Times New Roman" w:cs="Times New Roman" w:eastAsia="Times New Roman" w:hint="default"/>
          <w:spacing w:val="-2"/>
        </w:rPr>
        <w:t>”)</w:t>
      </w:r>
      <w:r>
        <w:rPr>
          <w:spacing w:val="-2"/>
        </w:rPr>
        <w:t>，本集团按照应享有或应分担的份额计入股东权益，并同时调整长期股权投资的</w:t>
      </w:r>
      <w:r>
        <w:rPr>
          <w:spacing w:val="-79"/>
        </w:rPr>
        <w:t> </w:t>
      </w:r>
      <w:r>
        <w:rPr>
          <w:spacing w:val="-79"/>
        </w:rPr>
      </w:r>
      <w:r>
        <w:rPr/>
        <w:t>账面价值。</w:t>
      </w:r>
    </w:p>
    <w:p>
      <w:pPr>
        <w:pStyle w:val="BodyText"/>
        <w:spacing w:line="240" w:lineRule="auto" w:before="24"/>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33"/>
        </w:rPr>
        <w:t> </w:t>
      </w:r>
      <w:r>
        <w:rPr/>
        <w:t>在计算应享有或应分担的被投资单位实现的净损益、其他综合收益及其他所有者权益变动的份额时，本集团以取得投</w:t>
      </w:r>
    </w:p>
    <w:p>
      <w:pPr>
        <w:spacing w:after="0" w:line="240"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jc w:val="both"/>
      </w:pPr>
      <w:r>
        <w:rPr>
          <w:spacing w:val="-2"/>
        </w:rPr>
        <w:t>资时被投资单位可辨认净资产公允价值为基础，按照本集团的会计政策或会计期间进行必要调整后确认投资收益和其他综合</w:t>
      </w:r>
      <w:r>
        <w:rPr>
          <w:spacing w:val="-64"/>
        </w:rPr>
        <w:t> </w:t>
      </w:r>
      <w:r>
        <w:rPr>
          <w:spacing w:val="-64"/>
        </w:rPr>
      </w:r>
      <w:r>
        <w:rPr>
          <w:spacing w:val="-2"/>
        </w:rPr>
        <w:t>收益等。本集团与联营企业及合营企业之间内部交易产生的未实现损益按照应享有的比例计算归属于本集团的部分，在权益</w:t>
      </w:r>
      <w:r>
        <w:rPr>
          <w:spacing w:val="-64"/>
        </w:rPr>
        <w:t> </w:t>
      </w:r>
      <w:r>
        <w:rPr>
          <w:spacing w:val="-64"/>
        </w:rPr>
      </w:r>
      <w:r>
        <w:rPr/>
        <w:t>法核算时予以抵销。内部交易产生的未实现损失，有证据表明该损失是相关资产减值损失的，则全额确认该损失。</w:t>
      </w:r>
    </w:p>
    <w:p>
      <w:pPr>
        <w:pStyle w:val="BodyText"/>
        <w:tabs>
          <w:tab w:pos="573" w:val="left" w:leader="none"/>
        </w:tabs>
        <w:spacing w:line="309" w:lineRule="auto" w:before="17"/>
        <w:ind w:right="1131"/>
        <w:jc w:val="left"/>
      </w:pPr>
      <w:r>
        <w:rPr>
          <w:rFonts w:ascii="Times New Roman" w:hAnsi="Times New Roman" w:cs="Times New Roman" w:eastAsia="Times New Roman" w:hint="default"/>
        </w:rPr>
        <w:t>-</w:t>
        <w:tab/>
      </w:r>
      <w:r>
        <w:rPr/>
        <w:t>本集团对合营企业或联营企业发生的净亏损，除本集团负有承担额外损失义务外，以长期股权投资的账面价值以及其</w:t>
      </w:r>
      <w:r>
        <w:rPr>
          <w:spacing w:val="-61"/>
        </w:rPr>
        <w:t> </w:t>
      </w:r>
      <w:r>
        <w:rPr>
          <w:spacing w:val="-61"/>
        </w:rPr>
      </w:r>
      <w:r>
        <w:rPr>
          <w:spacing w:val="-2"/>
        </w:rPr>
        <w:t>他实质上构成对合营企业或联营企业净投资的长期权益减记至零为限。合营企业或联营企业以后实现净利润的，本集团在收</w:t>
      </w:r>
      <w:r>
        <w:rPr>
          <w:spacing w:val="-64"/>
        </w:rPr>
        <w:t> </w:t>
      </w:r>
      <w:r>
        <w:rPr>
          <w:spacing w:val="-64"/>
        </w:rPr>
      </w:r>
      <w:r>
        <w:rPr/>
        <w:t>益分享额弥补未确认的亏损分担额后，恢复确认收益分享额。</w:t>
      </w:r>
      <w:r>
        <w:rPr>
          <w:w w:val="99"/>
        </w:rPr>
        <w:t> </w:t>
      </w:r>
      <w:r>
        <w:rPr/>
        <w:t>本集团对合营企业和联营企业投资的减值测试方法及减值准备计提方法参见除存货及金融资产外的其他资产减值。</w:t>
      </w:r>
      <w:r>
        <w:rPr>
          <w:w w:val="99"/>
        </w:rPr>
        <w:t> </w:t>
      </w:r>
      <w:r>
        <w:rPr>
          <w:rFonts w:ascii="Times New Roman" w:hAnsi="Times New Roman" w:cs="Times New Roman" w:eastAsia="Times New Roman" w:hint="default"/>
        </w:rPr>
        <w:t>(3)</w:t>
      </w:r>
      <w:r>
        <w:rPr/>
        <w:t>确定对被投资单位具有共同控制、重大影响的判断标准</w:t>
      </w:r>
      <w:r>
        <w:rPr>
          <w:w w:val="99"/>
        </w:rPr>
        <w:t> </w:t>
      </w:r>
      <w:r>
        <w:rPr/>
        <w:t>共同控制指按照相关约定对某项安排所共有的控制，并且该安排的相关活动 </w:t>
      </w:r>
      <w:r>
        <w:rPr>
          <w:rFonts w:ascii="Times New Roman" w:hAnsi="Times New Roman" w:cs="Times New Roman" w:eastAsia="Times New Roman" w:hint="default"/>
        </w:rPr>
        <w:t>(</w:t>
      </w:r>
      <w:r>
        <w:rPr/>
        <w:t>即对安排的回报产生重大影响的活动</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t>必须经</w:t>
      </w:r>
      <w:r>
        <w:rPr>
          <w:w w:val="99"/>
        </w:rPr>
        <w:t> </w:t>
      </w:r>
      <w:r>
        <w:rPr/>
        <w:t>过分享控制权的参与方一致同意后才能决策。</w:t>
      </w:r>
    </w:p>
    <w:p>
      <w:pPr>
        <w:pStyle w:val="BodyText"/>
        <w:spacing w:line="240" w:lineRule="auto" w:before="24"/>
        <w:ind w:right="0"/>
        <w:jc w:val="left"/>
      </w:pPr>
      <w:r>
        <w:rPr/>
        <w:t>本集团在判断对被投资单位是否存在共同控制时，通常考虑下述事项：</w:t>
      </w:r>
    </w:p>
    <w:p>
      <w:pPr>
        <w:pStyle w:val="BodyText"/>
        <w:tabs>
          <w:tab w:pos="573" w:val="left" w:leader="none"/>
        </w:tabs>
        <w:spacing w:line="240" w:lineRule="auto" w:before="76"/>
        <w:ind w:right="0"/>
        <w:jc w:val="left"/>
      </w:pPr>
      <w:r>
        <w:rPr>
          <w:rFonts w:ascii="Times New Roman" w:hAnsi="Times New Roman" w:cs="Times New Roman" w:eastAsia="Times New Roman" w:hint="default"/>
        </w:rPr>
        <w:t>-</w:t>
        <w:tab/>
      </w:r>
      <w:r>
        <w:rPr/>
        <w:t>是否任何一个参与方均不能单独控制被投资单位的相关活动；</w:t>
      </w:r>
    </w:p>
    <w:p>
      <w:pPr>
        <w:pStyle w:val="BodyText"/>
        <w:tabs>
          <w:tab w:pos="573" w:val="left" w:leader="none"/>
        </w:tabs>
        <w:spacing w:line="309" w:lineRule="auto" w:before="63"/>
        <w:ind w:right="1133"/>
        <w:jc w:val="left"/>
      </w:pPr>
      <w:r>
        <w:rPr>
          <w:rFonts w:ascii="Times New Roman" w:hAnsi="Times New Roman" w:cs="Times New Roman" w:eastAsia="Times New Roman" w:hint="default"/>
        </w:rPr>
        <w:t>-</w:t>
        <w:tab/>
      </w:r>
      <w:r>
        <w:rPr/>
        <w:t>涉及被投资单位相关活动的决策是否需要分享控制权参与方一致同意。</w:t>
      </w:r>
      <w:r>
        <w:rPr>
          <w:w w:val="99"/>
        </w:rPr>
        <w:t> </w:t>
      </w:r>
      <w:r>
        <w:rPr>
          <w:spacing w:val="-2"/>
          <w:w w:val="99"/>
        </w:rPr>
        <w:t>重大影响指本集团对被投资单位的财务和经营政策有参与决策的权力，但并不能够控制或者与其他方一起共同控制这些政策</w:t>
      </w:r>
      <w:r>
        <w:rPr>
          <w:spacing w:val="-64"/>
          <w:w w:val="99"/>
        </w:rPr>
        <w:t> </w:t>
      </w:r>
      <w:r>
        <w:rPr>
          <w:spacing w:val="-64"/>
          <w:w w:val="99"/>
        </w:rPr>
      </w:r>
      <w:r>
        <w:rPr/>
        <w:t>的制定。</w:t>
      </w:r>
    </w:p>
    <w:p>
      <w:pPr>
        <w:spacing w:line="240" w:lineRule="auto" w:before="0"/>
        <w:rPr>
          <w:rFonts w:ascii="宋体" w:hAnsi="宋体" w:cs="宋体" w:eastAsia="宋体" w:hint="default"/>
          <w:sz w:val="23"/>
          <w:szCs w:val="23"/>
        </w:rPr>
      </w:pPr>
    </w:p>
    <w:p>
      <w:pPr>
        <w:pStyle w:val="Heading6"/>
        <w:spacing w:line="240" w:lineRule="auto"/>
        <w:ind w:right="0"/>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16" w:lineRule="auto" w:before="29"/>
        <w:ind w:right="0"/>
        <w:jc w:val="left"/>
      </w:pPr>
      <w:r>
        <w:rPr>
          <w:spacing w:val="-4"/>
        </w:rPr>
        <w:t>本集团将持有的为赚取租金或资本增值，或两者兼有的房地产划分为投资性房地产。本集团采用成本模式计量投资性房地产，</w:t>
      </w:r>
      <w:r>
        <w:rPr>
          <w:spacing w:val="-44"/>
        </w:rPr>
        <w:t> </w:t>
      </w:r>
      <w:r>
        <w:rPr>
          <w:spacing w:val="-44"/>
        </w:rPr>
      </w:r>
      <w:r>
        <w:rPr>
          <w:spacing w:val="-2"/>
        </w:rPr>
        <w:t>即以成本减累计折旧、摊销及减值准备后在资产负债表内列示。本集团将投资性房地产的成本扣除预计净残值和累计减值准</w:t>
      </w:r>
      <w:r>
        <w:rPr>
          <w:spacing w:val="-64"/>
        </w:rPr>
        <w:t> </w:t>
      </w:r>
      <w:r>
        <w:rPr>
          <w:spacing w:val="-64"/>
        </w:rPr>
      </w:r>
      <w:r>
        <w:rPr/>
        <w:t>备后在使用寿命内按年限平均法。减值测试方法及减值准备计提方法参见除存货及金融资产外的其他资产减值。</w:t>
      </w:r>
    </w:p>
    <w:p>
      <w:pPr>
        <w:spacing w:line="240" w:lineRule="auto" w:before="4"/>
        <w:rPr>
          <w:rFonts w:ascii="宋体" w:hAnsi="宋体" w:cs="宋体" w:eastAsia="宋体" w:hint="default"/>
          <w:sz w:val="25"/>
          <w:szCs w:val="25"/>
        </w:rPr>
      </w:pPr>
    </w:p>
    <w:p>
      <w:pPr>
        <w:pStyle w:val="BodyText"/>
        <w:spacing w:line="240" w:lineRule="auto"/>
        <w:ind w:right="0"/>
        <w:jc w:val="left"/>
      </w:pPr>
      <w:r>
        <w:rPr/>
        <w:t>各类投资性房地产的使用寿命、残值率和年折旧率分别为：</w:t>
      </w:r>
    </w:p>
    <w:p>
      <w:pPr>
        <w:spacing w:line="240" w:lineRule="auto" w:before="11"/>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2982"/>
        <w:gridCol w:w="2067"/>
        <w:gridCol w:w="2066"/>
        <w:gridCol w:w="2067"/>
      </w:tblGrid>
      <w:tr>
        <w:trPr>
          <w:trHeight w:val="343" w:hRule="exact"/>
        </w:trPr>
        <w:tc>
          <w:tcPr>
            <w:tcW w:w="298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0"/>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使用寿命</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06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0"/>
              <w:ind w:left="5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p>
        </w:tc>
        <w:tc>
          <w:tcPr>
            <w:tcW w:w="206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0"/>
              <w:ind w:left="4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p>
        </w:tc>
      </w:tr>
      <w:tr>
        <w:trPr>
          <w:trHeight w:val="343" w:hRule="exact"/>
        </w:trPr>
        <w:tc>
          <w:tcPr>
            <w:tcW w:w="298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20"/>
              <w:ind w:left="14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67"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20"/>
              <w:ind w:left="136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年</w:t>
            </w:r>
          </w:p>
        </w:tc>
        <w:tc>
          <w:tcPr>
            <w:tcW w:w="206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62"/>
              <w:ind w:left="971" w:right="-1"/>
              <w:jc w:val="left"/>
              <w:rPr>
                <w:rFonts w:ascii="Times New Roman" w:hAnsi="Times New Roman" w:cs="Times New Roman" w:eastAsia="Times New Roman" w:hint="default"/>
                <w:sz w:val="18"/>
                <w:szCs w:val="18"/>
              </w:rPr>
            </w:pPr>
            <w:r>
              <w:rPr>
                <w:rFonts w:ascii="Times New Roman"/>
                <w:sz w:val="18"/>
              </w:rPr>
              <w:t>0.00% -</w:t>
            </w:r>
            <w:r>
              <w:rPr>
                <w:rFonts w:ascii="Times New Roman"/>
                <w:spacing w:val="-3"/>
                <w:sz w:val="18"/>
              </w:rPr>
              <w:t> </w:t>
            </w:r>
            <w:r>
              <w:rPr>
                <w:rFonts w:ascii="Times New Roman"/>
                <w:sz w:val="18"/>
              </w:rPr>
              <w:t>5.00%</w:t>
            </w:r>
          </w:p>
        </w:tc>
        <w:tc>
          <w:tcPr>
            <w:tcW w:w="206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2"/>
              <w:ind w:left="881" w:right="0"/>
              <w:jc w:val="left"/>
              <w:rPr>
                <w:rFonts w:ascii="Times New Roman" w:hAnsi="Times New Roman" w:cs="Times New Roman" w:eastAsia="Times New Roman" w:hint="default"/>
                <w:sz w:val="18"/>
                <w:szCs w:val="18"/>
              </w:rPr>
            </w:pPr>
            <w:r>
              <w:rPr>
                <w:rFonts w:ascii="Times New Roman"/>
                <w:sz w:val="18"/>
              </w:rPr>
              <w:t>3.17% -</w:t>
            </w:r>
            <w:r>
              <w:rPr>
                <w:rFonts w:ascii="Times New Roman"/>
                <w:spacing w:val="-4"/>
                <w:sz w:val="18"/>
              </w:rPr>
              <w:t> </w:t>
            </w:r>
            <w:r>
              <w:rPr>
                <w:rFonts w:ascii="Times New Roman"/>
                <w:sz w:val="18"/>
              </w:rPr>
              <w:t>10.00%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6"/>
        <w:spacing w:line="240" w:lineRule="auto" w:before="36"/>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4"/>
        <w:jc w:val="left"/>
      </w:pPr>
      <w:r>
        <w:rPr>
          <w:spacing w:val="-2"/>
        </w:rPr>
        <w:t>固定资产指本集团为生产商品、提供劳务、出租或经营管理而持有的，使用寿命超过一个会计年度的有形资产。外购固定资</w:t>
      </w:r>
      <w:r>
        <w:rPr>
          <w:spacing w:val="-64"/>
        </w:rPr>
        <w:t> </w:t>
      </w:r>
      <w:r>
        <w:rPr>
          <w:spacing w:val="-64"/>
        </w:rPr>
      </w:r>
      <w:r>
        <w:rPr>
          <w:spacing w:val="-2"/>
        </w:rPr>
        <w:t>产的初始成本包括购买价款、相关税费以及使该资产达到预定可使用状态前所发生的可归属于该项资产的支出。自行建造固</w:t>
      </w:r>
      <w:r>
        <w:rPr>
          <w:spacing w:val="-63"/>
        </w:rPr>
        <w:t> </w:t>
      </w:r>
      <w:r>
        <w:rPr>
          <w:spacing w:val="-63"/>
        </w:rPr>
      </w:r>
      <w:r>
        <w:rPr>
          <w:spacing w:val="-2"/>
        </w:rPr>
        <w:t>定资产按照在建工程确定初始成本。对于构成固定资产的各组成部分，如果各自具有不同使用寿命或者以不同方式为本集团</w:t>
      </w:r>
      <w:r>
        <w:rPr>
          <w:spacing w:val="-64"/>
        </w:rPr>
        <w:t> </w:t>
      </w:r>
      <w:r>
        <w:rPr>
          <w:spacing w:val="-64"/>
        </w:rPr>
      </w:r>
      <w:r>
        <w:rPr/>
        <w:t>提供经济利益，适用不同折旧率或折旧方法的，本集团分别将各组成部分确认为单项固定资产。对于固定资产的后续支出， </w:t>
      </w:r>
      <w:r>
        <w:rPr>
          <w:spacing w:val="-2"/>
        </w:rPr>
        <w:t>包括与更换固定资产某组成部分相关的支出，在与支出相关的经济利益很可能流入本集团时资本化计入固定资产成本，同时</w:t>
      </w:r>
      <w:r>
        <w:rPr>
          <w:spacing w:val="-64"/>
        </w:rPr>
        <w:t> </w:t>
      </w:r>
      <w:r>
        <w:rPr>
          <w:spacing w:val="-64"/>
        </w:rPr>
      </w:r>
      <w:r>
        <w:rPr>
          <w:spacing w:val="-2"/>
        </w:rPr>
        <w:t>将被替换部分的账面价值扣除；与固定资产日常维护相关的支出在发生时计入当期损益。固定资产以成本减累计折旧及减值</w:t>
      </w:r>
      <w:r>
        <w:rPr>
          <w:spacing w:val="-64"/>
        </w:rPr>
        <w:t> </w:t>
      </w:r>
      <w:r>
        <w:rPr>
          <w:spacing w:val="-64"/>
        </w:rPr>
      </w:r>
      <w:r>
        <w:rPr/>
        <w:t>准备后在资产负债表内列示。</w:t>
      </w:r>
    </w:p>
    <w:p>
      <w:pPr>
        <w:spacing w:after="0" w:line="319"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3.17%-10.00%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9.50%-20.00%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19.00%-20.00%</w:t>
            </w:r>
          </w:p>
        </w:tc>
      </w:tr>
    </w:tbl>
    <w:p>
      <w:pPr>
        <w:spacing w:line="240" w:lineRule="auto" w:before="3"/>
        <w:rPr>
          <w:rFonts w:ascii="宋体" w:hAnsi="宋体" w:cs="宋体" w:eastAsia="宋体" w:hint="default"/>
          <w:b/>
          <w:bCs/>
          <w:sz w:val="19"/>
          <w:szCs w:val="19"/>
        </w:rPr>
      </w:pPr>
    </w:p>
    <w:p>
      <w:pPr>
        <w:pStyle w:val="Heading6"/>
        <w:spacing w:line="240" w:lineRule="auto" w:before="36"/>
        <w:ind w:right="0"/>
        <w:jc w:val="both"/>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jc w:val="left"/>
      </w:pPr>
      <w:r>
        <w:rPr>
          <w:spacing w:val="-2"/>
        </w:rPr>
        <w:t>自行建造的固定资产的成本包括工程用物资、直接人工、符合资本化条件的借款费用和使该项资产达到预定可使用状态前所</w:t>
      </w:r>
      <w:r>
        <w:rPr>
          <w:spacing w:val="-64"/>
        </w:rPr>
        <w:t> </w:t>
      </w:r>
      <w:r>
        <w:rPr>
          <w:spacing w:val="-64"/>
        </w:rPr>
      </w:r>
      <w:r>
        <w:rPr/>
        <w:t>发生的必要支出。</w:t>
      </w:r>
    </w:p>
    <w:p>
      <w:pPr>
        <w:pStyle w:val="BodyText"/>
        <w:spacing w:line="360" w:lineRule="auto" w:before="19"/>
        <w:ind w:right="3014"/>
        <w:jc w:val="left"/>
      </w:pPr>
      <w:r>
        <w:rPr/>
        <w:t>自行建造的固定资产于达到预定可使用状态时转入固定资产，此前列于在建工程，且不计提折旧。 在建工程以成本减减值准备</w:t>
      </w:r>
      <w:r>
        <w:rPr>
          <w:spacing w:val="-18"/>
        </w:rPr>
        <w:t> </w:t>
      </w:r>
      <w:r>
        <w:rPr>
          <w:rFonts w:ascii="Times New Roman" w:hAnsi="Times New Roman" w:cs="Times New Roman" w:eastAsia="Times New Roman" w:hint="default"/>
        </w:rPr>
        <w:t>(</w:t>
      </w:r>
      <w:r>
        <w:rPr/>
        <w:t>参见除存货及金融资产外的其他资产减值</w:t>
      </w:r>
      <w:r>
        <w:rPr>
          <w:rFonts w:ascii="Times New Roman" w:hAnsi="Times New Roman" w:cs="Times New Roman" w:eastAsia="Times New Roman" w:hint="default"/>
        </w:rPr>
        <w:t>)</w:t>
      </w:r>
      <w:r>
        <w:rPr/>
        <w:t>在资产负债表内列示。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22"/>
        <w:ind w:right="0"/>
        <w:jc w:val="both"/>
        <w:rPr>
          <w:b w:val="0"/>
          <w:bCs w:val="0"/>
        </w:rPr>
      </w:pPr>
      <w:r>
        <w:rPr>
          <w:rFonts w:ascii="Times New Roman" w:hAnsi="Times New Roman" w:cs="Times New Roman" w:eastAsia="Times New Roman" w:hint="default"/>
        </w:rPr>
        <w:t>15</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本集团发生的可直接归属于符合资本化条件的资产的购建或者生产的借款费用，予以资本化并计入相关资产的成本，其他借</w:t>
      </w:r>
      <w:r>
        <w:rPr>
          <w:spacing w:val="-64"/>
        </w:rPr>
        <w:t> </w:t>
      </w:r>
      <w:r>
        <w:rPr>
          <w:spacing w:val="-64"/>
        </w:rPr>
      </w:r>
      <w:r>
        <w:rPr/>
        <w:t>款费用均于发生当期确认为财务费用。</w:t>
      </w:r>
    </w:p>
    <w:p>
      <w:pPr>
        <w:pStyle w:val="BodyText"/>
        <w:spacing w:line="240" w:lineRule="auto" w:before="19"/>
        <w:ind w:right="0"/>
        <w:jc w:val="both"/>
      </w:pPr>
      <w:r>
        <w:rPr/>
        <w:t>在资本化期间内，本集团按照下列方法确定每一会计期间的利息资本化金额</w:t>
      </w:r>
      <w:r>
        <w:rPr>
          <w:spacing w:val="-17"/>
        </w:rPr>
        <w:t> </w:t>
      </w:r>
      <w:r>
        <w:rPr>
          <w:rFonts w:ascii="Times New Roman" w:hAnsi="Times New Roman" w:cs="Times New Roman" w:eastAsia="Times New Roman" w:hint="default"/>
        </w:rPr>
        <w:t>(</w:t>
      </w:r>
      <w:r>
        <w:rPr/>
        <w:t>包括折价或溢价的摊销</w:t>
      </w:r>
      <w:r>
        <w:rPr>
          <w:rFonts w:ascii="Times New Roman" w:hAnsi="Times New Roman" w:cs="Times New Roman" w:eastAsia="Times New Roman" w:hint="default"/>
        </w:rPr>
        <w:t>)</w:t>
      </w:r>
      <w:r>
        <w:rPr/>
        <w:t>：</w:t>
      </w:r>
    </w:p>
    <w:p>
      <w:pPr>
        <w:pStyle w:val="BodyText"/>
        <w:spacing w:line="309" w:lineRule="auto" w:before="63"/>
        <w:ind w:right="1138"/>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对于为购建或者生产符合资本化条件的资产而借入的专门借款，本集团以专门借款按实际利率计算的当期利息费用，</w:t>
      </w:r>
      <w:r>
        <w:rPr>
          <w:w w:val="99"/>
        </w:rPr>
        <w:t> </w:t>
      </w:r>
      <w:r>
        <w:rPr/>
        <w:t>减去将尚未动用的借款资金存入银行取得的利息收入或进行暂时性投资取得的投资收益后的金额确定专门借款应予资本化</w:t>
      </w:r>
      <w:r>
        <w:rPr>
          <w:spacing w:val="-11"/>
        </w:rPr>
        <w:t> </w:t>
      </w:r>
      <w:r>
        <w:rPr>
          <w:spacing w:val="-11"/>
        </w:rPr>
      </w:r>
      <w:r>
        <w:rPr/>
        <w:t>的利息金额。</w:t>
      </w:r>
    </w:p>
    <w:p>
      <w:pPr>
        <w:pStyle w:val="BodyText"/>
        <w:tabs>
          <w:tab w:pos="573" w:val="left" w:leader="none"/>
        </w:tabs>
        <w:spacing w:line="316" w:lineRule="auto" w:before="24"/>
        <w:ind w:right="1130"/>
        <w:jc w:val="left"/>
      </w:pPr>
      <w:r>
        <w:rPr>
          <w:rFonts w:ascii="Times New Roman" w:hAnsi="Times New Roman" w:cs="Times New Roman" w:eastAsia="Times New Roman" w:hint="default"/>
        </w:rPr>
        <w:t>-</w:t>
        <w:tab/>
      </w:r>
      <w:r>
        <w:rPr/>
        <w:t>对于为购建或者生产符合资本化条件的资产而占用的一般借款，本集团根据累计资产支出超过专门借款部分的资产支</w:t>
      </w:r>
      <w:r>
        <w:rPr>
          <w:spacing w:val="-59"/>
        </w:rPr>
        <w:t> </w:t>
      </w:r>
      <w:r>
        <w:rPr>
          <w:spacing w:val="-59"/>
        </w:rPr>
      </w:r>
      <w:r>
        <w:rPr>
          <w:spacing w:val="-2"/>
        </w:rPr>
        <w:t>出的加权平均数乘以所占用一般借款的资本化率，计算确定一般借款应予资本化的利息金额。资本化率是根据一般借款加权</w:t>
      </w:r>
      <w:r>
        <w:rPr>
          <w:spacing w:val="-65"/>
        </w:rPr>
        <w:t> </w:t>
      </w:r>
      <w:r>
        <w:rPr>
          <w:spacing w:val="-65"/>
        </w:rPr>
      </w:r>
      <w:r>
        <w:rPr/>
        <w:t>平均的实际利率计算确定。</w:t>
      </w:r>
      <w:r>
        <w:rPr>
          <w:w w:val="99"/>
        </w:rPr>
        <w:t> </w:t>
      </w:r>
      <w:r>
        <w:rPr>
          <w:spacing w:val="-2"/>
        </w:rPr>
        <w:t>本集团确定借款的实际利率时，是将借款在预期存续期间或适用的更短期间内的未来现金流量，折现为该借款初始确认时确</w:t>
      </w:r>
      <w:r>
        <w:rPr>
          <w:spacing w:val="-65"/>
        </w:rPr>
        <w:t> </w:t>
      </w:r>
      <w:r>
        <w:rPr>
          <w:spacing w:val="-65"/>
        </w:rPr>
      </w:r>
      <w:r>
        <w:rPr/>
        <w:t>定的金额所使用的利率。</w:t>
      </w:r>
      <w:r>
        <w:rPr>
          <w:w w:val="99"/>
        </w:rPr>
        <w:t> </w:t>
      </w:r>
      <w:r>
        <w:rPr>
          <w:spacing w:val="-2"/>
        </w:rPr>
        <w:t>资本化期间是指本集团从借款费用开始资本化时点到停止资本化时点的期间，借款费用暂停资本化的期间不包括在内。当资</w:t>
      </w:r>
      <w:r>
        <w:rPr>
          <w:spacing w:val="-65"/>
        </w:rPr>
        <w:t> </w:t>
      </w:r>
      <w:r>
        <w:rPr>
          <w:spacing w:val="-65"/>
        </w:rPr>
      </w:r>
      <w:r>
        <w:rPr>
          <w:spacing w:val="-2"/>
          <w:w w:val="99"/>
        </w:rPr>
        <w:t>本支出和借款费用已经发生及为使资产达到预定可使用或可销售状态所必要的购建或生产活动已经开始时，借款费用开始资</w:t>
      </w:r>
      <w:r>
        <w:rPr>
          <w:spacing w:val="-62"/>
          <w:w w:val="99"/>
        </w:rPr>
        <w:t> </w:t>
      </w:r>
      <w:r>
        <w:rPr>
          <w:spacing w:val="-62"/>
          <w:w w:val="99"/>
        </w:rPr>
      </w:r>
      <w:r>
        <w:rPr>
          <w:spacing w:val="-2"/>
        </w:rPr>
        <w:t>本化。当购建或者生产符合资本化条件的资产达到预定可使用或者可销售状态时，借款费用停止资本化。对于符合资本化条</w:t>
      </w:r>
      <w:r>
        <w:rPr>
          <w:spacing w:val="-64"/>
        </w:rPr>
        <w:t> </w:t>
      </w:r>
      <w:r>
        <w:rPr>
          <w:spacing w:val="-64"/>
        </w:rPr>
      </w:r>
      <w:r>
        <w:rPr/>
        <w:t>件的资产在购建或者生产过程中发生非正常中断、且中断时间连续超过</w:t>
      </w:r>
      <w:r>
        <w:rPr>
          <w:rFonts w:ascii="Times New Roman" w:hAnsi="Times New Roman" w:cs="Times New Roman" w:eastAsia="Times New Roman" w:hint="default"/>
        </w:rPr>
        <w:t>3</w:t>
      </w:r>
      <w:r>
        <w:rPr/>
        <w:t>个月的，本集团暂停借款费用的资本化。</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Heading6"/>
        <w:spacing w:line="240" w:lineRule="auto"/>
        <w:ind w:right="0"/>
        <w:jc w:val="both"/>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3"/>
        <w:jc w:val="both"/>
      </w:pPr>
      <w:r>
        <w:rPr/>
        <w:t>无形资产以成本减累计摊销 </w:t>
      </w:r>
      <w:r>
        <w:rPr>
          <w:rFonts w:ascii="Times New Roman" w:hAnsi="Times New Roman" w:cs="Times New Roman" w:eastAsia="Times New Roman" w:hint="default"/>
        </w:rPr>
        <w:t>(</w:t>
      </w:r>
      <w:r>
        <w:rPr/>
        <w:t>仅限于使用寿命有限的无形资产</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t>及减值准备（参见除存货及金融资产外的其他资产减值）后 </w:t>
      </w:r>
      <w:r>
        <w:rPr>
          <w:spacing w:val="-2"/>
        </w:rPr>
        <w:t>在资产负债表内列示。对于使用寿命有限的无形资产，本集团将无形资产的成本扣除预计净残值和累计减值准备后按直线法</w:t>
      </w:r>
      <w:r>
        <w:rPr>
          <w:spacing w:val="-64"/>
        </w:rPr>
        <w:t> </w:t>
      </w:r>
      <w:r>
        <w:rPr>
          <w:spacing w:val="-64"/>
        </w:rPr>
      </w:r>
      <w:r>
        <w:rPr/>
        <w:t>在预计使用寿命期内摊销</w:t>
      </w:r>
      <w:r>
        <w:rPr>
          <w:spacing w:val="-18"/>
        </w:rPr>
        <w:t> </w:t>
      </w:r>
      <w:r>
        <w:rPr/>
        <w:t>。</w:t>
      </w:r>
    </w:p>
    <w:p>
      <w:pPr>
        <w:spacing w:after="0" w:line="309" w:lineRule="auto"/>
        <w:jc w:val="both"/>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44"/>
        <w:ind w:right="0"/>
        <w:jc w:val="left"/>
      </w:pPr>
      <w:r>
        <w:rPr/>
        <w:t>各项无形资产的摊销年限为：</w:t>
      </w:r>
    </w:p>
    <w:p>
      <w:pPr>
        <w:spacing w:line="240" w:lineRule="auto" w:before="11"/>
        <w:rPr>
          <w:rFonts w:ascii="宋体" w:hAnsi="宋体" w:cs="宋体" w:eastAsia="宋体"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4659"/>
        <w:gridCol w:w="4527"/>
      </w:tblGrid>
      <w:tr>
        <w:trPr>
          <w:trHeight w:val="341" w:hRule="exact"/>
        </w:trPr>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摊销年限</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3" w:hRule="exact"/>
        </w:trPr>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按土地使用期限摊销</w:t>
            </w:r>
          </w:p>
        </w:tc>
      </w:tr>
      <w:tr>
        <w:trPr>
          <w:trHeight w:val="341" w:hRule="exact"/>
        </w:trPr>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3 -</w:t>
            </w:r>
            <w:r>
              <w:rPr>
                <w:rFonts w:ascii="Times New Roman"/>
                <w:spacing w:val="1"/>
                <w:sz w:val="18"/>
              </w:rPr>
              <w:t> </w:t>
            </w:r>
            <w:r>
              <w:rPr>
                <w:rFonts w:ascii="Times New Roman"/>
                <w:sz w:val="18"/>
              </w:rPr>
              <w:t>10</w:t>
            </w:r>
          </w:p>
        </w:tc>
      </w:tr>
      <w:tr>
        <w:trPr>
          <w:trHeight w:val="343" w:hRule="exact"/>
        </w:trPr>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3"/>
        <w:rPr>
          <w:rFonts w:ascii="宋体" w:hAnsi="宋体" w:cs="宋体" w:eastAsia="宋体" w:hint="default"/>
          <w:sz w:val="21"/>
          <w:szCs w:val="21"/>
        </w:rPr>
      </w:pPr>
    </w:p>
    <w:p>
      <w:pPr>
        <w:pStyle w:val="BodyText"/>
        <w:spacing w:line="316" w:lineRule="auto" w:before="44"/>
        <w:ind w:right="1934"/>
        <w:jc w:val="left"/>
      </w:pPr>
      <w:r>
        <w:rPr/>
        <w:t>本集团将无法预见未来经济利益期限的无形资产视为使用寿命不确定的无形资产，并对这类无形资产不予摊销。 截至资产负债表日，本集团没有使用寿命不确定的无形资产。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7"/>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0"/>
        <w:jc w:val="left"/>
      </w:pPr>
      <w:r>
        <w:rPr/>
        <w:t>本集团内部研究开发项目的支出分为研究阶段支出和开发阶段支出。 研究阶段：为获取并理解新的科学或技术知识等而进行的独创性的有计划调查、研究活动的阶段。</w:t>
      </w:r>
    </w:p>
    <w:p>
      <w:pPr>
        <w:spacing w:line="240" w:lineRule="auto" w:before="12"/>
        <w:rPr>
          <w:rFonts w:ascii="宋体" w:hAnsi="宋体" w:cs="宋体" w:eastAsia="宋体" w:hint="default"/>
          <w:sz w:val="22"/>
          <w:szCs w:val="22"/>
        </w:rPr>
      </w:pPr>
    </w:p>
    <w:p>
      <w:pPr>
        <w:pStyle w:val="BodyText"/>
        <w:spacing w:line="316" w:lineRule="auto"/>
        <w:ind w:right="0"/>
        <w:jc w:val="left"/>
      </w:pPr>
      <w:r>
        <w:rPr>
          <w:spacing w:val="-2"/>
        </w:rPr>
        <w:t>开发阶段：在进行商业性生产或使用前，将研究成果或其他知识应用于某项计划或设计，以生产出新的或具有实质性改进的</w:t>
      </w:r>
      <w:r>
        <w:rPr>
          <w:spacing w:val="-63"/>
        </w:rPr>
        <w:t> </w:t>
      </w:r>
      <w:r>
        <w:rPr>
          <w:spacing w:val="-63"/>
        </w:rPr>
      </w:r>
      <w:r>
        <w:rPr/>
        <w:t>材料、装置、产品等活动的阶段。</w:t>
      </w:r>
    </w:p>
    <w:p>
      <w:pPr>
        <w:spacing w:line="240" w:lineRule="auto" w:before="0"/>
        <w:rPr>
          <w:rFonts w:ascii="宋体" w:hAnsi="宋体" w:cs="宋体" w:eastAsia="宋体" w:hint="default"/>
          <w:sz w:val="18"/>
          <w:szCs w:val="18"/>
        </w:rPr>
      </w:pPr>
    </w:p>
    <w:p>
      <w:pPr>
        <w:pStyle w:val="BodyText"/>
        <w:spacing w:line="316" w:lineRule="auto" w:before="136"/>
        <w:ind w:right="1130"/>
        <w:jc w:val="both"/>
      </w:pPr>
      <w:r>
        <w:rPr>
          <w:spacing w:val="-2"/>
        </w:rPr>
        <w:t>研究阶段的支出，于发生时计入当期损益。开发阶段的支出，如果开发形成的某项产品或工序等在技术和商业上可行，而且</w:t>
      </w:r>
      <w:r>
        <w:rPr>
          <w:spacing w:val="-65"/>
        </w:rPr>
        <w:t> </w:t>
      </w:r>
      <w:r>
        <w:rPr>
          <w:spacing w:val="-65"/>
        </w:rPr>
      </w:r>
      <w:r>
        <w:rPr>
          <w:spacing w:val="-2"/>
        </w:rPr>
        <w:t>本集团有充足的资源和意向完成开发工作，并且开发阶段支出能够可靠计量，则开发阶段的支出便会予以资本化。资本化开</w:t>
      </w:r>
      <w:r>
        <w:rPr>
          <w:spacing w:val="-63"/>
        </w:rPr>
        <w:t> </w:t>
      </w:r>
      <w:r>
        <w:rPr>
          <w:spacing w:val="-63"/>
        </w:rPr>
      </w:r>
      <w:r>
        <w:rPr/>
        <w:t>发支出按成本减减值准备</w:t>
      </w:r>
      <w:r>
        <w:rPr>
          <w:spacing w:val="-18"/>
        </w:rPr>
        <w:t> </w:t>
      </w:r>
      <w:r>
        <w:rPr/>
        <w:t>在资产负债表内列示。其他开发费用则在其产生的期间内确认为费用。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17</w:t>
      </w:r>
      <w:r>
        <w:rPr/>
        <w:t>、除存货及金融资产外的其他资产减值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本集团在资产负债表日根据内部及外部信息以确定下列资产是否存在减值的迹象，包括：</w:t>
      </w:r>
    </w:p>
    <w:p>
      <w:pPr>
        <w:pStyle w:val="BodyText"/>
        <w:tabs>
          <w:tab w:pos="573" w:val="left" w:leader="none"/>
        </w:tabs>
        <w:spacing w:line="240" w:lineRule="auto" w:before="76"/>
        <w:ind w:right="0"/>
        <w:jc w:val="left"/>
      </w:pPr>
      <w:r>
        <w:rPr>
          <w:rFonts w:ascii="Times New Roman" w:hAnsi="Times New Roman" w:cs="Times New Roman" w:eastAsia="Times New Roman" w:hint="default"/>
        </w:rPr>
        <w:t>-</w:t>
        <w:tab/>
      </w:r>
      <w:r>
        <w:rPr/>
        <w:t>固定资产</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在建工程</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无形资产</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采用成本模式计量的投资性房地产</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长期股权投资</w:t>
      </w:r>
    </w:p>
    <w:p>
      <w:pPr>
        <w:pStyle w:val="BodyText"/>
        <w:tabs>
          <w:tab w:pos="573" w:val="left" w:leader="none"/>
        </w:tabs>
        <w:spacing w:line="300" w:lineRule="auto" w:before="63"/>
        <w:ind w:right="5191"/>
        <w:jc w:val="left"/>
      </w:pPr>
      <w:r>
        <w:rPr>
          <w:rFonts w:ascii="Times New Roman" w:hAnsi="Times New Roman" w:cs="Times New Roman" w:eastAsia="Times New Roman" w:hint="default"/>
        </w:rPr>
        <w:t>-</w:t>
        <w:tab/>
      </w:r>
      <w:r>
        <w:rPr/>
        <w:t>长期待摊费用等</w:t>
      </w:r>
      <w:r>
        <w:rPr>
          <w:w w:val="99"/>
        </w:rPr>
        <w:t> </w:t>
      </w:r>
      <w:r>
        <w:rPr/>
        <w:t>本集团对存在减值迹象的资产进行减值测试，估计资产的可收回金额。</w:t>
      </w:r>
    </w:p>
    <w:p>
      <w:pPr>
        <w:pStyle w:val="BodyText"/>
        <w:spacing w:line="316" w:lineRule="auto" w:before="31"/>
        <w:ind w:right="0"/>
        <w:jc w:val="left"/>
      </w:pPr>
      <w:r>
        <w:rPr/>
        <w:t>可收回金额是指资产</w:t>
      </w:r>
      <w:r>
        <w:rPr>
          <w:spacing w:val="-15"/>
        </w:rPr>
        <w:t> </w:t>
      </w:r>
      <w:r>
        <w:rPr>
          <w:rFonts w:ascii="Times New Roman" w:hAnsi="Times New Roman" w:cs="Times New Roman" w:eastAsia="Times New Roman" w:hint="default"/>
        </w:rPr>
        <w:t>(</w:t>
      </w:r>
      <w:r>
        <w:rPr/>
        <w:t>或资产组、资产组组合，下同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的公允价值减去处置费用后的净额与资产预计未来现金流量的现值两</w:t>
      </w:r>
      <w:r>
        <w:rPr>
          <w:spacing w:val="-86"/>
        </w:rPr>
        <w:t> </w:t>
      </w:r>
      <w:r>
        <w:rPr>
          <w:spacing w:val="-86"/>
        </w:rPr>
      </w:r>
      <w:r>
        <w:rPr/>
        <w:t>者之间较高者。 </w:t>
      </w:r>
      <w:r>
        <w:rPr>
          <w:spacing w:val="-4"/>
        </w:rPr>
        <w:t>资产组由创造现金流入相关的资产组成，是可以认定的最小资产组合，其产生的现金流入基本上独立于其他资产或者资产组。</w:t>
      </w:r>
      <w:r>
        <w:rPr>
          <w:spacing w:val="-44"/>
        </w:rPr>
        <w:t> </w:t>
      </w:r>
      <w:r>
        <w:rPr>
          <w:spacing w:val="-44"/>
        </w:rPr>
      </w:r>
      <w:r>
        <w:rPr>
          <w:spacing w:val="-2"/>
        </w:rPr>
        <w:t>资产预计未来现金流量的现值，按照资产在持续使用过程中和最终处置时所产生的预计未来现金流量，选择恰当的税前折现</w:t>
      </w:r>
      <w:r>
        <w:rPr>
          <w:spacing w:val="-63"/>
        </w:rPr>
        <w:t> </w:t>
      </w:r>
      <w:r>
        <w:rPr>
          <w:spacing w:val="-63"/>
        </w:rPr>
      </w:r>
      <w:r>
        <w:rPr/>
        <w:t>率对其进行折现后的金额加以确定。 </w:t>
      </w:r>
      <w:r>
        <w:rPr>
          <w:spacing w:val="-2"/>
        </w:rPr>
        <w:t>可收回金额的估计结果表明，资产的可收回金额低于其账面价值的，资产的账面价值会减记至可收回金额，减记的金额确认</w:t>
      </w:r>
      <w:r>
        <w:rPr>
          <w:spacing w:val="-63"/>
        </w:rPr>
        <w:t> </w:t>
      </w:r>
      <w:r>
        <w:rPr>
          <w:spacing w:val="-63"/>
        </w:rPr>
      </w:r>
      <w:r>
        <w:rPr>
          <w:spacing w:val="-2"/>
        </w:rPr>
        <w:t>为资产减值损失，计入当期损益，同时计提相应的资产减值准备。与资产组或者资产组组合相关的减值损失，先抵减分摊至</w:t>
      </w:r>
      <w:r>
        <w:rPr>
          <w:spacing w:val="-65"/>
        </w:rPr>
        <w:t> </w:t>
      </w:r>
      <w:r>
        <w:rPr>
          <w:spacing w:val="-65"/>
        </w:rPr>
      </w:r>
      <w:r>
        <w:rPr>
          <w:spacing w:val="-2"/>
        </w:rPr>
        <w:t>该资产组或者资产组组合中商誉的账面价值，再根据资产组或者资产组组合中除商誉之外的其他各项资产的账面价值所占比</w:t>
      </w:r>
      <w:r>
        <w:rPr>
          <w:spacing w:val="-64"/>
        </w:rPr>
        <w:t> </w:t>
      </w:r>
      <w:r>
        <w:rPr>
          <w:spacing w:val="-64"/>
        </w:rPr>
      </w:r>
      <w:r>
        <w:rPr>
          <w:spacing w:val="-2"/>
        </w:rPr>
        <w:t>重，按比例抵减其他各项资产的账面价值，但抵减后的各资产的账面价值不得低于该资产的公允价值减去处置费用后的净额</w:t>
      </w:r>
    </w:p>
    <w:p>
      <w:pPr>
        <w:spacing w:after="0" w:line="316"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0"/>
        <w:jc w:val="left"/>
      </w:pPr>
      <w:r>
        <w:rPr>
          <w:rFonts w:ascii="Times New Roman" w:hAnsi="Times New Roman" w:cs="Times New Roman" w:eastAsia="Times New Roman" w:hint="default"/>
        </w:rPr>
        <w:t>(</w:t>
      </w:r>
      <w:r>
        <w:rPr/>
        <w:t>如可确定的</w:t>
      </w:r>
      <w:r>
        <w:rPr>
          <w:rFonts w:ascii="Times New Roman" w:hAnsi="Times New Roman" w:cs="Times New Roman" w:eastAsia="Times New Roman" w:hint="default"/>
        </w:rPr>
        <w:t>) </w:t>
      </w:r>
      <w:r>
        <w:rPr/>
        <w:t>、该资产预计未来现金流量的现值 </w:t>
      </w:r>
      <w:r>
        <w:rPr>
          <w:rFonts w:ascii="Times New Roman" w:hAnsi="Times New Roman" w:cs="Times New Roman" w:eastAsia="Times New Roman" w:hint="default"/>
        </w:rPr>
        <w:t>(</w:t>
      </w:r>
      <w:r>
        <w:rPr/>
        <w:t>如可确定的</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和零三者之中最高者。</w:t>
      </w:r>
      <w:r>
        <w:rPr>
          <w:w w:val="99"/>
        </w:rPr>
        <w:t> </w:t>
      </w:r>
      <w:r>
        <w:rPr/>
        <w:t>资产减值损失一经确认，在以后会计期间不会转回。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49"/>
        <w:ind w:right="0"/>
        <w:jc w:val="both"/>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jc w:val="both"/>
      </w:pPr>
      <w:r>
        <w:rPr>
          <w:spacing w:val="-2"/>
        </w:rPr>
        <w:t>长期待摊费用在受益期限内分期平均摊销。长期待摊费用在取得时按照实际成本计价，开办费在发生时计入当期损益；经营</w:t>
      </w:r>
      <w:r>
        <w:rPr>
          <w:spacing w:val="-63"/>
        </w:rPr>
        <w:t> </w:t>
      </w:r>
      <w:r>
        <w:rPr>
          <w:spacing w:val="-63"/>
        </w:rPr>
      </w:r>
      <w:r>
        <w:rPr/>
        <w:t>性租赁固定资产的装修费用在可使用年限和租赁期两者较低年限进行平均摊销，其他长期待摊费用按项目的受益期平均摊</w:t>
      </w:r>
      <w:r>
        <w:rPr>
          <w:spacing w:val="-11"/>
        </w:rPr>
        <w:t> </w:t>
      </w:r>
      <w:r>
        <w:rPr>
          <w:spacing w:val="-11"/>
        </w:rPr>
      </w:r>
      <w:r>
        <w:rPr/>
        <w:t>销。对于在以后会计期间已无法带来预期经济利益的长期待摊费用，本公司对其尚未摊销的摊余价值全部转入当期损益。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6"/>
        <w:ind w:right="0"/>
        <w:jc w:val="both"/>
        <w:rPr>
          <w:b w:val="0"/>
          <w:bCs w:val="0"/>
        </w:rPr>
      </w:pPr>
      <w:r>
        <w:rPr>
          <w:rFonts w:ascii="Times New Roman" w:hAnsi="Times New Roman" w:cs="Times New Roman" w:eastAsia="Times New Roman" w:hint="default"/>
        </w:rPr>
        <w:t>19</w:t>
      </w:r>
      <w:r>
        <w:rPr/>
        <w:t>、职工薪酬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本集团在职工提供服务的会计期间，将实际发生或按规定的基准和比例计提的职工工资、奖金、医疗保险费、工伤保险费和</w:t>
      </w:r>
      <w:r>
        <w:rPr>
          <w:spacing w:val="-64"/>
        </w:rPr>
        <w:t> </w:t>
      </w:r>
      <w:r>
        <w:rPr>
          <w:spacing w:val="-64"/>
        </w:rPr>
      </w:r>
      <w:r>
        <w:rPr/>
        <w:t>生育保险费等社会保险费和住房公积金，确认为负债，并计入当期损益或相关资产成本。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6"/>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9"/>
        <w:jc w:val="left"/>
      </w:pPr>
      <w:r>
        <w:rPr/>
        <w:t>设定提存计划 </w:t>
      </w:r>
      <w:r>
        <w:rPr>
          <w:spacing w:val="-2"/>
        </w:rPr>
        <w:t>本集团所参与的设定提存计划是按照中国有关法规要求，本集团职工参加的由政府机构设立管理的社会保障体系中的基本养</w:t>
      </w:r>
      <w:r>
        <w:rPr>
          <w:spacing w:val="-64"/>
        </w:rPr>
        <w:t> </w:t>
      </w:r>
      <w:r>
        <w:rPr>
          <w:spacing w:val="-64"/>
        </w:rPr>
      </w:r>
      <w:r>
        <w:rPr>
          <w:spacing w:val="-2"/>
        </w:rPr>
        <w:t>老保险。基本养老保险的缴费金额按国家规定的基准和比例计算。本集团在职工提供服务的会计期间，将应缴存的金额确认</w:t>
      </w:r>
      <w:r>
        <w:rPr>
          <w:spacing w:val="-63"/>
        </w:rPr>
        <w:t> </w:t>
      </w:r>
      <w:r>
        <w:rPr>
          <w:spacing w:val="-63"/>
        </w:rPr>
      </w:r>
      <w:r>
        <w:rPr/>
        <w:t>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7"/>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本集团在职工劳动合同到期之前解除与职工的劳动关系，或者为鼓励职工自愿接受裁减而提出给予补偿的建议，在下列两者</w:t>
      </w:r>
      <w:r>
        <w:rPr>
          <w:spacing w:val="-64"/>
        </w:rPr>
        <w:t> </w:t>
      </w:r>
      <w:r>
        <w:rPr>
          <w:spacing w:val="-64"/>
        </w:rPr>
      </w:r>
      <w:r>
        <w:rPr/>
        <w:t>孰早日，确认辞退福利产生的负债，同时计入当期损益：</w:t>
      </w:r>
    </w:p>
    <w:p>
      <w:pPr>
        <w:spacing w:line="240" w:lineRule="auto" w:before="4"/>
        <w:rPr>
          <w:rFonts w:ascii="宋体" w:hAnsi="宋体" w:cs="宋体" w:eastAsia="宋体" w:hint="default"/>
          <w:sz w:val="25"/>
          <w:szCs w:val="25"/>
        </w:rPr>
      </w:pPr>
    </w:p>
    <w:p>
      <w:pPr>
        <w:pStyle w:val="BodyText"/>
        <w:spacing w:line="240" w:lineRule="auto"/>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本集团不能单方面撤回因解除劳动关系计划或裁减建议所提供的辞退福利时；</w:t>
      </w:r>
    </w:p>
    <w:p>
      <w:pPr>
        <w:pStyle w:val="BodyText"/>
        <w:spacing w:line="300" w:lineRule="auto" w:before="63"/>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本集团有详细、正式的涉及支付辞退福利的重组计划；并且，该重组计划已开始实施，或已向受其影响的各方通告了</w:t>
      </w:r>
      <w:r>
        <w:rPr>
          <w:spacing w:val="-87"/>
        </w:rPr>
        <w:t> </w:t>
      </w:r>
      <w:r>
        <w:rPr>
          <w:spacing w:val="-87"/>
        </w:rPr>
      </w:r>
      <w:r>
        <w:rPr/>
        <w:t>该计划的主要内容，从而使各方形成了对本集团将实施重组的合理预期。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50"/>
        <w:ind w:right="0"/>
        <w:jc w:val="both"/>
        <w:rPr>
          <w:b w:val="0"/>
          <w:bCs w:val="0"/>
        </w:rPr>
      </w:pPr>
      <w:r>
        <w:rPr>
          <w:rFonts w:ascii="Times New Roman" w:hAnsi="Times New Roman" w:cs="Times New Roman" w:eastAsia="Times New Roman" w:hint="default"/>
        </w:rPr>
        <w:t>20</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如果与或有事项相关的义务是本集团承担的现时义务，且该义务的履行很可能会导致经济利益流出本集团，以及有关金额能</w:t>
      </w:r>
      <w:r>
        <w:rPr>
          <w:spacing w:val="-63"/>
        </w:rPr>
        <w:t> </w:t>
      </w:r>
      <w:r>
        <w:rPr>
          <w:spacing w:val="-63"/>
        </w:rPr>
      </w:r>
      <w:r>
        <w:rPr/>
        <w:t>够可靠地计量，则本集团会确认预计负债。</w:t>
      </w:r>
    </w:p>
    <w:p>
      <w:pPr>
        <w:spacing w:line="240" w:lineRule="auto" w:before="4"/>
        <w:rPr>
          <w:rFonts w:ascii="宋体" w:hAnsi="宋体" w:cs="宋体" w:eastAsia="宋体" w:hint="default"/>
          <w:sz w:val="25"/>
          <w:szCs w:val="25"/>
        </w:rPr>
      </w:pPr>
    </w:p>
    <w:p>
      <w:pPr>
        <w:pStyle w:val="BodyText"/>
        <w:spacing w:line="316" w:lineRule="auto"/>
        <w:ind w:right="1130"/>
        <w:jc w:val="both"/>
      </w:pPr>
      <w:r>
        <w:rPr>
          <w:spacing w:val="-2"/>
        </w:rPr>
        <w:t>预计负债按照履行相关现时义务所需支出的最佳估计数进行初始计量。对于货币时间价值影响重大的，预计负债以预计未来</w:t>
      </w:r>
      <w:r>
        <w:rPr>
          <w:spacing w:val="-64"/>
        </w:rPr>
        <w:t> </w:t>
      </w:r>
      <w:r>
        <w:rPr>
          <w:spacing w:val="-64"/>
        </w:rPr>
      </w:r>
      <w:r>
        <w:rPr>
          <w:spacing w:val="-2"/>
        </w:rPr>
        <w:t>现金流量折现后的金额确定。在确定最佳估计数时，本集团综合考虑了与或有事项有关的风险、不确定性和货币时间价值等</w:t>
      </w:r>
      <w:r>
        <w:rPr>
          <w:spacing w:val="-63"/>
        </w:rPr>
        <w:t> </w:t>
      </w:r>
      <w:r>
        <w:rPr>
          <w:spacing w:val="-63"/>
        </w:rPr>
      </w:r>
      <w:r>
        <w:rPr>
          <w:spacing w:val="-2"/>
        </w:rPr>
        <w:t>因素。所需支出存在一个连续范围，且该范围内各种结果发生的可能性相同的，最佳估计数按照该范围内的中间值确定；在</w:t>
      </w:r>
    </w:p>
    <w:p>
      <w:pPr>
        <w:spacing w:after="0" w:line="316" w:lineRule="auto"/>
        <w:jc w:val="both"/>
        <w:sectPr>
          <w:footerReference w:type="default" r:id="rId15"/>
          <w:pgSz w:w="11910" w:h="16840"/>
          <w:pgMar w:footer="975" w:header="748" w:top="1060" w:bottom="1160" w:left="980" w:right="0"/>
          <w:pgNumType w:start="11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其他情况下，最佳估计数分别下列情况处理：</w:t>
      </w: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或有事项涉及单个项目的，按照最可能发生金额确定。</w:t>
      </w:r>
    </w:p>
    <w:p>
      <w:pPr>
        <w:pStyle w:val="BodyText"/>
        <w:spacing w:line="600" w:lineRule="auto" w:before="63"/>
        <w:ind w:right="247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或有事项涉及多个项目的，按照各种可能结果及相关概率计算确定。</w:t>
      </w:r>
      <w:r>
        <w:rPr>
          <w:w w:val="99"/>
        </w:rPr>
        <w:t> </w:t>
      </w:r>
      <w:r>
        <w:rPr/>
        <w:t>本集团在资产负债表日对预计负债的账面价值进行复核，并按照当前最佳估计数对该账面价值进行调整。</w:t>
      </w:r>
    </w:p>
    <w:p>
      <w:pPr>
        <w:spacing w:line="240" w:lineRule="auto" w:before="0"/>
        <w:rPr>
          <w:rFonts w:ascii="宋体" w:hAnsi="宋体" w:cs="宋体" w:eastAsia="宋体" w:hint="default"/>
          <w:sz w:val="18"/>
          <w:szCs w:val="18"/>
        </w:rPr>
      </w:pPr>
    </w:p>
    <w:p>
      <w:pPr>
        <w:pStyle w:val="Heading6"/>
        <w:spacing w:line="240" w:lineRule="auto" w:before="160"/>
        <w:ind w:right="0"/>
        <w:jc w:val="left"/>
        <w:rPr>
          <w:b w:val="0"/>
          <w:bCs w:val="0"/>
        </w:rPr>
      </w:pPr>
      <w:r>
        <w:rPr>
          <w:rFonts w:ascii="Times New Roman" w:hAnsi="Times New Roman" w:cs="Times New Roman" w:eastAsia="Times New Roman" w:hint="default"/>
        </w:rPr>
        <w:t>21</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340" w:lineRule="auto" w:before="115"/>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收入确认和计量所采用的会计政策</w:t>
      </w:r>
    </w:p>
    <w:p>
      <w:pPr>
        <w:pStyle w:val="BodyText"/>
        <w:spacing w:line="316" w:lineRule="auto" w:before="41"/>
        <w:ind w:right="0"/>
        <w:jc w:val="left"/>
      </w:pPr>
      <w:r>
        <w:rPr>
          <w:spacing w:val="-2"/>
        </w:rPr>
        <w:t>收入是本集团在日常活动中形成的、会导致股东权益增加且与股东投入资本无关的经济利益的总流入。收入在其金额及相关</w:t>
      </w:r>
      <w:r>
        <w:rPr>
          <w:spacing w:val="-64"/>
        </w:rPr>
        <w:t> </w:t>
      </w:r>
      <w:r>
        <w:rPr>
          <w:spacing w:val="-64"/>
        </w:rPr>
      </w:r>
      <w:r>
        <w:rPr/>
        <w:t>成本能够可靠计量、相关的经济利益很可能流入本集团并且同时满足以下不同类型收入的其他确认条件时，予以确认。</w:t>
      </w:r>
    </w:p>
    <w:p>
      <w:pPr>
        <w:pStyle w:val="BodyText"/>
        <w:tabs>
          <w:tab w:pos="573" w:val="left" w:leader="none"/>
        </w:tabs>
        <w:spacing w:line="300" w:lineRule="auto" w:before="19"/>
        <w:ind w:right="4291"/>
        <w:jc w:val="left"/>
      </w:pPr>
      <w:r>
        <w:rPr>
          <w:rFonts w:ascii="Times New Roman" w:hAnsi="Times New Roman" w:cs="Times New Roman" w:eastAsia="Times New Roman" w:hint="default"/>
        </w:rPr>
        <w:t>(1)</w:t>
        <w:tab/>
      </w:r>
      <w:r>
        <w:rPr/>
        <w:t>销售商品收入</w:t>
      </w:r>
      <w:r>
        <w:rPr>
          <w:w w:val="99"/>
        </w:rPr>
        <w:t> </w:t>
      </w:r>
      <w:r>
        <w:rPr/>
        <w:t>当同时满足上述收入的一般确认条件以及下述条件时，本集团确认销售商品收入：</w:t>
      </w:r>
    </w:p>
    <w:p>
      <w:pPr>
        <w:pStyle w:val="BodyText"/>
        <w:tabs>
          <w:tab w:pos="573" w:val="left" w:leader="none"/>
        </w:tabs>
        <w:spacing w:line="240" w:lineRule="auto" w:before="31"/>
        <w:ind w:right="0"/>
        <w:jc w:val="left"/>
      </w:pPr>
      <w:r>
        <w:rPr>
          <w:rFonts w:ascii="Times New Roman" w:hAnsi="Times New Roman" w:cs="Times New Roman" w:eastAsia="Times New Roman" w:hint="default"/>
        </w:rPr>
        <w:t>-</w:t>
        <w:tab/>
      </w:r>
      <w:r>
        <w:rPr/>
        <w:t>本集团将商品所有权上的主要风险和报酬已转移给购货方；</w:t>
      </w:r>
    </w:p>
    <w:p>
      <w:pPr>
        <w:pStyle w:val="BodyText"/>
        <w:tabs>
          <w:tab w:pos="573" w:val="left" w:leader="none"/>
        </w:tabs>
        <w:spacing w:line="300" w:lineRule="auto" w:before="63"/>
        <w:ind w:right="2971"/>
        <w:jc w:val="left"/>
      </w:pPr>
      <w:r>
        <w:rPr>
          <w:rFonts w:ascii="Times New Roman" w:hAnsi="Times New Roman" w:cs="Times New Roman" w:eastAsia="Times New Roman" w:hint="default"/>
        </w:rPr>
        <w:t>-</w:t>
        <w:tab/>
      </w:r>
      <w:r>
        <w:rPr/>
        <w:t>本集团既没有保留通常与所有权相联系的继续管理权，也没有对已售出的商品实施有效控制。</w:t>
      </w:r>
      <w:r>
        <w:rPr>
          <w:w w:val="99"/>
        </w:rPr>
        <w:t> </w:t>
      </w:r>
      <w:r>
        <w:rPr/>
        <w:t>本集团按已收或应收的合同或协议价款的公允价值确定销售商品收入金额。</w:t>
      </w:r>
    </w:p>
    <w:p>
      <w:pPr>
        <w:pStyle w:val="BodyText"/>
        <w:tabs>
          <w:tab w:pos="573" w:val="left" w:leader="none"/>
        </w:tabs>
        <w:spacing w:line="300" w:lineRule="auto" w:before="31"/>
        <w:ind w:right="4831"/>
        <w:jc w:val="left"/>
      </w:pPr>
      <w:r>
        <w:rPr>
          <w:rFonts w:ascii="Times New Roman" w:hAnsi="Times New Roman" w:cs="Times New Roman" w:eastAsia="Times New Roman" w:hint="default"/>
        </w:rPr>
        <w:t>(2)</w:t>
        <w:tab/>
      </w:r>
      <w:r>
        <w:rPr/>
        <w:t>提供劳务收入</w:t>
      </w:r>
      <w:r>
        <w:rPr>
          <w:w w:val="99"/>
        </w:rPr>
        <w:t> </w:t>
      </w:r>
      <w:r>
        <w:rPr/>
        <w:t>本集团按已收或应收的合同或协议价款的公允价值确定提供劳务收入金额。</w:t>
      </w:r>
    </w:p>
    <w:p>
      <w:pPr>
        <w:pStyle w:val="BodyText"/>
        <w:spacing w:line="314" w:lineRule="auto" w:before="31"/>
        <w:ind w:right="0"/>
        <w:jc w:val="left"/>
      </w:pPr>
      <w:r>
        <w:rPr>
          <w:spacing w:val="-2"/>
        </w:rPr>
        <w:t>在资产负债表日，劳务交易的结果能够可靠估计的，根据完工百分比法确认提供劳务收入，提供劳务交易的完工进度根据已</w:t>
      </w:r>
      <w:r>
        <w:rPr>
          <w:spacing w:val="-63"/>
        </w:rPr>
        <w:t> </w:t>
      </w:r>
      <w:r>
        <w:rPr>
          <w:spacing w:val="-63"/>
        </w:rPr>
      </w:r>
      <w:r>
        <w:rPr/>
        <w:t>完工作的测量确定。 </w:t>
      </w:r>
      <w:r>
        <w:rPr>
          <w:spacing w:val="-2"/>
        </w:rPr>
        <w:t>劳务交易的结果不能可靠估计的，如果已经发生的劳务成本预计能够得到补偿的，则按照已经发生的劳务成本金额确认提供</w:t>
      </w:r>
      <w:r>
        <w:rPr>
          <w:spacing w:val="-64"/>
        </w:rPr>
        <w:t> </w:t>
      </w:r>
      <w:r>
        <w:rPr>
          <w:spacing w:val="-64"/>
        </w:rPr>
      </w:r>
      <w:r>
        <w:rPr>
          <w:spacing w:val="-2"/>
        </w:rPr>
        <w:t>劳务收入，并按相同金额结转劳务成本；如果已经发生的劳务成本预计不能够得到补偿的，则将已经发生的劳务成本计入当</w:t>
      </w:r>
      <w:r>
        <w:rPr>
          <w:spacing w:val="-63"/>
        </w:rPr>
        <w:t> </w:t>
      </w:r>
      <w:r>
        <w:rPr>
          <w:spacing w:val="-63"/>
        </w:rPr>
      </w:r>
      <w:r>
        <w:rPr/>
        <w:t>期损益，不确认提供劳务收入。 </w:t>
      </w:r>
      <w:r>
        <w:rPr>
          <w:spacing w:val="-2"/>
        </w:rPr>
        <w:t>本集团主营业务主要分为：建筑设计、绿色建筑咨询、生态城市规划、公信业务、</w:t>
      </w:r>
      <w:r>
        <w:rPr>
          <w:rFonts w:ascii="Times New Roman" w:hAnsi="Times New Roman" w:cs="Times New Roman" w:eastAsia="Times New Roman" w:hint="default"/>
          <w:spacing w:val="-2"/>
        </w:rPr>
        <w:t>EPC</w:t>
      </w:r>
      <w:r>
        <w:rPr>
          <w:spacing w:val="-2"/>
        </w:rPr>
        <w:t>及项目全过程管理等，本集团采用完</w:t>
      </w:r>
      <w:r>
        <w:rPr>
          <w:spacing w:val="-38"/>
        </w:rPr>
        <w:t> </w:t>
      </w:r>
      <w:r>
        <w:rPr>
          <w:spacing w:val="-38"/>
        </w:rPr>
      </w:r>
      <w:r>
        <w:rPr/>
        <w:t>工百分比法确认各业务的收入，具体的收入确认流程和方式如下：</w:t>
      </w:r>
    </w:p>
    <w:p>
      <w:pPr>
        <w:pStyle w:val="BodyText"/>
        <w:tabs>
          <w:tab w:pos="573" w:val="left" w:leader="none"/>
        </w:tabs>
        <w:spacing w:line="240" w:lineRule="auto" w:before="20"/>
        <w:ind w:right="0"/>
        <w:jc w:val="left"/>
      </w:pPr>
      <w:r>
        <w:rPr>
          <w:rFonts w:ascii="Times New Roman" w:hAnsi="Times New Roman" w:cs="Times New Roman" w:eastAsia="Times New Roman" w:hint="default"/>
          <w:spacing w:val="-1"/>
        </w:rPr>
        <w:t>(a)</w:t>
        <w:tab/>
      </w:r>
      <w:r>
        <w:rPr/>
        <w:t>建筑设计业务</w:t>
      </w:r>
    </w:p>
    <w:p>
      <w:pPr>
        <w:pStyle w:val="BodyText"/>
        <w:spacing w:line="300" w:lineRule="auto" w:before="63"/>
        <w:ind w:right="1203"/>
        <w:jc w:val="left"/>
      </w:pPr>
      <w:r>
        <w:rPr/>
        <w:t>参照《工程勘察设计收费标准》</w:t>
      </w:r>
      <w:r>
        <w:rPr>
          <w:rFonts w:ascii="Times New Roman" w:hAnsi="Times New Roman" w:cs="Times New Roman" w:eastAsia="Times New Roman" w:hint="default"/>
        </w:rPr>
        <w:t>(2002</w:t>
      </w:r>
      <w:r>
        <w:rPr/>
        <w:t>年修订本，国家发展计划委员会、建设部编写</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规定，公司建筑设计业务具体工作流 程一般分为业务承接、方案设计、初步设计、施工图设计和施工配合等五个阶段，各阶段收入确认具体情况如下：</w:t>
      </w:r>
    </w:p>
    <w:p>
      <w:pPr>
        <w:pStyle w:val="BodyText"/>
        <w:tabs>
          <w:tab w:pos="573" w:val="left" w:leader="none"/>
        </w:tabs>
        <w:spacing w:line="300" w:lineRule="auto" w:before="31"/>
        <w:ind w:right="1171"/>
        <w:jc w:val="left"/>
      </w:pPr>
      <w:r>
        <w:rPr>
          <w:rFonts w:ascii="Times New Roman" w:hAnsi="Times New Roman" w:cs="Times New Roman" w:eastAsia="Times New Roman" w:hint="default"/>
        </w:rPr>
        <w:t>I.</w:t>
        <w:tab/>
      </w:r>
      <w:r>
        <w:rPr/>
        <w:t>业务承接阶段：该阶段公司与委托方签订设计合同之后，一般会收取合同首期款，该款项属于预收款性质，公司在收</w:t>
      </w:r>
      <w:r>
        <w:rPr>
          <w:w w:val="99"/>
        </w:rPr>
        <w:t> </w:t>
      </w:r>
      <w:r>
        <w:rPr/>
        <w:t>到时作为项目预收款，不确认收入；</w:t>
      </w:r>
    </w:p>
    <w:p>
      <w:pPr>
        <w:pStyle w:val="BodyText"/>
        <w:tabs>
          <w:tab w:pos="573" w:val="left" w:leader="none"/>
        </w:tabs>
        <w:spacing w:line="240" w:lineRule="auto" w:before="31"/>
        <w:ind w:right="0"/>
        <w:jc w:val="left"/>
      </w:pPr>
      <w:r>
        <w:rPr>
          <w:rFonts w:ascii="Times New Roman" w:hAnsi="Times New Roman" w:cs="Times New Roman" w:eastAsia="Times New Roman" w:hint="default"/>
        </w:rPr>
        <w:t>II.</w:t>
        <w:tab/>
      </w:r>
      <w:r>
        <w:rPr/>
        <w:t>方案设计阶段：该阶段主要工作是公司设计部门根据合同要求进行总体方案设计；</w:t>
      </w:r>
    </w:p>
    <w:p>
      <w:pPr>
        <w:pStyle w:val="BodyText"/>
        <w:spacing w:line="240" w:lineRule="auto" w:before="63"/>
        <w:ind w:right="0"/>
        <w:jc w:val="left"/>
      </w:pPr>
      <w:r>
        <w:rPr>
          <w:rFonts w:ascii="Times New Roman" w:hAnsi="Times New Roman" w:cs="Times New Roman" w:eastAsia="Times New Roman" w:hint="default"/>
        </w:rPr>
        <w:t>III.   </w:t>
      </w:r>
      <w:r>
        <w:rPr>
          <w:rFonts w:ascii="Times New Roman" w:hAnsi="Times New Roman" w:cs="Times New Roman" w:eastAsia="Times New Roman" w:hint="default"/>
          <w:spacing w:val="14"/>
        </w:rPr>
        <w:t> </w:t>
      </w:r>
      <w:r>
        <w:rPr/>
        <w:t>初步设计阶段：该阶段主要工作系设计部门对方案进行深入设计；</w:t>
      </w:r>
    </w:p>
    <w:p>
      <w:pPr>
        <w:pStyle w:val="BodyText"/>
        <w:spacing w:line="240" w:lineRule="auto" w:before="61"/>
        <w:ind w:right="0"/>
        <w:jc w:val="left"/>
      </w:pPr>
      <w:r>
        <w:rPr>
          <w:rFonts w:ascii="Times New Roman" w:hAnsi="Times New Roman" w:cs="Times New Roman" w:eastAsia="Times New Roman" w:hint="default"/>
        </w:rPr>
        <w:t>IV.   </w:t>
      </w:r>
      <w:r>
        <w:rPr>
          <w:rFonts w:ascii="Times New Roman" w:hAnsi="Times New Roman" w:cs="Times New Roman" w:eastAsia="Times New Roman" w:hint="default"/>
          <w:spacing w:val="4"/>
        </w:rPr>
        <w:t> </w:t>
      </w:r>
      <w:r>
        <w:rPr/>
        <w:t>施工图设计阶段：该阶段主要工作系设计部门根据初步设计成果进行详细的施工图设计；</w:t>
      </w:r>
    </w:p>
    <w:p>
      <w:pPr>
        <w:pStyle w:val="BodyText"/>
        <w:tabs>
          <w:tab w:pos="573" w:val="left" w:leader="none"/>
        </w:tabs>
        <w:spacing w:line="312" w:lineRule="auto" w:before="63"/>
        <w:ind w:right="1133"/>
        <w:jc w:val="left"/>
      </w:pPr>
      <w:r>
        <w:rPr>
          <w:rFonts w:ascii="Times New Roman" w:hAnsi="Times New Roman" w:cs="Times New Roman" w:eastAsia="Times New Roman" w:hint="default"/>
          <w:spacing w:val="-1"/>
        </w:rPr>
        <w:t>V.</w:t>
        <w:tab/>
      </w:r>
      <w:r>
        <w:rPr/>
        <w:t>施工配合阶段：该阶段工作主要系设计部门在出具施工图之后，配合委托方进行详细的施工、处理施工过程中的临时 工程施工障碍等，并在必要时进行设计修改。 </w:t>
      </w:r>
      <w:r>
        <w:rPr>
          <w:spacing w:val="-2"/>
        </w:rPr>
        <w:t>公司定期评估在该期间已完成的工作量，并与合同相关方确认完成工作量后，根据合同约定的款项或协议价款的公允价值确</w:t>
      </w:r>
      <w:r>
        <w:rPr>
          <w:spacing w:val="-64"/>
        </w:rPr>
        <w:t> </w:t>
      </w:r>
      <w:r>
        <w:rPr>
          <w:spacing w:val="-64"/>
        </w:rPr>
      </w:r>
      <w:r>
        <w:rPr/>
        <w:t>认该阶段的收入。</w:t>
      </w:r>
    </w:p>
    <w:p>
      <w:pPr>
        <w:pStyle w:val="BodyText"/>
        <w:tabs>
          <w:tab w:pos="573" w:val="left" w:leader="none"/>
        </w:tabs>
        <w:spacing w:line="309" w:lineRule="auto" w:before="22"/>
        <w:ind w:right="1133"/>
        <w:jc w:val="left"/>
      </w:pPr>
      <w:r>
        <w:rPr>
          <w:rFonts w:ascii="Times New Roman" w:hAnsi="Times New Roman" w:cs="Times New Roman" w:eastAsia="Times New Roman" w:hint="default"/>
        </w:rPr>
        <w:t>(b)</w:t>
        <w:tab/>
      </w:r>
      <w:r>
        <w:rPr/>
        <w:t>绿色建筑咨询业务</w:t>
      </w:r>
      <w:r>
        <w:rPr>
          <w:w w:val="99"/>
        </w:rPr>
        <w:t> </w:t>
      </w:r>
      <w:r>
        <w:rPr>
          <w:spacing w:val="-2"/>
        </w:rPr>
        <w:t>公司绿建咨询业务的具体工作流程一般分为业务接洽、方案评估、初步设计审查、施工图审查和绿色建筑标识申报等五个阶</w:t>
      </w:r>
      <w:r>
        <w:rPr>
          <w:spacing w:val="-67"/>
        </w:rPr>
        <w:t> </w:t>
      </w:r>
      <w:r>
        <w:rPr>
          <w:spacing w:val="-67"/>
        </w:rPr>
      </w:r>
      <w:r>
        <w:rPr/>
        <w:t>段，各阶段收入确认具体情况如下：</w:t>
      </w:r>
    </w:p>
    <w:p>
      <w:pPr>
        <w:spacing w:after="0" w:line="309"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tabs>
          <w:tab w:pos="573" w:val="left" w:leader="none"/>
        </w:tabs>
        <w:spacing w:line="300" w:lineRule="auto" w:before="44"/>
        <w:ind w:right="1170"/>
        <w:jc w:val="left"/>
      </w:pPr>
      <w:r>
        <w:rPr>
          <w:rFonts w:ascii="Times New Roman" w:hAnsi="Times New Roman" w:cs="Times New Roman" w:eastAsia="Times New Roman" w:hint="default"/>
        </w:rPr>
        <w:t>I.</w:t>
        <w:tab/>
      </w:r>
      <w:r>
        <w:rPr/>
        <w:t>业务承接阶段：该阶段公司与委托方签订绿建咨询合同之后，一般会收取合同首期款，该款项属于预收款性质，公司</w:t>
      </w:r>
      <w:r>
        <w:rPr>
          <w:w w:val="99"/>
        </w:rPr>
        <w:t> </w:t>
      </w:r>
      <w:r>
        <w:rPr/>
        <w:t>在收到时作为项目预收款，不确认收入；</w:t>
      </w:r>
    </w:p>
    <w:p>
      <w:pPr>
        <w:pStyle w:val="BodyText"/>
        <w:tabs>
          <w:tab w:pos="573" w:val="left" w:leader="none"/>
        </w:tabs>
        <w:spacing w:line="240" w:lineRule="auto" w:before="31"/>
        <w:ind w:right="0"/>
        <w:jc w:val="left"/>
      </w:pPr>
      <w:r>
        <w:rPr>
          <w:rFonts w:ascii="Times New Roman" w:hAnsi="Times New Roman" w:cs="Times New Roman" w:eastAsia="Times New Roman" w:hint="default"/>
        </w:rPr>
        <w:t>II.</w:t>
        <w:tab/>
      </w:r>
      <w:r>
        <w:rPr/>
        <w:t>方案评估阶段：该阶段主要工作系公司咨询部门根据合同要求对设计方案进行分析、评估，并提出优化建议；</w:t>
      </w:r>
    </w:p>
    <w:p>
      <w:pPr>
        <w:pStyle w:val="BodyText"/>
        <w:spacing w:line="240" w:lineRule="auto" w:before="63"/>
        <w:ind w:right="0"/>
        <w:jc w:val="left"/>
      </w:pPr>
      <w:r>
        <w:rPr>
          <w:rFonts w:ascii="Times New Roman" w:hAnsi="Times New Roman" w:cs="Times New Roman" w:eastAsia="Times New Roman" w:hint="default"/>
        </w:rPr>
        <w:t>III.   </w:t>
      </w:r>
      <w:r>
        <w:rPr>
          <w:rFonts w:ascii="Times New Roman" w:hAnsi="Times New Roman" w:cs="Times New Roman" w:eastAsia="Times New Roman" w:hint="default"/>
          <w:spacing w:val="14"/>
        </w:rPr>
        <w:t> </w:t>
      </w:r>
      <w:r>
        <w:rPr/>
        <w:t>初步设计审查阶段：该阶段主要工作系公司咨询部门根据项目绿色建筑目标，针对初步设计图纸进行专项分析；</w:t>
      </w:r>
    </w:p>
    <w:p>
      <w:pPr>
        <w:pStyle w:val="BodyText"/>
        <w:spacing w:line="300" w:lineRule="auto" w:before="63"/>
        <w:ind w:right="0"/>
        <w:jc w:val="left"/>
      </w:pPr>
      <w:r>
        <w:rPr>
          <w:rFonts w:ascii="Times New Roman" w:hAnsi="Times New Roman" w:cs="Times New Roman" w:eastAsia="Times New Roman" w:hint="default"/>
        </w:rPr>
        <w:t>IV.</w:t>
      </w:r>
      <w:r>
        <w:rPr>
          <w:rFonts w:ascii="Times New Roman" w:hAnsi="Times New Roman" w:cs="Times New Roman" w:eastAsia="Times New Roman" w:hint="default"/>
          <w:spacing w:val="4"/>
        </w:rPr>
        <w:t> </w:t>
      </w:r>
      <w:r>
        <w:rPr/>
        <w:t>施工图审查阶段：该阶段主要工作系公司咨询部门根据就施工图设计文件的绿色建筑达标情况进行审查，并对项目星 级达标情况进行评估；</w:t>
      </w:r>
    </w:p>
    <w:p>
      <w:pPr>
        <w:pStyle w:val="BodyText"/>
        <w:tabs>
          <w:tab w:pos="573" w:val="left" w:leader="none"/>
        </w:tabs>
        <w:spacing w:line="312" w:lineRule="auto" w:before="31"/>
        <w:ind w:right="1133"/>
        <w:jc w:val="left"/>
      </w:pPr>
      <w:r>
        <w:rPr>
          <w:rFonts w:ascii="Times New Roman" w:hAnsi="Times New Roman" w:cs="Times New Roman" w:eastAsia="Times New Roman" w:hint="default"/>
          <w:spacing w:val="-1"/>
        </w:rPr>
        <w:t>V.</w:t>
        <w:tab/>
      </w:r>
      <w:r>
        <w:rPr/>
        <w:t>绿色标识认证阶段：该阶段工作主要系公司咨询部门在审查施工图之后，对委托方项目的绿色建筑认证等级进行自评 估。 </w:t>
      </w:r>
      <w:r>
        <w:rPr>
          <w:spacing w:val="-2"/>
        </w:rPr>
        <w:t>公司定期评估在该期间已完成的工作量，并与合同相关方确认完成工作量后，根据合同约定的款项或协议价款的公允价值确</w:t>
      </w:r>
      <w:r>
        <w:rPr>
          <w:spacing w:val="-64"/>
        </w:rPr>
        <w:t> </w:t>
      </w:r>
      <w:r>
        <w:rPr>
          <w:spacing w:val="-64"/>
        </w:rPr>
      </w:r>
      <w:r>
        <w:rPr/>
        <w:t>认该阶段的收入。</w:t>
      </w:r>
    </w:p>
    <w:p>
      <w:pPr>
        <w:pStyle w:val="BodyText"/>
        <w:tabs>
          <w:tab w:pos="573" w:val="left" w:leader="none"/>
        </w:tabs>
        <w:spacing w:line="309" w:lineRule="auto" w:before="22"/>
        <w:ind w:right="1131"/>
        <w:jc w:val="left"/>
      </w:pPr>
      <w:r>
        <w:rPr>
          <w:rFonts w:ascii="Times New Roman" w:hAnsi="Times New Roman" w:cs="Times New Roman" w:eastAsia="Times New Roman" w:hint="default"/>
          <w:spacing w:val="-1"/>
        </w:rPr>
        <w:t>(c)</w:t>
        <w:tab/>
      </w:r>
      <w:r>
        <w:rPr/>
        <w:t>生态城市规划业务</w:t>
      </w:r>
      <w:r>
        <w:rPr>
          <w:w w:val="99"/>
        </w:rPr>
        <w:t> </w:t>
      </w:r>
      <w:r>
        <w:rPr>
          <w:spacing w:val="-2"/>
        </w:rPr>
        <w:t>公司规划业务的具体工作流程一般划分为业务接洽、规划初稿、规划送审稿、规划成果通过评审等四个阶段，各阶段收入确</w:t>
      </w:r>
      <w:r>
        <w:rPr>
          <w:spacing w:val="-65"/>
        </w:rPr>
        <w:t> </w:t>
      </w:r>
      <w:r>
        <w:rPr>
          <w:spacing w:val="-65"/>
        </w:rPr>
      </w:r>
      <w:r>
        <w:rPr/>
        <w:t>认具体情况如下：</w:t>
      </w:r>
    </w:p>
    <w:p>
      <w:pPr>
        <w:pStyle w:val="BodyText"/>
        <w:tabs>
          <w:tab w:pos="573" w:val="left" w:leader="none"/>
        </w:tabs>
        <w:spacing w:line="300" w:lineRule="auto" w:before="25"/>
        <w:ind w:right="1171"/>
        <w:jc w:val="left"/>
      </w:pPr>
      <w:r>
        <w:rPr>
          <w:rFonts w:ascii="Times New Roman" w:hAnsi="Times New Roman" w:cs="Times New Roman" w:eastAsia="Times New Roman" w:hint="default"/>
        </w:rPr>
        <w:t>I.</w:t>
        <w:tab/>
      </w:r>
      <w:r>
        <w:rPr/>
        <w:t>业务承接阶段：该阶段公司与委托方签订规划合同之后，一般会收取合同首期款，该款项属于预收款性质，公司在收</w:t>
      </w:r>
      <w:r>
        <w:rPr>
          <w:w w:val="99"/>
        </w:rPr>
        <w:t> </w:t>
      </w:r>
      <w:r>
        <w:rPr/>
        <w:t>到时作为项目预收款，不确认收入；</w:t>
      </w:r>
    </w:p>
    <w:p>
      <w:pPr>
        <w:pStyle w:val="BodyText"/>
        <w:tabs>
          <w:tab w:pos="573" w:val="left" w:leader="none"/>
        </w:tabs>
        <w:spacing w:line="240" w:lineRule="auto" w:before="31"/>
        <w:ind w:right="0"/>
        <w:jc w:val="left"/>
      </w:pPr>
      <w:r>
        <w:rPr>
          <w:rFonts w:ascii="Times New Roman" w:hAnsi="Times New Roman" w:cs="Times New Roman" w:eastAsia="Times New Roman" w:hint="default"/>
        </w:rPr>
        <w:t>II.</w:t>
        <w:tab/>
      </w:r>
      <w:r>
        <w:rPr/>
        <w:t>规划初稿阶段：该阶段主要工作系公司规划部门根据合同要求设计项目规划的初稿；</w:t>
      </w:r>
    </w:p>
    <w:p>
      <w:pPr>
        <w:pStyle w:val="BodyText"/>
        <w:spacing w:line="240" w:lineRule="auto" w:before="63"/>
        <w:ind w:right="0"/>
        <w:jc w:val="left"/>
      </w:pPr>
      <w:r>
        <w:rPr>
          <w:rFonts w:ascii="Times New Roman" w:hAnsi="Times New Roman" w:cs="Times New Roman" w:eastAsia="Times New Roman" w:hint="default"/>
        </w:rPr>
        <w:t>III.   </w:t>
      </w:r>
      <w:r>
        <w:rPr>
          <w:rFonts w:ascii="Times New Roman" w:hAnsi="Times New Roman" w:cs="Times New Roman" w:eastAsia="Times New Roman" w:hint="default"/>
          <w:spacing w:val="14"/>
        </w:rPr>
        <w:t> </w:t>
      </w:r>
      <w:r>
        <w:rPr/>
        <w:t>规划送审稿阶段：该阶段主要工作系公司规划部门根据初步规划方案设计规划送审稿；</w:t>
      </w:r>
    </w:p>
    <w:p>
      <w:pPr>
        <w:pStyle w:val="BodyText"/>
        <w:spacing w:line="307" w:lineRule="auto" w:before="63"/>
        <w:ind w:right="1119"/>
        <w:jc w:val="left"/>
      </w:pPr>
      <w:r>
        <w:rPr>
          <w:rFonts w:ascii="Times New Roman" w:hAnsi="Times New Roman" w:cs="Times New Roman" w:eastAsia="Times New Roman" w:hint="default"/>
        </w:rPr>
        <w:t>IV. </w:t>
      </w:r>
      <w:r>
        <w:rPr/>
        <w:t>规划成果通过评审阶段：该阶段主要工作系公司规划部门协助规划方案通过外部专家的评审</w:t>
      </w:r>
      <w:r>
        <w:rPr>
          <w:spacing w:val="-12"/>
        </w:rPr>
        <w:t> </w:t>
      </w:r>
      <w:r>
        <w:rPr>
          <w:rFonts w:ascii="Times New Roman" w:hAnsi="Times New Roman" w:cs="Times New Roman" w:eastAsia="Times New Roman" w:hint="default"/>
        </w:rPr>
        <w:t>(</w:t>
      </w:r>
      <w:r>
        <w:rPr/>
        <w:t>或者项目获得绿色建筑 的认证</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等。 </w:t>
      </w:r>
      <w:r>
        <w:rPr>
          <w:spacing w:val="-2"/>
        </w:rPr>
        <w:t>公司定期评估在该期间已完成的工作量，并与合同相关方确认完成工作量后，根据合同约定的款项或协议价款的公允价值确</w:t>
      </w:r>
      <w:r>
        <w:rPr>
          <w:spacing w:val="-64"/>
        </w:rPr>
        <w:t> </w:t>
      </w:r>
      <w:r>
        <w:rPr>
          <w:spacing w:val="-64"/>
        </w:rPr>
      </w:r>
      <w:r>
        <w:rPr/>
        <w:t>认该阶段的收入。</w:t>
      </w:r>
    </w:p>
    <w:p>
      <w:pPr>
        <w:pStyle w:val="BodyText"/>
        <w:tabs>
          <w:tab w:pos="573" w:val="left" w:leader="none"/>
        </w:tabs>
        <w:spacing w:line="300" w:lineRule="auto" w:before="26"/>
        <w:ind w:right="8071"/>
        <w:jc w:val="left"/>
      </w:pPr>
      <w:r>
        <w:rPr>
          <w:rFonts w:ascii="Times New Roman" w:hAnsi="Times New Roman" w:cs="Times New Roman" w:eastAsia="Times New Roman" w:hint="default"/>
        </w:rPr>
        <w:t>(d)</w:t>
        <w:tab/>
      </w:r>
      <w:r>
        <w:rPr/>
        <w:t>公信业务</w:t>
      </w:r>
      <w:r>
        <w:rPr>
          <w:w w:val="99"/>
        </w:rPr>
        <w:t> </w:t>
      </w:r>
      <w:r>
        <w:rPr/>
        <w:t>本集团公信业务主要为检测业务。</w:t>
      </w:r>
    </w:p>
    <w:p>
      <w:pPr>
        <w:pStyle w:val="BodyText"/>
        <w:spacing w:line="316" w:lineRule="auto" w:before="31"/>
        <w:ind w:right="0"/>
        <w:jc w:val="left"/>
      </w:pPr>
      <w:r>
        <w:rPr>
          <w:spacing w:val="-2"/>
        </w:rPr>
        <w:t>公司定期评估在该期间已完成的工作量，并与合同相关方面确认完成工作量后，根据合同约定的款项或协议价款的公允价值</w:t>
      </w:r>
      <w:r>
        <w:rPr>
          <w:spacing w:val="-62"/>
        </w:rPr>
        <w:t> </w:t>
      </w:r>
      <w:r>
        <w:rPr>
          <w:spacing w:val="-62"/>
        </w:rPr>
      </w:r>
      <w:r>
        <w:rPr/>
        <w:t>确认该阶段的收入。</w:t>
      </w:r>
    </w:p>
    <w:p>
      <w:pPr>
        <w:pStyle w:val="BodyText"/>
        <w:tabs>
          <w:tab w:pos="573" w:val="left" w:leader="none"/>
        </w:tabs>
        <w:spacing w:line="307" w:lineRule="auto" w:before="19"/>
        <w:ind w:right="1042"/>
        <w:jc w:val="left"/>
      </w:pPr>
      <w:r>
        <w:rPr>
          <w:rFonts w:ascii="Times New Roman" w:hAnsi="Times New Roman" w:cs="Times New Roman" w:eastAsia="Times New Roman" w:hint="default"/>
          <w:spacing w:val="-1"/>
        </w:rPr>
        <w:t>(e)</w:t>
        <w:tab/>
      </w:r>
      <w:r>
        <w:rPr>
          <w:rFonts w:ascii="Times New Roman" w:hAnsi="Times New Roman" w:cs="Times New Roman" w:eastAsia="Times New Roman" w:hint="default"/>
        </w:rPr>
        <w:t>EPC</w:t>
      </w:r>
      <w:r>
        <w:rPr>
          <w:rFonts w:ascii="Times New Roman" w:hAnsi="Times New Roman" w:cs="Times New Roman" w:eastAsia="Times New Roman" w:hint="default"/>
          <w:spacing w:val="27"/>
        </w:rPr>
        <w:t> </w:t>
      </w:r>
      <w:r>
        <w:rPr/>
        <w:t>及项目全过程管理业务 </w:t>
      </w:r>
      <w:r>
        <w:rPr>
          <w:rFonts w:ascii="Times New Roman" w:hAnsi="Times New Roman" w:cs="Times New Roman" w:eastAsia="Times New Roman" w:hint="default"/>
          <w:spacing w:val="-2"/>
        </w:rPr>
        <w:t>EPC</w:t>
      </w:r>
      <w:r>
        <w:rPr>
          <w:spacing w:val="-2"/>
        </w:rPr>
        <w:t>及项目全过程管理业务包括</w:t>
      </w:r>
      <w:r>
        <w:rPr>
          <w:rFonts w:ascii="Times New Roman" w:hAnsi="Times New Roman" w:cs="Times New Roman" w:eastAsia="Times New Roman" w:hint="default"/>
          <w:spacing w:val="-2"/>
        </w:rPr>
        <w:t>EPC</w:t>
      </w:r>
      <w:r>
        <w:rPr>
          <w:spacing w:val="-2"/>
        </w:rPr>
        <w:t>总承包、全过程代建和全过程咨询等建设项目管理业务。</w:t>
      </w:r>
      <w:r>
        <w:rPr>
          <w:rFonts w:ascii="Times New Roman" w:hAnsi="Times New Roman" w:cs="Times New Roman" w:eastAsia="Times New Roman" w:hint="default"/>
          <w:spacing w:val="-2"/>
        </w:rPr>
        <w:t>EPC</w:t>
      </w:r>
      <w:r>
        <w:rPr>
          <w:spacing w:val="-2"/>
        </w:rPr>
        <w:t>总承包指公司受业主委托，</w:t>
      </w:r>
      <w:r>
        <w:rPr>
          <w:spacing w:val="-64"/>
        </w:rPr>
        <w:t> </w:t>
      </w:r>
      <w:r>
        <w:rPr>
          <w:spacing w:val="-64"/>
        </w:rPr>
      </w:r>
      <w:r>
        <w:rPr>
          <w:spacing w:val="-2"/>
        </w:rPr>
        <w:t>按照合同约定对工程建设项目的设计、采购、施工、试运行等全过程或若干阶段的承包。全过程代建是指公司接受建设单位</w:t>
      </w:r>
      <w:r>
        <w:rPr>
          <w:spacing w:val="-66"/>
        </w:rPr>
        <w:t> </w:t>
      </w:r>
      <w:r>
        <w:rPr>
          <w:spacing w:val="-66"/>
        </w:rPr>
      </w:r>
      <w:r>
        <w:rPr>
          <w:rFonts w:ascii="Times New Roman" w:hAnsi="Times New Roman" w:cs="Times New Roman" w:eastAsia="Times New Roman" w:hint="default"/>
        </w:rPr>
        <w:t>(</w:t>
      </w:r>
      <w:r>
        <w:rPr/>
        <w:t>委托单位</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委托，按照合同约定履行代建项目全过程中的建设管理职责，项目竣工验收后移交委托单位。全过程咨询业务 是指公司作为专业化项目管理单位，按照合同约定实施工程项目管理、工程监理以及其他工程咨询工作。 </w:t>
      </w:r>
      <w:r>
        <w:rPr>
          <w:rFonts w:ascii="Times New Roman" w:hAnsi="Times New Roman" w:cs="Times New Roman" w:eastAsia="Times New Roman" w:hint="default"/>
        </w:rPr>
        <w:t>EPC</w:t>
      </w:r>
      <w:r>
        <w:rPr/>
        <w:t>及项目全过程管理业务的具体工程流程一般分为业务接洽、勘察设计阶段、施工阶段和竣工结算阶段等四个阶段，公司 按完工百分比法，以权责发生制为原则确认收入，具体方法如下：</w:t>
      </w:r>
    </w:p>
    <w:p>
      <w:pPr>
        <w:pStyle w:val="BodyText"/>
        <w:spacing w:line="300" w:lineRule="auto" w:before="26"/>
        <w:ind w:right="1133"/>
        <w:jc w:val="both"/>
      </w:pPr>
      <w:r>
        <w:rPr>
          <w:rFonts w:ascii="Times New Roman" w:hAnsi="Times New Roman" w:cs="Times New Roman" w:eastAsia="Times New Roman" w:hint="default"/>
        </w:rPr>
        <w:t>I. </w:t>
      </w:r>
      <w:r>
        <w:rPr/>
        <w:t>合同对设计费、咨询费与建安费、项目管理费分别约定结算金额和支付方式的，设计费、咨询费收入参照前述</w:t>
      </w:r>
      <w:r>
        <w:rPr>
          <w:rFonts w:ascii="Times New Roman" w:hAnsi="Times New Roman" w:cs="Times New Roman" w:eastAsia="Times New Roman" w:hint="default"/>
        </w:rPr>
        <w:t>“ (a)</w:t>
      </w:r>
      <w:r>
        <w:rPr>
          <w:rFonts w:ascii="Times New Roman" w:hAnsi="Times New Roman" w:cs="Times New Roman" w:eastAsia="Times New Roman" w:hint="default"/>
          <w:spacing w:val="25"/>
        </w:rPr>
        <w:t> </w:t>
      </w:r>
      <w:r>
        <w:rPr/>
        <w:t>建</w:t>
      </w:r>
      <w:r>
        <w:rPr>
          <w:w w:val="99"/>
        </w:rPr>
        <w:t> </w:t>
      </w:r>
      <w:r>
        <w:rPr/>
        <w:t>筑设计业务、</w:t>
      </w:r>
      <w:r>
        <w:rPr>
          <w:rFonts w:ascii="Times New Roman" w:hAnsi="Times New Roman" w:cs="Times New Roman" w:eastAsia="Times New Roman" w:hint="default"/>
        </w:rPr>
        <w:t>(b) </w:t>
      </w:r>
      <w:r>
        <w:rPr/>
        <w:t>绿色建筑咨询、</w:t>
      </w:r>
      <w:r>
        <w:rPr>
          <w:rFonts w:ascii="Times New Roman" w:hAnsi="Times New Roman" w:cs="Times New Roman" w:eastAsia="Times New Roman" w:hint="default"/>
        </w:rPr>
        <w:t>(c)</w:t>
      </w:r>
      <w:r>
        <w:rPr>
          <w:rFonts w:ascii="Times New Roman" w:hAnsi="Times New Roman" w:cs="Times New Roman" w:eastAsia="Times New Roman" w:hint="default"/>
          <w:spacing w:val="9"/>
        </w:rPr>
        <w:t> </w:t>
      </w:r>
      <w:r>
        <w:rPr/>
        <w:t>生态城市规划业务</w:t>
      </w:r>
      <w:r>
        <w:rPr>
          <w:rFonts w:ascii="Times New Roman" w:hAnsi="Times New Roman" w:cs="Times New Roman" w:eastAsia="Times New Roman" w:hint="default"/>
        </w:rPr>
        <w:t>”</w:t>
      </w:r>
      <w:r>
        <w:rPr/>
        <w:t>的规则进行收入确认；建安服务和项目管理服务收入以工程监理或 其他第三方确认的完工进度进行确认；</w:t>
      </w:r>
    </w:p>
    <w:p>
      <w:pPr>
        <w:pStyle w:val="BodyText"/>
        <w:spacing w:line="309" w:lineRule="auto" w:before="31"/>
        <w:ind w:right="1133"/>
        <w:jc w:val="both"/>
      </w:pPr>
      <w:r>
        <w:rPr>
          <w:rFonts w:ascii="Times New Roman" w:hAnsi="Times New Roman" w:cs="Times New Roman" w:eastAsia="Times New Roman" w:hint="default"/>
        </w:rPr>
        <w:t>II.</w:t>
      </w:r>
      <w:r>
        <w:rPr>
          <w:rFonts w:ascii="Times New Roman" w:hAnsi="Times New Roman" w:cs="Times New Roman" w:eastAsia="Times New Roman" w:hint="default"/>
          <w:spacing w:val="30"/>
        </w:rPr>
        <w:t> </w:t>
      </w:r>
      <w:r>
        <w:rPr/>
        <w:t>合同对设计费、咨询费与建安费、项目管理服务费未分别约定结算金额和支付方式，采取总价方式进行结算的，公司</w:t>
      </w:r>
      <w:r>
        <w:rPr>
          <w:w w:val="99"/>
        </w:rPr>
        <w:t> </w:t>
      </w:r>
      <w:r>
        <w:rPr>
          <w:spacing w:val="-2"/>
        </w:rPr>
        <w:t>定期评估在该期间已完成的工作量，并与合同相关方面确认完成工作量后，根据合同约定的款项或协议价款的公允价值确认</w:t>
      </w:r>
      <w:r>
        <w:rPr>
          <w:spacing w:val="-65"/>
        </w:rPr>
        <w:t> </w:t>
      </w:r>
      <w:r>
        <w:rPr>
          <w:spacing w:val="-65"/>
        </w:rPr>
      </w:r>
      <w:r>
        <w:rPr/>
        <w:t>该阶段的收入。</w:t>
      </w:r>
    </w:p>
    <w:p>
      <w:pPr>
        <w:pStyle w:val="BodyText"/>
        <w:tabs>
          <w:tab w:pos="573" w:val="left" w:leader="none"/>
        </w:tabs>
        <w:spacing w:line="309" w:lineRule="auto" w:before="24"/>
        <w:ind w:right="6091"/>
        <w:jc w:val="left"/>
      </w:pPr>
      <w:r>
        <w:rPr>
          <w:rFonts w:ascii="Times New Roman" w:hAnsi="Times New Roman" w:cs="Times New Roman" w:eastAsia="Times New Roman" w:hint="default"/>
        </w:rPr>
        <w:t>(3)</w:t>
        <w:tab/>
      </w:r>
      <w:r>
        <w:rPr/>
        <w:t>利息收入</w:t>
      </w:r>
      <w:r>
        <w:rPr>
          <w:w w:val="99"/>
        </w:rPr>
        <w:t> </w:t>
      </w:r>
      <w:r>
        <w:rPr/>
        <w:t>利息收入是按借出货币资金的时间和实际利率计算确定的。</w:t>
      </w:r>
      <w:r>
        <w:rPr>
          <w:w w:val="99"/>
        </w:rPr>
        <w:t> </w:t>
      </w:r>
      <w:r>
        <w:rPr>
          <w:rFonts w:ascii="Times New Roman" w:hAnsi="Times New Roman" w:cs="Times New Roman" w:eastAsia="Times New Roman" w:hint="default"/>
        </w:rPr>
        <w:t>(4)</w:t>
        <w:tab/>
      </w:r>
      <w:r>
        <w:rPr/>
        <w:t>无形资产使用费收入</w:t>
      </w:r>
    </w:p>
    <w:p>
      <w:pPr>
        <w:pStyle w:val="BodyText"/>
        <w:spacing w:line="240" w:lineRule="auto" w:before="5"/>
        <w:ind w:right="0"/>
        <w:jc w:val="left"/>
      </w:pPr>
      <w:r>
        <w:rPr/>
        <w:t>无形资产使用费收入按照有关合同或协议约定的收费时间和方法计算确定。</w:t>
      </w:r>
    </w:p>
    <w:p>
      <w:pPr>
        <w:spacing w:after="0" w:line="240"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57" w:lineRule="auto"/>
        <w:ind w:right="5534"/>
        <w:jc w:val="left"/>
      </w:pPr>
      <w:r>
        <w:rPr/>
        <w:t>同类业务采用不同经营模式导致收入确认会计政策存在差异的情况 无。</w:t>
      </w:r>
    </w:p>
    <w:p>
      <w:pPr>
        <w:spacing w:line="240" w:lineRule="auto" w:before="3"/>
        <w:rPr>
          <w:rFonts w:ascii="宋体" w:hAnsi="宋体" w:cs="宋体" w:eastAsia="宋体" w:hint="default"/>
          <w:sz w:val="20"/>
          <w:szCs w:val="20"/>
        </w:rPr>
      </w:pPr>
    </w:p>
    <w:p>
      <w:pPr>
        <w:pStyle w:val="Heading6"/>
        <w:spacing w:line="240" w:lineRule="auto"/>
        <w:ind w:right="0"/>
        <w:jc w:val="both"/>
        <w:rPr>
          <w:b w:val="0"/>
          <w:bCs w:val="0"/>
        </w:rPr>
      </w:pPr>
      <w:r>
        <w:rPr>
          <w:rFonts w:ascii="Times New Roman" w:hAnsi="Times New Roman" w:cs="Times New Roman" w:eastAsia="Times New Roman" w:hint="default"/>
        </w:rPr>
        <w:t>22</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636" w:lineRule="auto"/>
        <w:ind w:right="0"/>
        <w:jc w:val="left"/>
      </w:pPr>
      <w:r>
        <w:rPr/>
        <w:t>政府补助是本集团从政府无偿取得的货币性资产或非货币性资产，但不包括政府以投资者身份向本集团投入的资本。 政府补助在能够满足政府补助所附条件，并能够收到时，予以确认。 政府补助为货币性资产的，按照收到或应收的金额计量。政府补助为非货币性资产的，按照公允价值计量。</w:t>
      </w:r>
    </w:p>
    <w:p>
      <w:pPr>
        <w:pStyle w:val="BodyText"/>
        <w:spacing w:line="316" w:lineRule="auto" w:before="92"/>
        <w:ind w:right="1130"/>
        <w:jc w:val="both"/>
      </w:pPr>
      <w:r>
        <w:rPr>
          <w:spacing w:val="-2"/>
        </w:rPr>
        <w:t>本集团取得的、用于购建或以其他方式形成长期资产的政府补助作为与资产相关的政府补助。本集团取得的与资产相关之外</w:t>
      </w:r>
      <w:r>
        <w:rPr>
          <w:spacing w:val="-64"/>
        </w:rPr>
        <w:t> </w:t>
      </w:r>
      <w:r>
        <w:rPr>
          <w:spacing w:val="-64"/>
        </w:rPr>
      </w:r>
      <w:r>
        <w:rPr>
          <w:spacing w:val="-2"/>
        </w:rPr>
        <w:t>的其他政府补助作为与收益相关的政府补助。与资产相关的政府补助，本集团将其确认为递延收益，并在相关资产使用寿命</w:t>
      </w:r>
      <w:r>
        <w:rPr>
          <w:spacing w:val="-63"/>
        </w:rPr>
        <w:t> </w:t>
      </w:r>
      <w:r>
        <w:rPr>
          <w:spacing w:val="-63"/>
        </w:rPr>
      </w:r>
      <w:r>
        <w:rPr>
          <w:spacing w:val="-2"/>
        </w:rPr>
        <w:t>内按照合理、系统的方法分期计入其他收益或营业外收入。与收益相关的政府补助，如果用于补偿本集团以后期间的相关成</w:t>
      </w:r>
      <w:r>
        <w:rPr>
          <w:spacing w:val="-63"/>
        </w:rPr>
        <w:t> </w:t>
      </w:r>
      <w:r>
        <w:rPr>
          <w:spacing w:val="-63"/>
        </w:rPr>
      </w:r>
      <w:r>
        <w:rPr>
          <w:spacing w:val="-2"/>
        </w:rPr>
        <w:t>本费用或损失的，本集团将其确认为递延收益，并在确认相关成本费用或损失的期间，计入其他收益或营业外收入；否则直</w:t>
      </w:r>
      <w:r>
        <w:rPr>
          <w:spacing w:val="-65"/>
        </w:rPr>
        <w:t> </w:t>
      </w:r>
      <w:r>
        <w:rPr>
          <w:spacing w:val="-65"/>
        </w:rPr>
      </w:r>
      <w:r>
        <w:rPr/>
        <w:t>接计入其他收益或营业外收入。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6"/>
        <w:ind w:right="0"/>
        <w:jc w:val="both"/>
        <w:rPr>
          <w:b w:val="0"/>
          <w:bCs w:val="0"/>
        </w:rPr>
      </w:pP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jc w:val="both"/>
      </w:pPr>
      <w:r>
        <w:rPr>
          <w:spacing w:val="-2"/>
        </w:rPr>
        <w:t>递延所得税资产与递延所得税负债分别根据可抵扣暂时性差异和应纳税暂时性差异确定。暂时性差异是指资产或负债的账面</w:t>
      </w:r>
      <w:r>
        <w:rPr>
          <w:spacing w:val="-64"/>
        </w:rPr>
        <w:t> </w:t>
      </w:r>
      <w:r>
        <w:rPr>
          <w:spacing w:val="-64"/>
        </w:rPr>
      </w:r>
      <w:r>
        <w:rPr>
          <w:spacing w:val="-2"/>
        </w:rPr>
        <w:t>价值与其计税基础之间的差额，包括能够结转以后年度的可抵扣亏损和税款抵减。递延所得税资产的确认以很可能取得用来</w:t>
      </w:r>
      <w:r>
        <w:rPr>
          <w:spacing w:val="-64"/>
        </w:rPr>
        <w:t> </w:t>
      </w:r>
      <w:r>
        <w:rPr>
          <w:spacing w:val="-64"/>
        </w:rPr>
      </w:r>
      <w:r>
        <w:rPr/>
        <w:t>抵扣可抵扣暂时性差异的应纳税所得额为限。</w:t>
      </w:r>
    </w:p>
    <w:p>
      <w:pPr>
        <w:spacing w:line="240" w:lineRule="auto" w:before="4"/>
        <w:rPr>
          <w:rFonts w:ascii="宋体" w:hAnsi="宋体" w:cs="宋体" w:eastAsia="宋体" w:hint="default"/>
          <w:sz w:val="25"/>
          <w:szCs w:val="25"/>
        </w:rPr>
      </w:pPr>
    </w:p>
    <w:p>
      <w:pPr>
        <w:pStyle w:val="BodyText"/>
        <w:spacing w:line="300" w:lineRule="auto"/>
        <w:ind w:right="1130"/>
        <w:jc w:val="both"/>
      </w:pPr>
      <w:r>
        <w:rPr/>
        <w:t>如果不属于企业合并交易且交易发生时既不影响会计利润也不影响应纳税所得额</w:t>
      </w:r>
      <w:r>
        <w:rPr>
          <w:spacing w:val="51"/>
        </w:rPr>
        <w:t> </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，则该项交易中产生的暂</w:t>
      </w:r>
      <w:r>
        <w:rPr>
          <w:spacing w:val="-79"/>
        </w:rPr>
        <w:t> </w:t>
      </w:r>
      <w:r>
        <w:rPr>
          <w:spacing w:val="-79"/>
        </w:rPr>
      </w:r>
      <w:r>
        <w:rPr/>
        <w:t>时性差异不会产生递延所得税。商誉的初始确认导致的暂时性差异也不产生相关的递延所得税。</w:t>
      </w:r>
    </w:p>
    <w:p>
      <w:pPr>
        <w:spacing w:line="240" w:lineRule="auto" w:before="3"/>
        <w:rPr>
          <w:rFonts w:ascii="宋体" w:hAnsi="宋体" w:cs="宋体" w:eastAsia="宋体" w:hint="default"/>
          <w:sz w:val="26"/>
          <w:szCs w:val="26"/>
        </w:rPr>
      </w:pPr>
    </w:p>
    <w:p>
      <w:pPr>
        <w:pStyle w:val="BodyText"/>
        <w:spacing w:line="316" w:lineRule="auto"/>
        <w:ind w:right="1130"/>
        <w:jc w:val="both"/>
      </w:pPr>
      <w:r>
        <w:rPr>
          <w:spacing w:val="-2"/>
        </w:rPr>
        <w:t>资产负债表日，本集团根据递延所得税资产和负债的预期收回或结算方式，依据已颁布的税法规定，按照预期收回该资产或</w:t>
      </w:r>
      <w:r>
        <w:rPr>
          <w:spacing w:val="-63"/>
        </w:rPr>
        <w:t> </w:t>
      </w:r>
      <w:r>
        <w:rPr>
          <w:spacing w:val="-63"/>
        </w:rPr>
      </w:r>
      <w:r>
        <w:rPr/>
        <w:t>清偿该负债期间的适用税率计量该递延所得税资产和负债的账面金额。</w:t>
      </w:r>
    </w:p>
    <w:p>
      <w:pPr>
        <w:spacing w:line="240" w:lineRule="auto" w:before="4"/>
        <w:rPr>
          <w:rFonts w:ascii="宋体" w:hAnsi="宋体" w:cs="宋体" w:eastAsia="宋体" w:hint="default"/>
          <w:sz w:val="25"/>
          <w:szCs w:val="25"/>
        </w:rPr>
      </w:pPr>
    </w:p>
    <w:p>
      <w:pPr>
        <w:pStyle w:val="BodyText"/>
        <w:spacing w:line="316" w:lineRule="auto"/>
        <w:ind w:right="1051"/>
        <w:jc w:val="both"/>
      </w:pPr>
      <w:r>
        <w:rPr>
          <w:spacing w:val="-2"/>
        </w:rPr>
        <w:t>资产负债表日，本集团对递延所得税资产的账面价值进行复核。如果未来期间很可能无法获得足够的应纳税所得额用以抵扣</w:t>
      </w:r>
      <w:r>
        <w:rPr>
          <w:spacing w:val="-64"/>
        </w:rPr>
        <w:t> </w:t>
      </w:r>
      <w:r>
        <w:rPr>
          <w:spacing w:val="-64"/>
        </w:rPr>
      </w:r>
      <w:r>
        <w:rPr/>
        <w:t>递延所得税资产的利益，则减记递延所得税资产的账面价值。在很可能获得足够的应纳税所得额时，减记的金额予以转回。</w:t>
      </w:r>
    </w:p>
    <w:p>
      <w:pPr>
        <w:spacing w:line="240" w:lineRule="auto" w:before="4"/>
        <w:rPr>
          <w:rFonts w:ascii="宋体" w:hAnsi="宋体" w:cs="宋体" w:eastAsia="宋体" w:hint="default"/>
          <w:sz w:val="25"/>
          <w:szCs w:val="25"/>
        </w:rPr>
      </w:pPr>
    </w:p>
    <w:p>
      <w:pPr>
        <w:pStyle w:val="BodyText"/>
        <w:spacing w:line="240" w:lineRule="auto"/>
        <w:ind w:right="0"/>
        <w:jc w:val="both"/>
      </w:pPr>
      <w:r>
        <w:rPr/>
        <w:t>资产负债表日，递延所得税资产及递延所得税负债在同时满足以下条件时以抵销后的净额列示：</w:t>
      </w:r>
    </w:p>
    <w:p>
      <w:pPr>
        <w:spacing w:line="240" w:lineRule="auto" w:before="0"/>
        <w:rPr>
          <w:rFonts w:ascii="宋体" w:hAnsi="宋体" w:cs="宋体" w:eastAsia="宋体" w:hint="default"/>
          <w:sz w:val="18"/>
          <w:szCs w:val="18"/>
        </w:rPr>
      </w:pPr>
    </w:p>
    <w:p>
      <w:pPr>
        <w:pStyle w:val="BodyText"/>
        <w:spacing w:line="240" w:lineRule="auto" w:before="153"/>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44"/>
        </w:rPr>
        <w:t> </w:t>
      </w:r>
      <w:r>
        <w:rPr/>
        <w:t>纳税主体拥有以净额结算当期所得税资产及当期所得税负债的法定权利；</w:t>
      </w:r>
    </w:p>
    <w:p>
      <w:pPr>
        <w:pStyle w:val="BodyText"/>
        <w:spacing w:line="309" w:lineRule="auto" w:before="63"/>
        <w:ind w:right="1133"/>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递延所得税资产及递延所得税负债是与同一税收征管部门对同一纳税主体征收的所得税相关或者是对不同的纳税主体</w:t>
      </w:r>
      <w:r>
        <w:rPr>
          <w:w w:val="99"/>
        </w:rPr>
        <w:t> </w:t>
      </w:r>
      <w:r>
        <w:rPr>
          <w:spacing w:val="-2"/>
        </w:rPr>
        <w:t>相关，但在未来每一具有重要性的递延所得税资产及负债转回的期间内，涉及的纳税主体意图以净额结算当期所得税资产和</w:t>
      </w:r>
      <w:r>
        <w:rPr>
          <w:spacing w:val="-65"/>
        </w:rPr>
        <w:t> </w:t>
      </w:r>
      <w:r>
        <w:rPr>
          <w:spacing w:val="-65"/>
        </w:rPr>
      </w:r>
      <w:r>
        <w:rPr/>
        <w:t>负债或是同时取得资产、清偿负债。</w:t>
      </w:r>
    </w:p>
    <w:p>
      <w:pPr>
        <w:spacing w:after="0" w:line="309" w:lineRule="auto"/>
        <w:jc w:val="both"/>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24</w:t>
      </w:r>
      <w:r>
        <w:rPr/>
        <w:t>、租赁</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租赁分为融资租赁和经营租赁。融资租赁是指无论所有权最终是否转移但实质上转移了与资产所有权有关的全部风险和报酬</w:t>
      </w:r>
      <w:r>
        <w:rPr>
          <w:spacing w:val="-63"/>
        </w:rPr>
        <w:t> </w:t>
      </w:r>
      <w:r>
        <w:rPr>
          <w:spacing w:val="-63"/>
        </w:rPr>
      </w:r>
      <w:r>
        <w:rPr/>
        <w:t>的租赁。经营租赁是指除融资租赁以外的其他租赁。</w:t>
      </w:r>
    </w:p>
    <w:p>
      <w:pPr>
        <w:pStyle w:val="BodyText"/>
        <w:tabs>
          <w:tab w:pos="573" w:val="left" w:leader="none"/>
        </w:tabs>
        <w:spacing w:line="309" w:lineRule="auto" w:before="19"/>
        <w:ind w:right="4471"/>
        <w:jc w:val="left"/>
      </w:pPr>
      <w:r>
        <w:rPr>
          <w:rFonts w:ascii="Times New Roman" w:hAnsi="Times New Roman" w:cs="Times New Roman" w:eastAsia="Times New Roman" w:hint="default"/>
        </w:rPr>
        <w:t>(1)</w:t>
        <w:tab/>
      </w:r>
      <w:r>
        <w:rPr/>
        <w:t>经营租赁租入资产</w:t>
      </w:r>
      <w:r>
        <w:rPr>
          <w:w w:val="99"/>
        </w:rPr>
        <w:t> </w:t>
      </w:r>
      <w:r>
        <w:rPr/>
        <w:t>经营租赁租入资产的租金费用在租赁期内按直线法确认为相关资产成本或费用。</w:t>
      </w:r>
      <w:r>
        <w:rPr>
          <w:w w:val="99"/>
        </w:rPr>
        <w:t> </w:t>
      </w:r>
      <w:r>
        <w:rPr>
          <w:rFonts w:ascii="Times New Roman" w:hAnsi="Times New Roman" w:cs="Times New Roman" w:eastAsia="Times New Roman" w:hint="default"/>
        </w:rPr>
        <w:t>(2)</w:t>
        <w:tab/>
      </w:r>
      <w:r>
        <w:rPr/>
        <w:t>经营租赁租出资产</w:t>
      </w:r>
    </w:p>
    <w:p>
      <w:pPr>
        <w:pStyle w:val="BodyText"/>
        <w:spacing w:line="316" w:lineRule="auto" w:before="5"/>
        <w:ind w:right="1129"/>
        <w:jc w:val="both"/>
      </w:pPr>
      <w:r>
        <w:rPr>
          <w:spacing w:val="-2"/>
        </w:rPr>
        <w:t>经营租赁租出的除投资性房地产以外的固定资产按固定资产所述的折旧政策计提折旧，按附除存货及金融资产外的其他资产</w:t>
      </w:r>
      <w:r>
        <w:rPr>
          <w:spacing w:val="-63"/>
        </w:rPr>
        <w:t> </w:t>
      </w:r>
      <w:r>
        <w:rPr>
          <w:spacing w:val="-63"/>
        </w:rPr>
      </w:r>
      <w:r>
        <w:rPr>
          <w:spacing w:val="-2"/>
        </w:rPr>
        <w:t>减值所述的会计政策计提减值准备。经营租赁的租金收入在租赁期内按直线法确认为收入。经营租赁租出资产发生的初始直</w:t>
      </w:r>
      <w:r>
        <w:rPr>
          <w:spacing w:val="-64"/>
        </w:rPr>
        <w:t> </w:t>
      </w:r>
      <w:r>
        <w:rPr>
          <w:spacing w:val="-64"/>
        </w:rPr>
      </w:r>
      <w:r>
        <w:rPr>
          <w:spacing w:val="-2"/>
        </w:rPr>
        <w:t>接费用，金额较大时予以资本化，在整个租赁期内按照与确认租金收入相同的基础分期计入当期损益；金额较小时，直接计</w:t>
      </w:r>
      <w:r>
        <w:rPr>
          <w:spacing w:val="-62"/>
        </w:rPr>
        <w:t> </w:t>
      </w:r>
      <w:r>
        <w:rPr>
          <w:spacing w:val="-62"/>
        </w:rPr>
      </w:r>
      <w:r>
        <w:rPr/>
        <w:t>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7"/>
        <w:ind w:right="0"/>
        <w:jc w:val="left"/>
        <w:rPr>
          <w:b w:val="0"/>
          <w:bCs w:val="0"/>
        </w:rPr>
      </w:pPr>
      <w:r>
        <w:rPr>
          <w:rFonts w:ascii="Times New Roman" w:hAnsi="Times New Roman" w:cs="Times New Roman" w:eastAsia="Times New Roman" w:hint="default"/>
        </w:rPr>
        <w:t>25</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522"/>
        <w:gridCol w:w="1277"/>
        <w:gridCol w:w="1771"/>
      </w:tblGrid>
      <w:tr>
        <w:trPr>
          <w:trHeight w:val="401"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1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年修订发布</w:t>
            </w:r>
            <w:r>
              <w:rPr>
                <w:rFonts w:ascii="宋体" w:hAnsi="宋体" w:cs="宋体" w:eastAsia="宋体" w:hint="default"/>
                <w:spacing w:val="-53"/>
                <w:sz w:val="18"/>
                <w:szCs w:val="18"/>
              </w:rPr>
              <w:t>了</w:t>
            </w:r>
            <w:r>
              <w:rPr>
                <w:rFonts w:ascii="宋体" w:hAnsi="宋体" w:cs="宋体" w:eastAsia="宋体" w:hint="default"/>
                <w:spacing w:val="-3"/>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w:t>
            </w:r>
            <w:r>
              <w:rPr>
                <w:rFonts w:ascii="宋体" w:hAnsi="宋体" w:cs="宋体" w:eastAsia="宋体" w:hint="default"/>
                <w:spacing w:val="-3"/>
                <w:sz w:val="18"/>
                <w:szCs w:val="18"/>
              </w:rPr>
              <w:t>融</w:t>
            </w:r>
            <w:r>
              <w:rPr>
                <w:rFonts w:ascii="宋体" w:hAnsi="宋体" w:cs="宋体" w:eastAsia="宋体" w:hint="default"/>
                <w:sz w:val="18"/>
                <w:szCs w:val="18"/>
              </w:rPr>
              <w:t>工具确认和计量</w:t>
            </w:r>
            <w:r>
              <w:rPr>
                <w:rFonts w:ascii="宋体" w:hAnsi="宋体" w:cs="宋体" w:eastAsia="宋体" w:hint="default"/>
                <w:spacing w:val="-144"/>
                <w:sz w:val="18"/>
                <w:szCs w:val="18"/>
              </w:rPr>
              <w:t>》</w:t>
            </w:r>
            <w:r>
              <w:rPr>
                <w:rFonts w:ascii="宋体" w:hAnsi="宋体" w:cs="宋体" w:eastAsia="宋体" w:hint="default"/>
                <w:sz w:val="18"/>
                <w:szCs w:val="18"/>
              </w:rPr>
              <w:t>《企</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宋体" w:hAnsi="宋体" w:cs="宋体" w:eastAsia="宋体" w:hint="default"/>
                <w:spacing w:val="-3"/>
                <w:sz w:val="18"/>
                <w:szCs w:val="18"/>
              </w:rPr>
              <w:t>资</w:t>
            </w:r>
            <w:r>
              <w:rPr>
                <w:rFonts w:ascii="宋体" w:hAnsi="宋体" w:cs="宋体" w:eastAsia="宋体" w:hint="default"/>
                <w:sz w:val="18"/>
                <w:szCs w:val="18"/>
              </w:rPr>
              <w:t>产转移</w:t>
            </w:r>
            <w:r>
              <w:rPr>
                <w:rFonts w:ascii="宋体" w:hAnsi="宋体" w:cs="宋体" w:eastAsia="宋体" w:hint="default"/>
                <w:spacing w:val="-99"/>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宋体" w:hAnsi="宋体" w:cs="宋体" w:eastAsia="宋体" w:hint="default"/>
                <w:spacing w:val="-99"/>
                <w:sz w:val="18"/>
                <w:szCs w:val="18"/>
              </w:rPr>
              <w:t>》</w:t>
            </w:r>
            <w:r>
              <w:rPr>
                <w:rFonts w:ascii="宋体" w:hAnsi="宋体" w:cs="宋体" w:eastAsia="宋体" w:hint="default"/>
                <w:sz w:val="18"/>
                <w:szCs w:val="18"/>
              </w:rPr>
              <w:t>《企</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宋体" w:hAnsi="宋体" w:cs="宋体" w:eastAsia="宋体" w:hint="default"/>
                <w:spacing w:val="-3"/>
                <w:sz w:val="18"/>
                <w:szCs w:val="18"/>
              </w:rPr>
              <w:t>工</w:t>
            </w:r>
            <w:r>
              <w:rPr>
                <w:rFonts w:ascii="宋体" w:hAnsi="宋体" w:cs="宋体" w:eastAsia="宋体" w:hint="default"/>
                <w:sz w:val="18"/>
                <w:szCs w:val="18"/>
              </w:rPr>
              <w:t>具列报</w:t>
            </w:r>
            <w:r>
              <w:rPr>
                <w:rFonts w:ascii="宋体" w:hAnsi="宋体" w:cs="宋体" w:eastAsia="宋体" w:hint="default"/>
                <w:spacing w:val="-92"/>
                <w:sz w:val="18"/>
                <w:szCs w:val="18"/>
              </w:rPr>
              <w:t>》</w:t>
            </w:r>
            <w:r>
              <w:rPr>
                <w:rFonts w:ascii="宋体" w:hAnsi="宋体" w:cs="宋体" w:eastAsia="宋体" w:hint="default"/>
                <w:sz w:val="18"/>
                <w:szCs w:val="18"/>
              </w:rPr>
              <w:t>，并要求境内上市的</w:t>
            </w:r>
            <w:r>
              <w:rPr>
                <w:rFonts w:ascii="宋体" w:hAnsi="宋体" w:cs="宋体" w:eastAsia="宋体" w:hint="default"/>
                <w:spacing w:val="2"/>
                <w:sz w:val="18"/>
                <w:szCs w:val="18"/>
              </w:rPr>
              <w:t>企</w:t>
            </w:r>
            <w:r>
              <w:rPr>
                <w:rFonts w:ascii="宋体" w:hAnsi="宋体" w:cs="宋体" w:eastAsia="宋体" w:hint="default"/>
                <w:sz w:val="18"/>
                <w:szCs w:val="18"/>
              </w:rPr>
              <w:t>业自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日起施行新金融工具相关会计准则。公司按照财政部的规定于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执行上述修订后的会计准则。本次变更后，公司按照财政部于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年印发修订的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3"/>
                <w:sz w:val="18"/>
                <w:szCs w:val="18"/>
              </w:rPr>
              <w:t>金</w:t>
            </w:r>
            <w:r>
              <w:rPr>
                <w:rFonts w:ascii="宋体" w:hAnsi="宋体" w:cs="宋体" w:eastAsia="宋体" w:hint="default"/>
                <w:sz w:val="18"/>
                <w:szCs w:val="18"/>
              </w:rPr>
              <w:t>融工具确认和计量</w:t>
            </w:r>
            <w:r>
              <w:rPr>
                <w:rFonts w:ascii="宋体" w:hAnsi="宋体" w:cs="宋体" w:eastAsia="宋体" w:hint="default"/>
                <w:spacing w:val="-92"/>
                <w:sz w:val="18"/>
                <w:szCs w:val="18"/>
              </w:rPr>
              <w:t>》</w:t>
            </w:r>
            <w:r>
              <w:rPr>
                <w:rFonts w:ascii="宋体" w:hAnsi="宋体" w:cs="宋体" w:eastAsia="宋体" w:hint="default"/>
                <w:sz w:val="18"/>
                <w:szCs w:val="18"/>
              </w:rPr>
              <w:t>《企业会</w:t>
            </w:r>
            <w:r>
              <w:rPr>
                <w:rFonts w:ascii="宋体" w:hAnsi="宋体" w:cs="宋体" w:eastAsia="宋体" w:hint="default"/>
                <w:spacing w:val="2"/>
                <w:sz w:val="18"/>
                <w:szCs w:val="18"/>
              </w:rPr>
              <w:t>计</w:t>
            </w:r>
            <w:r>
              <w:rPr>
                <w:rFonts w:ascii="宋体" w:hAnsi="宋体" w:cs="宋体" w:eastAsia="宋体" w:hint="default"/>
                <w:sz w:val="18"/>
                <w:szCs w:val="18"/>
              </w:rPr>
              <w:t>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融资产转移</w:t>
            </w:r>
            <w:r>
              <w:rPr>
                <w:rFonts w:ascii="宋体" w:hAnsi="宋体" w:cs="宋体" w:eastAsia="宋体" w:hint="default"/>
                <w:spacing w:val="-99"/>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宋体" w:hAnsi="宋体" w:cs="宋体" w:eastAsia="宋体" w:hint="default"/>
                <w:spacing w:val="-99"/>
                <w:sz w:val="18"/>
                <w:szCs w:val="18"/>
              </w:rPr>
              <w:t>》</w:t>
            </w:r>
            <w:r>
              <w:rPr>
                <w:rFonts w:ascii="宋体" w:hAnsi="宋体" w:cs="宋体" w:eastAsia="宋体" w:hint="default"/>
                <w:sz w:val="18"/>
                <w:szCs w:val="18"/>
              </w:rPr>
              <w:t>《企</w:t>
            </w:r>
            <w:r>
              <w:rPr>
                <w:rFonts w:ascii="宋体" w:hAnsi="宋体" w:cs="宋体" w:eastAsia="宋体" w:hint="default"/>
                <w:spacing w:val="-3"/>
                <w:sz w:val="18"/>
                <w:szCs w:val="18"/>
              </w:rPr>
              <w:t>业</w:t>
            </w:r>
            <w:r>
              <w:rPr>
                <w:rFonts w:ascii="宋体" w:hAnsi="宋体" w:cs="宋体" w:eastAsia="宋体" w:hint="default"/>
                <w:sz w:val="18"/>
                <w:szCs w:val="18"/>
              </w:rPr>
              <w:t>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w:t>
            </w:r>
          </w:p>
          <w:p>
            <w:pPr>
              <w:pStyle w:val="TableParagraph"/>
              <w:spacing w:line="300" w:lineRule="auto" w:before="63"/>
              <w:ind w:left="24" w:right="6"/>
              <w:jc w:val="both"/>
              <w:rPr>
                <w:rFonts w:ascii="宋体" w:hAnsi="宋体" w:cs="宋体" w:eastAsia="宋体" w:hint="default"/>
                <w:sz w:val="18"/>
                <w:szCs w:val="18"/>
              </w:rPr>
            </w:pPr>
            <w:r>
              <w:rPr>
                <w:rFonts w:ascii="宋体" w:hAnsi="宋体" w:cs="宋体" w:eastAsia="宋体" w:hint="default"/>
                <w:sz w:val="18"/>
                <w:szCs w:val="18"/>
              </w:rPr>
              <w:t>融工具列报》相关规则执行以上会计政策。其他未变更部分仍按照财政部</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月颁布的《企业会计准则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基本准则》和相关具体准则、企业会计准则应用指南、 企业会计准则解释及其他相关规定执行。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公司第二届董 事会第五次定 </w:t>
            </w:r>
            <w:r>
              <w:rPr>
                <w:rFonts w:ascii="宋体" w:hAnsi="宋体" w:cs="宋体" w:eastAsia="宋体" w:hint="default"/>
                <w:spacing w:val="-6"/>
                <w:sz w:val="18"/>
                <w:szCs w:val="18"/>
              </w:rPr>
              <w:t>期会议、第二届</w:t>
            </w:r>
            <w:r>
              <w:rPr>
                <w:rFonts w:ascii="宋体" w:hAnsi="宋体" w:cs="宋体" w:eastAsia="宋体" w:hint="default"/>
                <w:sz w:val="18"/>
                <w:szCs w:val="18"/>
              </w:rPr>
              <w:t> 监事会第十二 次会议审议通 过相关会计政 策变更议案。</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日在巨潮资讯网</w:t>
            </w:r>
          </w:p>
          <w:p>
            <w:pPr>
              <w:pStyle w:val="TableParagraph"/>
              <w:spacing w:line="307" w:lineRule="auto" w:before="76"/>
              <w:ind w:left="23" w:right="17"/>
              <w:jc w:val="both"/>
              <w:rPr>
                <w:rFonts w:ascii="宋体" w:hAnsi="宋体" w:cs="宋体" w:eastAsia="宋体"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）披露《关于会计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政策变更的公告》（公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2019-013</w:t>
            </w:r>
            <w:r>
              <w:rPr>
                <w:rFonts w:ascii="宋体" w:hAnsi="宋体" w:cs="宋体" w:eastAsia="宋体" w:hint="default"/>
                <w:sz w:val="18"/>
                <w:szCs w:val="18"/>
              </w:rPr>
              <w:t>）</w:t>
            </w:r>
          </w:p>
        </w:tc>
      </w:tr>
      <w:tr>
        <w:trPr>
          <w:trHeight w:val="3521"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日发布了《关于修订印发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 </w:t>
            </w:r>
            <w:r>
              <w:rPr>
                <w:rFonts w:ascii="宋体" w:hAnsi="宋体" w:cs="宋体" w:eastAsia="宋体" w:hint="default"/>
                <w:spacing w:val="-7"/>
                <w:sz w:val="18"/>
                <w:szCs w:val="18"/>
              </w:rPr>
              <w:t>式的通知》（财会</w:t>
            </w:r>
            <w:r>
              <w:rPr>
                <w:rFonts w:ascii="Times New Roman" w:hAnsi="Times New Roman" w:cs="Times New Roman" w:eastAsia="Times New Roman" w:hint="default"/>
                <w:spacing w:val="-7"/>
                <w:sz w:val="18"/>
                <w:szCs w:val="18"/>
              </w:rPr>
              <w:t>[2019]6</w:t>
            </w:r>
            <w:r>
              <w:rPr>
                <w:rFonts w:ascii="Times New Roman" w:hAnsi="Times New Roman" w:cs="Times New Roman" w:eastAsia="Times New Roman" w:hint="default"/>
                <w:sz w:val="18"/>
                <w:szCs w:val="18"/>
              </w:rPr>
              <w:t> </w:t>
            </w:r>
            <w:r>
              <w:rPr>
                <w:rFonts w:ascii="宋体" w:hAnsi="宋体" w:cs="宋体" w:eastAsia="宋体" w:hint="default"/>
                <w:spacing w:val="-6"/>
                <w:w w:val="100"/>
                <w:sz w:val="18"/>
                <w:szCs w:val="18"/>
              </w:rPr>
              <w:t>号）（以下简称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财会</w:t>
            </w:r>
            <w:r>
              <w:rPr>
                <w:rFonts w:ascii="Times New Roman" w:hAnsi="Times New Roman" w:cs="Times New Roman" w:eastAsia="Times New Roman" w:hint="default"/>
                <w:spacing w:val="-6"/>
                <w:w w:val="100"/>
                <w:sz w:val="18"/>
                <w:szCs w:val="18"/>
              </w:rPr>
              <w:t>[2019]6</w:t>
            </w:r>
            <w:r>
              <w:rPr>
                <w:rFonts w:ascii="Times New Roman" w:hAnsi="Times New Roman" w:cs="Times New Roman" w:eastAsia="Times New Roman" w:hint="default"/>
                <w:w w:val="100"/>
                <w:sz w:val="18"/>
                <w:szCs w:val="18"/>
              </w:rPr>
              <w:t> </w:t>
            </w:r>
            <w:r>
              <w:rPr>
                <w:rFonts w:ascii="宋体" w:hAnsi="宋体" w:cs="宋体" w:eastAsia="宋体" w:hint="default"/>
                <w:spacing w:val="-1"/>
                <w:w w:val="100"/>
                <w:sz w:val="18"/>
                <w:szCs w:val="18"/>
              </w:rPr>
              <w:t>号</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）的通知，要求执行企业</w:t>
            </w:r>
            <w:r>
              <w:rPr>
                <w:rFonts w:ascii="宋体" w:hAnsi="宋体" w:cs="宋体" w:eastAsia="宋体" w:hint="default"/>
                <w:spacing w:val="-57"/>
                <w:w w:val="100"/>
                <w:sz w:val="18"/>
                <w:szCs w:val="18"/>
              </w:rPr>
              <w:t> </w:t>
            </w:r>
            <w:r>
              <w:rPr>
                <w:rFonts w:ascii="宋体" w:hAnsi="宋体" w:cs="宋体" w:eastAsia="宋体" w:hint="default"/>
                <w:spacing w:val="-57"/>
                <w:w w:val="100"/>
                <w:sz w:val="18"/>
                <w:szCs w:val="18"/>
              </w:rPr>
            </w:r>
            <w:r>
              <w:rPr>
                <w:rFonts w:ascii="宋体" w:hAnsi="宋体" w:cs="宋体" w:eastAsia="宋体" w:hint="default"/>
                <w:sz w:val="18"/>
                <w:szCs w:val="18"/>
              </w:rPr>
              <w:t>会计准则的非金融企业按照企业会计准则和财会</w:t>
            </w:r>
            <w:r>
              <w:rPr>
                <w:rFonts w:ascii="Times New Roman" w:hAnsi="Times New Roman" w:cs="Times New Roman" w:eastAsia="Times New Roman" w:hint="default"/>
                <w:sz w:val="18"/>
                <w:szCs w:val="18"/>
              </w:rPr>
              <w:t>[2019]6 </w:t>
            </w:r>
            <w:r>
              <w:rPr>
                <w:rFonts w:ascii="宋体" w:hAnsi="宋体" w:cs="宋体" w:eastAsia="宋体" w:hint="default"/>
                <w:sz w:val="18"/>
                <w:szCs w:val="18"/>
              </w:rPr>
              <w:t>号的要求编制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年度中 </w:t>
            </w:r>
            <w:r>
              <w:rPr>
                <w:rFonts w:ascii="宋体" w:hAnsi="宋体" w:cs="宋体" w:eastAsia="宋体" w:hint="default"/>
                <w:spacing w:val="-1"/>
                <w:sz w:val="18"/>
                <w:szCs w:val="18"/>
              </w:rPr>
              <w:t>期财务报表和年度财务报表以及以后期间的财务报表。根据有关要求，公司属于已</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执行新金融准则但未执行新收入准则和新租赁准则的企业，应当结合财会</w:t>
            </w:r>
            <w:r>
              <w:rPr>
                <w:rFonts w:ascii="Times New Roman" w:hAnsi="Times New Roman" w:cs="Times New Roman" w:eastAsia="Times New Roman" w:hint="default"/>
                <w:sz w:val="18"/>
                <w:szCs w:val="18"/>
              </w:rPr>
              <w:t>[2019]6 </w:t>
            </w:r>
            <w:r>
              <w:rPr>
                <w:rFonts w:ascii="宋体" w:hAnsi="宋体" w:cs="宋体" w:eastAsia="宋体" w:hint="default"/>
                <w:spacing w:val="-1"/>
                <w:sz w:val="18"/>
                <w:szCs w:val="18"/>
              </w:rPr>
              <w:t>号的要求对财务报表格式及部分科目列报进行相应调整。根据规定，公司于以上文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件规定的起始日开始执行上述企业会计准则。本次变更后，公司将执行财政部发布</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的《关于修改印发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年度一般企业财务报表格式的通知》（财会</w:t>
            </w:r>
            <w:r>
              <w:rPr>
                <w:rFonts w:ascii="Times New Roman" w:hAnsi="Times New Roman" w:cs="Times New Roman" w:eastAsia="Times New Roman" w:hint="default"/>
                <w:spacing w:val="-5"/>
                <w:sz w:val="18"/>
                <w:szCs w:val="18"/>
              </w:rPr>
              <w:t>[2019]6</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号）的相</w:t>
            </w:r>
            <w:r>
              <w:rPr>
                <w:rFonts w:ascii="宋体" w:hAnsi="宋体" w:cs="宋体" w:eastAsia="宋体" w:hint="default"/>
                <w:sz w:val="18"/>
                <w:szCs w:val="18"/>
              </w:rPr>
              <w:t> </w:t>
            </w:r>
            <w:r>
              <w:rPr>
                <w:rFonts w:ascii="宋体" w:hAnsi="宋体" w:cs="宋体" w:eastAsia="宋体" w:hint="default"/>
                <w:spacing w:val="-1"/>
                <w:sz w:val="18"/>
                <w:szCs w:val="18"/>
              </w:rPr>
              <w:t>关规定，除上述会计政策变更外，其他未变更部分仍执行《企业会计准则</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基本准</w:t>
            </w:r>
            <w:r>
              <w:rPr>
                <w:rFonts w:ascii="宋体" w:hAnsi="宋体" w:cs="宋体" w:eastAsia="宋体" w:hint="default"/>
                <w:spacing w:val="-68"/>
                <w:sz w:val="18"/>
                <w:szCs w:val="18"/>
              </w:rPr>
              <w:t> </w:t>
            </w:r>
            <w:r>
              <w:rPr>
                <w:rFonts w:ascii="宋体" w:hAnsi="宋体" w:cs="宋体" w:eastAsia="宋体" w:hint="default"/>
                <w:spacing w:val="-3"/>
                <w:sz w:val="18"/>
                <w:szCs w:val="18"/>
              </w:rPr>
              <w:t>则》、各项具体会计准则和企业会计准则应用指南、企业会计准则解释公告以及其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他相关规定。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z w:val="18"/>
                <w:szCs w:val="18"/>
              </w:rPr>
              <w:t>公司第二届董 事会第六次定 </w:t>
            </w:r>
            <w:r>
              <w:rPr>
                <w:rFonts w:ascii="宋体" w:hAnsi="宋体" w:cs="宋体" w:eastAsia="宋体" w:hint="default"/>
                <w:spacing w:val="-6"/>
                <w:sz w:val="18"/>
                <w:szCs w:val="18"/>
              </w:rPr>
              <w:t>期会议、第二届</w:t>
            </w:r>
            <w:r>
              <w:rPr>
                <w:rFonts w:ascii="宋体" w:hAnsi="宋体" w:cs="宋体" w:eastAsia="宋体" w:hint="default"/>
                <w:sz w:val="18"/>
                <w:szCs w:val="18"/>
              </w:rPr>
              <w:t> 监事会第十四 次会议审议通 过相关会计政 策变更议案。</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日在巨潮资讯网</w:t>
            </w:r>
          </w:p>
          <w:p>
            <w:pPr>
              <w:pStyle w:val="TableParagraph"/>
              <w:spacing w:line="307" w:lineRule="auto" w:before="77"/>
              <w:ind w:left="23" w:right="17"/>
              <w:jc w:val="both"/>
              <w:rPr>
                <w:rFonts w:ascii="宋体" w:hAnsi="宋体" w:cs="宋体" w:eastAsia="宋体"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）披露《关于会计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政策变更的公告》（公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2019-059</w:t>
            </w:r>
            <w:r>
              <w:rPr>
                <w:rFonts w:ascii="宋体" w:hAnsi="宋体" w:cs="宋体" w:eastAsia="宋体" w:hint="default"/>
                <w:sz w:val="18"/>
                <w:szCs w:val="18"/>
              </w:rPr>
              <w:t>）</w:t>
            </w:r>
          </w:p>
        </w:tc>
      </w:tr>
      <w:tr>
        <w:trPr>
          <w:trHeight w:val="362"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日发布了《关于印发修订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公司第二届董</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522"/>
        <w:gridCol w:w="1277"/>
        <w:gridCol w:w="1771"/>
      </w:tblGrid>
      <w:tr>
        <w:trPr>
          <w:trHeight w:val="8476" w:hRule="exact"/>
        </w:trPr>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4" w:right="17"/>
              <w:jc w:val="left"/>
              <w:rPr>
                <w:rFonts w:ascii="宋体" w:hAnsi="宋体" w:cs="宋体" w:eastAsia="宋体" w:hint="default"/>
                <w:sz w:val="18"/>
                <w:szCs w:val="18"/>
              </w:rPr>
            </w:pPr>
            <w:r>
              <w:rPr>
                <w:rFonts w:ascii="宋体" w:hAnsi="宋体" w:cs="宋体" w:eastAsia="宋体" w:hint="default"/>
                <w:spacing w:val="-5"/>
                <w:sz w:val="18"/>
                <w:szCs w:val="18"/>
              </w:rPr>
              <w:t>非货币性资产交换</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的通知》（财会〔</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8</w:t>
            </w:r>
            <w:r>
              <w:rPr>
                <w:rFonts w:ascii="Times New Roman" w:hAnsi="Times New Roman" w:cs="Times New Roman" w:eastAsia="Times New Roman" w:hint="default"/>
                <w:sz w:val="18"/>
                <w:szCs w:val="18"/>
              </w:rPr>
              <w:t> </w:t>
            </w:r>
            <w:r>
              <w:rPr>
                <w:rFonts w:ascii="宋体" w:hAnsi="宋体" w:cs="宋体" w:eastAsia="宋体" w:hint="default"/>
                <w:spacing w:val="-6"/>
                <w:w w:val="100"/>
                <w:sz w:val="18"/>
                <w:szCs w:val="18"/>
              </w:rPr>
              <w:t>号）（以下简称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财会〔</w:t>
            </w:r>
            <w:r>
              <w:rPr>
                <w:rFonts w:ascii="Times New Roman" w:hAnsi="Times New Roman" w:cs="Times New Roman" w:eastAsia="Times New Roman" w:hint="default"/>
                <w:spacing w:val="-6"/>
                <w:w w:val="100"/>
                <w:sz w:val="18"/>
                <w:szCs w:val="18"/>
              </w:rPr>
              <w:t>2019</w:t>
            </w:r>
            <w:r>
              <w:rPr>
                <w:rFonts w:ascii="宋体" w:hAnsi="宋体" w:cs="宋体" w:eastAsia="宋体" w:hint="default"/>
                <w:spacing w:val="-6"/>
                <w:w w:val="100"/>
                <w:sz w:val="18"/>
                <w:szCs w:val="18"/>
              </w:rPr>
              <w:t>〕</w:t>
            </w:r>
            <w:r>
              <w:rPr>
                <w:rFonts w:ascii="Times New Roman" w:hAnsi="Times New Roman" w:cs="Times New Roman" w:eastAsia="Times New Roman" w:hint="default"/>
                <w:spacing w:val="-6"/>
                <w:w w:val="100"/>
                <w:sz w:val="18"/>
                <w:szCs w:val="18"/>
              </w:rPr>
              <w:t>8</w:t>
            </w:r>
            <w:r>
              <w:rPr>
                <w:rFonts w:ascii="Times New Roman" w:hAnsi="Times New Roman" w:cs="Times New Roman" w:eastAsia="Times New Roman" w:hint="default"/>
                <w:spacing w:val="25"/>
                <w:w w:val="100"/>
                <w:sz w:val="18"/>
                <w:szCs w:val="18"/>
              </w:rPr>
              <w:t> </w:t>
            </w:r>
            <w:r>
              <w:rPr>
                <w:rFonts w:ascii="宋体" w:hAnsi="宋体" w:cs="宋体" w:eastAsia="宋体" w:hint="default"/>
                <w:spacing w:val="-47"/>
                <w:w w:val="100"/>
                <w:sz w:val="18"/>
                <w:szCs w:val="18"/>
              </w:rPr>
              <w:t>号</w:t>
            </w:r>
            <w:r>
              <w:rPr>
                <w:rFonts w:ascii="Times New Roman" w:hAnsi="Times New Roman" w:cs="Times New Roman" w:eastAsia="Times New Roman" w:hint="default"/>
                <w:spacing w:val="-47"/>
                <w:w w:val="100"/>
                <w:sz w:val="18"/>
                <w:szCs w:val="18"/>
              </w:rPr>
              <w:t>”</w:t>
            </w:r>
            <w:r>
              <w:rPr>
                <w:rFonts w:ascii="宋体" w:hAnsi="宋体" w:cs="宋体" w:eastAsia="宋体" w:hint="default"/>
                <w:spacing w:val="-47"/>
                <w:w w:val="100"/>
                <w:sz w:val="18"/>
                <w:szCs w:val="18"/>
              </w:rPr>
              <w:t>），</w:t>
            </w:r>
            <w:r>
              <w:rPr>
                <w:rFonts w:ascii="宋体" w:hAnsi="宋体" w:cs="宋体" w:eastAsia="宋体" w:hint="default"/>
                <w:spacing w:val="-85"/>
                <w:w w:val="100"/>
                <w:sz w:val="18"/>
                <w:szCs w:val="18"/>
              </w:rPr>
              <w:t> </w:t>
            </w:r>
            <w:r>
              <w:rPr>
                <w:rFonts w:ascii="宋体" w:hAnsi="宋体" w:cs="宋体" w:eastAsia="宋体" w:hint="default"/>
                <w:sz w:val="18"/>
                <w:szCs w:val="18"/>
              </w:rPr>
              <w:t>要求所有执行企业会计准则的企业施行修订后的《企业会计准则第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w:t>
            </w:r>
          </w:p>
          <w:p>
            <w:pPr>
              <w:pStyle w:val="TableParagraph"/>
              <w:spacing w:line="300" w:lineRule="auto" w:before="13"/>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性资产交换</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0"/>
                <w:sz w:val="18"/>
                <w:szCs w:val="18"/>
              </w:rPr>
              <w:t>）</w:t>
            </w: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w:t>
            </w:r>
            <w:r>
              <w:rPr>
                <w:rFonts w:ascii="宋体" w:hAnsi="宋体" w:cs="宋体" w:eastAsia="宋体" w:hint="default"/>
                <w:spacing w:val="-10"/>
                <w:sz w:val="18"/>
                <w:szCs w:val="18"/>
              </w:rPr>
              <w:t>了</w:t>
            </w:r>
            <w:r>
              <w:rPr>
                <w:rFonts w:ascii="宋体" w:hAnsi="宋体" w:cs="宋体" w:eastAsia="宋体" w:hint="default"/>
                <w:sz w:val="18"/>
                <w:szCs w:val="18"/>
              </w:rPr>
              <w:t>《关</w:t>
            </w:r>
            <w:r>
              <w:rPr>
                <w:rFonts w:ascii="宋体" w:hAnsi="宋体" w:cs="宋体" w:eastAsia="宋体" w:hint="default"/>
                <w:spacing w:val="-3"/>
                <w:sz w:val="18"/>
                <w:szCs w:val="18"/>
              </w:rPr>
              <w:t>于</w:t>
            </w:r>
            <w:r>
              <w:rPr>
                <w:rFonts w:ascii="宋体" w:hAnsi="宋体" w:cs="宋体" w:eastAsia="宋体" w:hint="default"/>
                <w:sz w:val="18"/>
                <w:szCs w:val="18"/>
              </w:rPr>
              <w:t>印发修订</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企业会计准 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债务重组</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的通</w:t>
            </w:r>
            <w:r>
              <w:rPr>
                <w:rFonts w:ascii="宋体" w:hAnsi="宋体" w:cs="宋体" w:eastAsia="宋体" w:hint="default"/>
                <w:spacing w:val="-3"/>
                <w:sz w:val="18"/>
                <w:szCs w:val="18"/>
              </w:rPr>
              <w:t>知</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2019</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（以</w:t>
            </w:r>
            <w:r>
              <w:rPr>
                <w:rFonts w:ascii="宋体" w:hAnsi="宋体" w:cs="宋体" w:eastAsia="宋体" w:hint="default"/>
                <w:spacing w:val="-3"/>
                <w:sz w:val="18"/>
                <w:szCs w:val="18"/>
              </w:rPr>
              <w:t>下</w:t>
            </w:r>
            <w:r>
              <w:rPr>
                <w:rFonts w:ascii="宋体" w:hAnsi="宋体" w:cs="宋体" w:eastAsia="宋体" w:hint="default"/>
                <w:sz w:val="18"/>
                <w:szCs w:val="18"/>
              </w:rPr>
              <w:t>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要求所有执行企业会</w:t>
            </w:r>
            <w:r>
              <w:rPr>
                <w:rFonts w:ascii="宋体" w:hAnsi="宋体" w:cs="宋体" w:eastAsia="宋体" w:hint="default"/>
                <w:spacing w:val="2"/>
                <w:sz w:val="18"/>
                <w:szCs w:val="18"/>
              </w:rPr>
              <w:t>计</w:t>
            </w:r>
            <w:r>
              <w:rPr>
                <w:rFonts w:ascii="宋体" w:hAnsi="宋体" w:cs="宋体" w:eastAsia="宋体" w:hint="default"/>
                <w:sz w:val="18"/>
                <w:szCs w:val="18"/>
              </w:rPr>
              <w:t>准则的企业施行修订后</w:t>
            </w:r>
            <w:r>
              <w:rPr>
                <w:rFonts w:ascii="宋体" w:hAnsi="宋体" w:cs="宋体" w:eastAsia="宋体" w:hint="default"/>
                <w:spacing w:val="-3"/>
                <w:sz w:val="18"/>
                <w:szCs w:val="18"/>
              </w:rPr>
              <w:t>的</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债务重组</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）财政部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日颁布了《关于修</w:t>
            </w:r>
            <w:r>
              <w:rPr>
                <w:rFonts w:ascii="宋体" w:hAnsi="宋体" w:cs="宋体" w:eastAsia="宋体" w:hint="default"/>
                <w:spacing w:val="-3"/>
                <w:sz w:val="18"/>
                <w:szCs w:val="18"/>
              </w:rPr>
              <w:t>订</w:t>
            </w:r>
            <w:r>
              <w:rPr>
                <w:rFonts w:ascii="宋体" w:hAnsi="宋体" w:cs="宋体" w:eastAsia="宋体" w:hint="default"/>
                <w:sz w:val="18"/>
                <w:szCs w:val="18"/>
              </w:rPr>
              <w:t>印发</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企业会计准则第</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号一一收入</w:t>
            </w:r>
            <w:r>
              <w:rPr>
                <w:rFonts w:ascii="Times New Roman" w:hAnsi="Times New Roman" w:cs="Times New Roman" w:eastAsia="Times New Roman" w:hint="default"/>
                <w:sz w:val="18"/>
                <w:szCs w:val="18"/>
              </w:rPr>
              <w:t>&gt;</w:t>
            </w:r>
            <w:r>
              <w:rPr>
                <w:rFonts w:ascii="宋体" w:hAnsi="宋体" w:cs="宋体" w:eastAsia="宋体" w:hint="default"/>
                <w:sz w:val="18"/>
                <w:szCs w:val="18"/>
              </w:rPr>
              <w:t>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要求在境内外同时上市的企业以及在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境外上市并采用国际财务报告准则或企业会计准则编制财务报表的企业</w:t>
            </w:r>
            <w:r>
              <w:rPr>
                <w:rFonts w:ascii="Times New Roman" w:hAnsi="Times New Roman" w:cs="Times New Roman" w:eastAsia="Times New Roman" w:hint="default"/>
                <w:sz w:val="18"/>
                <w:szCs w:val="18"/>
              </w:rPr>
              <w:t>,</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302" w:lineRule="auto" w:before="6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日起施行；其他境内上市企业，自</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日起施行。（</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）财政部发布</w:t>
            </w:r>
            <w:r>
              <w:rPr>
                <w:rFonts w:ascii="宋体" w:hAnsi="宋体" w:cs="宋体" w:eastAsia="宋体" w:hint="default"/>
                <w:sz w:val="18"/>
                <w:szCs w:val="18"/>
              </w:rPr>
              <w:t> </w:t>
            </w:r>
            <w:r>
              <w:rPr>
                <w:rFonts w:ascii="宋体" w:hAnsi="宋体" w:cs="宋体" w:eastAsia="宋体" w:hint="default"/>
                <w:spacing w:val="-2"/>
                <w:sz w:val="18"/>
                <w:szCs w:val="18"/>
              </w:rPr>
              <w:t>了《关于修订印发合并财务报表格式（</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pacing w:val="-10"/>
                <w:sz w:val="18"/>
                <w:szCs w:val="18"/>
              </w:rPr>
              <w:t>版）的通知》（财会〔</w:t>
            </w:r>
            <w:r>
              <w:rPr>
                <w:rFonts w:ascii="Times New Roman" w:hAnsi="Times New Roman" w:cs="Times New Roman" w:eastAsia="Times New Roman" w:hint="default"/>
                <w:spacing w:val="-10"/>
                <w:sz w:val="18"/>
                <w:szCs w:val="18"/>
              </w:rPr>
              <w:t>2019</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pacing w:val="-27"/>
                <w:sz w:val="18"/>
                <w:szCs w:val="18"/>
              </w:rPr>
              <w:t>号）（以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w w:val="100"/>
                <w:sz w:val="18"/>
                <w:szCs w:val="18"/>
              </w:rPr>
              <w:t>下简称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财会〔</w:t>
            </w:r>
            <w:r>
              <w:rPr>
                <w:rFonts w:ascii="Times New Roman" w:hAnsi="Times New Roman" w:cs="Times New Roman" w:eastAsia="Times New Roman" w:hint="default"/>
                <w:spacing w:val="-2"/>
                <w:w w:val="100"/>
                <w:sz w:val="18"/>
                <w:szCs w:val="18"/>
              </w:rPr>
              <w:t>2019</w:t>
            </w:r>
            <w:r>
              <w:rPr>
                <w:rFonts w:ascii="宋体" w:hAnsi="宋体" w:cs="宋体" w:eastAsia="宋体" w:hint="default"/>
                <w:spacing w:val="-2"/>
                <w:w w:val="100"/>
                <w:sz w:val="18"/>
                <w:szCs w:val="18"/>
              </w:rPr>
              <w:t>〕</w:t>
            </w:r>
            <w:r>
              <w:rPr>
                <w:rFonts w:ascii="Times New Roman" w:hAnsi="Times New Roman" w:cs="Times New Roman" w:eastAsia="Times New Roman" w:hint="default"/>
                <w:spacing w:val="-2"/>
                <w:w w:val="100"/>
                <w:sz w:val="18"/>
                <w:szCs w:val="18"/>
              </w:rPr>
              <w:t>16</w:t>
            </w:r>
            <w:r>
              <w:rPr>
                <w:rFonts w:ascii="Times New Roman" w:hAnsi="Times New Roman" w:cs="Times New Roman" w:eastAsia="Times New Roman" w:hint="default"/>
                <w:spacing w:val="3"/>
                <w:w w:val="100"/>
                <w:sz w:val="18"/>
                <w:szCs w:val="18"/>
              </w:rPr>
              <w:t> </w:t>
            </w:r>
            <w:r>
              <w:rPr>
                <w:rFonts w:ascii="宋体" w:hAnsi="宋体" w:cs="宋体" w:eastAsia="宋体" w:hint="default"/>
                <w:spacing w:val="-8"/>
                <w:w w:val="100"/>
                <w:sz w:val="18"/>
                <w:szCs w:val="18"/>
              </w:rPr>
              <w:t>号</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），将《财政部关于修订印发</w:t>
            </w:r>
            <w:r>
              <w:rPr>
                <w:rFonts w:ascii="宋体" w:hAnsi="宋体" w:cs="宋体" w:eastAsia="宋体" w:hint="default"/>
                <w:spacing w:val="-42"/>
                <w:w w:val="100"/>
                <w:sz w:val="18"/>
                <w:szCs w:val="18"/>
              </w:rPr>
              <w:t> </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年度合并财务报表格 </w:t>
            </w:r>
            <w:r>
              <w:rPr>
                <w:rFonts w:ascii="宋体" w:hAnsi="宋体" w:cs="宋体" w:eastAsia="宋体" w:hint="default"/>
                <w:spacing w:val="-9"/>
                <w:sz w:val="18"/>
                <w:szCs w:val="18"/>
              </w:rPr>
              <w:t>式的通知》（财会〔</w:t>
            </w:r>
            <w:r>
              <w:rPr>
                <w:rFonts w:ascii="Times New Roman" w:hAnsi="Times New Roman" w:cs="Times New Roman" w:eastAsia="Times New Roman" w:hint="default"/>
                <w:spacing w:val="-9"/>
                <w:sz w:val="18"/>
                <w:szCs w:val="18"/>
              </w:rPr>
              <w:t>2019</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号）废止，要求执行企业会计准则的企业按照企业会计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准则和财会〔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 </w:t>
            </w:r>
            <w:r>
              <w:rPr>
                <w:rFonts w:ascii="宋体" w:hAnsi="宋体" w:cs="宋体" w:eastAsia="宋体" w:hint="default"/>
                <w:sz w:val="18"/>
                <w:szCs w:val="18"/>
              </w:rPr>
              <w:t>号的规定编制的规定编制财务报表，企业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年度合并财 </w:t>
            </w:r>
            <w:r>
              <w:rPr>
                <w:rFonts w:ascii="宋体" w:hAnsi="宋体" w:cs="宋体" w:eastAsia="宋体" w:hint="default"/>
                <w:spacing w:val="-2"/>
                <w:sz w:val="18"/>
                <w:szCs w:val="18"/>
              </w:rPr>
              <w:t>务报表及以后期间的合并财务报表均按财会〔</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号的规定编制执行。根据规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定，公司于以上文件规定的起始日开始执行上述企业会计准则。本次会计政策变更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9"/>
                <w:sz w:val="18"/>
                <w:szCs w:val="18"/>
              </w:rPr>
              <w:t>后，（</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）公司按照财政部于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日发布的《关于印发修订</w:t>
            </w:r>
            <w:r>
              <w:rPr>
                <w:rFonts w:ascii="Times New Roman" w:hAnsi="Times New Roman" w:cs="Times New Roman" w:eastAsia="Times New Roman" w:hint="default"/>
                <w:spacing w:val="-1"/>
                <w:sz w:val="18"/>
                <w:szCs w:val="18"/>
              </w:rPr>
              <w:t>&lt;</w:t>
            </w:r>
            <w:r>
              <w:rPr>
                <w:rFonts w:ascii="宋体" w:hAnsi="宋体" w:cs="宋体" w:eastAsia="宋体" w:hint="default"/>
                <w:spacing w:val="-1"/>
                <w:sz w:val="18"/>
                <w:szCs w:val="18"/>
              </w:rPr>
              <w:t>企业会计准则</w:t>
            </w:r>
            <w:r>
              <w:rPr>
                <w:rFonts w:ascii="宋体" w:hAnsi="宋体" w:cs="宋体" w:eastAsia="宋体" w:hint="default"/>
                <w:sz w:val="18"/>
                <w:szCs w:val="18"/>
              </w:rPr>
              <w:t> 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非货币性资产交换</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的通知》（财会〔</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pacing w:val="-11"/>
                <w:sz w:val="18"/>
                <w:szCs w:val="18"/>
              </w:rPr>
              <w:t>号）的相关规定执行。（</w:t>
            </w:r>
            <w:r>
              <w:rPr>
                <w:rFonts w:ascii="Times New Roman" w:hAnsi="Times New Roman" w:cs="Times New Roman" w:eastAsia="Times New Roman" w:hint="default"/>
                <w:spacing w:val="-11"/>
                <w:sz w:val="18"/>
                <w:szCs w:val="18"/>
              </w:rPr>
              <w:t>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公司按照财政部于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p>
          <w:p>
            <w:pPr>
              <w:pStyle w:val="TableParagraph"/>
              <w:spacing w:line="300" w:lineRule="auto" w:before="11"/>
              <w:ind w:left="24" w:right="14"/>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债务重组</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的通知》（财会〔</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号）的相关规定执行。</w:t>
            </w:r>
            <w:r>
              <w:rPr>
                <w:rFonts w:ascii="宋体" w:hAnsi="宋体" w:cs="宋体" w:eastAsia="宋体" w:hint="default"/>
                <w:spacing w:val="1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）公司按照财</w:t>
            </w:r>
            <w:r>
              <w:rPr>
                <w:rFonts w:ascii="宋体" w:hAnsi="宋体" w:cs="宋体" w:eastAsia="宋体" w:hint="default"/>
                <w:spacing w:val="-86"/>
                <w:sz w:val="18"/>
                <w:szCs w:val="18"/>
              </w:rPr>
              <w:t> </w:t>
            </w:r>
            <w:r>
              <w:rPr>
                <w:rFonts w:ascii="宋体" w:hAnsi="宋体" w:cs="宋体" w:eastAsia="宋体" w:hint="default"/>
                <w:sz w:val="18"/>
                <w:szCs w:val="18"/>
              </w:rPr>
              <w:t>政部于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日颁布了《关于修订印发</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号一一收入</w:t>
            </w:r>
            <w:r>
              <w:rPr>
                <w:rFonts w:ascii="Times New Roman" w:hAnsi="Times New Roman" w:cs="Times New Roman" w:eastAsia="Times New Roman" w:hint="default"/>
                <w:sz w:val="18"/>
                <w:szCs w:val="18"/>
              </w:rPr>
              <w:t>&gt;</w:t>
            </w:r>
            <w:r>
              <w:rPr>
                <w:rFonts w:ascii="宋体" w:hAnsi="宋体" w:cs="宋体" w:eastAsia="宋体" w:hint="default"/>
                <w:sz w:val="18"/>
                <w:szCs w:val="18"/>
              </w:rPr>
              <w:t>的</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3"/>
                <w:sz w:val="18"/>
                <w:szCs w:val="18"/>
              </w:rPr>
              <w:t>的</w:t>
            </w:r>
            <w:r>
              <w:rPr>
                <w:rFonts w:ascii="宋体" w:hAnsi="宋体" w:cs="宋体" w:eastAsia="宋体" w:hint="default"/>
                <w:sz w:val="18"/>
                <w:szCs w:val="18"/>
              </w:rPr>
              <w:t>相关规定执行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）公司按照财政部于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日发布的《关于修订印发</w:t>
            </w:r>
            <w:r>
              <w:rPr>
                <w:rFonts w:ascii="宋体" w:hAnsi="宋体" w:cs="宋体" w:eastAsia="宋体" w:hint="default"/>
                <w:spacing w:val="-3"/>
                <w:sz w:val="18"/>
                <w:szCs w:val="18"/>
              </w:rPr>
              <w:t>合</w:t>
            </w:r>
            <w:r>
              <w:rPr>
                <w:rFonts w:ascii="宋体" w:hAnsi="宋体" w:cs="宋体" w:eastAsia="宋体" w:hint="default"/>
                <w:sz w:val="18"/>
                <w:szCs w:val="18"/>
              </w:rPr>
              <w:t>并财务报表格式（</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r>
              <w:rPr>
                <w:rFonts w:ascii="宋体" w:hAnsi="宋体" w:cs="宋体" w:eastAsia="宋体" w:hint="default"/>
                <w:spacing w:val="-3"/>
                <w:sz w:val="18"/>
                <w:szCs w:val="18"/>
              </w:rPr>
              <w:t>的</w:t>
            </w:r>
            <w:r>
              <w:rPr>
                <w:rFonts w:ascii="宋体" w:hAnsi="宋体" w:cs="宋体" w:eastAsia="宋体" w:hint="default"/>
                <w:sz w:val="18"/>
                <w:szCs w:val="18"/>
              </w:rPr>
              <w:t>通知</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pacing w:val="-2"/>
                <w:sz w:val="18"/>
                <w:szCs w:val="18"/>
              </w:rPr>
              <w:t>9</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号）的相关规定执行。其余未变更部分仍执行财政部前期颁布的《企业会计准则</w:t>
            </w:r>
          </w:p>
          <w:p>
            <w:pPr>
              <w:pStyle w:val="TableParagraph"/>
              <w:spacing w:line="307" w:lineRule="auto" w:before="63"/>
              <w:ind w:left="24"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基本准则》和各项具体会计准则、企业会计准则应用指南、企业会计准则解释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公告以及其他相关规定。除上述会计政策变更外，其他未变更部分仍按照财政部前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期颁布的《企业会计准则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基本准则》和相关具体准则、企业会计准则应用指南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企业会计准则解释及其他相关规定执行。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事会第十六次 </w:t>
            </w:r>
            <w:r>
              <w:rPr>
                <w:rFonts w:ascii="宋体" w:hAnsi="宋体" w:cs="宋体" w:eastAsia="宋体" w:hint="default"/>
                <w:spacing w:val="-6"/>
                <w:sz w:val="18"/>
                <w:szCs w:val="18"/>
              </w:rPr>
              <w:t>临时会议、第二</w:t>
            </w:r>
            <w:r>
              <w:rPr>
                <w:rFonts w:ascii="宋体" w:hAnsi="宋体" w:cs="宋体" w:eastAsia="宋体" w:hint="default"/>
                <w:sz w:val="18"/>
                <w:szCs w:val="18"/>
              </w:rPr>
              <w:t> 届监事会第十 六次临时会议 审议通过相关 会计政策变更 议案。</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z w:val="18"/>
                <w:szCs w:val="18"/>
              </w:rPr>
              <w:t>日在巨潮资讯网</w:t>
            </w:r>
          </w:p>
          <w:p>
            <w:pPr>
              <w:pStyle w:val="TableParagraph"/>
              <w:spacing w:line="307" w:lineRule="auto" w:before="77"/>
              <w:ind w:left="23" w:right="17"/>
              <w:jc w:val="both"/>
              <w:rPr>
                <w:rFonts w:ascii="宋体" w:hAnsi="宋体" w:cs="宋体" w:eastAsia="宋体"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sz w:val="18"/>
                <w:szCs w:val="18"/>
              </w:rPr>
              <w:t>m.cn</w:t>
            </w:r>
            <w:r>
              <w:rPr>
                <w:rFonts w:ascii="宋体" w:hAnsi="宋体" w:cs="宋体" w:eastAsia="宋体" w:hint="default"/>
                <w:spacing w:val="-7"/>
                <w:sz w:val="18"/>
                <w:szCs w:val="18"/>
              </w:rPr>
              <w:t>）披露《关于会计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政策变更的公告》（公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2020-005</w:t>
            </w:r>
            <w:r>
              <w:rPr>
                <w:rFonts w:ascii="宋体" w:hAnsi="宋体" w:cs="宋体" w:eastAsia="宋体" w:hint="default"/>
                <w:sz w:val="18"/>
                <w:szCs w:val="18"/>
              </w:rPr>
              <w:t>）</w:t>
            </w:r>
          </w:p>
        </w:tc>
      </w:tr>
    </w:tbl>
    <w:p>
      <w:pPr>
        <w:pStyle w:val="BodyText"/>
        <w:tabs>
          <w:tab w:pos="573" w:val="left" w:leader="none"/>
        </w:tabs>
        <w:spacing w:line="300" w:lineRule="auto" w:before="10"/>
        <w:ind w:right="5191"/>
        <w:jc w:val="left"/>
      </w:pPr>
      <w:r>
        <w:rPr/>
        <w:pict>
          <v:shape style="position:absolute;margin-left:376.869995pt;margin-top:-423.818298pt;width:69.55pt;height:423.35pt;mso-position-horizontal-relative:page;mso-position-vertical-relative:paragraph;z-index:-11635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pStyle w:val="BodyText"/>
                    <w:spacing w:line="240" w:lineRule="auto"/>
                    <w:ind w:left="0" w:right="0"/>
                    <w:jc w:val="left"/>
                  </w:pPr>
                  <w:r>
                    <w:rPr/>
                    <w:t>）</w:t>
                  </w:r>
                </w:p>
              </w:txbxContent>
            </v:textbox>
            <w10:wrap type="none"/>
          </v:shape>
        </w:pict>
      </w:r>
      <w:r>
        <w:rPr/>
        <w:pict>
          <v:group style="position:absolute;margin-left:383.109985pt;margin-top:-423.822296pt;width:63.3pt;height:423.35pt;mso-position-horizontal-relative:page;mso-position-vertical-relative:paragraph;z-index:-1163512" coordorigin="7662,-8476" coordsize="1266,8467">
            <v:group style="position:absolute;left:7662;top:-8476;width:1266;height:8467" coordorigin="7662,-8476" coordsize="1266,8467">
              <v:shape style="position:absolute;left:7662;top:-8476;width:1266;height:8467" coordorigin="7662,-8476" coordsize="1266,8467" path="m7662,-10l8927,-10,8927,-8476,7662,-8476,7662,-10xe" filled="true" fillcolor="#ffffff" stroked="false">
                <v:path arrowok="t"/>
                <v:fill type="solid"/>
              </v:shape>
            </v:group>
            <v:group style="position:absolute;left:7684;top:-8476;width:1223;height:313" coordorigin="7684,-8476" coordsize="1223,313">
              <v:shape style="position:absolute;left:7684;top:-8476;width:1223;height:313" coordorigin="7684,-8476" coordsize="1223,313" path="m7684,-8164l8906,-8164,8906,-8476,7684,-8476,7684,-8164xe" filled="true" fillcolor="#ffffff" stroked="false">
                <v:path arrowok="t"/>
                <v:fill type="solid"/>
              </v:shape>
            </v:group>
            <v:group style="position:absolute;left:7684;top:-8164;width:1223;height:312" coordorigin="7684,-8164" coordsize="1223,312">
              <v:shape style="position:absolute;left:7684;top:-8164;width:1223;height:312" coordorigin="7684,-8164" coordsize="1223,312" path="m7684,-7852l8906,-7852,8906,-8164,7684,-8164,7684,-7852xe" filled="true" fillcolor="#ffffff" stroked="false">
                <v:path arrowok="t"/>
                <v:fill type="solid"/>
              </v:shape>
            </v:group>
            <v:group style="position:absolute;left:7684;top:-7852;width:1223;height:312" coordorigin="7684,-7852" coordsize="1223,312">
              <v:shape style="position:absolute;left:7684;top:-7852;width:1223;height:312" coordorigin="7684,-7852" coordsize="1223,312" path="m7684,-7540l8906,-7540,8906,-7852,7684,-7852,7684,-7540xe" filled="true" fillcolor="#ffffff" stroked="false">
                <v:path arrowok="t"/>
                <v:fill type="solid"/>
              </v:shape>
            </v:group>
            <v:group style="position:absolute;left:7684;top:-7540;width:1223;height:312" coordorigin="7684,-7540" coordsize="1223,312">
              <v:shape style="position:absolute;left:7684;top:-7540;width:1223;height:312" coordorigin="7684,-7540" coordsize="1223,312" path="m7684,-7228l8906,-7228,8906,-7540,7684,-7540,7684,-7228xe" filled="true" fillcolor="#ffffff" stroked="false">
                <v:path arrowok="t"/>
                <v:fill type="solid"/>
              </v:shape>
            </v:group>
            <v:group style="position:absolute;left:7684;top:-7228;width:1223;height:312" coordorigin="7684,-7228" coordsize="1223,312">
              <v:shape style="position:absolute;left:7684;top:-7228;width:1223;height:312" coordorigin="7684,-7228" coordsize="1223,312" path="m7684,-6916l8906,-6916,8906,-7228,7684,-7228,7684,-6916xe" filled="true" fillcolor="#ffffff" stroked="false">
                <v:path arrowok="t"/>
                <v:fill type="solid"/>
              </v:shape>
            </v:group>
            <v:group style="position:absolute;left:7684;top:-6916;width:1223;height:312" coordorigin="7684,-6916" coordsize="1223,312">
              <v:shape style="position:absolute;left:7684;top:-6916;width:1223;height:312" coordorigin="7684,-6916" coordsize="1223,312" path="m7684,-6604l8906,-6604,8906,-6916,7684,-6916,7684,-6604xe" filled="true" fillcolor="#ffffff" stroked="false">
                <v:path arrowok="t"/>
                <v:fill type="solid"/>
              </v:shape>
            </v:group>
            <v:group style="position:absolute;left:7684;top:-6604;width:1223;height:353" coordorigin="7684,-6604" coordsize="1223,353">
              <v:shape style="position:absolute;left:7684;top:-6604;width:1223;height:353" coordorigin="7684,-6604" coordsize="1223,353" path="m7684,-6251l8906,-6251,8906,-6604,7684,-6604,7684,-6251xe" filled="true" fillcolor="#ffffff" stroked="false">
                <v:path arrowok="t"/>
                <v:fill type="solid"/>
              </v:shape>
            </v:group>
            <w10:wrap type="none"/>
          </v:group>
        </w:pict>
      </w:r>
      <w:r>
        <w:rPr>
          <w:rFonts w:ascii="Times New Roman" w:hAnsi="Times New Roman" w:cs="Times New Roman" w:eastAsia="Times New Roman" w:hint="default"/>
        </w:rPr>
        <w:t>(1)</w:t>
        <w:tab/>
      </w:r>
      <w:r>
        <w:rPr/>
        <w:t>会计政策变更的内容及原因</w:t>
      </w:r>
      <w:r>
        <w:rPr>
          <w:w w:val="99"/>
        </w:rPr>
        <w:t> </w:t>
      </w:r>
      <w:r>
        <w:rPr/>
        <w:t>本集团于</w:t>
      </w:r>
      <w:r>
        <w:rPr>
          <w:rFonts w:ascii="Times New Roman" w:hAnsi="Times New Roman" w:cs="Times New Roman" w:eastAsia="Times New Roman" w:hint="default"/>
        </w:rPr>
        <w:t>2019</w:t>
      </w:r>
      <w:r>
        <w:rPr/>
        <w:t>年度执行了财政部于近年颁布的以下企业会计准则修订：</w:t>
      </w:r>
    </w:p>
    <w:p>
      <w:pPr>
        <w:pStyle w:val="BodyText"/>
        <w:tabs>
          <w:tab w:pos="573" w:val="left" w:leader="none"/>
        </w:tabs>
        <w:spacing w:line="300" w:lineRule="auto" w:before="13"/>
        <w:ind w:right="1131"/>
        <w:jc w:val="left"/>
        <w:rPr>
          <w:rFonts w:ascii="Times New Roman" w:hAnsi="Times New Roman" w:cs="Times New Roman" w:eastAsia="Times New Roman" w:hint="default"/>
        </w:rPr>
      </w:pPr>
      <w:r>
        <w:rPr>
          <w:rFonts w:ascii="Times New Roman" w:hAnsi="Times New Roman" w:cs="Times New Roman" w:eastAsia="Times New Roman" w:hint="default"/>
        </w:rPr>
        <w:t>-</w:t>
        <w:tab/>
      </w:r>
      <w:r>
        <w:rPr/>
        <w:t>《企业会计准则第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 </w:t>
      </w:r>
      <w:r>
        <w:rPr>
          <w:rFonts w:ascii="Times New Roman" w:hAnsi="Times New Roman" w:cs="Times New Roman" w:eastAsia="Times New Roman" w:hint="default"/>
        </w:rPr>
        <w:t>(</w:t>
      </w:r>
      <w:r>
        <w:rPr/>
        <w:t>修订</w:t>
      </w:r>
      <w:r>
        <w:rPr>
          <w:rFonts w:ascii="Times New Roman" w:hAnsi="Times New Roman" w:cs="Times New Roman" w:eastAsia="Times New Roman" w:hint="default"/>
        </w:rPr>
        <w:t>)  </w:t>
      </w:r>
      <w:r>
        <w:rPr>
          <w:spacing w:val="-4"/>
        </w:rPr>
        <w:t>》、《企业会计准则第</w:t>
      </w:r>
      <w:r>
        <w:rPr>
          <w:rFonts w:ascii="Times New Roman" w:hAnsi="Times New Roman" w:cs="Times New Roman" w:eastAsia="Times New Roman" w:hint="default"/>
          <w:spacing w:val="-4"/>
        </w:rPr>
        <w:t>23</w:t>
      </w:r>
      <w:r>
        <w:rPr>
          <w:spacing w:val="-4"/>
        </w:rPr>
        <w:t>号</w:t>
      </w:r>
      <w:r>
        <w:rPr>
          <w:rFonts w:ascii="Times New Roman" w:hAnsi="Times New Roman" w:cs="Times New Roman" w:eastAsia="Times New Roman" w:hint="default"/>
          <w:spacing w:val="-4"/>
        </w:rPr>
        <w:t>——</w:t>
      </w:r>
      <w:r>
        <w:rPr>
          <w:spacing w:val="-4"/>
        </w:rPr>
        <w:t>金融资产转移 </w:t>
      </w:r>
      <w:r>
        <w:rPr>
          <w:rFonts w:ascii="Times New Roman" w:hAnsi="Times New Roman" w:cs="Times New Roman" w:eastAsia="Times New Roman" w:hint="default"/>
        </w:rPr>
        <w:t>(</w:t>
      </w:r>
      <w:r>
        <w:rPr/>
        <w:t>修订</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spacing w:val="-17"/>
        </w:rPr>
        <w:t>》、《企</w:t>
      </w:r>
      <w:r>
        <w:rPr>
          <w:w w:val="99"/>
        </w:rPr>
        <w:t> </w:t>
      </w:r>
      <w:r>
        <w:rPr/>
        <w:t>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 </w:t>
      </w:r>
      <w:r>
        <w:rPr>
          <w:rFonts w:ascii="Times New Roman" w:hAnsi="Times New Roman" w:cs="Times New Roman" w:eastAsia="Times New Roman" w:hint="default"/>
        </w:rPr>
        <w:t>(</w:t>
      </w:r>
      <w:r>
        <w:rPr/>
        <w:t>修订</w:t>
      </w:r>
      <w:r>
        <w:rPr>
          <w:rFonts w:ascii="Times New Roman" w:hAnsi="Times New Roman" w:cs="Times New Roman" w:eastAsia="Times New Roman" w:hint="default"/>
        </w:rPr>
        <w:t>) </w:t>
      </w:r>
      <w:r>
        <w:rPr/>
        <w:t>》及《企业会计准则第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金融工具栏报 </w:t>
      </w:r>
      <w:r>
        <w:rPr>
          <w:rFonts w:ascii="Times New Roman" w:hAnsi="Times New Roman" w:cs="Times New Roman" w:eastAsia="Times New Roman" w:hint="default"/>
        </w:rPr>
        <w:t>(</w:t>
      </w:r>
      <w:r>
        <w:rPr/>
        <w:t>修订</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p>
    <w:p>
      <w:pPr>
        <w:pStyle w:val="BodyText"/>
        <w:tabs>
          <w:tab w:pos="573" w:val="left" w:leader="none"/>
        </w:tabs>
        <w:spacing w:line="240" w:lineRule="auto" w:before="13"/>
        <w:ind w:right="0"/>
        <w:jc w:val="left"/>
        <w:rPr>
          <w:rFonts w:ascii="Times New Roman" w:hAnsi="Times New Roman" w:cs="Times New Roman" w:eastAsia="Times New Roman" w:hint="default"/>
        </w:rPr>
      </w:pPr>
      <w:r>
        <w:rPr>
          <w:rFonts w:ascii="Times New Roman" w:hAnsi="Times New Roman" w:cs="Times New Roman" w:eastAsia="Times New Roman" w:hint="default"/>
        </w:rPr>
        <w:t>-</w:t>
        <w:tab/>
      </w:r>
      <w:r>
        <w:rPr/>
        <w:t>《关于修订印发</w:t>
      </w:r>
      <w:r>
        <w:rPr>
          <w:rFonts w:ascii="Times New Roman" w:hAnsi="Times New Roman" w:cs="Times New Roman" w:eastAsia="Times New Roman" w:hint="default"/>
        </w:rPr>
        <w:t>2019</w:t>
      </w:r>
      <w:r>
        <w:rPr/>
        <w:t>年度一般企业财务报表格式的通知》</w:t>
      </w:r>
      <w:r>
        <w:rPr>
          <w:rFonts w:ascii="Times New Roman" w:hAnsi="Times New Roman" w:cs="Times New Roman" w:eastAsia="Times New Roman" w:hint="default"/>
        </w:rPr>
        <w:t>(</w:t>
      </w:r>
      <w:r>
        <w:rPr/>
        <w:t>财会 </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w:t>
      </w:r>
    </w:p>
    <w:p>
      <w:pPr>
        <w:pStyle w:val="BodyText"/>
        <w:tabs>
          <w:tab w:pos="573" w:val="left" w:leader="none"/>
        </w:tabs>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w:t>
        <w:tab/>
      </w:r>
      <w:r>
        <w:rPr/>
        <w:t>《关于修订印发合并财务报表格式 </w:t>
      </w:r>
      <w:r>
        <w:rPr>
          <w:rFonts w:ascii="Times New Roman" w:hAnsi="Times New Roman" w:cs="Times New Roman" w:eastAsia="Times New Roman" w:hint="default"/>
        </w:rPr>
        <w:t>(2019</w:t>
      </w:r>
      <w:r>
        <w:rPr/>
        <w:t>版</w:t>
      </w:r>
      <w:r>
        <w:rPr>
          <w:rFonts w:ascii="Times New Roman" w:hAnsi="Times New Roman" w:cs="Times New Roman" w:eastAsia="Times New Roman" w:hint="default"/>
        </w:rPr>
        <w:t>) </w:t>
      </w:r>
      <w:r>
        <w:rPr/>
        <w:t>的通知》</w:t>
      </w:r>
      <w:r>
        <w:rPr>
          <w:rFonts w:ascii="Times New Roman" w:hAnsi="Times New Roman" w:cs="Times New Roman" w:eastAsia="Times New Roman" w:hint="default"/>
        </w:rPr>
        <w:t>(</w:t>
      </w:r>
      <w:r>
        <w:rPr/>
        <w:t>财会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p>
    <w:p>
      <w:pPr>
        <w:pStyle w:val="BodyText"/>
        <w:tabs>
          <w:tab w:pos="573" w:val="left" w:leader="none"/>
        </w:tabs>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w:t>
        <w:tab/>
      </w:r>
      <w:r>
        <w:rPr/>
        <w:t>《企业会计准则第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 </w:t>
      </w:r>
      <w:r>
        <w:rPr>
          <w:rFonts w:ascii="Times New Roman" w:hAnsi="Times New Roman" w:cs="Times New Roman" w:eastAsia="Times New Roman" w:hint="default"/>
        </w:rPr>
        <w:t>(</w:t>
      </w:r>
      <w:r>
        <w:rPr/>
        <w:t>修订</w:t>
      </w:r>
      <w:r>
        <w:rPr>
          <w:rFonts w:ascii="Times New Roman" w:hAnsi="Times New Roman" w:cs="Times New Roman" w:eastAsia="Times New Roman" w:hint="default"/>
        </w:rPr>
        <w:t>)  </w:t>
      </w:r>
      <w:r>
        <w:rPr/>
        <w:t>》</w:t>
      </w:r>
      <w:r>
        <w:rPr>
          <w:rFonts w:ascii="Times New Roman" w:hAnsi="Times New Roman" w:cs="Times New Roman" w:eastAsia="Times New Roman" w:hint="default"/>
        </w:rPr>
        <w:t>(“</w:t>
      </w:r>
      <w:r>
        <w:rPr/>
        <w:t>准则</w:t>
      </w:r>
      <w:r>
        <w:rPr>
          <w:rFonts w:ascii="Times New Roman" w:hAnsi="Times New Roman" w:cs="Times New Roman" w:eastAsia="Times New Roman" w:hint="default"/>
        </w:rPr>
        <w:t>7</w:t>
      </w:r>
      <w:r>
        <w:rPr/>
        <w:t>号</w:t>
      </w:r>
      <w:r>
        <w:rPr>
          <w:spacing w:val="-55"/>
        </w:rPr>
        <w:t> </w:t>
      </w:r>
      <w:r>
        <w:rPr>
          <w:rFonts w:ascii="Times New Roman" w:hAnsi="Times New Roman" w:cs="Times New Roman" w:eastAsia="Times New Roman" w:hint="default"/>
        </w:rPr>
        <w:t>(2019)”)</w:t>
      </w:r>
    </w:p>
    <w:p>
      <w:pPr>
        <w:pStyle w:val="BodyText"/>
        <w:tabs>
          <w:tab w:pos="573" w:val="left" w:leader="none"/>
        </w:tabs>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w:t>
        <w:tab/>
      </w:r>
      <w:r>
        <w:rPr/>
        <w:t>《企业会计准则第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 </w:t>
      </w:r>
      <w:r>
        <w:rPr>
          <w:rFonts w:ascii="Times New Roman" w:hAnsi="Times New Roman" w:cs="Times New Roman" w:eastAsia="Times New Roman" w:hint="default"/>
        </w:rPr>
        <w:t>(</w:t>
      </w:r>
      <w:r>
        <w:rPr/>
        <w:t>修订</w:t>
      </w:r>
      <w:r>
        <w:rPr>
          <w:rFonts w:ascii="Times New Roman" w:hAnsi="Times New Roman" w:cs="Times New Roman" w:eastAsia="Times New Roman" w:hint="default"/>
        </w:rPr>
        <w:t>)  </w:t>
      </w:r>
      <w:r>
        <w:rPr/>
        <w:t>》</w:t>
      </w:r>
      <w:r>
        <w:rPr>
          <w:rFonts w:ascii="Times New Roman" w:hAnsi="Times New Roman" w:cs="Times New Roman" w:eastAsia="Times New Roman" w:hint="default"/>
        </w:rPr>
        <w:t>(</w:t>
      </w:r>
      <w:r>
        <w:rPr>
          <w:rFonts w:ascii="Times New Roman" w:hAnsi="Times New Roman" w:cs="Times New Roman" w:eastAsia="Times New Roman" w:hint="default"/>
        </w:rPr>
        <w:t>“</w:t>
      </w:r>
      <w:r>
        <w:rPr/>
        <w:t>准则</w:t>
      </w:r>
      <w:r>
        <w:rPr>
          <w:rFonts w:ascii="Times New Roman" w:hAnsi="Times New Roman" w:cs="Times New Roman" w:eastAsia="Times New Roman" w:hint="default"/>
        </w:rPr>
        <w:t>12</w:t>
      </w:r>
      <w:r>
        <w:rPr/>
        <w:t>号</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rPr>
        <w:t>”</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pStyle w:val="BodyText"/>
        <w:tabs>
          <w:tab w:pos="573" w:val="left" w:leader="none"/>
        </w:tabs>
        <w:spacing w:line="240" w:lineRule="auto"/>
        <w:ind w:right="0"/>
        <w:jc w:val="left"/>
      </w:pPr>
      <w:r>
        <w:rPr>
          <w:rFonts w:ascii="Times New Roman" w:hAnsi="Times New Roman" w:cs="Times New Roman" w:eastAsia="Times New Roman" w:hint="default"/>
          <w:spacing w:val="-1"/>
        </w:rPr>
        <w:t>(a)</w:t>
        <w:tab/>
      </w:r>
      <w:r>
        <w:rPr/>
        <w:t>财务报表列报</w:t>
      </w:r>
    </w:p>
    <w:p>
      <w:pPr>
        <w:pStyle w:val="BodyText"/>
        <w:spacing w:line="300" w:lineRule="auto" w:before="63"/>
        <w:ind w:right="0"/>
        <w:jc w:val="left"/>
      </w:pPr>
      <w:r>
        <w:rPr/>
        <w:t>本集团根据财会 </w:t>
      </w:r>
      <w:r>
        <w:rPr>
          <w:rFonts w:ascii="Times New Roman" w:hAnsi="Times New Roman" w:cs="Times New Roman" w:eastAsia="Times New Roman" w:hint="default"/>
        </w:rPr>
        <w:t>[2019] 6</w:t>
      </w:r>
      <w:r>
        <w:rPr/>
        <w:t>号和财会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rFonts w:ascii="Times New Roman" w:hAnsi="Times New Roman" w:cs="Times New Roman" w:eastAsia="Times New Roman" w:hint="default"/>
        </w:rPr>
        <w:t>16</w:t>
      </w:r>
      <w:r>
        <w:rPr/>
        <w:t>号规定的财务报表格式编制</w:t>
      </w:r>
      <w:r>
        <w:rPr>
          <w:rFonts w:ascii="Times New Roman" w:hAnsi="Times New Roman" w:cs="Times New Roman" w:eastAsia="Times New Roman" w:hint="default"/>
        </w:rPr>
        <w:t>2019</w:t>
      </w:r>
      <w:r>
        <w:rPr/>
        <w:t>年度财务报表，并采用追溯调整法变更了相关 财务报表列报。</w:t>
      </w:r>
    </w:p>
    <w:p>
      <w:pPr>
        <w:pStyle w:val="BodyText"/>
        <w:spacing w:line="240" w:lineRule="auto" w:before="31"/>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日受影响的合并资产负债表和母公司资产负债表项目：</w:t>
      </w:r>
    </w:p>
    <w:p>
      <w:pPr>
        <w:spacing w:line="240" w:lineRule="auto" w:before="11"/>
        <w:rPr>
          <w:rFonts w:ascii="宋体" w:hAnsi="宋体" w:cs="宋体" w:eastAsia="宋体" w:hint="default"/>
          <w:sz w:val="27"/>
          <w:szCs w:val="27"/>
        </w:rPr>
      </w:pPr>
    </w:p>
    <w:tbl>
      <w:tblPr>
        <w:tblW w:w="0" w:type="auto"/>
        <w:jc w:val="left"/>
        <w:tblInd w:w="722" w:type="dxa"/>
        <w:tblLayout w:type="fixed"/>
        <w:tblCellMar>
          <w:top w:w="0" w:type="dxa"/>
          <w:left w:w="0" w:type="dxa"/>
          <w:bottom w:w="0" w:type="dxa"/>
          <w:right w:w="0" w:type="dxa"/>
        </w:tblCellMar>
        <w:tblLook w:val="01E0"/>
      </w:tblPr>
      <w:tblGrid>
        <w:gridCol w:w="3401"/>
        <w:gridCol w:w="1702"/>
        <w:gridCol w:w="1702"/>
        <w:gridCol w:w="1702"/>
      </w:tblGrid>
      <w:tr>
        <w:trPr>
          <w:trHeight w:val="341" w:hRule="exact"/>
        </w:trPr>
        <w:tc>
          <w:tcPr>
            <w:tcW w:w="3401" w:type="dxa"/>
            <w:vMerge w:val="restart"/>
            <w:tcBorders>
              <w:top w:val="single" w:sz="4" w:space="0" w:color="000000"/>
              <w:left w:val="single" w:sz="4" w:space="0" w:color="000000"/>
              <w:right w:val="single" w:sz="4" w:space="0" w:color="000000"/>
            </w:tcBorders>
          </w:tcPr>
          <w:p>
            <w:pPr/>
          </w:p>
        </w:tc>
        <w:tc>
          <w:tcPr>
            <w:tcW w:w="5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本集团</w:t>
            </w:r>
          </w:p>
        </w:tc>
      </w:tr>
      <w:tr>
        <w:trPr>
          <w:trHeight w:val="343" w:hRule="exact"/>
        </w:trPr>
        <w:tc>
          <w:tcPr>
            <w:tcW w:w="3401"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7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61" w:right="0"/>
              <w:jc w:val="left"/>
              <w:rPr>
                <w:rFonts w:ascii="Times New Roman" w:hAnsi="Times New Roman" w:cs="Times New Roman" w:eastAsia="Times New Roman" w:hint="default"/>
                <w:sz w:val="18"/>
                <w:szCs w:val="18"/>
              </w:rPr>
            </w:pPr>
            <w:r>
              <w:rPr>
                <w:rFonts w:ascii="Times New Roman"/>
                <w:sz w:val="18"/>
              </w:rPr>
              <w:t>226,675,318.85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3" w:right="0"/>
              <w:jc w:val="left"/>
              <w:rPr>
                <w:rFonts w:ascii="Times New Roman" w:hAnsi="Times New Roman" w:cs="Times New Roman" w:eastAsia="Times New Roman" w:hint="default"/>
                <w:sz w:val="18"/>
                <w:szCs w:val="18"/>
              </w:rPr>
            </w:pPr>
            <w:r>
              <w:rPr>
                <w:rFonts w:ascii="Times New Roman"/>
                <w:sz w:val="18"/>
              </w:rPr>
              <w:t>(226,675,318.85)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722" w:type="dxa"/>
        <w:tblLayout w:type="fixed"/>
        <w:tblCellMar>
          <w:top w:w="0" w:type="dxa"/>
          <w:left w:w="0" w:type="dxa"/>
          <w:bottom w:w="0" w:type="dxa"/>
          <w:right w:w="0" w:type="dxa"/>
        </w:tblCellMar>
        <w:tblLook w:val="01E0"/>
      </w:tblPr>
      <w:tblGrid>
        <w:gridCol w:w="3401"/>
        <w:gridCol w:w="1702"/>
        <w:gridCol w:w="1702"/>
        <w:gridCol w:w="1702"/>
      </w:tblGrid>
      <w:tr>
        <w:trPr>
          <w:trHeight w:val="34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336,674.16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336,674.16</w:t>
            </w:r>
          </w:p>
        </w:tc>
      </w:tr>
      <w:tr>
        <w:trPr>
          <w:trHeight w:val="34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226,338,644.69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226,338,644.69</w:t>
            </w:r>
          </w:p>
        </w:tc>
      </w:tr>
      <w:tr>
        <w:trPr>
          <w:trHeight w:val="34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83,131,497.29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(83,131,497.29)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83,131,497.29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83,131,497.29</w:t>
            </w:r>
          </w:p>
        </w:tc>
      </w:tr>
      <w:tr>
        <w:trPr>
          <w:trHeight w:val="34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174,638.89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130,174,638.89</w:t>
            </w:r>
          </w:p>
        </w:tc>
      </w:tr>
      <w:tr>
        <w:trPr>
          <w:trHeight w:val="34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17,513,865.06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(235,333.33)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17,278,531.73</w:t>
            </w:r>
          </w:p>
        </w:tc>
      </w:tr>
      <w:tr>
        <w:trPr>
          <w:trHeight w:val="34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60,694.44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60,694.44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722" w:type="dxa"/>
        <w:tblLayout w:type="fixed"/>
        <w:tblCellMar>
          <w:top w:w="0" w:type="dxa"/>
          <w:left w:w="0" w:type="dxa"/>
          <w:bottom w:w="0" w:type="dxa"/>
          <w:right w:w="0" w:type="dxa"/>
        </w:tblCellMar>
        <w:tblLook w:val="01E0"/>
      </w:tblPr>
      <w:tblGrid>
        <w:gridCol w:w="3401"/>
        <w:gridCol w:w="1702"/>
        <w:gridCol w:w="1702"/>
        <w:gridCol w:w="1702"/>
      </w:tblGrid>
      <w:tr>
        <w:trPr>
          <w:trHeight w:val="341" w:hRule="exact"/>
        </w:trPr>
        <w:tc>
          <w:tcPr>
            <w:tcW w:w="3401" w:type="dxa"/>
            <w:vMerge w:val="restart"/>
            <w:tcBorders>
              <w:top w:val="single" w:sz="4" w:space="0" w:color="000000"/>
              <w:left w:val="single" w:sz="4" w:space="0" w:color="000000"/>
              <w:right w:val="single" w:sz="4" w:space="0" w:color="000000"/>
            </w:tcBorders>
          </w:tcPr>
          <w:p>
            <w:pPr/>
          </w:p>
        </w:tc>
        <w:tc>
          <w:tcPr>
            <w:tcW w:w="5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343" w:hRule="exact"/>
        </w:trPr>
        <w:tc>
          <w:tcPr>
            <w:tcW w:w="3401"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196,274,019.23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(196,274,019.23)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336,674.16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336,674.16</w:t>
            </w:r>
          </w:p>
        </w:tc>
      </w:tr>
      <w:tr>
        <w:trPr>
          <w:trHeight w:val="34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195,937,345.07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195,937,345.07</w:t>
            </w:r>
          </w:p>
        </w:tc>
      </w:tr>
      <w:tr>
        <w:trPr>
          <w:trHeight w:val="34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7"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77,114,762.86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(77,114,762.86)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77,114,762.86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77,114,762.86</w:t>
            </w:r>
          </w:p>
        </w:tc>
      </w:tr>
      <w:tr>
        <w:trPr>
          <w:trHeight w:val="34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130,000,000.00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174,638.89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130,174,638.89</w:t>
            </w:r>
          </w:p>
        </w:tc>
      </w:tr>
      <w:tr>
        <w:trPr>
          <w:trHeight w:val="34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28,243,519.54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(235,333.33)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28,008,186.21</w:t>
            </w:r>
          </w:p>
        </w:tc>
      </w:tr>
      <w:tr>
        <w:trPr>
          <w:trHeight w:val="34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60,694.44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60,694.44</w:t>
            </w:r>
          </w:p>
        </w:tc>
      </w:tr>
    </w:tbl>
    <w:p>
      <w:pPr>
        <w:spacing w:line="240" w:lineRule="auto" w:before="3"/>
        <w:rPr>
          <w:rFonts w:ascii="宋体" w:hAnsi="宋体" w:cs="宋体" w:eastAsia="宋体" w:hint="default"/>
          <w:sz w:val="21"/>
          <w:szCs w:val="21"/>
        </w:rPr>
      </w:pPr>
    </w:p>
    <w:p>
      <w:pPr>
        <w:pStyle w:val="BodyText"/>
        <w:spacing w:line="240" w:lineRule="auto" w:before="44"/>
        <w:ind w:left="719" w:right="0"/>
        <w:jc w:val="left"/>
      </w:pPr>
      <w:r>
        <w:rPr>
          <w:rFonts w:ascii="Times New Roman" w:hAnsi="Times New Roman" w:cs="Times New Roman" w:eastAsia="Times New Roman" w:hint="default"/>
        </w:rPr>
        <w:t>2018</w:t>
      </w:r>
      <w:r>
        <w:rPr/>
        <w:t>年受影响的合并利润表和母公司利润表项目：</w:t>
      </w:r>
    </w:p>
    <w:p>
      <w:pPr>
        <w:spacing w:line="240" w:lineRule="auto" w:before="11"/>
        <w:rPr>
          <w:rFonts w:ascii="宋体" w:hAnsi="宋体" w:cs="宋体" w:eastAsia="宋体" w:hint="default"/>
          <w:sz w:val="27"/>
          <w:szCs w:val="27"/>
        </w:rPr>
      </w:pPr>
    </w:p>
    <w:tbl>
      <w:tblPr>
        <w:tblW w:w="0" w:type="auto"/>
        <w:jc w:val="left"/>
        <w:tblInd w:w="722" w:type="dxa"/>
        <w:tblLayout w:type="fixed"/>
        <w:tblCellMar>
          <w:top w:w="0" w:type="dxa"/>
          <w:left w:w="0" w:type="dxa"/>
          <w:bottom w:w="0" w:type="dxa"/>
          <w:right w:w="0" w:type="dxa"/>
        </w:tblCellMar>
        <w:tblLook w:val="01E0"/>
      </w:tblPr>
      <w:tblGrid>
        <w:gridCol w:w="3401"/>
        <w:gridCol w:w="1702"/>
        <w:gridCol w:w="1702"/>
        <w:gridCol w:w="1702"/>
      </w:tblGrid>
      <w:tr>
        <w:trPr>
          <w:trHeight w:val="341" w:hRule="exact"/>
        </w:trPr>
        <w:tc>
          <w:tcPr>
            <w:tcW w:w="3401" w:type="dxa"/>
            <w:vMerge w:val="restart"/>
            <w:tcBorders>
              <w:top w:val="single" w:sz="4" w:space="0" w:color="000000"/>
              <w:left w:val="single" w:sz="4" w:space="0" w:color="000000"/>
              <w:right w:val="single" w:sz="4" w:space="0" w:color="000000"/>
            </w:tcBorders>
          </w:tcPr>
          <w:p>
            <w:pPr/>
          </w:p>
        </w:tc>
        <w:tc>
          <w:tcPr>
            <w:tcW w:w="5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本集团</w:t>
            </w:r>
          </w:p>
        </w:tc>
      </w:tr>
      <w:tr>
        <w:trPr>
          <w:trHeight w:val="343" w:hRule="exact"/>
        </w:trPr>
        <w:tc>
          <w:tcPr>
            <w:tcW w:w="3401"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45,185,298.05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(558,885.14)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44,626,412.91</w:t>
            </w:r>
          </w:p>
        </w:tc>
      </w:tr>
      <w:tr>
        <w:trPr>
          <w:trHeight w:val="34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13,888,223.01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558,885.14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14,447,108.15</w:t>
            </w:r>
          </w:p>
        </w:tc>
      </w:tr>
      <w:tr>
        <w:trPr>
          <w:trHeight w:val="34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59,073,521.06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59,073,521.06</w:t>
            </w:r>
          </w:p>
        </w:tc>
      </w:tr>
    </w:tbl>
    <w:p>
      <w:pPr>
        <w:spacing w:line="240" w:lineRule="auto" w:before="11"/>
        <w:rPr>
          <w:rFonts w:ascii="宋体" w:hAnsi="宋体" w:cs="宋体" w:eastAsia="宋体" w:hint="default"/>
          <w:sz w:val="23"/>
          <w:szCs w:val="23"/>
        </w:rPr>
      </w:pPr>
    </w:p>
    <w:tbl>
      <w:tblPr>
        <w:tblW w:w="0" w:type="auto"/>
        <w:jc w:val="left"/>
        <w:tblInd w:w="722" w:type="dxa"/>
        <w:tblLayout w:type="fixed"/>
        <w:tblCellMar>
          <w:top w:w="0" w:type="dxa"/>
          <w:left w:w="0" w:type="dxa"/>
          <w:bottom w:w="0" w:type="dxa"/>
          <w:right w:w="0" w:type="dxa"/>
        </w:tblCellMar>
        <w:tblLook w:val="01E0"/>
      </w:tblPr>
      <w:tblGrid>
        <w:gridCol w:w="3401"/>
        <w:gridCol w:w="1702"/>
        <w:gridCol w:w="1702"/>
        <w:gridCol w:w="1702"/>
      </w:tblGrid>
      <w:tr>
        <w:trPr>
          <w:trHeight w:val="341" w:hRule="exact"/>
        </w:trPr>
        <w:tc>
          <w:tcPr>
            <w:tcW w:w="3401" w:type="dxa"/>
            <w:vMerge w:val="restart"/>
            <w:tcBorders>
              <w:top w:val="single" w:sz="4" w:space="0" w:color="000000"/>
              <w:left w:val="single" w:sz="4" w:space="0" w:color="000000"/>
              <w:right w:val="single" w:sz="4" w:space="0" w:color="000000"/>
            </w:tcBorders>
          </w:tcPr>
          <w:p>
            <w:pPr/>
          </w:p>
        </w:tc>
        <w:tc>
          <w:tcPr>
            <w:tcW w:w="5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343" w:hRule="exact"/>
        </w:trPr>
        <w:tc>
          <w:tcPr>
            <w:tcW w:w="3401"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41,705,581.17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(558,885.14)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41,146,696.03</w:t>
            </w:r>
          </w:p>
        </w:tc>
      </w:tr>
      <w:tr>
        <w:trPr>
          <w:trHeight w:val="34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9,838,386.17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558,885.14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10,397,271.31</w:t>
            </w:r>
          </w:p>
        </w:tc>
      </w:tr>
      <w:tr>
        <w:trPr>
          <w:trHeight w:val="34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51,543,967.34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51,543,967.34</w:t>
            </w:r>
          </w:p>
        </w:tc>
      </w:tr>
    </w:tbl>
    <w:p>
      <w:pPr>
        <w:spacing w:line="240" w:lineRule="auto" w:before="4"/>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2018</w:t>
      </w:r>
      <w:r>
        <w:rPr/>
        <w:t>年度的合并现金流量表和母公司现金流量表项目没有受影响。</w:t>
      </w:r>
    </w:p>
    <w:p>
      <w:pPr>
        <w:spacing w:line="240" w:lineRule="auto" w:before="0"/>
        <w:rPr>
          <w:rFonts w:ascii="宋体" w:hAnsi="宋体" w:cs="宋体" w:eastAsia="宋体" w:hint="default"/>
          <w:sz w:val="18"/>
          <w:szCs w:val="18"/>
        </w:rPr>
      </w:pPr>
    </w:p>
    <w:p>
      <w:pPr>
        <w:pStyle w:val="BodyText"/>
        <w:tabs>
          <w:tab w:pos="573" w:val="left" w:leader="none"/>
        </w:tabs>
        <w:spacing w:line="300" w:lineRule="auto" w:before="139"/>
        <w:ind w:right="1129"/>
        <w:jc w:val="left"/>
      </w:pPr>
      <w:r>
        <w:rPr>
          <w:rFonts w:ascii="Times New Roman" w:hAnsi="Times New Roman" w:cs="Times New Roman" w:eastAsia="Times New Roman" w:hint="default"/>
        </w:rPr>
        <w:t>(b)</w:t>
        <w:tab/>
      </w:r>
      <w:r>
        <w:rPr/>
        <w:t>新金融工具准则</w:t>
      </w:r>
      <w:r>
        <w:rPr>
          <w:w w:val="99"/>
        </w:rPr>
        <w:t> </w:t>
      </w:r>
      <w:r>
        <w:rPr>
          <w:spacing w:val="-5"/>
          <w:w w:val="99"/>
        </w:rPr>
        <w:t>新金融工具准则修订了财政部于</w:t>
      </w:r>
      <w:r>
        <w:rPr>
          <w:rFonts w:ascii="Times New Roman" w:hAnsi="Times New Roman" w:cs="Times New Roman" w:eastAsia="Times New Roman" w:hint="default"/>
          <w:spacing w:val="-5"/>
          <w:w w:val="99"/>
        </w:rPr>
        <w:t>2006</w:t>
      </w:r>
      <w:r>
        <w:rPr>
          <w:spacing w:val="-5"/>
          <w:w w:val="99"/>
        </w:rPr>
        <w:t>年颁布的《企业会计准则第</w:t>
      </w:r>
      <w:r>
        <w:rPr>
          <w:rFonts w:ascii="Times New Roman" w:hAnsi="Times New Roman" w:cs="Times New Roman" w:eastAsia="Times New Roman" w:hint="default"/>
          <w:spacing w:val="-5"/>
          <w:w w:val="99"/>
        </w:rPr>
        <w:t>22</w:t>
      </w:r>
      <w:r>
        <w:rPr>
          <w:spacing w:val="-5"/>
          <w:w w:val="99"/>
        </w:rPr>
        <w:t>号</w:t>
      </w:r>
      <w:r>
        <w:rPr>
          <w:rFonts w:ascii="Times New Roman" w:hAnsi="Times New Roman" w:cs="Times New Roman" w:eastAsia="Times New Roman" w:hint="default"/>
          <w:spacing w:val="-5"/>
          <w:w w:val="99"/>
        </w:rPr>
        <w:t>——</w:t>
      </w:r>
      <w:r>
        <w:rPr>
          <w:spacing w:val="-5"/>
          <w:w w:val="99"/>
        </w:rPr>
        <w:t>金融工具确认和计量》、《企业会计准则第</w:t>
      </w:r>
      <w:r>
        <w:rPr>
          <w:rFonts w:ascii="Times New Roman" w:hAnsi="Times New Roman" w:cs="Times New Roman" w:eastAsia="Times New Roman" w:hint="default"/>
          <w:spacing w:val="-5"/>
          <w:w w:val="99"/>
        </w:rPr>
        <w:t>23</w:t>
      </w:r>
      <w:r>
        <w:rPr>
          <w:spacing w:val="-5"/>
          <w:w w:val="99"/>
        </w:rPr>
        <w:t>号</w:t>
      </w:r>
      <w:r>
        <w:rPr>
          <w:rFonts w:ascii="Times New Roman" w:hAnsi="Times New Roman" w:cs="Times New Roman" w:eastAsia="Times New Roman" w:hint="default"/>
          <w:spacing w:val="-5"/>
          <w:w w:val="99"/>
        </w:rPr>
        <w:t>——</w:t>
      </w:r>
      <w:r>
        <w:rPr>
          <w:rFonts w:ascii="Times New Roman" w:hAnsi="Times New Roman" w:cs="Times New Roman" w:eastAsia="Times New Roman" w:hint="default"/>
          <w:spacing w:val="-20"/>
          <w:w w:val="99"/>
        </w:rPr>
        <w:t> </w:t>
      </w:r>
      <w:r>
        <w:rPr>
          <w:spacing w:val="-2"/>
        </w:rPr>
        <w:t>金融资产转移》和《企业会计准则第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套期保值》以及财政部于</w:t>
      </w:r>
      <w:r>
        <w:rPr>
          <w:rFonts w:ascii="Times New Roman" w:hAnsi="Times New Roman" w:cs="Times New Roman" w:eastAsia="Times New Roman" w:hint="default"/>
          <w:spacing w:val="-2"/>
        </w:rPr>
        <w:t>2014</w:t>
      </w:r>
      <w:r>
        <w:rPr>
          <w:spacing w:val="-2"/>
        </w:rPr>
        <w:t>年修订的《企业会计准则第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金融工具栏</w:t>
      </w:r>
      <w:r>
        <w:rPr>
          <w:spacing w:val="-58"/>
        </w:rPr>
        <w:t> </w:t>
      </w:r>
      <w:r>
        <w:rPr>
          <w:spacing w:val="-58"/>
        </w:rPr>
      </w:r>
      <w:r>
        <w:rPr/>
        <w:t>报》</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原金融工具准则</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w:t>
      </w:r>
    </w:p>
    <w:p>
      <w:pPr>
        <w:spacing w:line="240" w:lineRule="auto" w:before="11"/>
        <w:rPr>
          <w:rFonts w:ascii="宋体" w:hAnsi="宋体" w:cs="宋体" w:eastAsia="宋体" w:hint="default"/>
          <w:sz w:val="24"/>
          <w:szCs w:val="24"/>
        </w:rPr>
      </w:pPr>
    </w:p>
    <w:p>
      <w:pPr>
        <w:pStyle w:val="BodyText"/>
        <w:spacing w:line="240" w:lineRule="auto"/>
        <w:ind w:right="0"/>
        <w:jc w:val="left"/>
      </w:pPr>
      <w:r>
        <w:rPr/>
        <w:t>新金融工具准则将金融资产划分为三个基本分类：</w:t>
      </w:r>
      <w:r>
        <w:rPr>
          <w:rFonts w:ascii="Times New Roman" w:hAnsi="Times New Roman" w:cs="Times New Roman" w:eastAsia="Times New Roman" w:hint="default"/>
        </w:rPr>
        <w:t>(1)  </w:t>
      </w:r>
      <w:r>
        <w:rPr/>
        <w:t>以摊余成本计量的金融资产；</w:t>
      </w:r>
      <w:r>
        <w:rPr>
          <w:rFonts w:ascii="Times New Roman" w:hAnsi="Times New Roman" w:cs="Times New Roman" w:eastAsia="Times New Roman" w:hint="default"/>
        </w:rPr>
        <w:t>(2) </w:t>
      </w:r>
      <w:r>
        <w:rPr>
          <w:rFonts w:ascii="Times New Roman" w:hAnsi="Times New Roman" w:cs="Times New Roman" w:eastAsia="Times New Roman" w:hint="default"/>
          <w:spacing w:val="32"/>
        </w:rPr>
        <w:t> </w:t>
      </w:r>
      <w:r>
        <w:rPr/>
        <w:t>以公允价值计量且其变动计入其他</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1130"/>
        <w:jc w:val="both"/>
      </w:pPr>
      <w:r>
        <w:rPr>
          <w:spacing w:val="-3"/>
        </w:rPr>
        <w:t>综合收益的金融资产；及</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以公允价值计量且其变动计入当期损益的金融资产。在新金融工具准则下，金融资产的分类是 </w:t>
      </w:r>
      <w:r>
        <w:rPr>
          <w:spacing w:val="-2"/>
        </w:rPr>
        <w:t>基于本集团管理金融资产的业务模式及该资产的合同现金流量特征而确定。新金融工具准则取消了原金融工具准则中规定的</w:t>
      </w:r>
      <w:r>
        <w:rPr>
          <w:spacing w:val="-64"/>
        </w:rPr>
        <w:t> </w:t>
      </w:r>
      <w:r>
        <w:rPr>
          <w:spacing w:val="-64"/>
        </w:rPr>
      </w:r>
      <w:r>
        <w:rPr>
          <w:spacing w:val="-2"/>
        </w:rPr>
        <w:t>持有至到期投资、贷款和应收款项及可供出售金融资产三个分类类别。根据新金融工具准则，嵌入衍生工具不再从金融资产</w:t>
      </w:r>
      <w:r>
        <w:rPr>
          <w:spacing w:val="-63"/>
        </w:rPr>
        <w:t> </w:t>
      </w:r>
      <w:r>
        <w:rPr>
          <w:spacing w:val="-63"/>
        </w:rPr>
      </w:r>
      <w:r>
        <w:rPr/>
        <w:t>的主合同中分拆出来，而是将混合金融工具整体适用关于金融资产分类的相关规定。</w:t>
      </w:r>
    </w:p>
    <w:p>
      <w:pPr>
        <w:spacing w:line="240" w:lineRule="auto" w:before="7"/>
        <w:rPr>
          <w:rFonts w:ascii="宋体" w:hAnsi="宋体" w:cs="宋体" w:eastAsia="宋体" w:hint="default"/>
          <w:sz w:val="25"/>
          <w:szCs w:val="25"/>
        </w:rPr>
      </w:pPr>
    </w:p>
    <w:p>
      <w:pPr>
        <w:pStyle w:val="BodyText"/>
        <w:spacing w:line="300" w:lineRule="auto"/>
        <w:ind w:right="1133"/>
        <w:jc w:val="both"/>
      </w:pPr>
      <w:r>
        <w:rPr>
          <w:spacing w:val="-1"/>
        </w:rPr>
        <w:t>新金融工具准则以</w:t>
      </w:r>
      <w:r>
        <w:rPr>
          <w:rFonts w:ascii="Times New Roman" w:hAnsi="Times New Roman" w:cs="Times New Roman" w:eastAsia="Times New Roman" w:hint="default"/>
          <w:spacing w:val="-1"/>
        </w:rPr>
        <w:t>“</w:t>
      </w:r>
      <w:r>
        <w:rPr>
          <w:spacing w:val="-1"/>
        </w:rPr>
        <w:t>预期信用损失</w:t>
      </w:r>
      <w:r>
        <w:rPr>
          <w:rFonts w:ascii="Times New Roman" w:hAnsi="Times New Roman" w:cs="Times New Roman" w:eastAsia="Times New Roman" w:hint="default"/>
          <w:spacing w:val="-1"/>
        </w:rPr>
        <w:t>”</w:t>
      </w:r>
      <w:r>
        <w:rPr>
          <w:spacing w:val="-1"/>
        </w:rPr>
        <w:t>模型替代了原金融工具准则中的</w:t>
      </w:r>
      <w:r>
        <w:rPr>
          <w:rFonts w:ascii="Times New Roman" w:hAnsi="Times New Roman" w:cs="Times New Roman" w:eastAsia="Times New Roman" w:hint="default"/>
          <w:spacing w:val="-1"/>
        </w:rPr>
        <w:t>“</w:t>
      </w:r>
      <w:r>
        <w:rPr>
          <w:spacing w:val="-1"/>
        </w:rPr>
        <w:t>已发生损失</w:t>
      </w:r>
      <w:r>
        <w:rPr>
          <w:rFonts w:ascii="Times New Roman" w:hAnsi="Times New Roman" w:cs="Times New Roman" w:eastAsia="Times New Roman" w:hint="default"/>
          <w:spacing w:val="-1"/>
        </w:rPr>
        <w:t>”</w:t>
      </w:r>
      <w:r>
        <w:rPr>
          <w:spacing w:val="-1"/>
        </w:rPr>
        <w:t>模型。</w:t>
      </w:r>
      <w:r>
        <w:rPr>
          <w:rFonts w:ascii="Times New Roman" w:hAnsi="Times New Roman" w:cs="Times New Roman" w:eastAsia="Times New Roman" w:hint="default"/>
          <w:spacing w:val="-1"/>
        </w:rPr>
        <w:t>“</w:t>
      </w:r>
      <w:r>
        <w:rPr>
          <w:spacing w:val="-1"/>
        </w:rPr>
        <w:t>预期信用损失</w:t>
      </w:r>
      <w:r>
        <w:rPr>
          <w:rFonts w:ascii="Times New Roman" w:hAnsi="Times New Roman" w:cs="Times New Roman" w:eastAsia="Times New Roman" w:hint="default"/>
          <w:spacing w:val="-1"/>
        </w:rPr>
        <w:t>”</w:t>
      </w:r>
      <w:r>
        <w:rPr>
          <w:spacing w:val="-1"/>
        </w:rPr>
        <w:t>模型要求持续评估金</w:t>
      </w:r>
      <w:r>
        <w:rPr>
          <w:spacing w:val="-59"/>
        </w:rPr>
        <w:t> </w:t>
      </w:r>
      <w:r>
        <w:rPr/>
        <w:t>融资产的信用风险，因此在新金融工具准则下，本集团信用损失的确认时点早于原金融工具准则。</w:t>
      </w:r>
    </w:p>
    <w:p>
      <w:pPr>
        <w:spacing w:line="240" w:lineRule="auto" w:before="3"/>
        <w:rPr>
          <w:rFonts w:ascii="宋体" w:hAnsi="宋体" w:cs="宋体" w:eastAsia="宋体" w:hint="default"/>
          <w:sz w:val="26"/>
          <w:szCs w:val="26"/>
        </w:rPr>
      </w:pPr>
    </w:p>
    <w:p>
      <w:pPr>
        <w:pStyle w:val="BodyText"/>
        <w:spacing w:line="300" w:lineRule="auto"/>
        <w:ind w:right="1134"/>
        <w:jc w:val="both"/>
      </w:pPr>
      <w:r>
        <w:rPr/>
        <w:t>本集团按照新金融工具准则的衔接规定，对新金融工具准则施行日 </w:t>
      </w:r>
      <w:r>
        <w:rPr>
          <w:rFonts w:ascii="Times New Roman" w:hAnsi="Times New Roman" w:cs="Times New Roman" w:eastAsia="Times New Roman" w:hint="default"/>
        </w:rPr>
        <w:t>(</w:t>
      </w:r>
      <w:r>
        <w:rPr/>
        <w:t>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未终止确认的金融工具的分类和计量 </w:t>
      </w:r>
      <w:r>
        <w:rPr>
          <w:rFonts w:ascii="Times New Roman" w:hAnsi="Times New Roman" w:cs="Times New Roman" w:eastAsia="Times New Roman" w:hint="default"/>
        </w:rPr>
        <w:t>(</w:t>
      </w:r>
      <w:r>
        <w:rPr/>
        <w:t>含减值</w:t>
      </w:r>
      <w:r>
        <w:rPr>
          <w:rFonts w:ascii="Times New Roman" w:hAnsi="Times New Roman" w:cs="Times New Roman" w:eastAsia="Times New Roman" w:hint="default"/>
        </w:rPr>
        <w:t>) </w:t>
      </w:r>
      <w:r>
        <w:rPr/>
        <w:t>进行追溯调整。本集团未调整比较财务报表数据，将金融工具的原账面价值和在新金融工具准则施行日的新账面</w:t>
      </w:r>
      <w:r>
        <w:rPr>
          <w:spacing w:val="-80"/>
        </w:rPr>
        <w:t> </w:t>
      </w:r>
      <w:r>
        <w:rPr>
          <w:spacing w:val="-80"/>
        </w:rPr>
      </w:r>
      <w:r>
        <w:rPr/>
        <w:t>价值之间的差额计入</w:t>
      </w:r>
      <w:r>
        <w:rPr>
          <w:rFonts w:ascii="Times New Roman" w:hAnsi="Times New Roman" w:cs="Times New Roman" w:eastAsia="Times New Roman" w:hint="default"/>
        </w:rPr>
        <w:t>2019</w:t>
      </w:r>
      <w:r>
        <w:rPr/>
        <w:t>年年初留存收益或其他综合收益。</w:t>
      </w:r>
    </w:p>
    <w:p>
      <w:pPr>
        <w:spacing w:line="240" w:lineRule="auto" w:before="11"/>
        <w:rPr>
          <w:rFonts w:ascii="宋体" w:hAnsi="宋体" w:cs="宋体" w:eastAsia="宋体" w:hint="default"/>
          <w:sz w:val="24"/>
          <w:szCs w:val="24"/>
        </w:rPr>
      </w:pPr>
    </w:p>
    <w:p>
      <w:pPr>
        <w:pStyle w:val="BodyText"/>
        <w:spacing w:line="300" w:lineRule="auto"/>
        <w:ind w:right="1131"/>
        <w:jc w:val="both"/>
      </w:pPr>
      <w:r>
        <w:rPr>
          <w:rFonts w:ascii="Times New Roman" w:hAnsi="Times New Roman" w:cs="Times New Roman" w:eastAsia="Times New Roman" w:hint="default"/>
        </w:rPr>
        <w:t>(i)</w:t>
      </w:r>
      <w:r>
        <w:rPr>
          <w:rFonts w:ascii="Times New Roman" w:hAnsi="Times New Roman" w:cs="Times New Roman" w:eastAsia="Times New Roman" w:hint="default"/>
          <w:spacing w:val="10"/>
        </w:rPr>
        <w:t> </w:t>
      </w:r>
      <w:r>
        <w:rPr/>
        <w:t>以按照财会</w:t>
      </w:r>
      <w:r>
        <w:rPr>
          <w:spacing w:val="-2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rFonts w:ascii="Times New Roman" w:hAnsi="Times New Roman" w:cs="Times New Roman" w:eastAsia="Times New Roman" w:hint="default"/>
        </w:rPr>
        <w:t>6</w:t>
      </w:r>
      <w:r>
        <w:rPr/>
        <w:t>号和财会</w:t>
      </w:r>
      <w:r>
        <w:rPr>
          <w:spacing w:val="-2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rFonts w:ascii="Times New Roman" w:hAnsi="Times New Roman" w:cs="Times New Roman" w:eastAsia="Times New Roman" w:hint="default"/>
        </w:rPr>
        <w:t>16</w:t>
      </w:r>
      <w:r>
        <w:rPr/>
        <w:t>号规定追溯调整后的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日财务报表为基础，执行新金融工具准则对</w:t>
      </w:r>
      <w:r>
        <w:rPr>
          <w:w w:val="99"/>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日合并资产负债表及母公司资产负债表各项目的影响汇总如下：</w:t>
      </w:r>
    </w:p>
    <w:p>
      <w:pPr>
        <w:spacing w:line="240" w:lineRule="auto" w:before="11"/>
        <w:rPr>
          <w:rFonts w:ascii="宋体" w:hAnsi="宋体" w:cs="宋体" w:eastAsia="宋体" w:hint="default"/>
          <w:sz w:val="24"/>
          <w:szCs w:val="24"/>
        </w:rPr>
      </w:pPr>
    </w:p>
    <w:p>
      <w:pPr>
        <w:pStyle w:val="BodyText"/>
        <w:spacing w:line="240" w:lineRule="auto"/>
        <w:ind w:left="1866" w:right="0"/>
        <w:jc w:val="left"/>
      </w:pPr>
      <w:r>
        <w:rPr/>
        <w:t>本集团</w:t>
      </w:r>
    </w:p>
    <w:p>
      <w:pPr>
        <w:spacing w:line="240" w:lineRule="auto" w:before="11"/>
        <w:rPr>
          <w:rFonts w:ascii="宋体" w:hAnsi="宋体" w:cs="宋体" w:eastAsia="宋体" w:hint="default"/>
          <w:sz w:val="28"/>
          <w:szCs w:val="28"/>
        </w:rPr>
      </w:pPr>
    </w:p>
    <w:tbl>
      <w:tblPr>
        <w:tblW w:w="0" w:type="auto"/>
        <w:jc w:val="left"/>
        <w:tblInd w:w="1288" w:type="dxa"/>
        <w:tblLayout w:type="fixed"/>
        <w:tblCellMar>
          <w:top w:w="0" w:type="dxa"/>
          <w:left w:w="0" w:type="dxa"/>
          <w:bottom w:w="0" w:type="dxa"/>
          <w:right w:w="0" w:type="dxa"/>
        </w:tblCellMar>
        <w:tblLook w:val="01E0"/>
      </w:tblPr>
      <w:tblGrid>
        <w:gridCol w:w="2835"/>
        <w:gridCol w:w="1839"/>
        <w:gridCol w:w="1700"/>
        <w:gridCol w:w="1572"/>
      </w:tblGrid>
      <w:tr>
        <w:trPr>
          <w:trHeight w:val="341" w:hRule="exact"/>
        </w:trPr>
        <w:tc>
          <w:tcPr>
            <w:tcW w:w="2835" w:type="dxa"/>
            <w:vMerge w:val="restart"/>
            <w:tcBorders>
              <w:top w:val="single" w:sz="4" w:space="0" w:color="000000"/>
              <w:left w:val="single" w:sz="4" w:space="0" w:color="000000"/>
              <w:right w:val="single" w:sz="4" w:space="0" w:color="000000"/>
            </w:tcBorders>
          </w:tcPr>
          <w:p>
            <w:pPr/>
          </w:p>
        </w:tc>
        <w:tc>
          <w:tcPr>
            <w:tcW w:w="51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本集团</w:t>
            </w:r>
          </w:p>
        </w:tc>
      </w:tr>
      <w:tr>
        <w:trPr>
          <w:trHeight w:val="655" w:hRule="exact"/>
        </w:trPr>
        <w:tc>
          <w:tcPr>
            <w:tcW w:w="2835" w:type="dxa"/>
            <w:vMerge/>
            <w:tcBorders>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11"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146,375,945.17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146,375,945.17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8"/>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118,891,468.50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118,891,468.50</w:t>
            </w:r>
          </w:p>
        </w:tc>
      </w:tr>
      <w:tr>
        <w:trPr>
          <w:trHeight w:val="65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44" w:right="298"/>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计入当期损益的金融资产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118,891,468.50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(118,891,468.50)</w:t>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336,674.16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336,674.16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226,338,644.69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226,338,644.69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7,123,420.10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7,123,420.10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8,553,091.11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8,553,091.11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100,899.80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100,899.80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11,638,991.28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11,638,991.28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519,359,134.81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519,359,134.81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3,326,501.86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3,326,501.86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9,503,556.70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9,503,556.70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87,247,624.00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87,247,624.00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91,470,942.13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91,470,942.13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87,888,716.11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87,888,716.11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39,771,486.13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39,771,486.13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8"/>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8,861,586.16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8,861,586.16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328,070,413.09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328,070,413.09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288" w:type="dxa"/>
        <w:tblLayout w:type="fixed"/>
        <w:tblCellMar>
          <w:top w:w="0" w:type="dxa"/>
          <w:left w:w="0" w:type="dxa"/>
          <w:bottom w:w="0" w:type="dxa"/>
          <w:right w:w="0" w:type="dxa"/>
        </w:tblCellMar>
        <w:tblLook w:val="01E0"/>
      </w:tblPr>
      <w:tblGrid>
        <w:gridCol w:w="2835"/>
        <w:gridCol w:w="1839"/>
        <w:gridCol w:w="1700"/>
        <w:gridCol w:w="1572"/>
      </w:tblGrid>
      <w:tr>
        <w:trPr>
          <w:trHeight w:val="34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98" w:right="0"/>
              <w:jc w:val="left"/>
              <w:rPr>
                <w:rFonts w:ascii="Times New Roman" w:hAnsi="Times New Roman" w:cs="Times New Roman" w:eastAsia="Times New Roman" w:hint="default"/>
                <w:sz w:val="18"/>
                <w:szCs w:val="18"/>
              </w:rPr>
            </w:pPr>
            <w:r>
              <w:rPr>
                <w:rFonts w:ascii="Times New Roman"/>
                <w:sz w:val="18"/>
              </w:rPr>
              <w:t>847,429,547.90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59" w:right="0"/>
              <w:jc w:val="left"/>
              <w:rPr>
                <w:rFonts w:ascii="Times New Roman" w:hAnsi="Times New Roman" w:cs="Times New Roman" w:eastAsia="Times New Roman" w:hint="default"/>
                <w:sz w:val="18"/>
                <w:szCs w:val="18"/>
              </w:rPr>
            </w:pPr>
            <w:r>
              <w:rPr>
                <w:rFonts w:ascii="Times New Roman"/>
                <w:sz w:val="18"/>
              </w:rPr>
              <w:t>847,429,547.90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10"/>
        <w:ind w:left="1305" w:right="0"/>
        <w:jc w:val="left"/>
      </w:pPr>
      <w:r>
        <w:rPr/>
        <w:t>本集团</w:t>
      </w:r>
    </w:p>
    <w:p>
      <w:pPr>
        <w:spacing w:line="240" w:lineRule="auto" w:before="11"/>
        <w:rPr>
          <w:rFonts w:ascii="宋体" w:hAnsi="宋体" w:cs="宋体" w:eastAsia="宋体" w:hint="default"/>
          <w:sz w:val="28"/>
          <w:szCs w:val="28"/>
        </w:rPr>
      </w:pPr>
    </w:p>
    <w:tbl>
      <w:tblPr>
        <w:tblW w:w="0" w:type="auto"/>
        <w:jc w:val="left"/>
        <w:tblInd w:w="1288" w:type="dxa"/>
        <w:tblLayout w:type="fixed"/>
        <w:tblCellMar>
          <w:top w:w="0" w:type="dxa"/>
          <w:left w:w="0" w:type="dxa"/>
          <w:bottom w:w="0" w:type="dxa"/>
          <w:right w:w="0" w:type="dxa"/>
        </w:tblCellMar>
        <w:tblLook w:val="01E0"/>
      </w:tblPr>
      <w:tblGrid>
        <w:gridCol w:w="2941"/>
        <w:gridCol w:w="1702"/>
        <w:gridCol w:w="1702"/>
        <w:gridCol w:w="1704"/>
      </w:tblGrid>
      <w:tr>
        <w:trPr>
          <w:trHeight w:val="341" w:hRule="exact"/>
        </w:trPr>
        <w:tc>
          <w:tcPr>
            <w:tcW w:w="2941" w:type="dxa"/>
            <w:vMerge w:val="restart"/>
            <w:tcBorders>
              <w:top w:val="single" w:sz="4" w:space="0" w:color="000000"/>
              <w:left w:val="single" w:sz="4" w:space="0" w:color="000000"/>
              <w:right w:val="single" w:sz="4" w:space="0" w:color="000000"/>
            </w:tcBorders>
          </w:tcPr>
          <w:p>
            <w:pPr/>
          </w:p>
        </w:tc>
        <w:tc>
          <w:tcPr>
            <w:tcW w:w="5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本集团</w:t>
            </w:r>
          </w:p>
        </w:tc>
      </w:tr>
      <w:tr>
        <w:trPr>
          <w:trHeight w:val="655" w:hRule="exact"/>
        </w:trPr>
        <w:tc>
          <w:tcPr>
            <w:tcW w:w="2941"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p>
            <w:pPr>
              <w:pStyle w:val="TableParagraph"/>
              <w:spacing w:line="240" w:lineRule="auto" w:before="63"/>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4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130,174,638.89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130,174,638.89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83,131,497.29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83,131,497.29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17,747,769.09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17,747,769.09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32,180,859.18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32,180,859.18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10,167,783.12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10,167,783.12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17,278,531.73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17,278,531.73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60,694.44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60,694.44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11,725,446.43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11,725,446.43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302,467,220.17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302,467,220.17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60,873,841.53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60,873,841.53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100,873,841.53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100,873,841.53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403,341,061.70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403,341,061.70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146,666,700.00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146,666,700.00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127,541,353.92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127,541,353.92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14,947,485.38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14,947,485.38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154,114,765.30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154,114,765.30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443,270,304.60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443,270,304.60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818,181.60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818,181.60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444,088,486.20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444,088,486.20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847,429,547.90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847,429,547.90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21"/>
          <w:szCs w:val="21"/>
        </w:rPr>
      </w:pPr>
    </w:p>
    <w:p>
      <w:pPr>
        <w:pStyle w:val="BodyText"/>
        <w:spacing w:line="240" w:lineRule="auto" w:before="44"/>
        <w:ind w:left="1866" w:right="0"/>
        <w:jc w:val="left"/>
      </w:pPr>
      <w:r>
        <w:rPr/>
        <w:t>本公司</w:t>
      </w:r>
    </w:p>
    <w:p>
      <w:pPr>
        <w:spacing w:line="240" w:lineRule="auto" w:before="12"/>
        <w:rPr>
          <w:rFonts w:ascii="宋体" w:hAnsi="宋体" w:cs="宋体" w:eastAsia="宋体" w:hint="default"/>
          <w:sz w:val="28"/>
          <w:szCs w:val="28"/>
        </w:rPr>
      </w:pPr>
    </w:p>
    <w:tbl>
      <w:tblPr>
        <w:tblW w:w="0" w:type="auto"/>
        <w:jc w:val="left"/>
        <w:tblInd w:w="1288" w:type="dxa"/>
        <w:tblLayout w:type="fixed"/>
        <w:tblCellMar>
          <w:top w:w="0" w:type="dxa"/>
          <w:left w:w="0" w:type="dxa"/>
          <w:bottom w:w="0" w:type="dxa"/>
          <w:right w:w="0" w:type="dxa"/>
        </w:tblCellMar>
        <w:tblLook w:val="01E0"/>
      </w:tblPr>
      <w:tblGrid>
        <w:gridCol w:w="2835"/>
        <w:gridCol w:w="1702"/>
        <w:gridCol w:w="1704"/>
        <w:gridCol w:w="1702"/>
      </w:tblGrid>
      <w:tr>
        <w:trPr>
          <w:trHeight w:val="343" w:hRule="exact"/>
        </w:trPr>
        <w:tc>
          <w:tcPr>
            <w:tcW w:w="2835" w:type="dxa"/>
            <w:vMerge w:val="restart"/>
            <w:tcBorders>
              <w:top w:val="single" w:sz="4" w:space="0" w:color="000000"/>
              <w:left w:val="single" w:sz="4" w:space="0" w:color="000000"/>
              <w:right w:val="single" w:sz="4" w:space="0" w:color="000000"/>
            </w:tcBorders>
          </w:tcPr>
          <w:p>
            <w:pPr/>
          </w:p>
        </w:tc>
        <w:tc>
          <w:tcPr>
            <w:tcW w:w="5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653" w:hRule="exact"/>
        </w:trPr>
        <w:tc>
          <w:tcPr>
            <w:tcW w:w="2835"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101,103,714.65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101,103,714.65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118,891,468.50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118,891,468.50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288" w:type="dxa"/>
        <w:tblLayout w:type="fixed"/>
        <w:tblCellMar>
          <w:top w:w="0" w:type="dxa"/>
          <w:left w:w="0" w:type="dxa"/>
          <w:bottom w:w="0" w:type="dxa"/>
          <w:right w:w="0" w:type="dxa"/>
        </w:tblCellMar>
        <w:tblLook w:val="01E0"/>
      </w:tblPr>
      <w:tblGrid>
        <w:gridCol w:w="2835"/>
        <w:gridCol w:w="1702"/>
        <w:gridCol w:w="1704"/>
        <w:gridCol w:w="1702"/>
      </w:tblGrid>
      <w:tr>
        <w:trPr>
          <w:trHeight w:val="65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544" w:right="298"/>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(118,891,468.50)</w:t>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336,674.16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336,674.16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195,937,345.07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195,937,345.07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2,854,812.88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2,854,812.88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11,273,222.04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11,273,222.04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13,175.00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13,175.00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7,347,407.19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7,347,407.19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437,757,819.49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437,757,819.49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50,272,888.36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50,272,888.36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9,503,556.70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9,503,556.70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73,532,496.12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73,532,496.12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91,470,942.13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91,470,942.13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87,258,167.30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87,258,167.30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35,181,555.98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35,181,555.98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7,890,251.59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7,890,251.59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355,109,858.18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355,109,858.18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792,867,677.67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792,867,677.67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10"/>
        <w:ind w:left="1866" w:right="0"/>
        <w:jc w:val="left"/>
      </w:pPr>
      <w:r>
        <w:rPr/>
        <w:t>本公司</w:t>
      </w:r>
    </w:p>
    <w:p>
      <w:pPr>
        <w:spacing w:line="240" w:lineRule="auto" w:before="11"/>
        <w:rPr>
          <w:rFonts w:ascii="宋体" w:hAnsi="宋体" w:cs="宋体" w:eastAsia="宋体" w:hint="default"/>
          <w:sz w:val="28"/>
          <w:szCs w:val="28"/>
        </w:rPr>
      </w:pPr>
    </w:p>
    <w:tbl>
      <w:tblPr>
        <w:tblW w:w="0" w:type="auto"/>
        <w:jc w:val="left"/>
        <w:tblInd w:w="1288" w:type="dxa"/>
        <w:tblLayout w:type="fixed"/>
        <w:tblCellMar>
          <w:top w:w="0" w:type="dxa"/>
          <w:left w:w="0" w:type="dxa"/>
          <w:bottom w:w="0" w:type="dxa"/>
          <w:right w:w="0" w:type="dxa"/>
        </w:tblCellMar>
        <w:tblLook w:val="01E0"/>
      </w:tblPr>
      <w:tblGrid>
        <w:gridCol w:w="2835"/>
        <w:gridCol w:w="1702"/>
        <w:gridCol w:w="1704"/>
        <w:gridCol w:w="1702"/>
      </w:tblGrid>
      <w:tr>
        <w:trPr>
          <w:trHeight w:val="343" w:hRule="exact"/>
        </w:trPr>
        <w:tc>
          <w:tcPr>
            <w:tcW w:w="2835" w:type="dxa"/>
            <w:vMerge w:val="restart"/>
            <w:tcBorders>
              <w:top w:val="single" w:sz="4" w:space="0" w:color="000000"/>
              <w:left w:val="single" w:sz="4" w:space="0" w:color="000000"/>
              <w:right w:val="single" w:sz="4" w:space="0" w:color="000000"/>
            </w:tcBorders>
          </w:tcPr>
          <w:p>
            <w:pPr/>
          </w:p>
        </w:tc>
        <w:tc>
          <w:tcPr>
            <w:tcW w:w="5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653" w:hRule="exact"/>
        </w:trPr>
        <w:tc>
          <w:tcPr>
            <w:tcW w:w="2835"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130,174,638.89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130,174,638.89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77,114,762.86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77,114,762.86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8,901,910.48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8,901,910.48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21,691,160.00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21,691,160.00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7,472,882.16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7,472,882.16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28,008,186.21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28,008,186.21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60,694.44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60,694.44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10,294,624.41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10,294,624.41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283,718,859.45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283,718,859.45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51,215,301.34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51,215,301.34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91,215,301.34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91,215,301.34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374,934,160.79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374,934,160.79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288" w:type="dxa"/>
        <w:tblLayout w:type="fixed"/>
        <w:tblCellMar>
          <w:top w:w="0" w:type="dxa"/>
          <w:left w:w="0" w:type="dxa"/>
          <w:bottom w:w="0" w:type="dxa"/>
          <w:right w:w="0" w:type="dxa"/>
        </w:tblCellMar>
        <w:tblLook w:val="01E0"/>
      </w:tblPr>
      <w:tblGrid>
        <w:gridCol w:w="2835"/>
        <w:gridCol w:w="1702"/>
        <w:gridCol w:w="1704"/>
        <w:gridCol w:w="1702"/>
      </w:tblGrid>
      <w:tr>
        <w:trPr>
          <w:trHeight w:val="34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146,666,700.00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146,666,700.00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128,053,280.71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128,053,280.71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14,893,980.71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14,893,980.71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128,319,555.46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128,319,555.46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417,933,516.88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417,933,516.88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负债和股东权益合计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792,867,677.67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792,867,677.67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21"/>
          <w:szCs w:val="21"/>
        </w:rPr>
      </w:pPr>
    </w:p>
    <w:p>
      <w:pPr>
        <w:pStyle w:val="BodyText"/>
        <w:spacing w:line="600" w:lineRule="auto" w:before="44"/>
        <w:ind w:right="5534"/>
        <w:jc w:val="left"/>
      </w:pPr>
      <w:r>
        <w:rPr>
          <w:rFonts w:ascii="Times New Roman" w:hAnsi="Times New Roman" w:cs="Times New Roman" w:eastAsia="Times New Roman" w:hint="default"/>
        </w:rPr>
        <w:t>(ii)</w:t>
      </w:r>
      <w:r>
        <w:rPr>
          <w:rFonts w:ascii="Times New Roman" w:hAnsi="Times New Roman" w:cs="Times New Roman" w:eastAsia="Times New Roman" w:hint="default"/>
          <w:spacing w:val="19"/>
        </w:rPr>
        <w:t> </w:t>
      </w:r>
      <w:r>
        <w:rPr/>
        <w:t>金融工具的分类影响</w:t>
      </w:r>
      <w:r>
        <w:rPr>
          <w:w w:val="99"/>
        </w:rPr>
        <w:t> </w:t>
      </w:r>
      <w:r>
        <w:rPr/>
        <w:t>本集团无将银行承兑汇票或商业承兑汇票进行贴现和背书的情况。</w:t>
      </w:r>
    </w:p>
    <w:p>
      <w:pPr>
        <w:pStyle w:val="BodyText"/>
        <w:spacing w:line="300" w:lineRule="auto" w:before="118"/>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日，本集团没有将任何金融资产或金融负债指定为以公允价值计量且其变动计入当期损益的金融资产或金融负</w:t>
      </w:r>
      <w:r>
        <w:rPr>
          <w:spacing w:val="-11"/>
        </w:rPr>
        <w:t> </w:t>
      </w:r>
      <w:r>
        <w:rPr>
          <w:spacing w:val="-11"/>
        </w:rPr>
      </w:r>
      <w:r>
        <w:rPr/>
        <w:t>债，也没有撤销之前的指定。</w:t>
      </w:r>
    </w:p>
    <w:p>
      <w:pPr>
        <w:spacing w:line="240" w:lineRule="auto" w:before="3"/>
        <w:rPr>
          <w:rFonts w:ascii="宋体" w:hAnsi="宋体" w:cs="宋体" w:eastAsia="宋体" w:hint="default"/>
          <w:sz w:val="26"/>
          <w:szCs w:val="26"/>
        </w:rPr>
      </w:pPr>
    </w:p>
    <w:p>
      <w:pPr>
        <w:pStyle w:val="BodyText"/>
        <w:spacing w:line="300" w:lineRule="auto"/>
        <w:ind w:right="0"/>
        <w:jc w:val="left"/>
      </w:pPr>
      <w:r>
        <w:rPr/>
        <w:t>以按照财会 </w:t>
      </w:r>
      <w:r>
        <w:rPr>
          <w:rFonts w:ascii="Times New Roman" w:hAnsi="Times New Roman" w:cs="Times New Roman" w:eastAsia="Times New Roman" w:hint="default"/>
        </w:rPr>
        <w:t>[2019] 6</w:t>
      </w:r>
      <w:r>
        <w:rPr/>
        <w:t>号和财会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rFonts w:ascii="Times New Roman" w:hAnsi="Times New Roman" w:cs="Times New Roman" w:eastAsia="Times New Roman" w:hint="default"/>
        </w:rPr>
        <w:t>16</w:t>
      </w:r>
      <w:r>
        <w:rPr/>
        <w:t>号规定追溯调整后的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日财务报表为基础，将金融资产按照原金融工具 准则和新金融工具准则的规定进行分类和计量的结果对比如下：</w:t>
      </w:r>
    </w:p>
    <w:p>
      <w:pPr>
        <w:spacing w:line="240" w:lineRule="auto" w:before="3"/>
        <w:rPr>
          <w:rFonts w:ascii="宋体" w:hAnsi="宋体" w:cs="宋体" w:eastAsia="宋体" w:hint="default"/>
          <w:sz w:val="26"/>
          <w:szCs w:val="26"/>
        </w:rPr>
      </w:pPr>
    </w:p>
    <w:p>
      <w:pPr>
        <w:pStyle w:val="BodyText"/>
        <w:spacing w:line="240" w:lineRule="auto"/>
        <w:ind w:right="0"/>
        <w:jc w:val="left"/>
      </w:pPr>
      <w:r>
        <w:rPr/>
        <w:t>本集团</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277"/>
        <w:gridCol w:w="1985"/>
        <w:gridCol w:w="1606"/>
        <w:gridCol w:w="1371"/>
        <w:gridCol w:w="1985"/>
        <w:gridCol w:w="1471"/>
      </w:tblGrid>
      <w:tr>
        <w:trPr>
          <w:trHeight w:val="427" w:hRule="exact"/>
        </w:trPr>
        <w:tc>
          <w:tcPr>
            <w:tcW w:w="486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986" w:right="0"/>
              <w:jc w:val="left"/>
              <w:rPr>
                <w:rFonts w:ascii="宋体" w:hAnsi="宋体" w:cs="宋体" w:eastAsia="宋体" w:hint="default"/>
                <w:sz w:val="18"/>
                <w:szCs w:val="18"/>
              </w:rPr>
            </w:pPr>
            <w:r>
              <w:rPr>
                <w:rFonts w:ascii="宋体" w:hAnsi="宋体" w:cs="宋体" w:eastAsia="宋体" w:hint="default"/>
                <w:sz w:val="18"/>
                <w:szCs w:val="18"/>
              </w:rPr>
              <w:t>原金融工具准则（</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827"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1058" w:right="0"/>
              <w:jc w:val="left"/>
              <w:rPr>
                <w:rFonts w:ascii="宋体" w:hAnsi="宋体" w:cs="宋体" w:eastAsia="宋体" w:hint="default"/>
                <w:sz w:val="18"/>
                <w:szCs w:val="18"/>
              </w:rPr>
            </w:pPr>
            <w:r>
              <w:rPr>
                <w:rFonts w:ascii="宋体" w:hAnsi="宋体" w:cs="宋体" w:eastAsia="宋体" w:hint="default"/>
                <w:sz w:val="18"/>
                <w:szCs w:val="18"/>
              </w:rPr>
              <w:t>新金融工具准则（</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62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65" w:right="0"/>
              <w:jc w:val="left"/>
              <w:rPr>
                <w:rFonts w:ascii="宋体" w:hAnsi="宋体" w:cs="宋体" w:eastAsia="宋体" w:hint="default"/>
                <w:sz w:val="18"/>
                <w:szCs w:val="18"/>
              </w:rPr>
            </w:pPr>
            <w:r>
              <w:rPr>
                <w:rFonts w:ascii="宋体" w:hAnsi="宋体" w:cs="宋体" w:eastAsia="宋体" w:hint="default"/>
                <w:sz w:val="18"/>
                <w:szCs w:val="18"/>
              </w:rPr>
              <w:t>账面价值（元）</w:t>
            </w:r>
          </w:p>
        </w:tc>
        <w:tc>
          <w:tcPr>
            <w:tcW w:w="13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623"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账面价值（元）</w:t>
            </w:r>
          </w:p>
        </w:tc>
      </w:tr>
      <w:tr>
        <w:trPr>
          <w:trHeight w:val="78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7"/>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146,375,945.17</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146,375,945.17</w:t>
            </w:r>
          </w:p>
        </w:tc>
      </w:tr>
      <w:tr>
        <w:trPr>
          <w:trHeight w:val="109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1"/>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55"/>
                <w:sz w:val="18"/>
                <w:szCs w:val="18"/>
              </w:rPr>
              <w:t> </w:t>
            </w:r>
            <w:r>
              <w:rPr>
                <w:rFonts w:ascii="宋体" w:hAnsi="宋体" w:cs="宋体" w:eastAsia="宋体" w:hint="default"/>
                <w:sz w:val="18"/>
                <w:szCs w:val="18"/>
              </w:rPr>
              <w:t>公</w:t>
            </w:r>
            <w:r>
              <w:rPr>
                <w:rFonts w:ascii="宋体" w:hAnsi="宋体" w:cs="宋体" w:eastAsia="宋体" w:hint="default"/>
                <w:spacing w:val="-55"/>
                <w:sz w:val="18"/>
                <w:szCs w:val="18"/>
              </w:rPr>
              <w:t> </w:t>
            </w:r>
            <w:r>
              <w:rPr>
                <w:rFonts w:ascii="宋体" w:hAnsi="宋体" w:cs="宋体" w:eastAsia="宋体" w:hint="default"/>
                <w:sz w:val="18"/>
                <w:szCs w:val="18"/>
              </w:rPr>
              <w:t>允</w:t>
            </w:r>
            <w:r>
              <w:rPr>
                <w:rFonts w:ascii="宋体" w:hAnsi="宋体" w:cs="宋体" w:eastAsia="宋体" w:hint="default"/>
                <w:spacing w:val="-55"/>
                <w:sz w:val="18"/>
                <w:szCs w:val="18"/>
              </w:rPr>
              <w:t> </w:t>
            </w:r>
            <w:r>
              <w:rPr>
                <w:rFonts w:ascii="宋体" w:hAnsi="宋体" w:cs="宋体" w:eastAsia="宋体" w:hint="default"/>
                <w:sz w:val="18"/>
                <w:szCs w:val="18"/>
              </w:rPr>
              <w:t>价</w:t>
            </w:r>
            <w:r>
              <w:rPr>
                <w:rFonts w:ascii="宋体" w:hAnsi="宋体" w:cs="宋体" w:eastAsia="宋体" w:hint="default"/>
                <w:spacing w:val="-57"/>
                <w:sz w:val="18"/>
                <w:szCs w:val="18"/>
              </w:rPr>
              <w:t> </w:t>
            </w:r>
            <w:r>
              <w:rPr>
                <w:rFonts w:ascii="宋体" w:hAnsi="宋体" w:cs="宋体" w:eastAsia="宋体" w:hint="default"/>
                <w:sz w:val="18"/>
                <w:szCs w:val="18"/>
              </w:rPr>
              <w:t>值</w:t>
            </w:r>
            <w:r>
              <w:rPr>
                <w:rFonts w:ascii="宋体" w:hAnsi="宋体" w:cs="宋体" w:eastAsia="宋体" w:hint="default"/>
                <w:spacing w:val="-55"/>
                <w:sz w:val="18"/>
                <w:szCs w:val="18"/>
              </w:rPr>
              <w:t> </w:t>
            </w:r>
            <w:r>
              <w:rPr>
                <w:rFonts w:ascii="宋体" w:hAnsi="宋体" w:cs="宋体" w:eastAsia="宋体" w:hint="default"/>
                <w:sz w:val="18"/>
                <w:szCs w:val="18"/>
              </w:rPr>
              <w:t>计</w:t>
            </w:r>
            <w:r>
              <w:rPr>
                <w:rFonts w:ascii="宋体" w:hAnsi="宋体" w:cs="宋体" w:eastAsia="宋体" w:hint="default"/>
                <w:sz w:val="18"/>
                <w:szCs w:val="18"/>
              </w:rPr>
              <w:t> 量</w:t>
            </w:r>
            <w:r>
              <w:rPr>
                <w:rFonts w:ascii="宋体" w:hAnsi="宋体" w:cs="宋体" w:eastAsia="宋体" w:hint="default"/>
                <w:spacing w:val="-55"/>
                <w:sz w:val="18"/>
                <w:szCs w:val="18"/>
              </w:rPr>
              <w:t> </w:t>
            </w:r>
            <w:r>
              <w:rPr>
                <w:rFonts w:ascii="宋体" w:hAnsi="宋体" w:cs="宋体" w:eastAsia="宋体" w:hint="default"/>
                <w:sz w:val="18"/>
                <w:szCs w:val="18"/>
              </w:rPr>
              <w:t>且</w:t>
            </w:r>
            <w:r>
              <w:rPr>
                <w:rFonts w:ascii="宋体" w:hAnsi="宋体" w:cs="宋体" w:eastAsia="宋体" w:hint="default"/>
                <w:spacing w:val="-55"/>
                <w:sz w:val="18"/>
                <w:szCs w:val="18"/>
              </w:rPr>
              <w:t> </w:t>
            </w:r>
            <w:r>
              <w:rPr>
                <w:rFonts w:ascii="宋体" w:hAnsi="宋体" w:cs="宋体" w:eastAsia="宋体" w:hint="default"/>
                <w:sz w:val="18"/>
                <w:szCs w:val="18"/>
              </w:rPr>
              <w:t>其</w:t>
            </w:r>
            <w:r>
              <w:rPr>
                <w:rFonts w:ascii="宋体" w:hAnsi="宋体" w:cs="宋体" w:eastAsia="宋体" w:hint="default"/>
                <w:spacing w:val="-55"/>
                <w:sz w:val="18"/>
                <w:szCs w:val="18"/>
              </w:rPr>
              <w:t> </w:t>
            </w:r>
            <w:r>
              <w:rPr>
                <w:rFonts w:ascii="宋体" w:hAnsi="宋体" w:cs="宋体" w:eastAsia="宋体" w:hint="default"/>
                <w:sz w:val="18"/>
                <w:szCs w:val="18"/>
              </w:rPr>
              <w:t>变</w:t>
            </w:r>
            <w:r>
              <w:rPr>
                <w:rFonts w:ascii="宋体" w:hAnsi="宋体" w:cs="宋体" w:eastAsia="宋体" w:hint="default"/>
                <w:spacing w:val="-57"/>
                <w:sz w:val="18"/>
                <w:szCs w:val="18"/>
              </w:rPr>
              <w:t> </w:t>
            </w:r>
            <w:r>
              <w:rPr>
                <w:rFonts w:ascii="宋体" w:hAnsi="宋体" w:cs="宋体" w:eastAsia="宋体" w:hint="default"/>
                <w:sz w:val="18"/>
                <w:szCs w:val="18"/>
              </w:rPr>
              <w:t>动</w:t>
            </w:r>
            <w:r>
              <w:rPr>
                <w:rFonts w:ascii="宋体" w:hAnsi="宋体" w:cs="宋体" w:eastAsia="宋体" w:hint="default"/>
                <w:spacing w:val="-55"/>
                <w:sz w:val="18"/>
                <w:szCs w:val="18"/>
              </w:rPr>
              <w:t> </w:t>
            </w:r>
            <w:r>
              <w:rPr>
                <w:rFonts w:ascii="宋体" w:hAnsi="宋体" w:cs="宋体" w:eastAsia="宋体" w:hint="default"/>
                <w:sz w:val="18"/>
                <w:szCs w:val="18"/>
              </w:rPr>
              <w:t>计</w:t>
            </w:r>
            <w:r>
              <w:rPr>
                <w:rFonts w:ascii="宋体" w:hAnsi="宋体" w:cs="宋体" w:eastAsia="宋体" w:hint="default"/>
                <w:sz w:val="18"/>
                <w:szCs w:val="18"/>
              </w:rPr>
              <w:t> 入当期损益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pacing w:val="16"/>
                <w:sz w:val="18"/>
                <w:szCs w:val="18"/>
              </w:rPr>
              <w:t>以公允价值计量且其变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动计入当期损益</w:t>
            </w:r>
          </w:p>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（交易性）</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pacing w:val="16"/>
                <w:sz w:val="18"/>
                <w:szCs w:val="18"/>
              </w:rPr>
              <w:t>以公允价值计量且其变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动计入当期损益</w:t>
            </w:r>
          </w:p>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（准则要求）</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118,891,468.50</w:t>
            </w:r>
          </w:p>
        </w:tc>
      </w:tr>
      <w:tr>
        <w:trPr>
          <w:trHeight w:val="427"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5"/>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606" w:type="dxa"/>
            <w:vMerge w:val="restart"/>
            <w:tcBorders>
              <w:top w:val="single" w:sz="6" w:space="0" w:color="000000"/>
              <w:left w:val="single" w:sz="6" w:space="0" w:color="000000"/>
              <w:right w:val="single" w:sz="6" w:space="0" w:color="000000"/>
            </w:tcBorders>
          </w:tcPr>
          <w:p>
            <w:pPr>
              <w:pStyle w:val="TableParagraph"/>
              <w:spacing w:line="240" w:lineRule="auto" w:before="105"/>
              <w:ind w:left="777" w:right="0"/>
              <w:jc w:val="left"/>
              <w:rPr>
                <w:rFonts w:ascii="Times New Roman" w:hAnsi="Times New Roman" w:cs="Times New Roman" w:eastAsia="Times New Roman" w:hint="default"/>
                <w:sz w:val="18"/>
                <w:szCs w:val="18"/>
              </w:rPr>
            </w:pPr>
            <w:r>
              <w:rPr>
                <w:rFonts w:ascii="Times New Roman"/>
                <w:sz w:val="18"/>
              </w:rPr>
              <w:t>336,674.16</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336,674.16</w:t>
            </w:r>
          </w:p>
        </w:tc>
      </w:tr>
      <w:tr>
        <w:trPr>
          <w:trHeight w:val="739" w:hRule="exact"/>
        </w:trPr>
        <w:tc>
          <w:tcPr>
            <w:tcW w:w="1277" w:type="dxa"/>
            <w:vMerge/>
            <w:tcBorders>
              <w:left w:val="single" w:sz="6" w:space="0" w:color="000000"/>
              <w:bottom w:val="single" w:sz="6" w:space="0" w:color="000000"/>
              <w:right w:val="single" w:sz="6" w:space="0" w:color="000000"/>
            </w:tcBorders>
          </w:tcPr>
          <w:p>
            <w:pPr/>
          </w:p>
        </w:tc>
        <w:tc>
          <w:tcPr>
            <w:tcW w:w="1985" w:type="dxa"/>
            <w:vMerge/>
            <w:tcBorders>
              <w:left w:val="single" w:sz="6" w:space="0" w:color="000000"/>
              <w:bottom w:val="single" w:sz="6" w:space="0" w:color="000000"/>
              <w:right w:val="single" w:sz="6" w:space="0" w:color="000000"/>
            </w:tcBorders>
          </w:tcPr>
          <w:p>
            <w:pPr/>
          </w:p>
        </w:tc>
        <w:tc>
          <w:tcPr>
            <w:tcW w:w="1606" w:type="dxa"/>
            <w:vMerge/>
            <w:tcBorders>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
              <w:jc w:val="left"/>
              <w:rPr>
                <w:rFonts w:ascii="宋体" w:hAnsi="宋体" w:cs="宋体" w:eastAsia="宋体" w:hint="default"/>
                <w:sz w:val="18"/>
                <w:szCs w:val="18"/>
              </w:rPr>
            </w:pPr>
            <w:r>
              <w:rPr>
                <w:rFonts w:ascii="宋体" w:hAnsi="宋体" w:cs="宋体" w:eastAsia="宋体" w:hint="default"/>
                <w:spacing w:val="16"/>
                <w:sz w:val="18"/>
                <w:szCs w:val="18"/>
              </w:rPr>
              <w:t>以公允价值计量且其变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动计入其他综合收益</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7"/>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606" w:type="dxa"/>
            <w:vMerge w:val="restart"/>
            <w:tcBorders>
              <w:top w:val="single" w:sz="6" w:space="0" w:color="000000"/>
              <w:left w:val="single" w:sz="6" w:space="0" w:color="000000"/>
              <w:right w:val="single" w:sz="6" w:space="0" w:color="000000"/>
            </w:tcBorders>
          </w:tcPr>
          <w:p>
            <w:pPr>
              <w:pStyle w:val="TableParagraph"/>
              <w:spacing w:line="240" w:lineRule="auto" w:before="103"/>
              <w:ind w:left="463" w:right="0"/>
              <w:jc w:val="left"/>
              <w:rPr>
                <w:rFonts w:ascii="Times New Roman" w:hAnsi="Times New Roman" w:cs="Times New Roman" w:eastAsia="Times New Roman" w:hint="default"/>
                <w:sz w:val="18"/>
                <w:szCs w:val="18"/>
              </w:rPr>
            </w:pPr>
            <w:r>
              <w:rPr>
                <w:rFonts w:ascii="Times New Roman"/>
                <w:sz w:val="18"/>
              </w:rPr>
              <w:t>226,338,644.69</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226,338,644.69</w:t>
            </w:r>
          </w:p>
        </w:tc>
      </w:tr>
      <w:tr>
        <w:trPr>
          <w:trHeight w:val="739" w:hRule="exact"/>
        </w:trPr>
        <w:tc>
          <w:tcPr>
            <w:tcW w:w="1277" w:type="dxa"/>
            <w:vMerge/>
            <w:tcBorders>
              <w:left w:val="single" w:sz="6" w:space="0" w:color="000000"/>
              <w:bottom w:val="single" w:sz="6" w:space="0" w:color="000000"/>
              <w:right w:val="single" w:sz="6" w:space="0" w:color="000000"/>
            </w:tcBorders>
          </w:tcPr>
          <w:p>
            <w:pPr/>
          </w:p>
        </w:tc>
        <w:tc>
          <w:tcPr>
            <w:tcW w:w="1985" w:type="dxa"/>
            <w:vMerge/>
            <w:tcBorders>
              <w:left w:val="single" w:sz="6" w:space="0" w:color="000000"/>
              <w:bottom w:val="single" w:sz="6" w:space="0" w:color="000000"/>
              <w:right w:val="single" w:sz="6" w:space="0" w:color="000000"/>
            </w:tcBorders>
          </w:tcPr>
          <w:p>
            <w:pPr/>
          </w:p>
        </w:tc>
        <w:tc>
          <w:tcPr>
            <w:tcW w:w="1606" w:type="dxa"/>
            <w:vMerge/>
            <w:tcBorders>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
              <w:jc w:val="left"/>
              <w:rPr>
                <w:rFonts w:ascii="宋体" w:hAnsi="宋体" w:cs="宋体" w:eastAsia="宋体" w:hint="default"/>
                <w:sz w:val="18"/>
                <w:szCs w:val="18"/>
              </w:rPr>
            </w:pPr>
            <w:r>
              <w:rPr>
                <w:rFonts w:ascii="宋体" w:hAnsi="宋体" w:cs="宋体" w:eastAsia="宋体" w:hint="default"/>
                <w:spacing w:val="16"/>
                <w:sz w:val="18"/>
                <w:szCs w:val="18"/>
              </w:rPr>
              <w:t>以公允价值计量且其变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动计入其他综合收益</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81"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8"/>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8,553,091.11</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8,553,091.11</w:t>
            </w:r>
          </w:p>
        </w:tc>
      </w:tr>
    </w:tbl>
    <w:p>
      <w:pPr>
        <w:spacing w:line="240" w:lineRule="auto" w:before="3"/>
        <w:rPr>
          <w:rFonts w:ascii="宋体" w:hAnsi="宋体" w:cs="宋体" w:eastAsia="宋体" w:hint="default"/>
          <w:sz w:val="21"/>
          <w:szCs w:val="21"/>
        </w:rPr>
      </w:pPr>
    </w:p>
    <w:p>
      <w:pPr>
        <w:pStyle w:val="BodyText"/>
        <w:spacing w:line="240" w:lineRule="auto" w:before="44"/>
        <w:ind w:right="0"/>
        <w:jc w:val="left"/>
      </w:pPr>
      <w:r>
        <w:rPr/>
        <w:t>本公司</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560"/>
        <w:gridCol w:w="1844"/>
        <w:gridCol w:w="1464"/>
        <w:gridCol w:w="1512"/>
        <w:gridCol w:w="1985"/>
        <w:gridCol w:w="1330"/>
      </w:tblGrid>
      <w:tr>
        <w:trPr>
          <w:trHeight w:val="427" w:hRule="exact"/>
        </w:trPr>
        <w:tc>
          <w:tcPr>
            <w:tcW w:w="486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986" w:right="0"/>
              <w:jc w:val="left"/>
              <w:rPr>
                <w:rFonts w:ascii="宋体" w:hAnsi="宋体" w:cs="宋体" w:eastAsia="宋体" w:hint="default"/>
                <w:sz w:val="18"/>
                <w:szCs w:val="18"/>
              </w:rPr>
            </w:pPr>
            <w:r>
              <w:rPr>
                <w:rFonts w:ascii="宋体" w:hAnsi="宋体" w:cs="宋体" w:eastAsia="宋体" w:hint="default"/>
                <w:sz w:val="18"/>
                <w:szCs w:val="18"/>
              </w:rPr>
              <w:t>原金融工具准则（</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827"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058" w:right="0"/>
              <w:jc w:val="left"/>
              <w:rPr>
                <w:rFonts w:ascii="宋体" w:hAnsi="宋体" w:cs="宋体" w:eastAsia="宋体" w:hint="default"/>
                <w:sz w:val="18"/>
                <w:szCs w:val="18"/>
              </w:rPr>
            </w:pPr>
            <w:r>
              <w:rPr>
                <w:rFonts w:ascii="宋体" w:hAnsi="宋体" w:cs="宋体" w:eastAsia="宋体" w:hint="default"/>
                <w:sz w:val="18"/>
                <w:szCs w:val="18"/>
              </w:rPr>
              <w:t>新金融工具准则（</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25" w:hRule="exact"/>
        </w:trPr>
        <w:tc>
          <w:tcPr>
            <w:tcW w:w="15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55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95" w:right="0"/>
              <w:jc w:val="left"/>
              <w:rPr>
                <w:rFonts w:ascii="宋体" w:hAnsi="宋体" w:cs="宋体" w:eastAsia="宋体" w:hint="default"/>
                <w:sz w:val="18"/>
                <w:szCs w:val="18"/>
              </w:rPr>
            </w:pPr>
            <w:r>
              <w:rPr>
                <w:rFonts w:ascii="宋体" w:hAnsi="宋体" w:cs="宋体" w:eastAsia="宋体" w:hint="default"/>
                <w:sz w:val="18"/>
                <w:szCs w:val="18"/>
              </w:rPr>
              <w:t>账面价值（元）</w:t>
            </w:r>
          </w:p>
        </w:tc>
        <w:tc>
          <w:tcPr>
            <w:tcW w:w="15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62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3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24"/>
              <w:jc w:val="right"/>
              <w:rPr>
                <w:rFonts w:ascii="宋体" w:hAnsi="宋体" w:cs="宋体" w:eastAsia="宋体" w:hint="default"/>
                <w:sz w:val="18"/>
                <w:szCs w:val="18"/>
              </w:rPr>
            </w:pPr>
            <w:r>
              <w:rPr>
                <w:rFonts w:ascii="宋体" w:hAnsi="宋体" w:cs="宋体" w:eastAsia="宋体" w:hint="default"/>
                <w:sz w:val="18"/>
                <w:szCs w:val="18"/>
              </w:rPr>
              <w:t>账面价值（元）</w:t>
            </w:r>
          </w:p>
        </w:tc>
      </w:tr>
      <w:tr>
        <w:trPr>
          <w:trHeight w:val="78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101,103,714.65</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101,103,714.65</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5" w:header="748" w:top="1060" w:bottom="1160" w:left="980" w:right="0"/>
          <w:pgNumType w:start="12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560"/>
        <w:gridCol w:w="1844"/>
        <w:gridCol w:w="1464"/>
        <w:gridCol w:w="1512"/>
        <w:gridCol w:w="1985"/>
        <w:gridCol w:w="1330"/>
      </w:tblGrid>
      <w:tr>
        <w:trPr>
          <w:trHeight w:val="1092"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15"/>
              <w:jc w:val="both"/>
              <w:rPr>
                <w:rFonts w:ascii="宋体" w:hAnsi="宋体" w:cs="宋体" w:eastAsia="宋体" w:hint="default"/>
                <w:sz w:val="18"/>
                <w:szCs w:val="18"/>
              </w:rPr>
            </w:pPr>
            <w:r>
              <w:rPr>
                <w:rFonts w:ascii="宋体" w:hAnsi="宋体" w:cs="宋体" w:eastAsia="宋体" w:hint="default"/>
                <w:spacing w:val="14"/>
                <w:sz w:val="18"/>
                <w:szCs w:val="18"/>
              </w:rPr>
              <w:t>以公允价值计量且 其变动计入当期损 </w:t>
            </w:r>
            <w:r>
              <w:rPr>
                <w:rFonts w:ascii="宋体" w:hAnsi="宋体" w:cs="宋体" w:eastAsia="宋体" w:hint="default"/>
                <w:sz w:val="18"/>
                <w:szCs w:val="18"/>
              </w:rPr>
              <w:t>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动计入当期损益</w:t>
            </w:r>
          </w:p>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（交易性）</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1"/>
              <w:jc w:val="left"/>
              <w:rPr>
                <w:rFonts w:ascii="宋体" w:hAnsi="宋体" w:cs="宋体" w:eastAsia="宋体" w:hint="default"/>
                <w:sz w:val="18"/>
                <w:szCs w:val="18"/>
              </w:rPr>
            </w:pPr>
            <w:r>
              <w:rPr>
                <w:rFonts w:ascii="宋体" w:hAnsi="宋体" w:cs="宋体" w:eastAsia="宋体" w:hint="default"/>
                <w:spacing w:val="16"/>
                <w:sz w:val="18"/>
                <w:szCs w:val="18"/>
              </w:rPr>
              <w:t>以公允价值计量且其变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动计入当期损益</w:t>
            </w:r>
          </w:p>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（准则要求）</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118,891,468.50</w:t>
            </w:r>
          </w:p>
        </w:tc>
      </w:tr>
      <w:tr>
        <w:trPr>
          <w:trHeight w:val="425" w:hRule="exact"/>
        </w:trPr>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464" w:type="dxa"/>
            <w:vMerge w:val="restart"/>
            <w:tcBorders>
              <w:top w:val="single" w:sz="6" w:space="0" w:color="000000"/>
              <w:left w:val="single" w:sz="6" w:space="0" w:color="000000"/>
              <w:right w:val="single" w:sz="6" w:space="0" w:color="000000"/>
            </w:tcBorders>
          </w:tcPr>
          <w:p>
            <w:pPr>
              <w:pStyle w:val="TableParagraph"/>
              <w:spacing w:line="240" w:lineRule="auto" w:before="103"/>
              <w:ind w:left="638" w:right="-1"/>
              <w:jc w:val="left"/>
              <w:rPr>
                <w:rFonts w:ascii="Times New Roman" w:hAnsi="Times New Roman" w:cs="Times New Roman" w:eastAsia="Times New Roman" w:hint="default"/>
                <w:sz w:val="18"/>
                <w:szCs w:val="18"/>
              </w:rPr>
            </w:pPr>
            <w:r>
              <w:rPr>
                <w:rFonts w:ascii="Times New Roman"/>
                <w:sz w:val="18"/>
              </w:rPr>
              <w:t>336,674.16</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336,674.16</w:t>
            </w:r>
          </w:p>
        </w:tc>
      </w:tr>
      <w:tr>
        <w:trPr>
          <w:trHeight w:val="739" w:hRule="exact"/>
        </w:trPr>
        <w:tc>
          <w:tcPr>
            <w:tcW w:w="1560"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1464" w:type="dxa"/>
            <w:vMerge/>
            <w:tcBorders>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left"/>
              <w:rPr>
                <w:rFonts w:ascii="宋体" w:hAnsi="宋体" w:cs="宋体" w:eastAsia="宋体" w:hint="default"/>
                <w:sz w:val="18"/>
                <w:szCs w:val="18"/>
              </w:rPr>
            </w:pPr>
            <w:r>
              <w:rPr>
                <w:rFonts w:ascii="宋体" w:hAnsi="宋体" w:cs="宋体" w:eastAsia="宋体" w:hint="default"/>
                <w:spacing w:val="16"/>
                <w:sz w:val="18"/>
                <w:szCs w:val="18"/>
              </w:rPr>
              <w:t>以公允价值计量且其变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动计入其他综合收益</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464" w:type="dxa"/>
            <w:vMerge w:val="restart"/>
            <w:tcBorders>
              <w:top w:val="single" w:sz="6" w:space="0" w:color="000000"/>
              <w:left w:val="single" w:sz="6" w:space="0" w:color="000000"/>
              <w:right w:val="single" w:sz="6" w:space="0" w:color="000000"/>
            </w:tcBorders>
          </w:tcPr>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195,937,345.07</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195,937,345.07</w:t>
            </w:r>
          </w:p>
        </w:tc>
      </w:tr>
      <w:tr>
        <w:trPr>
          <w:trHeight w:val="739" w:hRule="exact"/>
        </w:trPr>
        <w:tc>
          <w:tcPr>
            <w:tcW w:w="1560"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1464" w:type="dxa"/>
            <w:vMerge/>
            <w:tcBorders>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1"/>
              <w:jc w:val="left"/>
              <w:rPr>
                <w:rFonts w:ascii="宋体" w:hAnsi="宋体" w:cs="宋体" w:eastAsia="宋体" w:hint="default"/>
                <w:sz w:val="18"/>
                <w:szCs w:val="18"/>
              </w:rPr>
            </w:pPr>
            <w:r>
              <w:rPr>
                <w:rFonts w:ascii="宋体" w:hAnsi="宋体" w:cs="宋体" w:eastAsia="宋体" w:hint="default"/>
                <w:spacing w:val="16"/>
                <w:sz w:val="18"/>
                <w:szCs w:val="18"/>
              </w:rPr>
              <w:t>以公允价值计量且其变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动计入其他综合收益</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81"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5"/>
              <w:ind w:left="4"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11,273,222.04</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11,273,222.04</w:t>
            </w:r>
          </w:p>
        </w:tc>
      </w:tr>
    </w:tbl>
    <w:p>
      <w:pPr>
        <w:spacing w:line="240" w:lineRule="auto" w:before="3"/>
        <w:rPr>
          <w:rFonts w:ascii="宋体" w:hAnsi="宋体" w:cs="宋体" w:eastAsia="宋体" w:hint="default"/>
          <w:sz w:val="21"/>
          <w:szCs w:val="21"/>
        </w:rPr>
      </w:pPr>
    </w:p>
    <w:p>
      <w:pPr>
        <w:pStyle w:val="BodyText"/>
        <w:spacing w:line="300" w:lineRule="auto" w:before="44"/>
        <w:ind w:right="0"/>
        <w:jc w:val="left"/>
      </w:pPr>
      <w:r>
        <w:rPr/>
        <w:t>以按照财会 </w:t>
      </w:r>
      <w:r>
        <w:rPr>
          <w:rFonts w:ascii="Times New Roman" w:hAnsi="Times New Roman" w:cs="Times New Roman" w:eastAsia="Times New Roman" w:hint="default"/>
        </w:rPr>
        <w:t>[2019] 6</w:t>
      </w:r>
      <w:r>
        <w:rPr/>
        <w:t>号和财会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rFonts w:ascii="Times New Roman" w:hAnsi="Times New Roman" w:cs="Times New Roman" w:eastAsia="Times New Roman" w:hint="default"/>
        </w:rPr>
        <w:t>16</w:t>
      </w:r>
      <w:r>
        <w:rPr/>
        <w:t>号规定追溯调整后的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日财务报表为基础，将原金融资产账面价值调整 为按照新金融工具准则的规定进行分类和计量的新金融资产账面价值的调节如下：</w:t>
      </w:r>
    </w:p>
    <w:p>
      <w:pPr>
        <w:spacing w:line="240" w:lineRule="auto" w:before="3"/>
        <w:rPr>
          <w:rFonts w:ascii="宋体" w:hAnsi="宋体" w:cs="宋体" w:eastAsia="宋体" w:hint="default"/>
          <w:sz w:val="26"/>
          <w:szCs w:val="26"/>
        </w:rPr>
      </w:pPr>
    </w:p>
    <w:p>
      <w:pPr>
        <w:pStyle w:val="BodyText"/>
        <w:spacing w:line="240" w:lineRule="auto"/>
        <w:ind w:right="0"/>
        <w:jc w:val="left"/>
      </w:pPr>
      <w:r>
        <w:rPr/>
        <w:t>本集团</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254"/>
        <w:gridCol w:w="1647"/>
        <w:gridCol w:w="1414"/>
        <w:gridCol w:w="824"/>
        <w:gridCol w:w="1558"/>
      </w:tblGrid>
      <w:tr>
        <w:trPr>
          <w:trHeight w:val="971"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5"/>
              <w:ind w:left="187" w:right="94" w:hanging="92"/>
              <w:jc w:val="left"/>
              <w:rPr>
                <w:rFonts w:ascii="宋体" w:hAnsi="宋体" w:cs="宋体" w:eastAsia="宋体" w:hint="default"/>
                <w:sz w:val="18"/>
                <w:szCs w:val="18"/>
              </w:rPr>
            </w:pPr>
            <w:r>
              <w:rPr>
                <w:rFonts w:ascii="宋体" w:hAnsi="宋体" w:cs="宋体" w:eastAsia="宋体" w:hint="default"/>
                <w:sz w:val="18"/>
                <w:szCs w:val="18"/>
              </w:rPr>
              <w:t>按原金融工具准则 列示的账面价值</w:t>
            </w:r>
          </w:p>
          <w:p>
            <w:pPr>
              <w:pStyle w:val="TableParagraph"/>
              <w:spacing w:line="240" w:lineRule="auto" w:before="19"/>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c>
          <w:tcPr>
            <w:tcW w:w="14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
              <w:ind w:left="42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
              <w:ind w:right="41"/>
              <w:jc w:val="right"/>
              <w:rPr>
                <w:rFonts w:ascii="宋体" w:hAnsi="宋体" w:cs="宋体" w:eastAsia="宋体" w:hint="default"/>
                <w:sz w:val="18"/>
                <w:szCs w:val="18"/>
              </w:rPr>
            </w:pPr>
            <w:r>
              <w:rPr>
                <w:rFonts w:ascii="宋体" w:hAnsi="宋体" w:cs="宋体" w:eastAsia="宋体" w:hint="default"/>
                <w:sz w:val="18"/>
                <w:szCs w:val="18"/>
              </w:rPr>
              <w:t>重新计量</w:t>
            </w:r>
          </w:p>
        </w:tc>
        <w:tc>
          <w:tcPr>
            <w:tcW w:w="15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5"/>
              <w:ind w:left="141" w:right="50" w:hanging="92"/>
              <w:jc w:val="left"/>
              <w:rPr>
                <w:rFonts w:ascii="宋体" w:hAnsi="宋体" w:cs="宋体" w:eastAsia="宋体" w:hint="default"/>
                <w:sz w:val="18"/>
                <w:szCs w:val="18"/>
              </w:rPr>
            </w:pPr>
            <w:r>
              <w:rPr>
                <w:rFonts w:ascii="宋体" w:hAnsi="宋体" w:cs="宋体" w:eastAsia="宋体" w:hint="default"/>
                <w:sz w:val="18"/>
                <w:szCs w:val="18"/>
              </w:rPr>
              <w:t>按新金融工具准则 列示的账面价值</w:t>
            </w:r>
          </w:p>
          <w:p>
            <w:pPr>
              <w:pStyle w:val="TableParagraph"/>
              <w:spacing w:line="240" w:lineRule="auto" w:before="19"/>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r>
      <w:tr>
        <w:trPr>
          <w:trHeight w:val="422"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64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1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5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146,375,945.17</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146,375,945.17</w:t>
            </w:r>
          </w:p>
        </w:tc>
      </w:tr>
      <w:tr>
        <w:trPr>
          <w:trHeight w:val="428"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336,674.16</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336,674.16</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226,338,644.69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226,338,644.69</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8,553,091.11</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8,553,091.11</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以摊余成本计量的总金融资产</w:t>
            </w:r>
          </w:p>
        </w:tc>
        <w:tc>
          <w:tcPr>
            <w:tcW w:w="1647"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381,604,355.13</w:t>
            </w:r>
          </w:p>
        </w:tc>
        <w:tc>
          <w:tcPr>
            <w:tcW w:w="1414"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4"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381,604,355.13</w:t>
            </w:r>
          </w:p>
        </w:tc>
      </w:tr>
      <w:tr>
        <w:trPr>
          <w:trHeight w:val="426"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w:t>
            </w:r>
            <w:r>
              <w:rPr>
                <w:rFonts w:ascii="宋体" w:hAnsi="宋体" w:cs="宋体" w:eastAsia="宋体" w:hint="default"/>
                <w:sz w:val="18"/>
                <w:szCs w:val="18"/>
              </w:rPr>
            </w:r>
          </w:p>
        </w:tc>
        <w:tc>
          <w:tcPr>
            <w:tcW w:w="164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1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5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118,891,468.50)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118,891,468.50</w:t>
            </w:r>
          </w:p>
        </w:tc>
      </w:tr>
      <w:tr>
        <w:trPr>
          <w:trHeight w:val="422"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以公允价值计量且其变动计入当期损益的总金融资产</w:t>
            </w:r>
            <w:r>
              <w:rPr>
                <w:rFonts w:ascii="宋体" w:hAnsi="宋体" w:cs="宋体" w:eastAsia="宋体" w:hint="default"/>
                <w:sz w:val="18"/>
                <w:szCs w:val="18"/>
              </w:rPr>
            </w:r>
          </w:p>
        </w:tc>
        <w:tc>
          <w:tcPr>
            <w:tcW w:w="16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14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118,891,468.50</w:t>
            </w:r>
          </w:p>
        </w:tc>
      </w:tr>
    </w:tbl>
    <w:p>
      <w:pPr>
        <w:spacing w:line="240" w:lineRule="auto" w:before="9"/>
        <w:rPr>
          <w:rFonts w:ascii="宋体" w:hAnsi="宋体" w:cs="宋体" w:eastAsia="宋体" w:hint="default"/>
          <w:sz w:val="21"/>
          <w:szCs w:val="21"/>
        </w:rPr>
      </w:pPr>
    </w:p>
    <w:p>
      <w:pPr>
        <w:pStyle w:val="BodyText"/>
        <w:spacing w:line="240" w:lineRule="auto" w:before="44"/>
        <w:ind w:right="0"/>
        <w:jc w:val="left"/>
      </w:pPr>
      <w:r>
        <w:rPr/>
        <w:t>本公司</w:t>
      </w:r>
    </w:p>
    <w:p>
      <w:pPr>
        <w:spacing w:line="240" w:lineRule="auto" w:before="5"/>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225"/>
        <w:gridCol w:w="1616"/>
        <w:gridCol w:w="1534"/>
        <w:gridCol w:w="793"/>
        <w:gridCol w:w="1529"/>
      </w:tblGrid>
      <w:tr>
        <w:trPr>
          <w:trHeight w:val="971"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5"/>
              <w:ind w:left="170" w:right="77" w:hanging="89"/>
              <w:jc w:val="left"/>
              <w:rPr>
                <w:rFonts w:ascii="宋体" w:hAnsi="宋体" w:cs="宋体" w:eastAsia="宋体" w:hint="default"/>
                <w:sz w:val="18"/>
                <w:szCs w:val="18"/>
              </w:rPr>
            </w:pPr>
            <w:r>
              <w:rPr>
                <w:rFonts w:ascii="宋体" w:hAnsi="宋体" w:cs="宋体" w:eastAsia="宋体" w:hint="default"/>
                <w:sz w:val="18"/>
                <w:szCs w:val="18"/>
              </w:rPr>
              <w:t>按原金融工具准则 列示的账面价值</w:t>
            </w:r>
          </w:p>
          <w:p>
            <w:pPr>
              <w:pStyle w:val="TableParagraph"/>
              <w:spacing w:line="240" w:lineRule="auto" w:before="19"/>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c>
          <w:tcPr>
            <w:tcW w:w="15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
              <w:ind w:left="48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
              <w:ind w:right="26"/>
              <w:jc w:val="right"/>
              <w:rPr>
                <w:rFonts w:ascii="宋体" w:hAnsi="宋体" w:cs="宋体" w:eastAsia="宋体" w:hint="default"/>
                <w:sz w:val="18"/>
                <w:szCs w:val="18"/>
              </w:rPr>
            </w:pPr>
            <w:r>
              <w:rPr>
                <w:rFonts w:ascii="宋体" w:hAnsi="宋体" w:cs="宋体" w:eastAsia="宋体" w:hint="default"/>
                <w:sz w:val="18"/>
                <w:szCs w:val="18"/>
              </w:rPr>
              <w:t>重新计量</w:t>
            </w:r>
          </w:p>
        </w:tc>
        <w:tc>
          <w:tcPr>
            <w:tcW w:w="15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5"/>
              <w:ind w:left="129" w:right="35" w:hanging="92"/>
              <w:jc w:val="left"/>
              <w:rPr>
                <w:rFonts w:ascii="宋体" w:hAnsi="宋体" w:cs="宋体" w:eastAsia="宋体" w:hint="default"/>
                <w:sz w:val="18"/>
                <w:szCs w:val="18"/>
              </w:rPr>
            </w:pPr>
            <w:r>
              <w:rPr>
                <w:rFonts w:ascii="宋体" w:hAnsi="宋体" w:cs="宋体" w:eastAsia="宋体" w:hint="default"/>
                <w:sz w:val="18"/>
                <w:szCs w:val="18"/>
              </w:rPr>
              <w:t>按新金融工具准则 列示的账面价值</w:t>
            </w:r>
          </w:p>
          <w:p>
            <w:pPr>
              <w:pStyle w:val="TableParagraph"/>
              <w:spacing w:line="240" w:lineRule="auto" w:before="19"/>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r>
      <w:tr>
        <w:trPr>
          <w:trHeight w:val="422"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6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3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2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7"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101,103,714.65</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101,103,714.65</w:t>
            </w:r>
          </w:p>
        </w:tc>
      </w:tr>
      <w:tr>
        <w:trPr>
          <w:trHeight w:val="428"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336,674.16</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336,674.16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9"/>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225"/>
        <w:gridCol w:w="1616"/>
        <w:gridCol w:w="1534"/>
        <w:gridCol w:w="793"/>
        <w:gridCol w:w="1529"/>
      </w:tblGrid>
      <w:tr>
        <w:trPr>
          <w:trHeight w:val="423"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spacing w:val="-1"/>
                <w:sz w:val="18"/>
              </w:rPr>
              <w:t>195,937,345.07</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spacing w:val="-1"/>
                <w:sz w:val="18"/>
              </w:rPr>
              <w:t>195,937,345.07</w:t>
            </w:r>
          </w:p>
        </w:tc>
      </w:tr>
      <w:tr>
        <w:trPr>
          <w:trHeight w:val="427"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11,273,222.04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11,273,222.04</w:t>
            </w:r>
          </w:p>
        </w:tc>
      </w:tr>
      <w:tr>
        <w:trPr>
          <w:trHeight w:val="427"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以摊余成本计量的总金融资产</w:t>
            </w:r>
          </w:p>
        </w:tc>
        <w:tc>
          <w:tcPr>
            <w:tcW w:w="1616"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308,650,955.92</w:t>
            </w:r>
          </w:p>
        </w:tc>
        <w:tc>
          <w:tcPr>
            <w:tcW w:w="1534"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3"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308,650,955.92</w:t>
            </w:r>
          </w:p>
        </w:tc>
      </w:tr>
      <w:tr>
        <w:trPr>
          <w:trHeight w:val="426"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w:t>
            </w:r>
            <w:r>
              <w:rPr>
                <w:rFonts w:ascii="宋体" w:hAnsi="宋体" w:cs="宋体" w:eastAsia="宋体" w:hint="default"/>
                <w:sz w:val="18"/>
                <w:szCs w:val="18"/>
              </w:rPr>
            </w:r>
          </w:p>
        </w:tc>
        <w:tc>
          <w:tcPr>
            <w:tcW w:w="16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3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2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7"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61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1534"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(118,891,468.50)</w:t>
            </w:r>
          </w:p>
        </w:tc>
        <w:tc>
          <w:tcPr>
            <w:tcW w:w="79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118,891,468.50</w:t>
            </w:r>
          </w:p>
        </w:tc>
      </w:tr>
      <w:tr>
        <w:trPr>
          <w:trHeight w:val="422"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以公允价值计量且其变动计入当期损益的总金融资产</w:t>
            </w:r>
            <w:r>
              <w:rPr>
                <w:rFonts w:ascii="宋体" w:hAnsi="宋体" w:cs="宋体" w:eastAsia="宋体" w:hint="default"/>
                <w:sz w:val="18"/>
                <w:szCs w:val="18"/>
              </w:rPr>
            </w:r>
          </w:p>
        </w:tc>
        <w:tc>
          <w:tcPr>
            <w:tcW w:w="1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15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118,891,468.50</w:t>
            </w:r>
          </w:p>
        </w:tc>
      </w:tr>
    </w:tbl>
    <w:p>
      <w:pPr>
        <w:spacing w:line="240" w:lineRule="auto" w:before="9"/>
        <w:rPr>
          <w:rFonts w:ascii="宋体" w:hAnsi="宋体" w:cs="宋体" w:eastAsia="宋体" w:hint="default"/>
          <w:sz w:val="21"/>
          <w:szCs w:val="21"/>
        </w:rPr>
      </w:pPr>
    </w:p>
    <w:p>
      <w:pPr>
        <w:pStyle w:val="BodyText"/>
        <w:spacing w:line="240" w:lineRule="auto" w:before="44"/>
        <w:ind w:right="0"/>
        <w:jc w:val="both"/>
      </w:pPr>
      <w:r>
        <w:rPr>
          <w:rFonts w:ascii="Times New Roman" w:hAnsi="Times New Roman" w:cs="Times New Roman" w:eastAsia="Times New Roman" w:hint="default"/>
        </w:rPr>
        <w:t>(iii)  </w:t>
      </w:r>
      <w:r>
        <w:rPr>
          <w:rFonts w:ascii="Times New Roman" w:hAnsi="Times New Roman" w:cs="Times New Roman" w:eastAsia="Times New Roman" w:hint="default"/>
          <w:spacing w:val="13"/>
        </w:rPr>
        <w:t> </w:t>
      </w:r>
      <w:r>
        <w:rPr/>
        <w:t>采用</w:t>
      </w:r>
      <w:r>
        <w:rPr>
          <w:rFonts w:ascii="Times New Roman" w:hAnsi="Times New Roman" w:cs="Times New Roman" w:eastAsia="Times New Roman" w:hint="default"/>
        </w:rPr>
        <w:t>“</w:t>
      </w:r>
      <w:r>
        <w:rPr/>
        <w:t>预期信用损失</w:t>
      </w:r>
      <w:r>
        <w:rPr>
          <w:rFonts w:ascii="Times New Roman" w:hAnsi="Times New Roman" w:cs="Times New Roman" w:eastAsia="Times New Roman" w:hint="default"/>
        </w:rPr>
        <w:t>”</w:t>
      </w:r>
      <w:r>
        <w:rPr/>
        <w:t>模型的影响</w:t>
      </w:r>
    </w:p>
    <w:p>
      <w:pPr>
        <w:spacing w:line="240" w:lineRule="auto" w:before="0"/>
        <w:rPr>
          <w:rFonts w:ascii="宋体" w:hAnsi="宋体" w:cs="宋体" w:eastAsia="宋体" w:hint="default"/>
          <w:sz w:val="18"/>
          <w:szCs w:val="18"/>
        </w:rPr>
      </w:pPr>
    </w:p>
    <w:p>
      <w:pPr>
        <w:pStyle w:val="BodyText"/>
        <w:spacing w:line="240" w:lineRule="auto" w:before="140"/>
        <w:ind w:right="0"/>
        <w:jc w:val="both"/>
      </w:pPr>
      <w:r>
        <w:rPr>
          <w:rFonts w:ascii="Times New Roman" w:hAnsi="Times New Roman" w:cs="Times New Roman" w:eastAsia="Times New Roman" w:hint="default"/>
        </w:rPr>
        <w:t>“</w:t>
      </w:r>
      <w:r>
        <w:rPr/>
        <w:t>预期信用损失</w:t>
      </w:r>
      <w:r>
        <w:rPr>
          <w:rFonts w:ascii="Times New Roman" w:hAnsi="Times New Roman" w:cs="Times New Roman" w:eastAsia="Times New Roman" w:hint="default"/>
        </w:rPr>
        <w:t>”</w:t>
      </w:r>
      <w:r>
        <w:rPr/>
        <w:t>模型适用于本集团下列项目：</w:t>
      </w:r>
    </w:p>
    <w:p>
      <w:pPr>
        <w:spacing w:line="240" w:lineRule="auto" w:before="0"/>
        <w:rPr>
          <w:rFonts w:ascii="宋体" w:hAnsi="宋体" w:cs="宋体" w:eastAsia="宋体" w:hint="default"/>
          <w:sz w:val="18"/>
          <w:szCs w:val="18"/>
        </w:rPr>
      </w:pPr>
    </w:p>
    <w:p>
      <w:pPr>
        <w:pStyle w:val="BodyText"/>
        <w:spacing w:line="240" w:lineRule="auto" w:before="139"/>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43"/>
        </w:rPr>
        <w:t> </w:t>
      </w:r>
      <w:r>
        <w:rPr/>
        <w:t>以摊余成本计量的金融资产；</w:t>
      </w:r>
    </w:p>
    <w:p>
      <w:pPr>
        <w:spacing w:line="240" w:lineRule="auto" w:before="0"/>
        <w:rPr>
          <w:rFonts w:ascii="宋体" w:hAnsi="宋体" w:cs="宋体" w:eastAsia="宋体" w:hint="default"/>
          <w:sz w:val="18"/>
          <w:szCs w:val="18"/>
        </w:rPr>
      </w:pPr>
    </w:p>
    <w:p>
      <w:pPr>
        <w:pStyle w:val="BodyText"/>
        <w:spacing w:line="240" w:lineRule="auto" w:before="139"/>
        <w:ind w:right="0"/>
        <w:jc w:val="both"/>
      </w:pPr>
      <w:r>
        <w:rPr>
          <w:rFonts w:ascii="Times New Roman" w:hAnsi="Times New Roman" w:cs="Times New Roman" w:eastAsia="Times New Roman" w:hint="default"/>
        </w:rPr>
        <w:t>“</w:t>
      </w:r>
      <w:r>
        <w:rPr/>
        <w:t>预期信用损失</w:t>
      </w:r>
      <w:r>
        <w:rPr>
          <w:rFonts w:ascii="Times New Roman" w:hAnsi="Times New Roman" w:cs="Times New Roman" w:eastAsia="Times New Roman" w:hint="default"/>
        </w:rPr>
        <w:t>”</w:t>
      </w:r>
      <w:r>
        <w:rPr/>
        <w:t>模型不适用于权益工具投资。</w:t>
      </w:r>
    </w:p>
    <w:p>
      <w:pPr>
        <w:spacing w:line="240" w:lineRule="auto" w:before="0"/>
        <w:rPr>
          <w:rFonts w:ascii="宋体" w:hAnsi="宋体" w:cs="宋体" w:eastAsia="宋体" w:hint="default"/>
          <w:sz w:val="18"/>
          <w:szCs w:val="18"/>
        </w:rPr>
      </w:pPr>
    </w:p>
    <w:p>
      <w:pPr>
        <w:pStyle w:val="BodyText"/>
        <w:spacing w:line="300" w:lineRule="auto" w:before="139"/>
        <w:ind w:right="1132"/>
        <w:jc w:val="both"/>
      </w:pPr>
      <w:r>
        <w:rPr/>
        <w:t>以按照财会 </w:t>
      </w:r>
      <w:r>
        <w:rPr>
          <w:rFonts w:ascii="Times New Roman" w:hAnsi="Times New Roman" w:cs="Times New Roman" w:eastAsia="Times New Roman" w:hint="default"/>
        </w:rPr>
        <w:t>[2019] 6</w:t>
      </w:r>
      <w:r>
        <w:rPr/>
        <w:t>号规定和财会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rFonts w:ascii="Times New Roman" w:hAnsi="Times New Roman" w:cs="Times New Roman" w:eastAsia="Times New Roman" w:hint="default"/>
        </w:rPr>
        <w:t>16</w:t>
      </w:r>
      <w:r>
        <w:rPr/>
        <w:t>号追溯调整后的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日财务报表为基础，将原金融工具减值准备期末 金额调整为按照新金融工具准则的规定进行分类和计量的新损失准备对本集团及本公司影响不大，未作调整。</w:t>
      </w:r>
    </w:p>
    <w:p>
      <w:pPr>
        <w:spacing w:line="240" w:lineRule="auto" w:before="3"/>
        <w:rPr>
          <w:rFonts w:ascii="宋体" w:hAnsi="宋体" w:cs="宋体" w:eastAsia="宋体" w:hint="default"/>
          <w:sz w:val="26"/>
          <w:szCs w:val="26"/>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(c)     </w:t>
      </w:r>
      <w:r>
        <w:rPr/>
        <w:t>准则</w:t>
      </w:r>
      <w:r>
        <w:rPr>
          <w:rFonts w:ascii="Times New Roman" w:hAnsi="Times New Roman" w:cs="Times New Roman" w:eastAsia="Times New Roman" w:hint="default"/>
        </w:rPr>
        <w:t>7</w:t>
      </w:r>
      <w:r>
        <w:rPr/>
        <w:t>号</w:t>
      </w:r>
      <w:r>
        <w:rPr>
          <w:spacing w:val="-21"/>
        </w:rPr>
        <w:t> </w:t>
      </w:r>
      <w:r>
        <w:rPr>
          <w:rFonts w:ascii="Times New Roman" w:hAnsi="Times New Roman" w:cs="Times New Roman" w:eastAsia="Times New Roman" w:hint="default"/>
        </w:rPr>
        <w:t>(2019)</w:t>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pStyle w:val="BodyText"/>
        <w:spacing w:line="309" w:lineRule="auto"/>
        <w:ind w:right="1131"/>
        <w:jc w:val="both"/>
      </w:pPr>
      <w:r>
        <w:rPr/>
        <w:t>准则</w:t>
      </w:r>
      <w:r>
        <w:rPr>
          <w:rFonts w:ascii="Times New Roman" w:hAnsi="Times New Roman" w:cs="Times New Roman" w:eastAsia="Times New Roman" w:hint="default"/>
        </w:rPr>
        <w:t>7</w:t>
      </w:r>
      <w:r>
        <w:rPr/>
        <w:t>号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2"/>
        </w:rPr>
        <w:t>细化了非货币性资产交换准则的适用范围，明确了换入资产的确认时点和换出资产的终止确认时点并规定了</w:t>
      </w:r>
      <w:r>
        <w:rPr/>
        <w:t> </w:t>
      </w:r>
      <w:r>
        <w:rPr>
          <w:spacing w:val="-2"/>
        </w:rPr>
        <w:t>两个时点不一致时的会计处理方法，修订了以公允价值为基础计量的非货币性资产交换中同时换入或换出多项资产时的计量</w:t>
      </w:r>
      <w:r>
        <w:rPr>
          <w:spacing w:val="-63"/>
        </w:rPr>
        <w:t> </w:t>
      </w:r>
      <w:r>
        <w:rPr>
          <w:spacing w:val="-63"/>
        </w:rPr>
      </w:r>
      <w:r>
        <w:rPr/>
        <w:t>原则，此外新增了对非货币性资产交换是否具有商业实质及其原因的披露要求。</w:t>
      </w:r>
    </w:p>
    <w:p>
      <w:pPr>
        <w:spacing w:line="240" w:lineRule="auto" w:before="9"/>
        <w:rPr>
          <w:rFonts w:ascii="宋体" w:hAnsi="宋体" w:cs="宋体" w:eastAsia="宋体" w:hint="default"/>
          <w:sz w:val="25"/>
          <w:szCs w:val="25"/>
        </w:rPr>
      </w:pPr>
    </w:p>
    <w:p>
      <w:pPr>
        <w:pStyle w:val="BodyText"/>
        <w:spacing w:line="300" w:lineRule="auto"/>
        <w:ind w:right="1130"/>
        <w:jc w:val="both"/>
      </w:pPr>
      <w:r>
        <w:rPr/>
        <w:t>准则</w:t>
      </w:r>
      <w:r>
        <w:rPr>
          <w:rFonts w:ascii="Times New Roman" w:hAnsi="Times New Roman" w:cs="Times New Roman" w:eastAsia="Times New Roman" w:hint="default"/>
        </w:rPr>
        <w:t>7</w:t>
      </w:r>
      <w:r>
        <w:rPr/>
        <w:t>号 </w:t>
      </w: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日起施行，对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日至准则施行日之间发生的非货币性资产交换根据该准则规定进行 </w:t>
      </w:r>
      <w:r>
        <w:rPr>
          <w:spacing w:val="-2"/>
        </w:rPr>
        <w:t>调整，对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日之前发生的非货币性资产交换，不再进行追溯调整。采用该准则未对本集团的财务状况和经营成果产</w:t>
      </w:r>
      <w:r>
        <w:rPr>
          <w:spacing w:val="-60"/>
        </w:rPr>
        <w:t> </w:t>
      </w:r>
      <w:r>
        <w:rPr>
          <w:spacing w:val="-60"/>
        </w:rPr>
      </w:r>
      <w:r>
        <w:rPr/>
        <w:t>生重大影响。</w:t>
      </w:r>
    </w:p>
    <w:p>
      <w:pPr>
        <w:spacing w:line="240" w:lineRule="auto" w:before="3"/>
        <w:rPr>
          <w:rFonts w:ascii="宋体" w:hAnsi="宋体" w:cs="宋体" w:eastAsia="宋体" w:hint="default"/>
          <w:sz w:val="26"/>
          <w:szCs w:val="26"/>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(d)     </w:t>
      </w:r>
      <w:r>
        <w:rPr/>
        <w:t>准则</w:t>
      </w:r>
      <w:r>
        <w:rPr>
          <w:rFonts w:ascii="Times New Roman" w:hAnsi="Times New Roman" w:cs="Times New Roman" w:eastAsia="Times New Roman" w:hint="default"/>
        </w:rPr>
        <w:t>12</w:t>
      </w:r>
      <w:r>
        <w:rPr/>
        <w:t>号</w:t>
      </w:r>
      <w:r>
        <w:rPr>
          <w:spacing w:val="-33"/>
        </w:rPr>
        <w:t> </w:t>
      </w:r>
      <w:r>
        <w:rPr>
          <w:rFonts w:ascii="Times New Roman" w:hAnsi="Times New Roman" w:cs="Times New Roman" w:eastAsia="Times New Roman" w:hint="default"/>
        </w:rPr>
        <w:t>(2019)</w:t>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pStyle w:val="BodyText"/>
        <w:spacing w:line="240" w:lineRule="auto"/>
        <w:ind w:right="0"/>
        <w:jc w:val="both"/>
      </w:pPr>
      <w:r>
        <w:rPr/>
        <w:t>准则</w:t>
      </w:r>
      <w:r>
        <w:rPr>
          <w:rFonts w:ascii="Times New Roman" w:hAnsi="Times New Roman" w:cs="Times New Roman" w:eastAsia="Times New Roman" w:hint="default"/>
        </w:rPr>
        <w:t>12</w:t>
      </w:r>
      <w:r>
        <w:rPr/>
        <w:t>号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t>修改了债务重组的定义，明确了该准则的适用范围，并规定债务重组中涉及的金融工具的确认、计量和列</w:t>
      </w:r>
    </w:p>
    <w:p>
      <w:pPr>
        <w:pStyle w:val="BodyText"/>
        <w:spacing w:line="307" w:lineRule="auto" w:before="63"/>
        <w:ind w:right="1129"/>
        <w:jc w:val="both"/>
      </w:pPr>
      <w:r>
        <w:rPr/>
        <w:t>报适用金融工具相关准则的规定。对于以资产清偿债务方式进行债务重组的，准则</w:t>
      </w:r>
      <w:r>
        <w:rPr>
          <w:rFonts w:ascii="Times New Roman" w:hAnsi="Times New Roman" w:cs="Times New Roman" w:eastAsia="Times New Roman" w:hint="default"/>
        </w:rPr>
        <w:t>12</w:t>
      </w:r>
      <w:r>
        <w:rPr/>
        <w:t>号 </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t>修改了债权人受让非金融资 </w:t>
      </w:r>
      <w:r>
        <w:rPr>
          <w:spacing w:val="-2"/>
        </w:rPr>
        <w:t>产初始确认时的计量原则，并对于债务人在债务重组中产生的利得和损失不再区分资产转让损益和债务重组损益两项损益进</w:t>
      </w:r>
      <w:r>
        <w:rPr>
          <w:spacing w:val="-64"/>
        </w:rPr>
        <w:t> </w:t>
      </w:r>
      <w:r>
        <w:rPr>
          <w:spacing w:val="-64"/>
        </w:rPr>
      </w:r>
      <w:r>
        <w:rPr/>
        <w:t>行列报。对于将债务转为权益工具方式进行债务重组的，准则</w:t>
      </w:r>
      <w:r>
        <w:rPr>
          <w:rFonts w:ascii="Times New Roman" w:hAnsi="Times New Roman" w:cs="Times New Roman" w:eastAsia="Times New Roman" w:hint="default"/>
        </w:rPr>
        <w:t>12</w:t>
      </w:r>
      <w:r>
        <w:rPr/>
        <w:t>号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修改了债权人初始确认享有股份的计量原则，并 对于债务人初始确认权益工具的计量原则增加了指引。</w:t>
      </w:r>
    </w:p>
    <w:p>
      <w:pPr>
        <w:spacing w:line="240" w:lineRule="auto" w:before="11"/>
        <w:rPr>
          <w:rFonts w:ascii="宋体" w:hAnsi="宋体" w:cs="宋体" w:eastAsia="宋体" w:hint="default"/>
          <w:sz w:val="25"/>
          <w:szCs w:val="25"/>
        </w:rPr>
      </w:pPr>
    </w:p>
    <w:p>
      <w:pPr>
        <w:pStyle w:val="BodyText"/>
        <w:spacing w:line="240" w:lineRule="auto"/>
        <w:ind w:right="0"/>
        <w:jc w:val="both"/>
      </w:pPr>
      <w:r>
        <w:rPr/>
        <w:t>准则</w:t>
      </w:r>
      <w:r>
        <w:rPr>
          <w:rFonts w:ascii="Times New Roman" w:hAnsi="Times New Roman" w:cs="Times New Roman" w:eastAsia="Times New Roman" w:hint="default"/>
        </w:rPr>
        <w:t>12</w:t>
      </w:r>
      <w:r>
        <w:rPr/>
        <w:t>号</w:t>
      </w:r>
      <w:r>
        <w:rPr>
          <w:spacing w:val="-6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日起施行，对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日至准则施行日之间发生的债务重组根据该准则规定进行调整，对</w:t>
      </w:r>
    </w:p>
    <w:p>
      <w:pPr>
        <w:pStyle w:val="BodyText"/>
        <w:spacing w:line="240" w:lineRule="auto" w:before="63"/>
        <w:ind w:right="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日之前发生的债务重组，不再进行追溯调整。采用该准则未对本集团的财务状况和经营成果产生重大影响。</w:t>
      </w:r>
    </w:p>
    <w:p>
      <w:pPr>
        <w:spacing w:after="0" w:line="240" w:lineRule="auto"/>
        <w:jc w:val="both"/>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20"/>
        <w:gridCol w:w="2410"/>
        <w:gridCol w:w="2269"/>
        <w:gridCol w:w="1769"/>
      </w:tblGrid>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9"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146,375,945.17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146,375,945.17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118,891,468.50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9" w:right="0"/>
              <w:jc w:val="left"/>
              <w:rPr>
                <w:rFonts w:ascii="Times New Roman" w:hAnsi="Times New Roman" w:cs="Times New Roman" w:eastAsia="Times New Roman" w:hint="default"/>
                <w:sz w:val="18"/>
                <w:szCs w:val="18"/>
              </w:rPr>
            </w:pPr>
            <w:r>
              <w:rPr>
                <w:rFonts w:ascii="Times New Roman"/>
                <w:sz w:val="18"/>
              </w:rPr>
              <w:t>118,891,468.50</w:t>
            </w:r>
          </w:p>
        </w:tc>
      </w:tr>
      <w:tr>
        <w:trPr>
          <w:trHeight w:val="715"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24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118,891,468.50</w:t>
            </w: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-118,891,468.50</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336,674.16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336,674.16</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226,338,644.69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226,338,644.69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7,123,420.10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7,123,420.10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8,553,091.11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8,553,091.11</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14,794.52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14,794.52</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100,899.80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100,899.80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11,638,991.28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11,638,991.28</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519,359,134.81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519,359,134.81</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21"/>
        <w:gridCol w:w="2410"/>
        <w:gridCol w:w="2269"/>
        <w:gridCol w:w="1769"/>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3,326,501.86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3,326,501.86</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9,503,556.70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9,503,556.70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87,247,624.00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87,247,624.00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91,470,942.13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91,470,942.13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87,888,716.11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87,888,716.11</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39,771,486.13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39,771,486.13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8,861,586.16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8,861,586.16</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328,070,413.09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328,070,413.09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847,429,547.90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847,429,547.90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130,174,638.89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6" w:right="0"/>
              <w:jc w:val="left"/>
              <w:rPr>
                <w:rFonts w:ascii="Times New Roman" w:hAnsi="Times New Roman" w:cs="Times New Roman" w:eastAsia="Times New Roman" w:hint="default"/>
                <w:sz w:val="18"/>
                <w:szCs w:val="18"/>
              </w:rPr>
            </w:pPr>
            <w:r>
              <w:rPr>
                <w:rFonts w:ascii="Times New Roman"/>
                <w:sz w:val="18"/>
              </w:rPr>
              <w:t>174,638.89</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2410"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83,131,497.29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83,131,497.29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17,747,769.09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17,747,769.09</w:t>
            </w: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21"/>
        <w:gridCol w:w="2410"/>
        <w:gridCol w:w="2269"/>
        <w:gridCol w:w="1769"/>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32,180,859.18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32,180,859.18</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10,167,783.12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10,167,783.12</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17,453,170.62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17,278,531.73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-174,638.89</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174,638.89</w:t>
            </w: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-174,638.89</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8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60,694.44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60,694.44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11,725,446.43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11,725,446.43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302,467,220.17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302,467,220.17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60,873,841.53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60,873,841.53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100,873,841.53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100,873,841.53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403,341,061.70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403,341,061.70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146,666,700.00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146,666,700.00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20"/>
        <w:gridCol w:w="2410"/>
        <w:gridCol w:w="2269"/>
        <w:gridCol w:w="1769"/>
      </w:tblGrid>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127,541,353.92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127,541,353.92</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14,947,485.38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14,947,485.38</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154,114,765.30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154,114,765.30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443,270,304.60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443,270,304.60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818,181.60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818,181.60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444,088,486.20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444,088,486.20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847,429,547.90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847,429,547.90</w:t>
            </w: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pStyle w:val="BodyText"/>
        <w:spacing w:line="357" w:lineRule="auto" w:before="51"/>
        <w:ind w:right="-19"/>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4" w:space="7327"/>
            <w:col w:w="2009"/>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20"/>
        <w:gridCol w:w="2410"/>
        <w:gridCol w:w="2269"/>
        <w:gridCol w:w="1769"/>
      </w:tblGrid>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9"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101,103,714.65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101,103,714.65</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118,891,468.50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19" w:right="0"/>
              <w:jc w:val="left"/>
              <w:rPr>
                <w:rFonts w:ascii="Times New Roman" w:hAnsi="Times New Roman" w:cs="Times New Roman" w:eastAsia="Times New Roman" w:hint="default"/>
                <w:sz w:val="18"/>
                <w:szCs w:val="18"/>
              </w:rPr>
            </w:pPr>
            <w:r>
              <w:rPr>
                <w:rFonts w:ascii="Times New Roman"/>
                <w:sz w:val="18"/>
              </w:rPr>
              <w:t>118,891,468.50</w:t>
            </w:r>
          </w:p>
        </w:tc>
      </w:tr>
      <w:tr>
        <w:trPr>
          <w:trHeight w:val="715"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24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118,891,468.50</w:t>
            </w: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-118,891,468.50</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336,674.16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336,674.16</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195,937,345.07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195,937,345.07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2,854,812.88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2,854,812.88</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11,273,222.04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11,273,222.04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14,794.52</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13,175.00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13,175.00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7,347,407.19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7,347,407.19</w:t>
            </w: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21"/>
        <w:gridCol w:w="2410"/>
        <w:gridCol w:w="2269"/>
        <w:gridCol w:w="1769"/>
      </w:tblGrid>
      <w:tr>
        <w:trPr>
          <w:trHeight w:val="402"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437,757,819.49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437,757,819.49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50,272,888.36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50,272,888.36</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9,503,556.70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9,503,556.70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73,532,496.12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73,532,496.12</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91,470,942.13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91,470,942.13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87,258,167.30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87,258,167.30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35,181,555.98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35,181,555.98</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7,890,251.59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7,890,251.59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355,109,858.18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355,109,858.18</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792,867,677.67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792,867,677.67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130,174,638.89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130,174,638.89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2410"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77,114,762.86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77,114,762.86</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8,901,910.48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8,901,910.48</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21"/>
        <w:gridCol w:w="2410"/>
        <w:gridCol w:w="2269"/>
        <w:gridCol w:w="1769"/>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21,691,160.00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21,691,160.00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7,472,882.16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7,472,882.16</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28,008,186.21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28,008,186.21</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60,694.44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60,694.44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10,294,624.41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10,294,624.41</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283,718,859.45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283,718,859.45</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51,215,301.34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51,215,301.34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91,215,301.34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91,215,301.34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374,934,160.79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374,934,160.79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146,666,700.00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146,666,700.00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128,053,280.71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128,053,280.71</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14,893,980.71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14,893,980.71</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128,319,555.46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128,319,555.46</w:t>
            </w: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20"/>
        <w:gridCol w:w="2410"/>
        <w:gridCol w:w="2269"/>
        <w:gridCol w:w="1769"/>
      </w:tblGrid>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417,933,516.88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417,933,516.88</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792,867,677.67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792,867,677.67</w:t>
            </w:r>
          </w:p>
        </w:tc>
        <w:tc>
          <w:tcPr>
            <w:tcW w:w="17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调整情况说明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金融工具的分类影响</w:t>
      </w:r>
    </w:p>
    <w:p>
      <w:pPr>
        <w:spacing w:line="240" w:lineRule="auto" w:before="12"/>
        <w:rPr>
          <w:rFonts w:ascii="宋体" w:hAnsi="宋体" w:cs="宋体" w:eastAsia="宋体" w:hint="default"/>
          <w:sz w:val="23"/>
          <w:szCs w:val="23"/>
        </w:rPr>
      </w:pPr>
    </w:p>
    <w:p>
      <w:pPr>
        <w:pStyle w:val="BodyText"/>
        <w:spacing w:line="240" w:lineRule="auto"/>
        <w:ind w:right="0"/>
        <w:jc w:val="left"/>
      </w:pPr>
      <w:r>
        <w:rPr/>
        <w:t>·  本集团无将银行承兑汇票或商业承兑汇票进行贴现和背书的情况。</w:t>
      </w:r>
    </w:p>
    <w:p>
      <w:pPr>
        <w:spacing w:line="240" w:lineRule="auto" w:before="0"/>
        <w:rPr>
          <w:rFonts w:ascii="宋体" w:hAnsi="宋体" w:cs="宋体" w:eastAsia="宋体" w:hint="default"/>
          <w:sz w:val="18"/>
          <w:szCs w:val="18"/>
        </w:rPr>
      </w:pPr>
    </w:p>
    <w:p>
      <w:pPr>
        <w:pStyle w:val="BodyText"/>
        <w:spacing w:line="300" w:lineRule="auto" w:before="153"/>
        <w:ind w:left="513" w:right="0" w:hanging="361"/>
        <w:jc w:val="left"/>
      </w:pPr>
      <w:r>
        <w:rPr/>
        <w:t>·</w:t>
      </w:r>
      <w:r>
        <w:rPr>
          <w:spacing w:val="22"/>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日，本集团没有将任何金融资产或金融负债指定为以公允价值计量且其变动计入当期损益的金融资产或金融</w:t>
      </w:r>
      <w:r>
        <w:rPr/>
        <w:t> 负债，也没有撤销之前的指定。</w:t>
      </w:r>
    </w:p>
    <w:p>
      <w:pPr>
        <w:spacing w:line="240" w:lineRule="auto" w:before="3"/>
        <w:rPr>
          <w:rFonts w:ascii="宋体" w:hAnsi="宋体" w:cs="宋体" w:eastAsia="宋体" w:hint="default"/>
          <w:sz w:val="26"/>
          <w:szCs w:val="26"/>
        </w:rPr>
      </w:pPr>
    </w:p>
    <w:p>
      <w:pPr>
        <w:pStyle w:val="BodyText"/>
        <w:spacing w:line="300" w:lineRule="auto"/>
        <w:ind w:right="0"/>
        <w:jc w:val="left"/>
      </w:pPr>
      <w:r>
        <w:rPr/>
        <w:t>以按照财会 </w:t>
      </w:r>
      <w:r>
        <w:rPr>
          <w:rFonts w:ascii="Times New Roman" w:hAnsi="Times New Roman" w:cs="Times New Roman" w:eastAsia="Times New Roman" w:hint="default"/>
        </w:rPr>
        <w:t>[2019] 6</w:t>
      </w:r>
      <w:r>
        <w:rPr/>
        <w:t>号和财会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rFonts w:ascii="Times New Roman" w:hAnsi="Times New Roman" w:cs="Times New Roman" w:eastAsia="Times New Roman" w:hint="default"/>
        </w:rPr>
        <w:t>16</w:t>
      </w:r>
      <w:r>
        <w:rPr/>
        <w:t>号规定追溯调整后的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日财务报表为基础，将金融资产按照原金融工具 准则和新金融工具准则的规定进行分类和计量的结果对比如下：</w:t>
      </w:r>
    </w:p>
    <w:p>
      <w:pPr>
        <w:spacing w:line="240" w:lineRule="auto" w:before="3"/>
        <w:rPr>
          <w:rFonts w:ascii="宋体" w:hAnsi="宋体" w:cs="宋体" w:eastAsia="宋体" w:hint="default"/>
          <w:sz w:val="26"/>
          <w:szCs w:val="26"/>
        </w:rPr>
      </w:pPr>
    </w:p>
    <w:p>
      <w:pPr>
        <w:pStyle w:val="BodyText"/>
        <w:spacing w:line="240" w:lineRule="auto"/>
        <w:ind w:right="0"/>
        <w:jc w:val="left"/>
      </w:pPr>
      <w:r>
        <w:rPr/>
        <w:t>本集团</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277"/>
        <w:gridCol w:w="1985"/>
        <w:gridCol w:w="1558"/>
        <w:gridCol w:w="1419"/>
        <w:gridCol w:w="1844"/>
        <w:gridCol w:w="1613"/>
      </w:tblGrid>
      <w:tr>
        <w:trPr>
          <w:trHeight w:val="427" w:hRule="exact"/>
        </w:trPr>
        <w:tc>
          <w:tcPr>
            <w:tcW w:w="482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962" w:right="0"/>
              <w:jc w:val="left"/>
              <w:rPr>
                <w:rFonts w:ascii="宋体" w:hAnsi="宋体" w:cs="宋体" w:eastAsia="宋体" w:hint="default"/>
                <w:sz w:val="18"/>
                <w:szCs w:val="18"/>
              </w:rPr>
            </w:pPr>
            <w:r>
              <w:rPr>
                <w:rFonts w:ascii="宋体" w:hAnsi="宋体" w:cs="宋体" w:eastAsia="宋体" w:hint="default"/>
                <w:sz w:val="18"/>
                <w:szCs w:val="18"/>
              </w:rPr>
              <w:t>原金融工具准则（</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87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080" w:right="0"/>
              <w:jc w:val="left"/>
              <w:rPr>
                <w:rFonts w:ascii="宋体" w:hAnsi="宋体" w:cs="宋体" w:eastAsia="宋体" w:hint="default"/>
                <w:sz w:val="18"/>
                <w:szCs w:val="18"/>
              </w:rPr>
            </w:pPr>
            <w:r>
              <w:rPr>
                <w:rFonts w:ascii="宋体" w:hAnsi="宋体" w:cs="宋体" w:eastAsia="宋体" w:hint="default"/>
                <w:sz w:val="18"/>
                <w:szCs w:val="18"/>
              </w:rPr>
              <w:t>新金融工具准则（</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62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41" w:right="0"/>
              <w:jc w:val="left"/>
              <w:rPr>
                <w:rFonts w:ascii="宋体" w:hAnsi="宋体" w:cs="宋体" w:eastAsia="宋体" w:hint="default"/>
                <w:sz w:val="18"/>
                <w:szCs w:val="18"/>
              </w:rPr>
            </w:pPr>
            <w:r>
              <w:rPr>
                <w:rFonts w:ascii="宋体" w:hAnsi="宋体" w:cs="宋体" w:eastAsia="宋体" w:hint="default"/>
                <w:sz w:val="18"/>
                <w:szCs w:val="18"/>
              </w:rPr>
              <w:t>账面价值（元）</w:t>
            </w:r>
          </w:p>
        </w:tc>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55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67" w:right="0"/>
              <w:jc w:val="left"/>
              <w:rPr>
                <w:rFonts w:ascii="宋体" w:hAnsi="宋体" w:cs="宋体" w:eastAsia="宋体" w:hint="default"/>
                <w:sz w:val="18"/>
                <w:szCs w:val="18"/>
              </w:rPr>
            </w:pPr>
            <w:r>
              <w:rPr>
                <w:rFonts w:ascii="宋体" w:hAnsi="宋体" w:cs="宋体" w:eastAsia="宋体" w:hint="default"/>
                <w:sz w:val="18"/>
                <w:szCs w:val="18"/>
              </w:rPr>
              <w:t>账面价值（元）</w:t>
            </w:r>
          </w:p>
        </w:tc>
      </w:tr>
      <w:tr>
        <w:trPr>
          <w:trHeight w:val="77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7"/>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146,375,945.17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146,375,945.17</w:t>
            </w:r>
          </w:p>
        </w:tc>
      </w:tr>
      <w:tr>
        <w:trPr>
          <w:trHeight w:val="1092"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55"/>
                <w:sz w:val="18"/>
                <w:szCs w:val="18"/>
              </w:rPr>
              <w:t> </w:t>
            </w:r>
            <w:r>
              <w:rPr>
                <w:rFonts w:ascii="宋体" w:hAnsi="宋体" w:cs="宋体" w:eastAsia="宋体" w:hint="default"/>
                <w:sz w:val="18"/>
                <w:szCs w:val="18"/>
              </w:rPr>
              <w:t>公</w:t>
            </w:r>
            <w:r>
              <w:rPr>
                <w:rFonts w:ascii="宋体" w:hAnsi="宋体" w:cs="宋体" w:eastAsia="宋体" w:hint="default"/>
                <w:spacing w:val="-55"/>
                <w:sz w:val="18"/>
                <w:szCs w:val="18"/>
              </w:rPr>
              <w:t> </w:t>
            </w:r>
            <w:r>
              <w:rPr>
                <w:rFonts w:ascii="宋体" w:hAnsi="宋体" w:cs="宋体" w:eastAsia="宋体" w:hint="default"/>
                <w:sz w:val="18"/>
                <w:szCs w:val="18"/>
              </w:rPr>
              <w:t>允</w:t>
            </w:r>
            <w:r>
              <w:rPr>
                <w:rFonts w:ascii="宋体" w:hAnsi="宋体" w:cs="宋体" w:eastAsia="宋体" w:hint="default"/>
                <w:spacing w:val="-55"/>
                <w:sz w:val="18"/>
                <w:szCs w:val="18"/>
              </w:rPr>
              <w:t> </w:t>
            </w:r>
            <w:r>
              <w:rPr>
                <w:rFonts w:ascii="宋体" w:hAnsi="宋体" w:cs="宋体" w:eastAsia="宋体" w:hint="default"/>
                <w:sz w:val="18"/>
                <w:szCs w:val="18"/>
              </w:rPr>
              <w:t>价</w:t>
            </w:r>
            <w:r>
              <w:rPr>
                <w:rFonts w:ascii="宋体" w:hAnsi="宋体" w:cs="宋体" w:eastAsia="宋体" w:hint="default"/>
                <w:spacing w:val="-57"/>
                <w:sz w:val="18"/>
                <w:szCs w:val="18"/>
              </w:rPr>
              <w:t> </w:t>
            </w:r>
            <w:r>
              <w:rPr>
                <w:rFonts w:ascii="宋体" w:hAnsi="宋体" w:cs="宋体" w:eastAsia="宋体" w:hint="default"/>
                <w:sz w:val="18"/>
                <w:szCs w:val="18"/>
              </w:rPr>
              <w:t>值</w:t>
            </w:r>
            <w:r>
              <w:rPr>
                <w:rFonts w:ascii="宋体" w:hAnsi="宋体" w:cs="宋体" w:eastAsia="宋体" w:hint="default"/>
                <w:spacing w:val="-55"/>
                <w:sz w:val="18"/>
                <w:szCs w:val="18"/>
              </w:rPr>
              <w:t> </w:t>
            </w:r>
            <w:r>
              <w:rPr>
                <w:rFonts w:ascii="宋体" w:hAnsi="宋体" w:cs="宋体" w:eastAsia="宋体" w:hint="default"/>
                <w:sz w:val="18"/>
                <w:szCs w:val="18"/>
              </w:rPr>
              <w:t>计</w:t>
            </w:r>
            <w:r>
              <w:rPr>
                <w:rFonts w:ascii="宋体" w:hAnsi="宋体" w:cs="宋体" w:eastAsia="宋体" w:hint="default"/>
                <w:sz w:val="18"/>
                <w:szCs w:val="18"/>
              </w:rPr>
              <w:t> 量</w:t>
            </w:r>
            <w:r>
              <w:rPr>
                <w:rFonts w:ascii="宋体" w:hAnsi="宋体" w:cs="宋体" w:eastAsia="宋体" w:hint="default"/>
                <w:spacing w:val="-55"/>
                <w:sz w:val="18"/>
                <w:szCs w:val="18"/>
              </w:rPr>
              <w:t> </w:t>
            </w:r>
            <w:r>
              <w:rPr>
                <w:rFonts w:ascii="宋体" w:hAnsi="宋体" w:cs="宋体" w:eastAsia="宋体" w:hint="default"/>
                <w:sz w:val="18"/>
                <w:szCs w:val="18"/>
              </w:rPr>
              <w:t>且</w:t>
            </w:r>
            <w:r>
              <w:rPr>
                <w:rFonts w:ascii="宋体" w:hAnsi="宋体" w:cs="宋体" w:eastAsia="宋体" w:hint="default"/>
                <w:spacing w:val="-55"/>
                <w:sz w:val="18"/>
                <w:szCs w:val="18"/>
              </w:rPr>
              <w:t> </w:t>
            </w:r>
            <w:r>
              <w:rPr>
                <w:rFonts w:ascii="宋体" w:hAnsi="宋体" w:cs="宋体" w:eastAsia="宋体" w:hint="default"/>
                <w:sz w:val="18"/>
                <w:szCs w:val="18"/>
              </w:rPr>
              <w:t>其</w:t>
            </w:r>
            <w:r>
              <w:rPr>
                <w:rFonts w:ascii="宋体" w:hAnsi="宋体" w:cs="宋体" w:eastAsia="宋体" w:hint="default"/>
                <w:spacing w:val="-55"/>
                <w:sz w:val="18"/>
                <w:szCs w:val="18"/>
              </w:rPr>
              <w:t> </w:t>
            </w:r>
            <w:r>
              <w:rPr>
                <w:rFonts w:ascii="宋体" w:hAnsi="宋体" w:cs="宋体" w:eastAsia="宋体" w:hint="default"/>
                <w:sz w:val="18"/>
                <w:szCs w:val="18"/>
              </w:rPr>
              <w:t>变</w:t>
            </w:r>
            <w:r>
              <w:rPr>
                <w:rFonts w:ascii="宋体" w:hAnsi="宋体" w:cs="宋体" w:eastAsia="宋体" w:hint="default"/>
                <w:spacing w:val="-57"/>
                <w:sz w:val="18"/>
                <w:szCs w:val="18"/>
              </w:rPr>
              <w:t> </w:t>
            </w:r>
            <w:r>
              <w:rPr>
                <w:rFonts w:ascii="宋体" w:hAnsi="宋体" w:cs="宋体" w:eastAsia="宋体" w:hint="default"/>
                <w:sz w:val="18"/>
                <w:szCs w:val="18"/>
              </w:rPr>
              <w:t>动</w:t>
            </w:r>
            <w:r>
              <w:rPr>
                <w:rFonts w:ascii="宋体" w:hAnsi="宋体" w:cs="宋体" w:eastAsia="宋体" w:hint="default"/>
                <w:spacing w:val="-55"/>
                <w:sz w:val="18"/>
                <w:szCs w:val="18"/>
              </w:rPr>
              <w:t> </w:t>
            </w:r>
            <w:r>
              <w:rPr>
                <w:rFonts w:ascii="宋体" w:hAnsi="宋体" w:cs="宋体" w:eastAsia="宋体" w:hint="default"/>
                <w:sz w:val="18"/>
                <w:szCs w:val="18"/>
              </w:rPr>
              <w:t>计</w:t>
            </w:r>
            <w:r>
              <w:rPr>
                <w:rFonts w:ascii="宋体" w:hAnsi="宋体" w:cs="宋体" w:eastAsia="宋体" w:hint="default"/>
                <w:sz w:val="18"/>
                <w:szCs w:val="18"/>
              </w:rPr>
              <w:t> 入当期损益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1"/>
              <w:jc w:val="left"/>
              <w:rPr>
                <w:rFonts w:ascii="宋体" w:hAnsi="宋体" w:cs="宋体" w:eastAsia="宋体" w:hint="default"/>
                <w:sz w:val="18"/>
                <w:szCs w:val="18"/>
              </w:rPr>
            </w:pPr>
            <w:r>
              <w:rPr>
                <w:rFonts w:ascii="宋体" w:hAnsi="宋体" w:cs="宋体" w:eastAsia="宋体" w:hint="default"/>
                <w:spacing w:val="16"/>
                <w:sz w:val="18"/>
                <w:szCs w:val="18"/>
              </w:rPr>
              <w:t>以公允价值计量且其变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动计入当期损益</w:t>
            </w:r>
          </w:p>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（交易性）</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2"/>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动计入当期损益</w:t>
            </w:r>
          </w:p>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（准则要求）</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118,891,468.50</w:t>
            </w:r>
          </w:p>
        </w:tc>
      </w:tr>
      <w:tr>
        <w:trPr>
          <w:trHeight w:val="427"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7"/>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103"/>
              <w:ind w:left="729" w:right="0"/>
              <w:jc w:val="left"/>
              <w:rPr>
                <w:rFonts w:ascii="Times New Roman" w:hAnsi="Times New Roman" w:cs="Times New Roman" w:eastAsia="Times New Roman" w:hint="default"/>
                <w:sz w:val="18"/>
                <w:szCs w:val="18"/>
              </w:rPr>
            </w:pPr>
            <w:r>
              <w:rPr>
                <w:rFonts w:ascii="Times New Roman"/>
                <w:sz w:val="18"/>
              </w:rPr>
              <w:t>336,674.16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336,674.16</w:t>
            </w:r>
          </w:p>
        </w:tc>
      </w:tr>
      <w:tr>
        <w:trPr>
          <w:trHeight w:val="739" w:hRule="exact"/>
        </w:trPr>
        <w:tc>
          <w:tcPr>
            <w:tcW w:w="1277" w:type="dxa"/>
            <w:vMerge/>
            <w:tcBorders>
              <w:left w:val="single" w:sz="6" w:space="0" w:color="000000"/>
              <w:bottom w:val="single" w:sz="6" w:space="0" w:color="000000"/>
              <w:right w:val="single" w:sz="6" w:space="0" w:color="000000"/>
            </w:tcBorders>
          </w:tcPr>
          <w:p>
            <w:pPr/>
          </w:p>
        </w:tc>
        <w:tc>
          <w:tcPr>
            <w:tcW w:w="1985"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动计入其他综合收益</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7"/>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226,338,644.69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226,338,644.69</w:t>
            </w:r>
          </w:p>
        </w:tc>
      </w:tr>
      <w:tr>
        <w:trPr>
          <w:trHeight w:val="739" w:hRule="exact"/>
        </w:trPr>
        <w:tc>
          <w:tcPr>
            <w:tcW w:w="1277" w:type="dxa"/>
            <w:vMerge/>
            <w:tcBorders>
              <w:left w:val="single" w:sz="6" w:space="0" w:color="000000"/>
              <w:bottom w:val="single" w:sz="6" w:space="0" w:color="000000"/>
              <w:right w:val="single" w:sz="6" w:space="0" w:color="000000"/>
            </w:tcBorders>
          </w:tcPr>
          <w:p>
            <w:pPr/>
          </w:p>
        </w:tc>
        <w:tc>
          <w:tcPr>
            <w:tcW w:w="1985"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动计入其他综合收益</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81"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5"/>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8,553,091.11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8,553,091.11</w:t>
            </w:r>
          </w:p>
        </w:tc>
      </w:tr>
    </w:tbl>
    <w:p>
      <w:pPr>
        <w:spacing w:line="240" w:lineRule="auto" w:before="3"/>
        <w:rPr>
          <w:rFonts w:ascii="宋体" w:hAnsi="宋体" w:cs="宋体" w:eastAsia="宋体" w:hint="default"/>
          <w:sz w:val="21"/>
          <w:szCs w:val="21"/>
        </w:rPr>
      </w:pPr>
    </w:p>
    <w:p>
      <w:pPr>
        <w:pStyle w:val="BodyText"/>
        <w:spacing w:line="240" w:lineRule="auto" w:before="44"/>
        <w:ind w:right="0"/>
        <w:jc w:val="left"/>
      </w:pPr>
      <w:r>
        <w:rPr/>
        <w:t>本公司</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277"/>
        <w:gridCol w:w="1844"/>
        <w:gridCol w:w="1747"/>
        <w:gridCol w:w="1371"/>
        <w:gridCol w:w="1702"/>
        <w:gridCol w:w="1754"/>
      </w:tblGrid>
      <w:tr>
        <w:trPr>
          <w:trHeight w:val="425" w:hRule="exact"/>
        </w:trPr>
        <w:tc>
          <w:tcPr>
            <w:tcW w:w="486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986" w:right="0"/>
              <w:jc w:val="left"/>
              <w:rPr>
                <w:rFonts w:ascii="宋体" w:hAnsi="宋体" w:cs="宋体" w:eastAsia="宋体" w:hint="default"/>
                <w:sz w:val="18"/>
                <w:szCs w:val="18"/>
              </w:rPr>
            </w:pPr>
            <w:r>
              <w:rPr>
                <w:rFonts w:ascii="宋体" w:hAnsi="宋体" w:cs="宋体" w:eastAsia="宋体" w:hint="default"/>
                <w:sz w:val="18"/>
                <w:szCs w:val="18"/>
              </w:rPr>
              <w:t>原金融工具准则（</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827"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058" w:right="0"/>
              <w:jc w:val="left"/>
              <w:rPr>
                <w:rFonts w:ascii="宋体" w:hAnsi="宋体" w:cs="宋体" w:eastAsia="宋体" w:hint="default"/>
                <w:sz w:val="18"/>
                <w:szCs w:val="18"/>
              </w:rPr>
            </w:pPr>
            <w:r>
              <w:rPr>
                <w:rFonts w:ascii="宋体" w:hAnsi="宋体" w:cs="宋体" w:eastAsia="宋体" w:hint="default"/>
                <w:sz w:val="18"/>
                <w:szCs w:val="18"/>
              </w:rPr>
              <w:t>新金融工具准则（</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55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235" w:right="0"/>
              <w:jc w:val="left"/>
              <w:rPr>
                <w:rFonts w:ascii="宋体" w:hAnsi="宋体" w:cs="宋体" w:eastAsia="宋体" w:hint="default"/>
                <w:sz w:val="18"/>
                <w:szCs w:val="18"/>
              </w:rPr>
            </w:pPr>
            <w:r>
              <w:rPr>
                <w:rFonts w:ascii="宋体" w:hAnsi="宋体" w:cs="宋体" w:eastAsia="宋体" w:hint="default"/>
                <w:sz w:val="18"/>
                <w:szCs w:val="18"/>
              </w:rPr>
              <w:t>账面价值（元）</w:t>
            </w:r>
          </w:p>
        </w:tc>
        <w:tc>
          <w:tcPr>
            <w:tcW w:w="13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82"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240" w:right="0"/>
              <w:jc w:val="left"/>
              <w:rPr>
                <w:rFonts w:ascii="宋体" w:hAnsi="宋体" w:cs="宋体" w:eastAsia="宋体" w:hint="default"/>
                <w:sz w:val="18"/>
                <w:szCs w:val="18"/>
              </w:rPr>
            </w:pPr>
            <w:r>
              <w:rPr>
                <w:rFonts w:ascii="宋体" w:hAnsi="宋体" w:cs="宋体" w:eastAsia="宋体" w:hint="default"/>
                <w:sz w:val="18"/>
                <w:szCs w:val="18"/>
              </w:rPr>
              <w:t>账面价值（元）</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604" w:right="0"/>
              <w:jc w:val="left"/>
              <w:rPr>
                <w:rFonts w:ascii="Times New Roman" w:hAnsi="Times New Roman" w:cs="Times New Roman" w:eastAsia="Times New Roman" w:hint="default"/>
                <w:sz w:val="18"/>
                <w:szCs w:val="18"/>
              </w:rPr>
            </w:pPr>
            <w:r>
              <w:rPr>
                <w:rFonts w:ascii="Times New Roman"/>
                <w:sz w:val="18"/>
              </w:rPr>
              <w:t>101,103,714.65</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612" w:right="0"/>
              <w:jc w:val="left"/>
              <w:rPr>
                <w:rFonts w:ascii="Times New Roman" w:hAnsi="Times New Roman" w:cs="Times New Roman" w:eastAsia="Times New Roman" w:hint="default"/>
                <w:sz w:val="18"/>
                <w:szCs w:val="18"/>
              </w:rPr>
            </w:pPr>
            <w:r>
              <w:rPr>
                <w:rFonts w:ascii="Times New Roman"/>
                <w:sz w:val="18"/>
              </w:rPr>
              <w:t>101,103,714.65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277"/>
        <w:gridCol w:w="1844"/>
        <w:gridCol w:w="1747"/>
        <w:gridCol w:w="1371"/>
        <w:gridCol w:w="1702"/>
        <w:gridCol w:w="1754"/>
      </w:tblGrid>
      <w:tr>
        <w:trPr>
          <w:trHeight w:val="387"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747"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single" w:sz="6" w:space="0" w:color="000000"/>
            </w:tcBorders>
          </w:tcPr>
          <w:p>
            <w:pPr/>
          </w:p>
        </w:tc>
      </w:tr>
      <w:tr>
        <w:trPr>
          <w:trHeight w:val="1092"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55"/>
                <w:sz w:val="18"/>
                <w:szCs w:val="18"/>
              </w:rPr>
              <w:t> </w:t>
            </w:r>
            <w:r>
              <w:rPr>
                <w:rFonts w:ascii="宋体" w:hAnsi="宋体" w:cs="宋体" w:eastAsia="宋体" w:hint="default"/>
                <w:sz w:val="18"/>
                <w:szCs w:val="18"/>
              </w:rPr>
              <w:t>公</w:t>
            </w:r>
            <w:r>
              <w:rPr>
                <w:rFonts w:ascii="宋体" w:hAnsi="宋体" w:cs="宋体" w:eastAsia="宋体" w:hint="default"/>
                <w:spacing w:val="-55"/>
                <w:sz w:val="18"/>
                <w:szCs w:val="18"/>
              </w:rPr>
              <w:t> </w:t>
            </w:r>
            <w:r>
              <w:rPr>
                <w:rFonts w:ascii="宋体" w:hAnsi="宋体" w:cs="宋体" w:eastAsia="宋体" w:hint="default"/>
                <w:sz w:val="18"/>
                <w:szCs w:val="18"/>
              </w:rPr>
              <w:t>允</w:t>
            </w:r>
            <w:r>
              <w:rPr>
                <w:rFonts w:ascii="宋体" w:hAnsi="宋体" w:cs="宋体" w:eastAsia="宋体" w:hint="default"/>
                <w:spacing w:val="-55"/>
                <w:sz w:val="18"/>
                <w:szCs w:val="18"/>
              </w:rPr>
              <w:t> </w:t>
            </w:r>
            <w:r>
              <w:rPr>
                <w:rFonts w:ascii="宋体" w:hAnsi="宋体" w:cs="宋体" w:eastAsia="宋体" w:hint="default"/>
                <w:sz w:val="18"/>
                <w:szCs w:val="18"/>
              </w:rPr>
              <w:t>价</w:t>
            </w:r>
            <w:r>
              <w:rPr>
                <w:rFonts w:ascii="宋体" w:hAnsi="宋体" w:cs="宋体" w:eastAsia="宋体" w:hint="default"/>
                <w:spacing w:val="-57"/>
                <w:sz w:val="18"/>
                <w:szCs w:val="18"/>
              </w:rPr>
              <w:t> </w:t>
            </w:r>
            <w:r>
              <w:rPr>
                <w:rFonts w:ascii="宋体" w:hAnsi="宋体" w:cs="宋体" w:eastAsia="宋体" w:hint="default"/>
                <w:sz w:val="18"/>
                <w:szCs w:val="18"/>
              </w:rPr>
              <w:t>值</w:t>
            </w:r>
            <w:r>
              <w:rPr>
                <w:rFonts w:ascii="宋体" w:hAnsi="宋体" w:cs="宋体" w:eastAsia="宋体" w:hint="default"/>
                <w:spacing w:val="-55"/>
                <w:sz w:val="18"/>
                <w:szCs w:val="18"/>
              </w:rPr>
              <w:t> </w:t>
            </w:r>
            <w:r>
              <w:rPr>
                <w:rFonts w:ascii="宋体" w:hAnsi="宋体" w:cs="宋体" w:eastAsia="宋体" w:hint="default"/>
                <w:sz w:val="18"/>
                <w:szCs w:val="18"/>
              </w:rPr>
              <w:t>计</w:t>
            </w:r>
            <w:r>
              <w:rPr>
                <w:rFonts w:ascii="宋体" w:hAnsi="宋体" w:cs="宋体" w:eastAsia="宋体" w:hint="default"/>
                <w:sz w:val="18"/>
                <w:szCs w:val="18"/>
              </w:rPr>
              <w:t> 量</w:t>
            </w:r>
            <w:r>
              <w:rPr>
                <w:rFonts w:ascii="宋体" w:hAnsi="宋体" w:cs="宋体" w:eastAsia="宋体" w:hint="default"/>
                <w:spacing w:val="-55"/>
                <w:sz w:val="18"/>
                <w:szCs w:val="18"/>
              </w:rPr>
              <w:t> </w:t>
            </w:r>
            <w:r>
              <w:rPr>
                <w:rFonts w:ascii="宋体" w:hAnsi="宋体" w:cs="宋体" w:eastAsia="宋体" w:hint="default"/>
                <w:sz w:val="18"/>
                <w:szCs w:val="18"/>
              </w:rPr>
              <w:t>且</w:t>
            </w:r>
            <w:r>
              <w:rPr>
                <w:rFonts w:ascii="宋体" w:hAnsi="宋体" w:cs="宋体" w:eastAsia="宋体" w:hint="default"/>
                <w:spacing w:val="-55"/>
                <w:sz w:val="18"/>
                <w:szCs w:val="18"/>
              </w:rPr>
              <w:t> </w:t>
            </w:r>
            <w:r>
              <w:rPr>
                <w:rFonts w:ascii="宋体" w:hAnsi="宋体" w:cs="宋体" w:eastAsia="宋体" w:hint="default"/>
                <w:sz w:val="18"/>
                <w:szCs w:val="18"/>
              </w:rPr>
              <w:t>其</w:t>
            </w:r>
            <w:r>
              <w:rPr>
                <w:rFonts w:ascii="宋体" w:hAnsi="宋体" w:cs="宋体" w:eastAsia="宋体" w:hint="default"/>
                <w:spacing w:val="-55"/>
                <w:sz w:val="18"/>
                <w:szCs w:val="18"/>
              </w:rPr>
              <w:t> </w:t>
            </w:r>
            <w:r>
              <w:rPr>
                <w:rFonts w:ascii="宋体" w:hAnsi="宋体" w:cs="宋体" w:eastAsia="宋体" w:hint="default"/>
                <w:sz w:val="18"/>
                <w:szCs w:val="18"/>
              </w:rPr>
              <w:t>变</w:t>
            </w:r>
            <w:r>
              <w:rPr>
                <w:rFonts w:ascii="宋体" w:hAnsi="宋体" w:cs="宋体" w:eastAsia="宋体" w:hint="default"/>
                <w:spacing w:val="-57"/>
                <w:sz w:val="18"/>
                <w:szCs w:val="18"/>
              </w:rPr>
              <w:t> </w:t>
            </w:r>
            <w:r>
              <w:rPr>
                <w:rFonts w:ascii="宋体" w:hAnsi="宋体" w:cs="宋体" w:eastAsia="宋体" w:hint="default"/>
                <w:sz w:val="18"/>
                <w:szCs w:val="18"/>
              </w:rPr>
              <w:t>动</w:t>
            </w:r>
            <w:r>
              <w:rPr>
                <w:rFonts w:ascii="宋体" w:hAnsi="宋体" w:cs="宋体" w:eastAsia="宋体" w:hint="default"/>
                <w:spacing w:val="-55"/>
                <w:sz w:val="18"/>
                <w:szCs w:val="18"/>
              </w:rPr>
              <w:t> </w:t>
            </w:r>
            <w:r>
              <w:rPr>
                <w:rFonts w:ascii="宋体" w:hAnsi="宋体" w:cs="宋体" w:eastAsia="宋体" w:hint="default"/>
                <w:sz w:val="18"/>
                <w:szCs w:val="18"/>
              </w:rPr>
              <w:t>计</w:t>
            </w:r>
            <w:r>
              <w:rPr>
                <w:rFonts w:ascii="宋体" w:hAnsi="宋体" w:cs="宋体" w:eastAsia="宋体" w:hint="default"/>
                <w:sz w:val="18"/>
                <w:szCs w:val="18"/>
              </w:rPr>
              <w:t> 入当期损益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2"/>
              <w:jc w:val="left"/>
              <w:rPr>
                <w:rFonts w:ascii="宋体" w:hAnsi="宋体" w:cs="宋体" w:eastAsia="宋体" w:hint="default"/>
                <w:sz w:val="18"/>
                <w:szCs w:val="18"/>
              </w:rPr>
            </w:pPr>
            <w:r>
              <w:rPr>
                <w:rFonts w:ascii="宋体" w:hAnsi="宋体" w:cs="宋体" w:eastAsia="宋体" w:hint="default"/>
                <w:sz w:val="18"/>
                <w:szCs w:val="18"/>
              </w:rPr>
              <w:t>以公允价值计量且其变</w:t>
            </w:r>
            <w:r>
              <w:rPr>
                <w:rFonts w:ascii="宋体" w:hAnsi="宋体" w:cs="宋体" w:eastAsia="宋体" w:hint="default"/>
                <w:spacing w:val="-71"/>
                <w:sz w:val="18"/>
                <w:szCs w:val="18"/>
              </w:rPr>
              <w:t> </w:t>
            </w:r>
            <w:r>
              <w:rPr>
                <w:rFonts w:ascii="宋体" w:hAnsi="宋体" w:cs="宋体" w:eastAsia="宋体" w:hint="default"/>
                <w:sz w:val="18"/>
                <w:szCs w:val="18"/>
              </w:rPr>
              <w:t>动计入当期损益</w:t>
            </w:r>
          </w:p>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（交易性）</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0"/>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 </w:t>
            </w:r>
            <w:r>
              <w:rPr>
                <w:rFonts w:ascii="宋体" w:hAnsi="宋体" w:cs="宋体" w:eastAsia="宋体" w:hint="default"/>
                <w:sz w:val="18"/>
                <w:szCs w:val="18"/>
              </w:rPr>
              <w:t>变动计入当期损益</w:t>
            </w:r>
          </w:p>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（准则要求）</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118,891,468.50</w:t>
            </w:r>
          </w:p>
        </w:tc>
      </w:tr>
      <w:tr>
        <w:trPr>
          <w:trHeight w:val="427"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7"/>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03"/>
              <w:ind w:left="919" w:right="0"/>
              <w:jc w:val="left"/>
              <w:rPr>
                <w:rFonts w:ascii="Times New Roman" w:hAnsi="Times New Roman" w:cs="Times New Roman" w:eastAsia="Times New Roman" w:hint="default"/>
                <w:sz w:val="18"/>
                <w:szCs w:val="18"/>
              </w:rPr>
            </w:pPr>
            <w:r>
              <w:rPr>
                <w:rFonts w:ascii="Times New Roman"/>
                <w:sz w:val="18"/>
              </w:rPr>
              <w:t>336,674.16</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336,674.16</w:t>
            </w:r>
          </w:p>
        </w:tc>
      </w:tr>
      <w:tr>
        <w:trPr>
          <w:trHeight w:val="1051" w:hRule="exact"/>
        </w:trPr>
        <w:tc>
          <w:tcPr>
            <w:tcW w:w="1277"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0"/>
              <w:jc w:val="both"/>
              <w:rPr>
                <w:rFonts w:ascii="宋体" w:hAnsi="宋体" w:cs="宋体" w:eastAsia="宋体" w:hint="default"/>
                <w:sz w:val="18"/>
                <w:szCs w:val="18"/>
              </w:rPr>
            </w:pPr>
            <w:r>
              <w:rPr>
                <w:rFonts w:ascii="宋体" w:hAnsi="宋体" w:cs="宋体" w:eastAsia="宋体" w:hint="default"/>
                <w:spacing w:val="7"/>
                <w:sz w:val="18"/>
                <w:szCs w:val="18"/>
              </w:rPr>
              <w:t>以公允价值计量且其 变动计入其他综合收 </w:t>
            </w:r>
            <w:r>
              <w:rPr>
                <w:rFonts w:ascii="宋体" w:hAnsi="宋体" w:cs="宋体" w:eastAsia="宋体" w:hint="default"/>
                <w:sz w:val="18"/>
                <w:szCs w:val="18"/>
              </w:rPr>
              <w:t>益</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5"/>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03"/>
              <w:ind w:left="604" w:right="0"/>
              <w:jc w:val="left"/>
              <w:rPr>
                <w:rFonts w:ascii="Times New Roman" w:hAnsi="Times New Roman" w:cs="Times New Roman" w:eastAsia="Times New Roman" w:hint="default"/>
                <w:sz w:val="18"/>
                <w:szCs w:val="18"/>
              </w:rPr>
            </w:pPr>
            <w:r>
              <w:rPr>
                <w:rFonts w:ascii="Times New Roman"/>
                <w:sz w:val="18"/>
              </w:rPr>
              <w:t>195,937,345.07</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195,937,345.07</w:t>
            </w:r>
          </w:p>
        </w:tc>
      </w:tr>
      <w:tr>
        <w:trPr>
          <w:trHeight w:val="1049" w:hRule="exact"/>
        </w:trPr>
        <w:tc>
          <w:tcPr>
            <w:tcW w:w="1277"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0"/>
              <w:jc w:val="both"/>
              <w:rPr>
                <w:rFonts w:ascii="宋体" w:hAnsi="宋体" w:cs="宋体" w:eastAsia="宋体" w:hint="default"/>
                <w:sz w:val="18"/>
                <w:szCs w:val="18"/>
              </w:rPr>
            </w:pPr>
            <w:r>
              <w:rPr>
                <w:rFonts w:ascii="宋体" w:hAnsi="宋体" w:cs="宋体" w:eastAsia="宋体" w:hint="default"/>
                <w:spacing w:val="7"/>
                <w:sz w:val="18"/>
                <w:szCs w:val="18"/>
              </w:rPr>
              <w:t>以公允价值计量且其 变动计入其他综合收 </w:t>
            </w:r>
            <w:r>
              <w:rPr>
                <w:rFonts w:ascii="宋体" w:hAnsi="宋体" w:cs="宋体" w:eastAsia="宋体" w:hint="default"/>
                <w:sz w:val="18"/>
                <w:szCs w:val="18"/>
              </w:rPr>
              <w:t>益</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8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115"/>
              <w:ind w:left="2"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11,273,222.04</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11,273,222.04</w:t>
            </w:r>
          </w:p>
        </w:tc>
      </w:tr>
    </w:tbl>
    <w:p>
      <w:pPr>
        <w:spacing w:line="240" w:lineRule="auto" w:before="3"/>
        <w:rPr>
          <w:rFonts w:ascii="宋体" w:hAnsi="宋体" w:cs="宋体" w:eastAsia="宋体" w:hint="default"/>
          <w:sz w:val="21"/>
          <w:szCs w:val="21"/>
        </w:rPr>
      </w:pPr>
    </w:p>
    <w:p>
      <w:pPr>
        <w:pStyle w:val="BodyText"/>
        <w:spacing w:line="300" w:lineRule="auto" w:before="44"/>
        <w:ind w:right="0"/>
        <w:jc w:val="left"/>
      </w:pPr>
      <w:r>
        <w:rPr/>
        <w:t>以按照财会 </w:t>
      </w:r>
      <w:r>
        <w:rPr>
          <w:rFonts w:ascii="Times New Roman" w:hAnsi="Times New Roman" w:cs="Times New Roman" w:eastAsia="Times New Roman" w:hint="default"/>
        </w:rPr>
        <w:t>[2019] 6</w:t>
      </w:r>
      <w:r>
        <w:rPr/>
        <w:t>号和财会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rFonts w:ascii="Times New Roman" w:hAnsi="Times New Roman" w:cs="Times New Roman" w:eastAsia="Times New Roman" w:hint="default"/>
        </w:rPr>
        <w:t>16</w:t>
      </w:r>
      <w:r>
        <w:rPr/>
        <w:t>号规定追溯调整后的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日财务报表为基础，将原金融资产账面价值调整 为按照新金融工具准则的规定进行分类和计量的新金融资产账面价值的调节如下：</w:t>
      </w:r>
    </w:p>
    <w:p>
      <w:pPr>
        <w:spacing w:line="240" w:lineRule="auto" w:before="3"/>
        <w:rPr>
          <w:rFonts w:ascii="宋体" w:hAnsi="宋体" w:cs="宋体" w:eastAsia="宋体" w:hint="default"/>
          <w:sz w:val="26"/>
          <w:szCs w:val="26"/>
        </w:rPr>
      </w:pPr>
    </w:p>
    <w:p>
      <w:pPr>
        <w:pStyle w:val="BodyText"/>
        <w:spacing w:line="240" w:lineRule="auto"/>
        <w:ind w:right="0"/>
        <w:jc w:val="left"/>
      </w:pPr>
      <w:r>
        <w:rPr/>
        <w:t>本集团</w:t>
      </w:r>
    </w:p>
    <w:p>
      <w:pPr>
        <w:spacing w:line="240" w:lineRule="auto" w:before="6"/>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254"/>
        <w:gridCol w:w="1647"/>
        <w:gridCol w:w="1414"/>
        <w:gridCol w:w="824"/>
        <w:gridCol w:w="1558"/>
      </w:tblGrid>
      <w:tr>
        <w:trPr>
          <w:trHeight w:val="971"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6"/>
              <w:ind w:left="187" w:right="94" w:hanging="92"/>
              <w:jc w:val="left"/>
              <w:rPr>
                <w:rFonts w:ascii="宋体" w:hAnsi="宋体" w:cs="宋体" w:eastAsia="宋体" w:hint="default"/>
                <w:sz w:val="18"/>
                <w:szCs w:val="18"/>
              </w:rPr>
            </w:pPr>
            <w:r>
              <w:rPr>
                <w:rFonts w:ascii="宋体" w:hAnsi="宋体" w:cs="宋体" w:eastAsia="宋体" w:hint="default"/>
                <w:sz w:val="18"/>
                <w:szCs w:val="18"/>
              </w:rPr>
              <w:t>按原金融工具准则 列示的账面价值</w:t>
            </w:r>
          </w:p>
          <w:p>
            <w:pPr>
              <w:pStyle w:val="TableParagraph"/>
              <w:spacing w:line="240" w:lineRule="auto" w:before="19"/>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c>
          <w:tcPr>
            <w:tcW w:w="14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42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right="41"/>
              <w:jc w:val="right"/>
              <w:rPr>
                <w:rFonts w:ascii="宋体" w:hAnsi="宋体" w:cs="宋体" w:eastAsia="宋体" w:hint="default"/>
                <w:sz w:val="18"/>
                <w:szCs w:val="18"/>
              </w:rPr>
            </w:pPr>
            <w:r>
              <w:rPr>
                <w:rFonts w:ascii="宋体" w:hAnsi="宋体" w:cs="宋体" w:eastAsia="宋体" w:hint="default"/>
                <w:sz w:val="18"/>
                <w:szCs w:val="18"/>
              </w:rPr>
              <w:t>重新计量</w:t>
            </w:r>
          </w:p>
        </w:tc>
        <w:tc>
          <w:tcPr>
            <w:tcW w:w="15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6"/>
              <w:ind w:left="141" w:right="50" w:hanging="92"/>
              <w:jc w:val="left"/>
              <w:rPr>
                <w:rFonts w:ascii="宋体" w:hAnsi="宋体" w:cs="宋体" w:eastAsia="宋体" w:hint="default"/>
                <w:sz w:val="18"/>
                <w:szCs w:val="18"/>
              </w:rPr>
            </w:pPr>
            <w:r>
              <w:rPr>
                <w:rFonts w:ascii="宋体" w:hAnsi="宋体" w:cs="宋体" w:eastAsia="宋体" w:hint="default"/>
                <w:sz w:val="18"/>
                <w:szCs w:val="18"/>
              </w:rPr>
              <w:t>按新金融工具准则 列示的账面价值</w:t>
            </w:r>
          </w:p>
          <w:p>
            <w:pPr>
              <w:pStyle w:val="TableParagraph"/>
              <w:spacing w:line="240" w:lineRule="auto" w:before="19"/>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r>
      <w:tr>
        <w:trPr>
          <w:trHeight w:val="422"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64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1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5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146,375,945.17</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146,375,945.17</w:t>
            </w:r>
          </w:p>
        </w:tc>
      </w:tr>
      <w:tr>
        <w:trPr>
          <w:trHeight w:val="426"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336,674.16</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336,674.16</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226,338,644.69</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226,338,644.69</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8,553,091.11</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8,553,091.11</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以摊余成本计量的总金融资产</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381,604,355.13</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381,604,355.13</w:t>
            </w: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w:t>
            </w:r>
            <w:r>
              <w:rPr>
                <w:rFonts w:ascii="宋体" w:hAnsi="宋体" w:cs="宋体" w:eastAsia="宋体" w:hint="default"/>
                <w:sz w:val="18"/>
                <w:szCs w:val="18"/>
              </w:rPr>
            </w:r>
          </w:p>
        </w:tc>
        <w:tc>
          <w:tcPr>
            <w:tcW w:w="164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1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58"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7"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64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9"/>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141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118,891,468.50)</w:t>
            </w:r>
          </w:p>
        </w:tc>
        <w:tc>
          <w:tcPr>
            <w:tcW w:w="82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9"/>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9"/>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8"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47"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824"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118,891,468.50</w:t>
            </w:r>
          </w:p>
        </w:tc>
      </w:tr>
      <w:tr>
        <w:trPr>
          <w:trHeight w:val="421" w:hRule="exact"/>
        </w:trPr>
        <w:tc>
          <w:tcPr>
            <w:tcW w:w="4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以公允价值计量且其变动计入当期损益的总金融资产</w:t>
            </w:r>
            <w:r>
              <w:rPr>
                <w:rFonts w:ascii="宋体" w:hAnsi="宋体" w:cs="宋体" w:eastAsia="宋体" w:hint="default"/>
                <w:sz w:val="18"/>
                <w:szCs w:val="18"/>
              </w:rPr>
            </w:r>
          </w:p>
        </w:tc>
        <w:tc>
          <w:tcPr>
            <w:tcW w:w="16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14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118,891,468.50</w:t>
            </w:r>
          </w:p>
        </w:tc>
      </w:tr>
    </w:tbl>
    <w:p>
      <w:pPr>
        <w:spacing w:line="240" w:lineRule="auto" w:before="8"/>
        <w:rPr>
          <w:rFonts w:ascii="宋体" w:hAnsi="宋体" w:cs="宋体" w:eastAsia="宋体" w:hint="default"/>
          <w:sz w:val="21"/>
          <w:szCs w:val="21"/>
        </w:rPr>
      </w:pPr>
    </w:p>
    <w:p>
      <w:pPr>
        <w:pStyle w:val="BodyText"/>
        <w:spacing w:line="240" w:lineRule="auto" w:before="44"/>
        <w:ind w:right="0"/>
        <w:jc w:val="left"/>
      </w:pPr>
      <w:r>
        <w:rPr/>
        <w:t>本公司</w:t>
      </w:r>
    </w:p>
    <w:p>
      <w:pPr>
        <w:spacing w:line="240" w:lineRule="auto" w:before="6"/>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225"/>
        <w:gridCol w:w="1616"/>
        <w:gridCol w:w="1534"/>
        <w:gridCol w:w="793"/>
        <w:gridCol w:w="1532"/>
      </w:tblGrid>
      <w:tr>
        <w:trPr>
          <w:trHeight w:val="966"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6"/>
              <w:ind w:left="170" w:right="77" w:hanging="89"/>
              <w:jc w:val="left"/>
              <w:rPr>
                <w:rFonts w:ascii="宋体" w:hAnsi="宋体" w:cs="宋体" w:eastAsia="宋体" w:hint="default"/>
                <w:sz w:val="18"/>
                <w:szCs w:val="18"/>
              </w:rPr>
            </w:pPr>
            <w:r>
              <w:rPr>
                <w:rFonts w:ascii="宋体" w:hAnsi="宋体" w:cs="宋体" w:eastAsia="宋体" w:hint="default"/>
                <w:sz w:val="18"/>
                <w:szCs w:val="18"/>
              </w:rPr>
              <w:t>按原金融工具准则 列示的账面价值</w:t>
            </w:r>
          </w:p>
          <w:p>
            <w:pPr>
              <w:pStyle w:val="TableParagraph"/>
              <w:spacing w:line="240" w:lineRule="auto" w:before="18"/>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c>
          <w:tcPr>
            <w:tcW w:w="15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48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31"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6"/>
              <w:ind w:left="129" w:right="38" w:hanging="92"/>
              <w:jc w:val="left"/>
              <w:rPr>
                <w:rFonts w:ascii="宋体" w:hAnsi="宋体" w:cs="宋体" w:eastAsia="宋体" w:hint="default"/>
                <w:sz w:val="18"/>
                <w:szCs w:val="18"/>
              </w:rPr>
            </w:pPr>
            <w:r>
              <w:rPr>
                <w:rFonts w:ascii="宋体" w:hAnsi="宋体" w:cs="宋体" w:eastAsia="宋体" w:hint="default"/>
                <w:sz w:val="18"/>
                <w:szCs w:val="18"/>
              </w:rPr>
              <w:t>按新金融工具准则 列示的账面价值</w:t>
            </w:r>
          </w:p>
          <w:p>
            <w:pPr>
              <w:pStyle w:val="TableParagraph"/>
              <w:spacing w:line="240" w:lineRule="auto" w:before="18"/>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9"/>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225"/>
        <w:gridCol w:w="1616"/>
        <w:gridCol w:w="1534"/>
        <w:gridCol w:w="793"/>
        <w:gridCol w:w="1529"/>
      </w:tblGrid>
      <w:tr>
        <w:trPr>
          <w:trHeight w:val="423"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6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3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2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7"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101,103,714.65</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101,103,714.65</w:t>
            </w:r>
          </w:p>
        </w:tc>
      </w:tr>
      <w:tr>
        <w:trPr>
          <w:trHeight w:val="427"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336,674.16</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336,674.16</w:t>
            </w:r>
          </w:p>
        </w:tc>
      </w:tr>
      <w:tr>
        <w:trPr>
          <w:trHeight w:val="426"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195,937,345.07</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195,937,345.07</w:t>
            </w:r>
          </w:p>
        </w:tc>
      </w:tr>
      <w:tr>
        <w:trPr>
          <w:trHeight w:val="427"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11,273,222.04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11,273,222.04</w:t>
            </w:r>
          </w:p>
        </w:tc>
      </w:tr>
      <w:tr>
        <w:trPr>
          <w:trHeight w:val="427"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以摊余成本计量的总金融资产</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308,650,955.92</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308,650,955.92</w:t>
            </w:r>
          </w:p>
        </w:tc>
      </w:tr>
      <w:tr>
        <w:trPr>
          <w:trHeight w:val="427"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w:t>
            </w:r>
            <w:r>
              <w:rPr>
                <w:rFonts w:ascii="宋体" w:hAnsi="宋体" w:cs="宋体" w:eastAsia="宋体" w:hint="default"/>
                <w:sz w:val="18"/>
                <w:szCs w:val="18"/>
              </w:rPr>
            </w:r>
          </w:p>
        </w:tc>
        <w:tc>
          <w:tcPr>
            <w:tcW w:w="16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3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2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7"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61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9"/>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153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9"/>
              <w:ind w:right="1"/>
              <w:jc w:val="right"/>
              <w:rPr>
                <w:rFonts w:ascii="Times New Roman" w:hAnsi="Times New Roman" w:cs="Times New Roman" w:eastAsia="Times New Roman" w:hint="default"/>
                <w:sz w:val="18"/>
                <w:szCs w:val="18"/>
              </w:rPr>
            </w:pPr>
            <w:r>
              <w:rPr>
                <w:rFonts w:ascii="Times New Roman"/>
                <w:spacing w:val="-1"/>
                <w:sz w:val="18"/>
              </w:rPr>
              <w:t>(118,891,468.50)</w:t>
            </w:r>
          </w:p>
        </w:tc>
        <w:tc>
          <w:tcPr>
            <w:tcW w:w="79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9"/>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9"/>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16"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4"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793"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118,891,468.50</w:t>
            </w:r>
          </w:p>
        </w:tc>
      </w:tr>
      <w:tr>
        <w:trPr>
          <w:trHeight w:val="422" w:hRule="exact"/>
        </w:trPr>
        <w:tc>
          <w:tcPr>
            <w:tcW w:w="42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以公允价值计量且其变动计入当期损益的总金融资产</w:t>
            </w:r>
            <w:r>
              <w:rPr>
                <w:rFonts w:ascii="宋体" w:hAnsi="宋体" w:cs="宋体" w:eastAsia="宋体" w:hint="default"/>
                <w:sz w:val="18"/>
                <w:szCs w:val="18"/>
              </w:rPr>
            </w:r>
          </w:p>
        </w:tc>
        <w:tc>
          <w:tcPr>
            <w:tcW w:w="1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118,891,468.50</w:t>
            </w:r>
          </w:p>
        </w:tc>
        <w:tc>
          <w:tcPr>
            <w:tcW w:w="15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118,891,468.50</w:t>
            </w:r>
          </w:p>
        </w:tc>
      </w:tr>
    </w:tbl>
    <w:p>
      <w:pPr>
        <w:spacing w:line="240" w:lineRule="auto" w:before="7"/>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26</w:t>
      </w:r>
      <w:r>
        <w:rPr/>
        <w:t>、其他</w:t>
      </w:r>
      <w:r>
        <w:rPr>
          <w:b w:val="0"/>
          <w:bCs w:val="0"/>
        </w:rPr>
      </w:r>
    </w:p>
    <w:p>
      <w:pPr>
        <w:pStyle w:val="BodyText"/>
        <w:spacing w:line="624" w:lineRule="exact" w:before="57"/>
        <w:ind w:right="6794"/>
        <w:jc w:val="left"/>
      </w:pPr>
      <w:r>
        <w:rPr/>
        <w:t>公允价值的计量 除特别声明外，本集团按下述原则计量公允价值：</w:t>
      </w:r>
    </w:p>
    <w:p>
      <w:pPr>
        <w:pStyle w:val="BodyText"/>
        <w:spacing w:line="213" w:lineRule="exact"/>
        <w:ind w:right="0"/>
        <w:jc w:val="left"/>
      </w:pPr>
      <w:r>
        <w:rPr/>
        <w:t>公允价值是指市场参与者在计量日发生的有序交易中，出售一项资产所能收到或者转移一项负债所需支付的价格。</w:t>
      </w:r>
    </w:p>
    <w:p>
      <w:pPr>
        <w:pStyle w:val="BodyText"/>
        <w:spacing w:line="300" w:lineRule="auto" w:before="76"/>
        <w:ind w:right="1131"/>
        <w:jc w:val="both"/>
      </w:pPr>
      <w:r>
        <w:rPr/>
        <w:t>本集团估计公允价值时，考虑市场参与者在计量日对相关资产或负债进行定价时考虑的特征</w:t>
      </w:r>
      <w:r>
        <w:rPr>
          <w:spacing w:val="-48"/>
        </w:rPr>
        <w:t> </w:t>
      </w:r>
      <w:r>
        <w:rPr>
          <w:rFonts w:ascii="Times New Roman" w:hAnsi="Times New Roman" w:cs="Times New Roman" w:eastAsia="Times New Roman" w:hint="default"/>
        </w:rPr>
        <w:t>(</w:t>
      </w:r>
      <w:r>
        <w:rPr/>
        <w:t>包括资产状况及所在位置、对 资产出售或者使用的限制等</w:t>
      </w:r>
      <w:r>
        <w:rPr>
          <w:rFonts w:ascii="Times New Roman" w:hAnsi="Times New Roman" w:cs="Times New Roman" w:eastAsia="Times New Roman" w:hint="default"/>
        </w:rPr>
        <w:t>)</w:t>
      </w:r>
      <w:r>
        <w:rPr/>
        <w:t>，并采用在当前情况下适用并且有足够可利用数据和其他信息支持的估值技术。使用的估值技</w:t>
      </w:r>
      <w:r>
        <w:rPr>
          <w:spacing w:val="-58"/>
        </w:rPr>
        <w:t> </w:t>
      </w:r>
      <w:r>
        <w:rPr>
          <w:spacing w:val="-58"/>
        </w:rPr>
      </w:r>
      <w:r>
        <w:rPr/>
        <w:t>术主要包括市场法、收益法和成本法。</w:t>
      </w:r>
    </w:p>
    <w:p>
      <w:pPr>
        <w:spacing w:line="240" w:lineRule="auto" w:before="4"/>
        <w:rPr>
          <w:rFonts w:ascii="宋体" w:hAnsi="宋体" w:cs="宋体" w:eastAsia="宋体" w:hint="default"/>
          <w:sz w:val="26"/>
          <w:szCs w:val="26"/>
        </w:rPr>
      </w:pPr>
    </w:p>
    <w:p>
      <w:pPr>
        <w:pStyle w:val="BodyText"/>
        <w:spacing w:line="240" w:lineRule="auto"/>
        <w:ind w:right="0"/>
        <w:jc w:val="left"/>
      </w:pPr>
      <w:r>
        <w:rPr/>
        <w:t>所得税</w:t>
      </w:r>
    </w:p>
    <w:p>
      <w:pPr>
        <w:spacing w:line="240" w:lineRule="auto" w:before="0"/>
        <w:rPr>
          <w:rFonts w:ascii="宋体" w:hAnsi="宋体" w:cs="宋体" w:eastAsia="宋体" w:hint="default"/>
          <w:sz w:val="18"/>
          <w:szCs w:val="18"/>
        </w:rPr>
      </w:pPr>
    </w:p>
    <w:p>
      <w:pPr>
        <w:pStyle w:val="BodyText"/>
        <w:spacing w:line="314" w:lineRule="auto" w:before="153"/>
        <w:ind w:right="1120"/>
        <w:jc w:val="left"/>
      </w:pPr>
      <w:r>
        <w:rPr/>
        <w:t>除因企业合并和直接计入所有者权益 </w:t>
      </w:r>
      <w:r>
        <w:rPr>
          <w:rFonts w:ascii="Times New Roman" w:hAnsi="Times New Roman" w:cs="Times New Roman" w:eastAsia="Times New Roman" w:hint="default"/>
        </w:rPr>
        <w:t>(</w:t>
      </w:r>
      <w:r>
        <w:rPr/>
        <w:t>包括其他综合收益</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t>的交易或者事项产生的所得税外，本集团将当期所得税和递延所 得税计入当期损益。 当期所得税是按本年度应税所得额，根据税法规定的税率计算的预期应交所得税，加上以往年度应付所得税的调整。 </w:t>
      </w:r>
      <w:r>
        <w:rPr>
          <w:spacing w:val="-2"/>
        </w:rPr>
        <w:t>资产负债表日，如果本集团拥有以净额结算的法定权利并且意图以净额结算或取得资产、清偿负债同时进行，那么当期所得</w:t>
      </w:r>
      <w:r>
        <w:rPr>
          <w:spacing w:val="-63"/>
        </w:rPr>
        <w:t> </w:t>
      </w:r>
      <w:r>
        <w:rPr>
          <w:spacing w:val="-63"/>
        </w:rPr>
      </w:r>
      <w:r>
        <w:rPr/>
        <w:t>税资产及当期所得税负债以抵销后的净额列示。</w:t>
      </w:r>
    </w:p>
    <w:p>
      <w:pPr>
        <w:spacing w:line="240" w:lineRule="auto" w:before="6"/>
        <w:rPr>
          <w:rFonts w:ascii="宋体" w:hAnsi="宋体" w:cs="宋体" w:eastAsia="宋体" w:hint="default"/>
          <w:sz w:val="25"/>
          <w:szCs w:val="25"/>
        </w:rPr>
      </w:pPr>
    </w:p>
    <w:p>
      <w:pPr>
        <w:pStyle w:val="BodyText"/>
        <w:spacing w:line="636" w:lineRule="auto"/>
        <w:ind w:right="1034"/>
        <w:jc w:val="left"/>
      </w:pPr>
      <w:r>
        <w:rPr/>
        <w:t>股利分配 资产负债表日后，经审议批准的利润分配方案中拟分配的股利或利润，不确认为资产负债表日的负债，在附注中单独披露。 关联方</w:t>
      </w:r>
    </w:p>
    <w:p>
      <w:pPr>
        <w:pStyle w:val="BodyText"/>
        <w:spacing w:line="316" w:lineRule="auto" w:before="91"/>
        <w:ind w:right="0"/>
        <w:jc w:val="left"/>
      </w:pPr>
      <w:r>
        <w:rPr>
          <w:spacing w:val="-2"/>
        </w:rPr>
        <w:t>一方控制、共同控制另一方或对另一方施加重大影响，以及两方或两方以上同受一方控制、共同控制的，构成关联方。关联</w:t>
      </w:r>
      <w:r>
        <w:rPr>
          <w:spacing w:val="-65"/>
        </w:rPr>
        <w:t> </w:t>
      </w:r>
      <w:r>
        <w:rPr>
          <w:spacing w:val="-65"/>
        </w:rPr>
      </w:r>
      <w:r>
        <w:rPr/>
        <w:t>方可为个人或企业。仅仅同受国家控制而不存在其他关联方关系的企业，不构成关联方。 此外，本公司同时根据证监会颁布的《上市公司信息披露管理办法》确定本集团或本公司的关联方。</w:t>
      </w:r>
    </w:p>
    <w:p>
      <w:pPr>
        <w:spacing w:line="240" w:lineRule="auto" w:before="4"/>
        <w:rPr>
          <w:rFonts w:ascii="宋体" w:hAnsi="宋体" w:cs="宋体" w:eastAsia="宋体" w:hint="default"/>
          <w:sz w:val="25"/>
          <w:szCs w:val="25"/>
        </w:rPr>
      </w:pPr>
    </w:p>
    <w:p>
      <w:pPr>
        <w:pStyle w:val="BodyText"/>
        <w:spacing w:line="240" w:lineRule="auto"/>
        <w:ind w:right="0"/>
        <w:jc w:val="left"/>
      </w:pPr>
      <w:r>
        <w:rPr/>
        <w:t>分部报告</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本集团以内部组织结构、管理要求、内部报告制度为依据确定经营分部。如果两个或多个经营分部存在相似经济特征且同时</w:t>
      </w:r>
      <w:r>
        <w:rPr>
          <w:spacing w:val="-63"/>
        </w:rPr>
        <w:t> </w:t>
      </w:r>
      <w:r>
        <w:rPr>
          <w:spacing w:val="-63"/>
        </w:rPr>
      </w:r>
      <w:r>
        <w:rPr>
          <w:spacing w:val="-2"/>
        </w:rPr>
        <w:t>在各单项产品或劳务的性质、生产过程的性质、产品或劳务的客户类型、销售产品或提供劳务的方式、生产产品及提供劳务</w:t>
      </w:r>
      <w:r>
        <w:rPr>
          <w:spacing w:val="-65"/>
        </w:rPr>
        <w:t> </w:t>
      </w:r>
      <w:r>
        <w:rPr>
          <w:spacing w:val="-65"/>
        </w:rPr>
      </w:r>
      <w:r>
        <w:rPr>
          <w:spacing w:val="-2"/>
        </w:rPr>
        <w:t>受法律及行政法规的影响等方面具有相同或相似性的，可以合并为一个经营分部。本集团以经营分部为基础考虑重要性原则</w:t>
      </w:r>
      <w:r>
        <w:rPr>
          <w:spacing w:val="-64"/>
        </w:rPr>
        <w:t> </w:t>
      </w:r>
      <w:r>
        <w:rPr>
          <w:spacing w:val="-64"/>
        </w:rPr>
      </w:r>
      <w:r>
        <w:rPr/>
        <w:t>后确定报告分部。</w:t>
      </w:r>
    </w:p>
    <w:p>
      <w:pPr>
        <w:spacing w:line="240" w:lineRule="auto" w:before="2"/>
        <w:rPr>
          <w:rFonts w:ascii="宋体" w:hAnsi="宋体" w:cs="宋体" w:eastAsia="宋体" w:hint="default"/>
          <w:sz w:val="25"/>
          <w:szCs w:val="25"/>
        </w:rPr>
      </w:pPr>
    </w:p>
    <w:p>
      <w:pPr>
        <w:pStyle w:val="BodyText"/>
        <w:spacing w:line="240" w:lineRule="auto"/>
        <w:ind w:right="0"/>
        <w:jc w:val="left"/>
      </w:pPr>
      <w:r>
        <w:rPr/>
        <w:t>主要会计估计及判断</w:t>
      </w:r>
    </w:p>
    <w:p>
      <w:pPr>
        <w:spacing w:line="240" w:lineRule="auto" w:before="0"/>
        <w:rPr>
          <w:rFonts w:ascii="宋体" w:hAnsi="宋体" w:cs="宋体" w:eastAsia="宋体" w:hint="default"/>
          <w:sz w:val="18"/>
          <w:szCs w:val="18"/>
        </w:rPr>
      </w:pPr>
    </w:p>
    <w:p>
      <w:pPr>
        <w:pStyle w:val="BodyText"/>
        <w:spacing w:line="316" w:lineRule="auto" w:before="153"/>
        <w:ind w:right="1130"/>
        <w:jc w:val="both"/>
      </w:pPr>
      <w:r>
        <w:rPr>
          <w:spacing w:val="-2"/>
        </w:rPr>
        <w:t>编制财务报表时，本集团管理层需要运用估计和假设，这些估计和假设会对会计政策的应用及资产、负债、收入及费用的金</w:t>
      </w:r>
      <w:r>
        <w:rPr>
          <w:spacing w:val="-64"/>
        </w:rPr>
        <w:t> </w:t>
      </w:r>
      <w:r>
        <w:rPr>
          <w:spacing w:val="-64"/>
        </w:rPr>
      </w:r>
      <w:r>
        <w:rPr>
          <w:spacing w:val="-2"/>
        </w:rPr>
        <w:t>额产生影响。实际情况可能与这些估计不同。本集团管理层对估计涉及的关键假设和不确定因素的判断进行持续评估，会计</w:t>
      </w:r>
      <w:r>
        <w:rPr>
          <w:spacing w:val="-63"/>
        </w:rPr>
        <w:t> </w:t>
      </w:r>
      <w:r>
        <w:rPr>
          <w:spacing w:val="-63"/>
        </w:rPr>
      </w:r>
      <w:r>
        <w:rPr/>
        <w:t>估计变更的影响在变更当期和未来期间予以确认。</w:t>
      </w:r>
    </w:p>
    <w:p>
      <w:pPr>
        <w:spacing w:line="240" w:lineRule="auto" w:before="4"/>
        <w:rPr>
          <w:rFonts w:ascii="宋体" w:hAnsi="宋体" w:cs="宋体" w:eastAsia="宋体" w:hint="default"/>
          <w:sz w:val="25"/>
          <w:szCs w:val="25"/>
        </w:rPr>
      </w:pPr>
    </w:p>
    <w:p>
      <w:pPr>
        <w:pStyle w:val="BodyText"/>
        <w:tabs>
          <w:tab w:pos="573" w:val="left" w:leader="none"/>
        </w:tabs>
        <w:spacing w:line="619" w:lineRule="auto"/>
        <w:ind w:right="2311"/>
        <w:jc w:val="left"/>
      </w:pPr>
      <w:r>
        <w:rPr>
          <w:rFonts w:ascii="Times New Roman" w:hAnsi="Times New Roman" w:cs="Times New Roman" w:eastAsia="Times New Roman" w:hint="default"/>
        </w:rPr>
        <w:t>(1)</w:t>
        <w:tab/>
      </w:r>
      <w:r>
        <w:rPr/>
        <w:t>主要会计估计</w:t>
      </w:r>
      <w:r>
        <w:rPr>
          <w:w w:val="99"/>
        </w:rPr>
        <w:t> </w:t>
      </w:r>
      <w:r>
        <w:rPr/>
        <w:t>除固定资产及无形资产等资产的折旧及摊销和各类资产减值涉及的会计估计外，其他主要的会计估计如下：</w:t>
      </w:r>
      <w:r>
        <w:rPr>
          <w:w w:val="99"/>
        </w:rPr>
        <w:t> </w:t>
      </w:r>
      <w:r>
        <w:rPr>
          <w:rFonts w:ascii="Times New Roman" w:hAnsi="Times New Roman" w:cs="Times New Roman" w:eastAsia="Times New Roman" w:hint="default"/>
        </w:rPr>
        <w:t>(i)</w:t>
      </w:r>
      <w:r>
        <w:rPr/>
        <w:t>递延所得税资产的确认；</w:t>
      </w:r>
    </w:p>
    <w:p>
      <w:pPr>
        <w:pStyle w:val="BodyText"/>
        <w:tabs>
          <w:tab w:pos="573" w:val="left" w:leader="none"/>
        </w:tabs>
        <w:spacing w:line="600" w:lineRule="auto" w:before="60"/>
        <w:ind w:right="8390"/>
        <w:jc w:val="left"/>
      </w:pPr>
      <w:r>
        <w:rPr>
          <w:rFonts w:ascii="Times New Roman" w:hAnsi="Times New Roman" w:cs="Times New Roman" w:eastAsia="Times New Roman" w:hint="default"/>
        </w:rPr>
        <w:t>(ii)</w:t>
      </w:r>
      <w:r>
        <w:rPr/>
        <w:t>金融工具的公允价值估值；</w:t>
      </w:r>
      <w:r>
        <w:rPr>
          <w:w w:val="99"/>
        </w:rPr>
        <w:t> </w:t>
      </w:r>
      <w:r>
        <w:rPr>
          <w:rFonts w:ascii="Times New Roman" w:hAnsi="Times New Roman" w:cs="Times New Roman" w:eastAsia="Times New Roman" w:hint="default"/>
        </w:rPr>
        <w:t>(2)</w:t>
        <w:tab/>
      </w:r>
      <w:r>
        <w:rPr/>
        <w:t>主要会计判断</w:t>
      </w:r>
    </w:p>
    <w:p>
      <w:pPr>
        <w:pStyle w:val="BodyText"/>
        <w:spacing w:line="240" w:lineRule="auto" w:before="76"/>
        <w:ind w:right="0"/>
        <w:jc w:val="left"/>
      </w:pPr>
      <w:r>
        <w:rPr/>
        <w:t>本集团在运用会计政策过程中做出的重要判断如下：</w:t>
      </w: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9"/>
        </w:rPr>
        <w:t> </w:t>
      </w:r>
      <w:r>
        <w:rPr/>
        <w:t>披露对其他主体实施控制、共同控制或重大影响的重大判断和假设。</w:t>
      </w:r>
    </w:p>
    <w:p>
      <w:pPr>
        <w:spacing w:line="240" w:lineRule="auto" w:before="0"/>
        <w:rPr>
          <w:rFonts w:ascii="宋体" w:hAnsi="宋体" w:cs="宋体" w:eastAsia="宋体" w:hint="default"/>
          <w:sz w:val="18"/>
          <w:szCs w:val="18"/>
        </w:rPr>
      </w:pPr>
    </w:p>
    <w:p>
      <w:pPr>
        <w:pStyle w:val="BodyText"/>
        <w:spacing w:line="300" w:lineRule="auto" w:before="139"/>
        <w:ind w:right="1119"/>
        <w:jc w:val="left"/>
      </w:pPr>
      <w:r>
        <w:rPr/>
        <w:t>共同控制指按照相关约定对某项安排所共有的控制，并且该安排的相关活动 </w:t>
      </w:r>
      <w:r>
        <w:rPr>
          <w:rFonts w:ascii="Times New Roman" w:hAnsi="Times New Roman" w:cs="Times New Roman" w:eastAsia="Times New Roman" w:hint="default"/>
        </w:rPr>
        <w:t>(</w:t>
      </w:r>
      <w:r>
        <w:rPr/>
        <w:t>即对安排的回报产生重大影响的活动</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必须经 过分享控制权的参与方一致同意后才能决策。</w:t>
      </w:r>
    </w:p>
    <w:p>
      <w:pPr>
        <w:spacing w:line="240" w:lineRule="auto" w:before="3"/>
        <w:rPr>
          <w:rFonts w:ascii="宋体" w:hAnsi="宋体" w:cs="宋体" w:eastAsia="宋体" w:hint="default"/>
          <w:sz w:val="26"/>
          <w:szCs w:val="26"/>
        </w:rPr>
      </w:pPr>
    </w:p>
    <w:p>
      <w:pPr>
        <w:pStyle w:val="BodyText"/>
        <w:spacing w:line="240" w:lineRule="auto"/>
        <w:ind w:right="0"/>
        <w:jc w:val="left"/>
      </w:pPr>
      <w:r>
        <w:rPr/>
        <w:t>本集团在判断对被投资单位是否存在共同控制时，通常考虑下述事项：</w:t>
      </w:r>
    </w:p>
    <w:p>
      <w:pPr>
        <w:spacing w:line="240" w:lineRule="auto" w:before="0"/>
        <w:rPr>
          <w:rFonts w:ascii="宋体" w:hAnsi="宋体" w:cs="宋体" w:eastAsia="宋体" w:hint="default"/>
          <w:sz w:val="18"/>
          <w:szCs w:val="18"/>
        </w:rPr>
      </w:pPr>
    </w:p>
    <w:p>
      <w:pPr>
        <w:pStyle w:val="BodyText"/>
        <w:tabs>
          <w:tab w:pos="573" w:val="left" w:leader="none"/>
        </w:tabs>
        <w:spacing w:line="240" w:lineRule="auto" w:before="153"/>
        <w:ind w:right="0"/>
        <w:jc w:val="left"/>
      </w:pPr>
      <w:r>
        <w:rPr>
          <w:rFonts w:ascii="Times New Roman" w:hAnsi="Times New Roman" w:cs="Times New Roman" w:eastAsia="Times New Roman" w:hint="default"/>
        </w:rPr>
        <w:t>-</w:t>
        <w:tab/>
      </w:r>
      <w:r>
        <w:rPr/>
        <w:t>是否任何一个参与方均不能单独控制被投资单位的相关活动；</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w:t>
        <w:tab/>
      </w:r>
      <w:r>
        <w:rPr/>
        <w:t>涉及被投资单位相关活动的决策是否需要分享控制权参与方一致同意。</w:t>
      </w:r>
    </w:p>
    <w:p>
      <w:pPr>
        <w:spacing w:line="240" w:lineRule="auto" w:before="0"/>
        <w:rPr>
          <w:rFonts w:ascii="宋体" w:hAnsi="宋体" w:cs="宋体" w:eastAsia="宋体" w:hint="default"/>
          <w:sz w:val="18"/>
          <w:szCs w:val="18"/>
        </w:rPr>
      </w:pPr>
    </w:p>
    <w:p>
      <w:pPr>
        <w:pStyle w:val="BodyText"/>
        <w:spacing w:line="316" w:lineRule="auto" w:before="139"/>
        <w:ind w:right="1119"/>
        <w:jc w:val="left"/>
      </w:pPr>
      <w:r>
        <w:rPr>
          <w:spacing w:val="-2"/>
        </w:rPr>
        <w:t>重大影响指本集团对被投资单位的财务和经营政策有参与决策的权力，但并不能够控制或者与其他方一起共同控制这些政策</w:t>
      </w:r>
      <w:r>
        <w:rPr>
          <w:spacing w:val="-64"/>
        </w:rPr>
        <w:t> </w:t>
      </w:r>
      <w:r>
        <w:rPr>
          <w:spacing w:val="-64"/>
        </w:rPr>
      </w:r>
      <w:r>
        <w:rPr/>
        <w:t>的制定。</w:t>
      </w:r>
    </w:p>
    <w:p>
      <w:pPr>
        <w:spacing w:line="240" w:lineRule="auto" w:before="4"/>
        <w:rPr>
          <w:rFonts w:ascii="宋体" w:hAnsi="宋体" w:cs="宋体" w:eastAsia="宋体" w:hint="default"/>
          <w:sz w:val="25"/>
          <w:szCs w:val="25"/>
        </w:rPr>
      </w:pPr>
    </w:p>
    <w:p>
      <w:pPr>
        <w:pStyle w:val="BodyText"/>
        <w:tabs>
          <w:tab w:pos="580" w:val="left" w:leader="none"/>
        </w:tabs>
        <w:spacing w:line="240" w:lineRule="auto"/>
        <w:ind w:right="0"/>
        <w:jc w:val="left"/>
      </w:pPr>
      <w:r>
        <w:rPr>
          <w:rFonts w:ascii="Times New Roman" w:hAnsi="Times New Roman" w:cs="Times New Roman" w:eastAsia="Times New Roman" w:hint="default"/>
        </w:rPr>
        <w:t>(2)</w:t>
        <w:tab/>
      </w:r>
      <w:r>
        <w:rPr/>
        <w:t>披露对投资性房地产、自用房地产的重大判断和假设。</w:t>
      </w:r>
    </w:p>
    <w:p>
      <w:pPr>
        <w:spacing w:line="240" w:lineRule="auto" w:before="0"/>
        <w:rPr>
          <w:rFonts w:ascii="宋体" w:hAnsi="宋体" w:cs="宋体" w:eastAsia="宋体" w:hint="default"/>
          <w:sz w:val="18"/>
          <w:szCs w:val="18"/>
        </w:rPr>
      </w:pPr>
    </w:p>
    <w:p>
      <w:pPr>
        <w:pStyle w:val="BodyText"/>
        <w:spacing w:line="316" w:lineRule="auto" w:before="139"/>
        <w:ind w:right="0"/>
        <w:jc w:val="left"/>
      </w:pPr>
      <w:r>
        <w:rPr>
          <w:spacing w:val="-4"/>
        </w:rPr>
        <w:t>本集团将持有的为赚取租金或资本增值，或两者兼有的房地产划分为投资性房地产。本集团采用成本模式计量投资性房地产，</w:t>
      </w:r>
      <w:r>
        <w:rPr>
          <w:spacing w:val="-44"/>
        </w:rPr>
        <w:t> </w:t>
      </w:r>
      <w:r>
        <w:rPr>
          <w:spacing w:val="-44"/>
        </w:rPr>
      </w:r>
      <w:r>
        <w:rPr>
          <w:spacing w:val="-2"/>
        </w:rPr>
        <w:t>即以成本减累计折旧、摊销及减值准备后在资产负债表内列示。本集团将投资性房地产的成本扣除预计净残值和累计减值准</w:t>
      </w:r>
      <w:r>
        <w:rPr>
          <w:spacing w:val="-64"/>
        </w:rPr>
        <w:t> </w:t>
      </w:r>
      <w:r>
        <w:rPr>
          <w:spacing w:val="-64"/>
        </w:rPr>
      </w:r>
      <w:r>
        <w:rPr/>
        <w:t>备后在使用寿命内按年限平均法。</w:t>
      </w:r>
    </w:p>
    <w:p>
      <w:pPr>
        <w:spacing w:after="0" w:line="316" w:lineRule="auto"/>
        <w:jc w:val="left"/>
        <w:sectPr>
          <w:pgSz w:w="11910" w:h="16840"/>
          <w:pgMar w:header="748" w:footer="97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六、税项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4181"/>
        <w:gridCol w:w="2199"/>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4181"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 计算销项税额，在扣除当期允许抵扣的进项税额后， 差额部分为应交增值税</w:t>
            </w:r>
          </w:p>
        </w:tc>
        <w:tc>
          <w:tcPr>
            <w:tcW w:w="21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181" w:type="dxa"/>
            <w:vMerge/>
            <w:tcBorders>
              <w:left w:val="single" w:sz="4" w:space="0" w:color="000000"/>
              <w:right w:val="single" w:sz="4" w:space="0" w:color="000000"/>
            </w:tcBorders>
          </w:tcPr>
          <w:p>
            <w:pPr/>
          </w:p>
        </w:tc>
        <w:tc>
          <w:tcPr>
            <w:tcW w:w="2199"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4181" w:type="dxa"/>
            <w:vMerge/>
            <w:tcBorders>
              <w:left w:val="single" w:sz="4" w:space="0" w:color="000000"/>
              <w:bottom w:val="single" w:sz="4" w:space="0" w:color="000000"/>
              <w:right w:val="single" w:sz="4" w:space="0" w:color="000000"/>
            </w:tcBorders>
          </w:tcPr>
          <w:p>
            <w:pPr/>
          </w:p>
        </w:tc>
        <w:tc>
          <w:tcPr>
            <w:tcW w:w="2199"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673"/>
        <w:gridCol w:w="3898"/>
      </w:tblGrid>
      <w:tr>
        <w:trPr>
          <w:trHeight w:val="403" w:hRule="exact"/>
        </w:trPr>
        <w:tc>
          <w:tcPr>
            <w:tcW w:w="5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71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w:t>
            </w:r>
          </w:p>
        </w:tc>
      </w:tr>
      <w:tr>
        <w:trPr>
          <w:trHeight w:val="715"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北京艾科城工程技术有限公司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北京艾科城</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w:t>
            </w:r>
          </w:p>
        </w:tc>
      </w:tr>
      <w:tr>
        <w:trPr>
          <w:trHeight w:val="71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深圳市市政工程咨询中心有限公司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市政中心</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w:t>
            </w:r>
          </w:p>
        </w:tc>
      </w:tr>
      <w:tr>
        <w:trPr>
          <w:trHeight w:val="404"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深圳市建研检测有限公司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建研检测</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15%</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河北雄安绿研检验认证有限公司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绿研检验</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w:t>
            </w: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深圳艾科筑业工程技术有限公司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艾科筑业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深圳艾科城工程技术有限公司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深圳艾科城</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w:t>
            </w: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深圳玖伊绿色运营管理有限公司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深圳玖伊</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河北雄安玖壹生态科技有限公司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雄安玖壹</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w:t>
            </w: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深圳市建信筑和科技有限公司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建信筑和</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常州市城建艾科绿色技术有限公司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常州城建艾科</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5 -</w:t>
            </w:r>
            <w:r>
              <w:rPr>
                <w:rFonts w:ascii="Times New Roman"/>
                <w:spacing w:val="-2"/>
                <w:sz w:val="18"/>
              </w:rPr>
              <w:t> </w:t>
            </w:r>
            <w:r>
              <w:rPr>
                <w:rFonts w:ascii="Times New Roman"/>
                <w:sz w:val="18"/>
              </w:rPr>
              <w:t>10%</w:t>
            </w: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深圳市迪赛恩科技有限公司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迪赛恩</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5 -</w:t>
            </w:r>
            <w:r>
              <w:rPr>
                <w:rFonts w:ascii="Times New Roman"/>
                <w:spacing w:val="-2"/>
                <w:sz w:val="18"/>
              </w:rPr>
              <w:t> </w:t>
            </w:r>
            <w:r>
              <w:rPr>
                <w:rFonts w:ascii="Times New Roman"/>
                <w:sz w:val="18"/>
              </w:rPr>
              <w:t>10%</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上海市爱轲城生态科技有限公司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上海爱轲</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5 -</w:t>
            </w:r>
            <w:r>
              <w:rPr>
                <w:rFonts w:ascii="Times New Roman"/>
                <w:spacing w:val="-2"/>
                <w:sz w:val="18"/>
              </w:rPr>
              <w:t> </w:t>
            </w:r>
            <w:r>
              <w:rPr>
                <w:rFonts w:ascii="Times New Roman"/>
                <w:sz w:val="18"/>
              </w:rPr>
              <w:t>10%</w:t>
            </w: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湖北建胜工程技术咨询有限公司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湖北建胜</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5 -</w:t>
            </w:r>
            <w:r>
              <w:rPr>
                <w:rFonts w:ascii="Times New Roman"/>
                <w:spacing w:val="-2"/>
                <w:sz w:val="18"/>
              </w:rPr>
              <w:t> </w:t>
            </w:r>
            <w:r>
              <w:rPr>
                <w:rFonts w:ascii="Times New Roman"/>
                <w:sz w:val="18"/>
              </w:rPr>
              <w:t>10%</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湖北丰天工程技术服务有限公司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丰天工程</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5 -</w:t>
            </w:r>
            <w:r>
              <w:rPr>
                <w:rFonts w:ascii="Times New Roman"/>
                <w:spacing w:val="-2"/>
                <w:sz w:val="18"/>
              </w:rPr>
              <w:t> </w:t>
            </w:r>
            <w:r>
              <w:rPr>
                <w:rFonts w:ascii="Times New Roman"/>
                <w:sz w:val="18"/>
              </w:rPr>
              <w:t>10%</w:t>
            </w: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湖北图强建设工程施工图咨询有限公司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图强建设</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5 -</w:t>
            </w:r>
            <w:r>
              <w:rPr>
                <w:rFonts w:ascii="Times New Roman"/>
                <w:spacing w:val="-2"/>
                <w:sz w:val="18"/>
              </w:rPr>
              <w:t> </w:t>
            </w:r>
            <w:r>
              <w:rPr>
                <w:rFonts w:ascii="Times New Roman"/>
                <w:sz w:val="18"/>
              </w:rPr>
              <w:t>10%</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湖北精兴建设工程质量检测有限公司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精兴建设</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5 -</w:t>
            </w:r>
            <w:r>
              <w:rPr>
                <w:rFonts w:ascii="Times New Roman"/>
                <w:spacing w:val="-2"/>
                <w:sz w:val="18"/>
              </w:rPr>
              <w:t> </w:t>
            </w:r>
            <w:r>
              <w:rPr>
                <w:rFonts w:ascii="Times New Roman"/>
                <w:sz w:val="18"/>
              </w:rPr>
              <w:t>10%</w:t>
            </w: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荆门市领航职业技能培训有限公司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领航培训</w:t>
            </w:r>
            <w:r>
              <w:rPr>
                <w:rFonts w:ascii="Times New Roman" w:hAnsi="Times New Roman" w:cs="Times New Roman" w:eastAsia="Times New Roman" w:hint="default"/>
                <w:sz w:val="18"/>
                <w:szCs w:val="18"/>
              </w:rPr>
              <w:t>")</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5 -</w:t>
            </w:r>
            <w:r>
              <w:rPr>
                <w:rFonts w:ascii="Times New Roman"/>
                <w:spacing w:val="-2"/>
                <w:sz w:val="18"/>
              </w:rPr>
              <w:t> </w:t>
            </w:r>
            <w:r>
              <w:rPr>
                <w:rFonts w:ascii="Times New Roman"/>
                <w:sz w:val="18"/>
              </w:rPr>
              <w:t>10%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tabs>
          <w:tab w:pos="573" w:val="left" w:leader="none"/>
        </w:tabs>
        <w:spacing w:line="300" w:lineRule="auto"/>
        <w:ind w:right="1131"/>
        <w:jc w:val="left"/>
      </w:pPr>
      <w:r>
        <w:rPr>
          <w:rFonts w:ascii="Times New Roman" w:hAnsi="Times New Roman" w:cs="Times New Roman" w:eastAsia="Times New Roman" w:hint="default"/>
        </w:rPr>
        <w:t>(1)</w:t>
        <w:tab/>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日，本公司被认定为国家高新技术企业，证书编号：</w:t>
      </w:r>
      <w:r>
        <w:rPr>
          <w:rFonts w:ascii="Times New Roman" w:hAnsi="Times New Roman" w:cs="Times New Roman" w:eastAsia="Times New Roman" w:hint="default"/>
          <w:spacing w:val="-1"/>
        </w:rPr>
        <w:t>GR201744204015</w:t>
      </w:r>
      <w:r>
        <w:rPr>
          <w:spacing w:val="-1"/>
        </w:rPr>
        <w:t>，有效期为</w:t>
      </w:r>
      <w:r>
        <w:rPr>
          <w:rFonts w:ascii="Times New Roman" w:hAnsi="Times New Roman" w:cs="Times New Roman" w:eastAsia="Times New Roman" w:hint="default"/>
          <w:spacing w:val="-1"/>
        </w:rPr>
        <w:t>2017</w:t>
      </w:r>
      <w:r>
        <w:rPr>
          <w:spacing w:val="-1"/>
        </w:rPr>
        <w:t>至</w:t>
      </w:r>
      <w:r>
        <w:rPr>
          <w:rFonts w:ascii="Times New Roman" w:hAnsi="Times New Roman" w:cs="Times New Roman" w:eastAsia="Times New Roman" w:hint="default"/>
          <w:spacing w:val="-1"/>
        </w:rPr>
        <w:t>2019</w:t>
      </w:r>
      <w:r>
        <w:rPr>
          <w:spacing w:val="-1"/>
        </w:rPr>
        <w:t>年度，企业</w:t>
      </w:r>
      <w:r>
        <w:rPr>
          <w:spacing w:val="-72"/>
        </w:rPr>
        <w:t> </w:t>
      </w:r>
      <w:r>
        <w:rPr>
          <w:spacing w:val="-72"/>
        </w:rPr>
      </w:r>
      <w:r>
        <w:rPr/>
        <w:t>所得税税率为</w:t>
      </w:r>
      <w:r>
        <w:rPr>
          <w:rFonts w:ascii="Times New Roman" w:hAnsi="Times New Roman" w:cs="Times New Roman" w:eastAsia="Times New Roman" w:hint="default"/>
        </w:rPr>
        <w:t>15%</w:t>
      </w:r>
      <w:r>
        <w:rPr>
          <w:rFonts w:ascii="Times New Roman" w:hAnsi="Times New Roman" w:cs="Times New Roman" w:eastAsia="Times New Roman" w:hint="default"/>
          <w:spacing w:val="30"/>
        </w:rPr>
        <w:t> </w:t>
      </w:r>
      <w:r>
        <w:rPr/>
        <w:t>。</w:t>
      </w:r>
    </w:p>
    <w:p>
      <w:pPr>
        <w:spacing w:line="240" w:lineRule="auto" w:before="11"/>
        <w:rPr>
          <w:rFonts w:ascii="宋体" w:hAnsi="宋体" w:cs="宋体" w:eastAsia="宋体" w:hint="default"/>
          <w:sz w:val="24"/>
          <w:szCs w:val="24"/>
        </w:rPr>
      </w:pPr>
    </w:p>
    <w:p>
      <w:pPr>
        <w:pStyle w:val="BodyText"/>
        <w:tabs>
          <w:tab w:pos="573" w:val="left" w:leader="none"/>
        </w:tabs>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(2)</w:t>
        <w:tab/>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25</w:t>
      </w:r>
      <w:r>
        <w:rPr>
          <w:spacing w:val="-4"/>
        </w:rPr>
        <w:t>日，本公司之子公司北京艾科城被认定为国家高新技术企业，证书编号：</w:t>
      </w:r>
      <w:r>
        <w:rPr>
          <w:rFonts w:ascii="Times New Roman" w:hAnsi="Times New Roman" w:cs="Times New Roman" w:eastAsia="Times New Roman" w:hint="default"/>
          <w:spacing w:val="-4"/>
        </w:rPr>
        <w:t>GR201711002555</w:t>
      </w:r>
      <w:r>
        <w:rPr>
          <w:spacing w:val="-4"/>
        </w:rPr>
        <w:t>，有效期为</w:t>
      </w:r>
      <w:r>
        <w:rPr>
          <w:rFonts w:ascii="Times New Roman" w:hAnsi="Times New Roman" w:cs="Times New Roman" w:eastAsia="Times New Roman" w:hint="default"/>
          <w:spacing w:val="-4"/>
        </w:rPr>
        <w:t>2017</w:t>
      </w:r>
    </w:p>
    <w:p>
      <w:pPr>
        <w:pStyle w:val="BodyText"/>
        <w:spacing w:line="240" w:lineRule="auto" w:before="63"/>
        <w:ind w:right="0"/>
        <w:jc w:val="left"/>
      </w:pPr>
      <w:r>
        <w:rPr/>
        <w:t>至</w:t>
      </w:r>
      <w:r>
        <w:rPr>
          <w:rFonts w:ascii="Times New Roman" w:hAnsi="Times New Roman" w:cs="Times New Roman" w:eastAsia="Times New Roman" w:hint="default"/>
        </w:rPr>
        <w:t>2019</w:t>
      </w:r>
      <w:r>
        <w:rPr/>
        <w:t>年度，企业所得税税率为</w:t>
      </w:r>
      <w:r>
        <w:rPr>
          <w:rFonts w:ascii="Times New Roman" w:hAnsi="Times New Roman" w:cs="Times New Roman" w:eastAsia="Times New Roman" w:hint="default"/>
        </w:rPr>
        <w:t>15%</w:t>
      </w:r>
      <w:r>
        <w:rPr>
          <w:rFonts w:ascii="Times New Roman" w:hAnsi="Times New Roman" w:cs="Times New Roman" w:eastAsia="Times New Roman" w:hint="default"/>
          <w:spacing w:val="25"/>
        </w:rPr>
        <w:t> </w:t>
      </w:r>
      <w:r>
        <w:rPr/>
        <w:t>。</w:t>
      </w:r>
    </w:p>
    <w:p>
      <w:pPr>
        <w:spacing w:line="240" w:lineRule="auto" w:before="0"/>
        <w:rPr>
          <w:rFonts w:ascii="宋体" w:hAnsi="宋体" w:cs="宋体" w:eastAsia="宋体" w:hint="default"/>
          <w:sz w:val="18"/>
          <w:szCs w:val="18"/>
        </w:rPr>
      </w:pPr>
    </w:p>
    <w:p>
      <w:pPr>
        <w:pStyle w:val="BodyText"/>
        <w:tabs>
          <w:tab w:pos="573" w:val="left" w:leader="none"/>
        </w:tabs>
        <w:spacing w:line="240" w:lineRule="auto" w:before="139"/>
        <w:ind w:right="0"/>
        <w:jc w:val="left"/>
        <w:rPr>
          <w:rFonts w:ascii="Times New Roman" w:hAnsi="Times New Roman" w:cs="Times New Roman" w:eastAsia="Times New Roman" w:hint="default"/>
        </w:rPr>
      </w:pPr>
      <w:r>
        <w:rPr>
          <w:rFonts w:ascii="Times New Roman" w:hAnsi="Times New Roman" w:cs="Times New Roman" w:eastAsia="Times New Roman" w:hint="default"/>
        </w:rPr>
        <w:t>(3)</w:t>
        <w:tab/>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日，本公司之子公司市政中心被认定为国家高新技术企业，证书编号：</w:t>
      </w:r>
      <w:r>
        <w:rPr>
          <w:rFonts w:ascii="Times New Roman" w:hAnsi="Times New Roman" w:cs="Times New Roman" w:eastAsia="Times New Roman" w:hint="default"/>
        </w:rPr>
        <w:t>GR201744205019</w:t>
      </w:r>
      <w:r>
        <w:rPr/>
        <w:t>，有效期为</w:t>
      </w:r>
      <w:r>
        <w:rPr>
          <w:rFonts w:ascii="Times New Roman" w:hAnsi="Times New Roman" w:cs="Times New Roman" w:eastAsia="Times New Roman" w:hint="default"/>
        </w:rPr>
        <w:t>2017</w:t>
      </w:r>
    </w:p>
    <w:p>
      <w:pPr>
        <w:pStyle w:val="BodyText"/>
        <w:spacing w:line="240" w:lineRule="auto" w:before="63"/>
        <w:ind w:right="0"/>
        <w:jc w:val="left"/>
      </w:pPr>
      <w:r>
        <w:rPr/>
        <w:t>至</w:t>
      </w:r>
      <w:r>
        <w:rPr>
          <w:rFonts w:ascii="Times New Roman" w:hAnsi="Times New Roman" w:cs="Times New Roman" w:eastAsia="Times New Roman" w:hint="default"/>
        </w:rPr>
        <w:t>2019</w:t>
      </w:r>
      <w:r>
        <w:rPr/>
        <w:t>年度，企业所得税税率为</w:t>
      </w:r>
      <w:r>
        <w:rPr>
          <w:rFonts w:ascii="Times New Roman" w:hAnsi="Times New Roman" w:cs="Times New Roman" w:eastAsia="Times New Roman" w:hint="default"/>
        </w:rPr>
        <w:t>15%</w:t>
      </w:r>
      <w:r>
        <w:rPr>
          <w:rFonts w:ascii="Times New Roman" w:hAnsi="Times New Roman" w:cs="Times New Roman" w:eastAsia="Times New Roman" w:hint="default"/>
          <w:spacing w:val="25"/>
        </w:rPr>
        <w:t> </w:t>
      </w:r>
      <w:r>
        <w:rPr/>
        <w:t>。</w:t>
      </w:r>
    </w:p>
    <w:p>
      <w:pPr>
        <w:spacing w:line="240" w:lineRule="auto" w:before="0"/>
        <w:rPr>
          <w:rFonts w:ascii="宋体" w:hAnsi="宋体" w:cs="宋体" w:eastAsia="宋体" w:hint="default"/>
          <w:sz w:val="18"/>
          <w:szCs w:val="18"/>
        </w:rPr>
      </w:pPr>
    </w:p>
    <w:p>
      <w:pPr>
        <w:pStyle w:val="BodyText"/>
        <w:tabs>
          <w:tab w:pos="573" w:val="left" w:leader="none"/>
        </w:tabs>
        <w:spacing w:line="240" w:lineRule="auto" w:before="139"/>
        <w:ind w:right="0"/>
        <w:jc w:val="left"/>
        <w:rPr>
          <w:rFonts w:ascii="Times New Roman" w:hAnsi="Times New Roman" w:cs="Times New Roman" w:eastAsia="Times New Roman" w:hint="default"/>
        </w:rPr>
      </w:pPr>
      <w:r>
        <w:rPr>
          <w:rFonts w:ascii="Times New Roman" w:hAnsi="Times New Roman" w:cs="Times New Roman" w:eastAsia="Times New Roman" w:hint="default"/>
        </w:rPr>
        <w:t>(4)</w:t>
        <w:tab/>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日，本公司之子公司建研检测被认定为国家高新技术企业，证书编号：</w:t>
      </w:r>
      <w:r>
        <w:rPr>
          <w:rFonts w:ascii="Times New Roman" w:hAnsi="Times New Roman" w:cs="Times New Roman" w:eastAsia="Times New Roman" w:hint="default"/>
        </w:rPr>
        <w:t>GR201944205532</w:t>
      </w:r>
      <w:r>
        <w:rPr/>
        <w:t>，有效期为</w:t>
      </w:r>
      <w:r>
        <w:rPr>
          <w:rFonts w:ascii="Times New Roman" w:hAnsi="Times New Roman" w:cs="Times New Roman" w:eastAsia="Times New Roman" w:hint="default"/>
        </w:rPr>
        <w:t>2019</w:t>
      </w:r>
    </w:p>
    <w:p>
      <w:pPr>
        <w:pStyle w:val="BodyText"/>
        <w:spacing w:line="240" w:lineRule="auto" w:before="63"/>
        <w:ind w:right="0"/>
        <w:jc w:val="left"/>
      </w:pPr>
      <w:r>
        <w:rPr/>
        <w:t>至</w:t>
      </w:r>
      <w:r>
        <w:rPr>
          <w:rFonts w:ascii="Times New Roman" w:hAnsi="Times New Roman" w:cs="Times New Roman" w:eastAsia="Times New Roman" w:hint="default"/>
        </w:rPr>
        <w:t>2021</w:t>
      </w:r>
      <w:r>
        <w:rPr/>
        <w:t>年度，企业所得税税率为</w:t>
      </w:r>
      <w:r>
        <w:rPr>
          <w:rFonts w:ascii="Times New Roman" w:hAnsi="Times New Roman" w:cs="Times New Roman" w:eastAsia="Times New Roman" w:hint="default"/>
        </w:rPr>
        <w:t>15%</w:t>
      </w:r>
      <w:r>
        <w:rPr>
          <w:rFonts w:ascii="Times New Roman" w:hAnsi="Times New Roman" w:cs="Times New Roman" w:eastAsia="Times New Roman" w:hint="default"/>
          <w:spacing w:val="25"/>
        </w:rPr>
        <w:t> </w:t>
      </w:r>
      <w:r>
        <w:rPr/>
        <w:t>。</w:t>
      </w:r>
    </w:p>
    <w:p>
      <w:pPr>
        <w:spacing w:line="240" w:lineRule="auto" w:before="0"/>
        <w:rPr>
          <w:rFonts w:ascii="宋体" w:hAnsi="宋体" w:cs="宋体" w:eastAsia="宋体" w:hint="default"/>
          <w:sz w:val="18"/>
          <w:szCs w:val="18"/>
        </w:rPr>
      </w:pPr>
    </w:p>
    <w:p>
      <w:pPr>
        <w:pStyle w:val="BodyText"/>
        <w:tabs>
          <w:tab w:pos="573" w:val="left" w:leader="none"/>
        </w:tabs>
        <w:spacing w:line="240" w:lineRule="auto" w:before="140"/>
        <w:ind w:right="0"/>
        <w:jc w:val="left"/>
        <w:rPr>
          <w:rFonts w:ascii="Times New Roman" w:hAnsi="Times New Roman" w:cs="Times New Roman" w:eastAsia="Times New Roman" w:hint="default"/>
        </w:rPr>
      </w:pPr>
      <w:r>
        <w:rPr>
          <w:rFonts w:ascii="Times New Roman" w:hAnsi="Times New Roman" w:cs="Times New Roman" w:eastAsia="Times New Roman" w:hint="default"/>
        </w:rPr>
        <w:t>(5)</w:t>
        <w:tab/>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日，本公司之子公司绿研检验被认定为国家高新技术企业，证书编号：</w:t>
      </w:r>
      <w:r>
        <w:rPr>
          <w:rFonts w:ascii="Times New Roman" w:hAnsi="Times New Roman" w:cs="Times New Roman" w:eastAsia="Times New Roman" w:hint="default"/>
        </w:rPr>
        <w:t>GR201913002794</w:t>
      </w:r>
      <w:r>
        <w:rPr/>
        <w:t>，有效期为</w:t>
      </w:r>
      <w:r>
        <w:rPr>
          <w:rFonts w:ascii="Times New Roman" w:hAnsi="Times New Roman" w:cs="Times New Roman" w:eastAsia="Times New Roman" w:hint="default"/>
        </w:rPr>
        <w:t>2019</w:t>
      </w:r>
    </w:p>
    <w:p>
      <w:pPr>
        <w:pStyle w:val="BodyText"/>
        <w:spacing w:line="240" w:lineRule="auto" w:before="63"/>
        <w:ind w:right="0"/>
        <w:jc w:val="left"/>
      </w:pPr>
      <w:r>
        <w:rPr/>
        <w:t>至</w:t>
      </w:r>
      <w:r>
        <w:rPr>
          <w:rFonts w:ascii="Times New Roman" w:hAnsi="Times New Roman" w:cs="Times New Roman" w:eastAsia="Times New Roman" w:hint="default"/>
        </w:rPr>
        <w:t>2021</w:t>
      </w:r>
      <w:r>
        <w:rPr/>
        <w:t>年度，企业所得税税率为</w:t>
      </w:r>
      <w:r>
        <w:rPr>
          <w:rFonts w:ascii="Times New Roman" w:hAnsi="Times New Roman" w:cs="Times New Roman" w:eastAsia="Times New Roman" w:hint="default"/>
        </w:rPr>
        <w:t>15%</w:t>
      </w:r>
      <w:r>
        <w:rPr>
          <w:rFonts w:ascii="Times New Roman" w:hAnsi="Times New Roman" w:cs="Times New Roman" w:eastAsia="Times New Roman" w:hint="default"/>
          <w:spacing w:val="25"/>
        </w:rPr>
        <w:t> </w:t>
      </w:r>
      <w:r>
        <w:rPr/>
        <w:t>。</w:t>
      </w:r>
    </w:p>
    <w:p>
      <w:pPr>
        <w:spacing w:line="240" w:lineRule="auto" w:before="0"/>
        <w:rPr>
          <w:rFonts w:ascii="宋体" w:hAnsi="宋体" w:cs="宋体" w:eastAsia="宋体" w:hint="default"/>
          <w:sz w:val="18"/>
          <w:szCs w:val="18"/>
        </w:rPr>
      </w:pPr>
    </w:p>
    <w:p>
      <w:pPr>
        <w:pStyle w:val="BodyText"/>
        <w:tabs>
          <w:tab w:pos="573" w:val="left" w:leader="none"/>
        </w:tabs>
        <w:spacing w:line="300" w:lineRule="auto" w:before="139"/>
        <w:ind w:right="1039"/>
        <w:jc w:val="left"/>
      </w:pPr>
      <w:r>
        <w:rPr>
          <w:rFonts w:ascii="Times New Roman" w:hAnsi="Times New Roman" w:cs="Times New Roman" w:eastAsia="Times New Roman" w:hint="default"/>
        </w:rPr>
        <w:t>(6)</w:t>
        <w:tab/>
      </w:r>
      <w:r>
        <w:rPr/>
        <w:t>本公司之子公司常州城建艾科、迪赛恩、上海爱轲和湖北建胜及其下属子公司</w:t>
      </w:r>
      <w:r>
        <w:rPr>
          <w:spacing w:val="62"/>
        </w:rPr>
        <w:t> </w:t>
      </w:r>
      <w:r>
        <w:rPr>
          <w:rFonts w:ascii="Times New Roman" w:hAnsi="Times New Roman" w:cs="Times New Roman" w:eastAsia="Times New Roman" w:hint="default"/>
        </w:rPr>
        <w:t>(</w:t>
      </w:r>
      <w:r>
        <w:rPr/>
        <w:t>丰天工程、图强建设、精兴建设、领</w:t>
      </w:r>
      <w:r>
        <w:rPr>
          <w:w w:val="99"/>
        </w:rPr>
        <w:t> </w:t>
      </w:r>
      <w:r>
        <w:rPr/>
        <w:t>航培训</w:t>
      </w:r>
      <w:r>
        <w:rPr>
          <w:rFonts w:ascii="Times New Roman" w:hAnsi="Times New Roman" w:cs="Times New Roman" w:eastAsia="Times New Roman" w:hint="default"/>
        </w:rPr>
        <w:t>) </w:t>
      </w:r>
      <w:r>
        <w:rPr/>
        <w:t>符合财政部和国家税务总局发布的财税 </w:t>
      </w:r>
      <w:r>
        <w:rPr>
          <w:rFonts w:ascii="Times New Roman" w:hAnsi="Times New Roman" w:cs="Times New Roman" w:eastAsia="Times New Roman" w:hint="default"/>
        </w:rPr>
        <w:t>[2019] </w:t>
      </w:r>
      <w:r>
        <w:rPr>
          <w:rFonts w:ascii="Times New Roman" w:hAnsi="Times New Roman" w:cs="Times New Roman" w:eastAsia="Times New Roman" w:hint="default"/>
          <w:spacing w:val="-5"/>
        </w:rPr>
        <w:t>13</w:t>
      </w:r>
      <w:r>
        <w:rPr>
          <w:spacing w:val="-5"/>
        </w:rPr>
        <w:t>号《关于实施小微企业普惠性税收减免政策的通知》</w:t>
      </w:r>
      <w:r>
        <w:rPr>
          <w:rFonts w:ascii="Times New Roman" w:hAnsi="Times New Roman" w:cs="Times New Roman" w:eastAsia="Times New Roman" w:hint="default"/>
          <w:spacing w:val="-5"/>
        </w:rPr>
        <w:t>(</w:t>
      </w:r>
      <w:r>
        <w:rPr>
          <w:spacing w:val="-5"/>
        </w:rPr>
        <w:t>有效期：</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8"/>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中的相关条件，执行：当年应纳税所得额不超过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w:t>
      </w:r>
      <w:r>
        <w:rPr>
          <w:w w:val="99"/>
        </w:rPr>
        <w:t> </w:t>
      </w:r>
      <w:r>
        <w:rPr>
          <w:spacing w:val="-3"/>
        </w:rPr>
        <w:t>按</w:t>
      </w:r>
      <w:r>
        <w:rPr>
          <w:rFonts w:ascii="Times New Roman" w:hAnsi="Times New Roman" w:cs="Times New Roman" w:eastAsia="Times New Roman" w:hint="default"/>
          <w:spacing w:val="-3"/>
        </w:rPr>
        <w:t>20%</w:t>
      </w:r>
      <w:r>
        <w:rPr>
          <w:spacing w:val="-3"/>
        </w:rPr>
        <w:t>的税率缴纳企业所得税；对年应纳税所得额超过</w:t>
      </w:r>
      <w:r>
        <w:rPr>
          <w:rFonts w:ascii="Times New Roman" w:hAnsi="Times New Roman" w:cs="Times New Roman" w:eastAsia="Times New Roman" w:hint="default"/>
          <w:spacing w:val="-3"/>
        </w:rPr>
        <w:t>100</w:t>
      </w:r>
      <w:r>
        <w:rPr>
          <w:spacing w:val="-3"/>
        </w:rPr>
        <w:t>万元但不超过</w:t>
      </w:r>
      <w:r>
        <w:rPr>
          <w:rFonts w:ascii="Times New Roman" w:hAnsi="Times New Roman" w:cs="Times New Roman" w:eastAsia="Times New Roman" w:hint="default"/>
          <w:spacing w:val="-3"/>
        </w:rPr>
        <w:t>300</w:t>
      </w:r>
      <w:r>
        <w:rPr>
          <w:spacing w:val="-3"/>
        </w:rPr>
        <w:t>万元的部分，减按</w:t>
      </w:r>
      <w:r>
        <w:rPr>
          <w:rFonts w:ascii="Times New Roman" w:hAnsi="Times New Roman" w:cs="Times New Roman" w:eastAsia="Times New Roman" w:hint="default"/>
          <w:spacing w:val="-3"/>
        </w:rPr>
        <w:t>50%</w:t>
      </w:r>
      <w:r>
        <w:rPr>
          <w:spacing w:val="-3"/>
        </w:rPr>
        <w:t>计入应纳税所得额，按</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的税率缴纳企业所得税。</w:t>
      </w:r>
    </w:p>
    <w:p>
      <w:pPr>
        <w:spacing w:line="240" w:lineRule="auto" w:before="3"/>
        <w:rPr>
          <w:rFonts w:ascii="宋体" w:hAnsi="宋体" w:cs="宋体" w:eastAsia="宋体" w:hint="default"/>
          <w:sz w:val="26"/>
          <w:szCs w:val="26"/>
        </w:rPr>
      </w:pPr>
    </w:p>
    <w:p>
      <w:pPr>
        <w:pStyle w:val="BodyText"/>
        <w:tabs>
          <w:tab w:pos="573" w:val="left" w:leader="none"/>
        </w:tabs>
        <w:spacing w:line="240" w:lineRule="auto"/>
        <w:ind w:right="0"/>
        <w:jc w:val="left"/>
      </w:pPr>
      <w:r>
        <w:rPr>
          <w:rFonts w:ascii="Times New Roman" w:hAnsi="Times New Roman" w:cs="Times New Roman" w:eastAsia="Times New Roman" w:hint="default"/>
        </w:rPr>
        <w:t>(7)</w:t>
        <w:tab/>
      </w:r>
      <w:r>
        <w:rPr/>
        <w:t>其他子公司适用法定企业所得税率</w:t>
      </w:r>
      <w:r>
        <w:rPr>
          <w:rFonts w:ascii="Times New Roman" w:hAnsi="Times New Roman" w:cs="Times New Roman" w:eastAsia="Times New Roman" w:hint="default"/>
        </w:rPr>
        <w:t>25% (2018:25%)</w:t>
      </w:r>
      <w:r>
        <w:rPr>
          <w:rFonts w:ascii="Times New Roman" w:hAnsi="Times New Roman" w:cs="Times New Roman" w:eastAsia="Times New Roman" w:hint="default"/>
          <w:spacing w:val="26"/>
        </w:rPr>
        <w:t> </w:t>
      </w:r>
      <w:r>
        <w:rPr/>
        <w:t>。</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121,967.34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88,483.79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200,663,059.85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145,298,203.66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10,075,354.76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989,257.72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210,860,381.95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146,375,945.17</w:t>
            </w:r>
          </w:p>
        </w:tc>
      </w:tr>
    </w:tbl>
    <w:p>
      <w:pPr>
        <w:pStyle w:val="BodyText"/>
        <w:spacing w:line="360" w:lineRule="auto" w:before="51"/>
        <w:ind w:right="8414"/>
        <w:jc w:val="left"/>
      </w:pPr>
      <w:r>
        <w:rPr/>
        <w:t>其他说明 其中其他货币资金明细如下：</w:t>
      </w:r>
    </w:p>
    <w:p>
      <w:pPr>
        <w:spacing w:after="0" w:line="360" w:lineRule="auto"/>
        <w:jc w:val="lef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104"/>
        <w:gridCol w:w="1985"/>
        <w:gridCol w:w="1985"/>
      </w:tblGrid>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399,888.00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790,956.97</w:t>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4" w:right="0"/>
              <w:jc w:val="left"/>
              <w:rPr>
                <w:rFonts w:ascii="宋体" w:hAnsi="宋体" w:cs="宋体" w:eastAsia="宋体" w:hint="default"/>
                <w:sz w:val="18"/>
                <w:szCs w:val="18"/>
              </w:rPr>
            </w:pPr>
            <w:r>
              <w:rPr>
                <w:rFonts w:ascii="宋体" w:hAnsi="宋体" w:cs="宋体" w:eastAsia="宋体" w:hint="default"/>
                <w:sz w:val="18"/>
                <w:szCs w:val="18"/>
              </w:rPr>
              <w:t>代建户监管资金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9,675,466.76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198,300.75</w:t>
            </w:r>
          </w:p>
        </w:tc>
      </w:tr>
      <w:tr>
        <w:trPr>
          <w:trHeight w:val="34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10,075,354.76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989,257.72</w:t>
            </w:r>
          </w:p>
        </w:tc>
      </w:tr>
    </w:tbl>
    <w:p>
      <w:pPr>
        <w:spacing w:line="240" w:lineRule="auto" w:before="3"/>
        <w:rPr>
          <w:rFonts w:ascii="宋体" w:hAnsi="宋体" w:cs="宋体" w:eastAsia="宋体" w:hint="default"/>
          <w:sz w:val="21"/>
          <w:szCs w:val="21"/>
        </w:rPr>
      </w:pPr>
    </w:p>
    <w:p>
      <w:pPr>
        <w:pStyle w:val="BodyText"/>
        <w:spacing w:line="300" w:lineRule="auto" w:before="44"/>
        <w:ind w:right="1131"/>
        <w:jc w:val="both"/>
      </w:pP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日，保函保证金共人民币</w:t>
      </w:r>
      <w:r>
        <w:rPr>
          <w:rFonts w:ascii="Times New Roman" w:hAnsi="Times New Roman" w:cs="Times New Roman" w:eastAsia="Times New Roman" w:hint="default"/>
          <w:spacing w:val="-1"/>
        </w:rPr>
        <w:t>399,888.00</w:t>
      </w:r>
      <w:r>
        <w:rPr>
          <w:spacing w:val="-1"/>
        </w:rPr>
        <w:t>元</w:t>
      </w:r>
      <w:r>
        <w:rPr>
          <w:rFonts w:ascii="Times New Roman" w:hAnsi="Times New Roman" w:cs="Times New Roman" w:eastAsia="Times New Roman" w:hint="default"/>
          <w:spacing w:val="-1"/>
        </w:rPr>
        <w:t>(2018</w:t>
      </w:r>
      <w:r>
        <w:rPr>
          <w:spacing w:val="-1"/>
        </w:rPr>
        <w:t>：人民币</w:t>
      </w:r>
      <w:r>
        <w:rPr>
          <w:rFonts w:ascii="Times New Roman" w:hAnsi="Times New Roman" w:cs="Times New Roman" w:eastAsia="Times New Roman" w:hint="default"/>
          <w:spacing w:val="-1"/>
        </w:rPr>
        <w:t>790,956.97</w:t>
      </w:r>
      <w:r>
        <w:rPr>
          <w:spacing w:val="-1"/>
        </w:rPr>
        <w:t>元</w:t>
      </w:r>
      <w:r>
        <w:rPr>
          <w:rFonts w:ascii="Times New Roman" w:hAnsi="Times New Roman" w:cs="Times New Roman" w:eastAsia="Times New Roman" w:hint="default"/>
          <w:spacing w:val="-1"/>
        </w:rPr>
        <w:t>)</w:t>
      </w:r>
      <w:r>
        <w:rPr>
          <w:spacing w:val="-1"/>
        </w:rPr>
        <w:t>，为本集团向银行申请开具无条件、不</w:t>
      </w:r>
      <w:r>
        <w:rPr>
          <w:spacing w:val="-55"/>
        </w:rPr>
        <w:t> </w:t>
      </w:r>
      <w:r>
        <w:rPr>
          <w:spacing w:val="-55"/>
        </w:rPr>
      </w:r>
      <w:r>
        <w:rPr/>
        <w:t>可撤销的担保函所存入的保证金存款，其使用受到限制。</w:t>
      </w:r>
    </w:p>
    <w:p>
      <w:pPr>
        <w:pStyle w:val="BodyText"/>
        <w:spacing w:line="309" w:lineRule="auto" w:before="31"/>
        <w:ind w:right="1128"/>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日，代建户监管资金共人民币</w:t>
      </w:r>
      <w:r>
        <w:rPr>
          <w:rFonts w:ascii="Times New Roman" w:hAnsi="Times New Roman" w:cs="Times New Roman" w:eastAsia="Times New Roman" w:hint="default"/>
        </w:rPr>
        <w:t>9,675,466.76</w:t>
      </w:r>
      <w:r>
        <w:rPr/>
        <w:t>元 </w:t>
      </w:r>
      <w:r>
        <w:rPr>
          <w:rFonts w:ascii="Times New Roman" w:hAnsi="Times New Roman" w:cs="Times New Roman" w:eastAsia="Times New Roman" w:hint="default"/>
        </w:rPr>
        <w:t>(2018</w:t>
      </w:r>
      <w:r>
        <w:rPr/>
        <w:t>：人民币</w:t>
      </w:r>
      <w:r>
        <w:rPr>
          <w:rFonts w:ascii="Times New Roman" w:hAnsi="Times New Roman" w:cs="Times New Roman" w:eastAsia="Times New Roman" w:hint="default"/>
        </w:rPr>
        <w:t>198,300.75</w:t>
      </w:r>
      <w:r>
        <w:rPr/>
        <w:t>元</w:t>
      </w:r>
      <w:r>
        <w:rPr>
          <w:rFonts w:ascii="Times New Roman" w:hAnsi="Times New Roman" w:cs="Times New Roman" w:eastAsia="Times New Roman" w:hint="default"/>
        </w:rPr>
        <w:t>) </w:t>
      </w:r>
      <w:r>
        <w:rPr/>
        <w:t>，为以本集团名义在银行开立</w:t>
      </w:r>
      <w:r>
        <w:rPr>
          <w:spacing w:val="-85"/>
        </w:rPr>
        <w:t> </w:t>
      </w:r>
      <w:r>
        <w:rPr>
          <w:spacing w:val="-85"/>
        </w:rPr>
      </w:r>
      <w:r>
        <w:rPr>
          <w:spacing w:val="-2"/>
        </w:rPr>
        <w:t>的三方监管账户余额，根据有关的《三方监管协议》，这些监管账户的资金仅可用于代建项目工程建设资金的支付，其使用</w:t>
      </w:r>
      <w:r>
        <w:rPr>
          <w:spacing w:val="-65"/>
        </w:rPr>
        <w:t> </w:t>
      </w:r>
      <w:r>
        <w:rPr>
          <w:spacing w:val="-65"/>
        </w:rPr>
      </w:r>
      <w:r>
        <w:rPr/>
        <w:t>受到限制。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6"/>
        <w:spacing w:line="240" w:lineRule="auto"/>
        <w:ind w:right="0"/>
        <w:jc w:val="both"/>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679"/>
        <w:gridCol w:w="2410"/>
        <w:gridCol w:w="2482"/>
      </w:tblGrid>
      <w:tr>
        <w:trPr>
          <w:trHeight w:val="39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0"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43,779,895.89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118,891,468.50</w:t>
            </w:r>
          </w:p>
        </w:tc>
      </w:tr>
      <w:tr>
        <w:trPr>
          <w:trHeight w:val="39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43,779,895.89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43,779,895.89</w:t>
            </w:r>
          </w:p>
        </w:tc>
      </w:tr>
      <w:tr>
        <w:trPr>
          <w:trHeight w:val="39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43,779,895.89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118,891,468.50</w:t>
            </w:r>
          </w:p>
        </w:tc>
      </w:tr>
    </w:tbl>
    <w:p>
      <w:pPr>
        <w:pStyle w:val="BodyText"/>
        <w:spacing w:line="240" w:lineRule="auto" w:before="51"/>
        <w:ind w:right="0"/>
        <w:jc w:val="left"/>
      </w:pPr>
      <w:r>
        <w:rPr/>
        <w:t>其他说明：</w:t>
      </w:r>
    </w:p>
    <w:p>
      <w:pPr>
        <w:pStyle w:val="BodyText"/>
        <w:spacing w:line="300" w:lineRule="auto" w:before="117"/>
        <w:ind w:right="1124"/>
        <w:jc w:val="left"/>
      </w:pPr>
      <w:r>
        <w:rPr/>
        <w:t>本期以公允价值计量且其变动计入当期损益的金融资产为结构性理财产品，其中期末计提应收取的利息为人民币</w:t>
      </w:r>
      <w:r>
        <w:rPr>
          <w:rFonts w:ascii="Times New Roman" w:hAnsi="Times New Roman" w:cs="Times New Roman" w:eastAsia="Times New Roman" w:hint="default"/>
        </w:rPr>
        <w:t>779,895.89 </w:t>
      </w:r>
      <w:r>
        <w:rPr/>
        <w:t>元 </w:t>
      </w:r>
      <w:r>
        <w:rPr>
          <w:rFonts w:ascii="Times New Roman" w:hAnsi="Times New Roman" w:cs="Times New Roman" w:eastAsia="Times New Roman" w:hint="default"/>
        </w:rPr>
        <w:t>(2018</w:t>
      </w:r>
      <w:r>
        <w:rPr/>
        <w:t>年：人民币</w:t>
      </w:r>
      <w:r>
        <w:rPr>
          <w:rFonts w:ascii="Times New Roman" w:hAnsi="Times New Roman" w:cs="Times New Roman" w:eastAsia="Times New Roman" w:hint="default"/>
        </w:rPr>
        <w:t>891,468.50</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23,726,686.00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1,288,434.80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336,674.16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25,015,120.80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336,674.16</w:t>
            </w:r>
          </w:p>
        </w:tc>
      </w:tr>
    </w:tbl>
    <w:p>
      <w:pPr>
        <w:pStyle w:val="BodyText"/>
        <w:spacing w:line="240" w:lineRule="auto" w:before="5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1527"/>
        <w:gridCol w:w="1524"/>
        <w:gridCol w:w="790"/>
        <w:gridCol w:w="1572"/>
        <w:gridCol w:w="1729"/>
        <w:gridCol w:w="792"/>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right="0"/>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2"/>
        <w:ind w:right="0"/>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0"/>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1"/>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其中本期坏账准备收回或转回金额重要的：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51"/>
        <w:ind w:right="6254"/>
        <w:jc w:val="left"/>
      </w:pPr>
      <w:r>
        <w:rPr/>
        <w:t>其他说明 年末本集团无因出票人未履约而将其转应收账款的票据。</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其中重要的应收票据核销情况：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60" w:lineRule="auto" w:before="51"/>
        <w:ind w:right="9134"/>
        <w:jc w:val="left"/>
      </w:pPr>
      <w:r>
        <w:rPr/>
        <w:t>应收票据核销说明：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4"/>
        <w:gridCol w:w="789"/>
        <w:gridCol w:w="775"/>
        <w:gridCol w:w="797"/>
        <w:gridCol w:w="800"/>
        <w:gridCol w:w="790"/>
        <w:gridCol w:w="931"/>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88"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按单项计提坏账准</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3,477,962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1" w:right="0"/>
              <w:jc w:val="center"/>
              <w:rPr>
                <w:rFonts w:ascii="Times New Roman" w:hAnsi="Times New Roman" w:cs="Times New Roman" w:eastAsia="Times New Roman" w:hint="default"/>
                <w:sz w:val="18"/>
                <w:szCs w:val="18"/>
              </w:rPr>
            </w:pPr>
            <w:r>
              <w:rPr>
                <w:rFonts w:ascii="Times New Roman"/>
                <w:sz w:val="18"/>
              </w:rPr>
              <w:t>3,477,962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.88</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2,273,625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2,273,625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单项金额不重大但 单独计提</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1,204,337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1,204,337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354,735,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490.54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65,884,2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22.06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288,851,2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68.48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281,087,2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02.37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54,748,55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226,338,64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4.69</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354,735,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490.54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65,884,2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22.06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288,851,2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68.48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284,565,1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65.25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58,226,52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226,338,64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4.69</w:t>
            </w:r>
          </w:p>
        </w:tc>
      </w:tr>
    </w:tbl>
    <w:p>
      <w:pPr>
        <w:pStyle w:val="BodyText"/>
        <w:spacing w:line="240" w:lineRule="auto" w:before="51"/>
        <w:ind w:right="0"/>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0"/>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51"/>
        <w:ind w:right="1754"/>
        <w:jc w:val="left"/>
      </w:pPr>
      <w:r>
        <w:rPr/>
        <w:t>确定该组合依据的说明： 如是按照预期信用损失一般模型计提应收账款坏账准备，请参照其他应收款的披露方式披露坏账准备的相关信息：</w:t>
      </w:r>
    </w:p>
    <w:p>
      <w:pPr>
        <w:pStyle w:val="BodyText"/>
        <w:spacing w:line="240" w:lineRule="auto" w:before="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719" w:right="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rFonts w:ascii="Times New Roman" w:hAnsi="Times New Roman" w:cs="Times New Roman" w:eastAsia="Times New Roman" w:hint="default"/>
        </w:rPr>
        <w:t>2019</w:t>
      </w:r>
      <w:r>
        <w:rPr/>
        <w:t>年应收账款预期信用损失的评估：</w:t>
      </w:r>
    </w:p>
    <w:p>
      <w:pPr>
        <w:spacing w:line="240" w:lineRule="auto" w:before="0"/>
        <w:rPr>
          <w:rFonts w:ascii="宋体" w:hAnsi="宋体" w:cs="宋体" w:eastAsia="宋体" w:hint="default"/>
          <w:sz w:val="18"/>
          <w:szCs w:val="18"/>
        </w:rPr>
      </w:pPr>
    </w:p>
    <w:p>
      <w:pPr>
        <w:pStyle w:val="BodyText"/>
        <w:spacing w:line="316" w:lineRule="auto" w:before="139"/>
        <w:ind w:left="719" w:right="1137"/>
        <w:jc w:val="both"/>
      </w:pPr>
      <w:r>
        <w:rPr/>
        <w:t>本集团始终按照相当于整个存续期内预期信用损失的金额计量应收账款的减值准备，并以逾期天数与违约损失率对</w:t>
      </w:r>
      <w:r>
        <w:rPr>
          <w:spacing w:val="-29"/>
        </w:rPr>
        <w:t> </w:t>
      </w:r>
      <w:r>
        <w:rPr>
          <w:spacing w:val="-29"/>
        </w:rPr>
      </w:r>
      <w:r>
        <w:rPr/>
        <w:t>照表为基础计算其预期信用损失。根据本集团的历史经验，不同细分客户群体发生损失的情况没有显著差异，因此</w:t>
      </w:r>
      <w:r>
        <w:rPr>
          <w:spacing w:val="-29"/>
        </w:rPr>
        <w:t> </w:t>
      </w:r>
      <w:r>
        <w:rPr>
          <w:spacing w:val="-29"/>
        </w:rPr>
      </w:r>
      <w:r>
        <w:rPr/>
        <w:t>在根据逾期信息计算减值准备时未进一步区分不同的客户群体。</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tbl>
      <w:tblPr>
        <w:tblW w:w="0" w:type="auto"/>
        <w:jc w:val="left"/>
        <w:tblInd w:w="710" w:type="dxa"/>
        <w:tblLayout w:type="fixed"/>
        <w:tblCellMar>
          <w:top w:w="0" w:type="dxa"/>
          <w:left w:w="0" w:type="dxa"/>
          <w:bottom w:w="0" w:type="dxa"/>
          <w:right w:w="0" w:type="dxa"/>
        </w:tblCellMar>
        <w:tblLook w:val="01E0"/>
      </w:tblPr>
      <w:tblGrid>
        <w:gridCol w:w="2552"/>
        <w:gridCol w:w="1983"/>
        <w:gridCol w:w="1985"/>
        <w:gridCol w:w="1985"/>
      </w:tblGrid>
      <w:tr>
        <w:trPr>
          <w:trHeight w:val="653" w:hRule="exact"/>
        </w:trPr>
        <w:tc>
          <w:tcPr>
            <w:tcW w:w="255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15" w:right="84" w:hanging="629"/>
              <w:jc w:val="left"/>
              <w:rPr>
                <w:rFonts w:ascii="宋体" w:hAnsi="宋体" w:cs="宋体" w:eastAsia="宋体" w:hint="default"/>
                <w:sz w:val="18"/>
                <w:szCs w:val="18"/>
              </w:rPr>
            </w:pPr>
            <w:r>
              <w:rPr>
                <w:rFonts w:ascii="宋体" w:hAnsi="宋体" w:cs="宋体" w:eastAsia="宋体" w:hint="default"/>
                <w:sz w:val="18"/>
                <w:szCs w:val="18"/>
              </w:rPr>
              <w:t>整个存续期的预期信用 损失率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8"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9" w:right="0"/>
              <w:jc w:val="left"/>
              <w:rPr>
                <w:rFonts w:ascii="宋体" w:hAnsi="宋体" w:cs="宋体" w:eastAsia="宋体" w:hint="default"/>
                <w:sz w:val="18"/>
                <w:szCs w:val="18"/>
              </w:rPr>
            </w:pPr>
            <w:r>
              <w:rPr>
                <w:rFonts w:ascii="宋体" w:hAnsi="宋体" w:cs="宋体" w:eastAsia="宋体" w:hint="default"/>
                <w:sz w:val="18"/>
                <w:szCs w:val="18"/>
              </w:rPr>
              <w:t>年末减值准备</w:t>
            </w:r>
          </w:p>
        </w:tc>
      </w:tr>
      <w:tr>
        <w:trPr>
          <w:trHeight w:val="34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47"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2"/>
              <w:jc w:val="right"/>
              <w:rPr>
                <w:rFonts w:ascii="Times New Roman" w:hAnsi="Times New Roman" w:cs="Times New Roman" w:eastAsia="Times New Roman" w:hint="default"/>
                <w:sz w:val="18"/>
                <w:szCs w:val="18"/>
              </w:rPr>
            </w:pPr>
            <w:r>
              <w:rPr>
                <w:rFonts w:ascii="Times New Roman"/>
                <w:sz w:val="18"/>
              </w:rPr>
              <w:t>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spacing w:val="-1"/>
                <w:sz w:val="18"/>
              </w:rPr>
              <w:t>170,850,261.55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spacing w:val="-1"/>
                <w:sz w:val="18"/>
              </w:rPr>
              <w:t>9,723,658.95</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7" w:right="0"/>
              <w:jc w:val="left"/>
              <w:rPr>
                <w:rFonts w:ascii="宋体" w:hAnsi="宋体" w:cs="宋体" w:eastAsia="宋体" w:hint="default"/>
                <w:sz w:val="18"/>
                <w:szCs w:val="18"/>
              </w:rPr>
            </w:pPr>
            <w:r>
              <w:rPr>
                <w:rFonts w:ascii="宋体" w:hAnsi="宋体" w:cs="宋体" w:eastAsia="宋体" w:hint="default"/>
                <w:sz w:val="18"/>
                <w:szCs w:val="18"/>
              </w:rPr>
              <w:t>逾期一年以内</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z w:val="18"/>
              </w:rPr>
              <w:t>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94,300,037.07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9,680,820.74</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7"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w:t>
            </w:r>
            <w:r>
              <w:rPr>
                <w:rFonts w:ascii="宋体" w:hAnsi="宋体" w:cs="宋体" w:eastAsia="宋体" w:hint="default"/>
                <w:sz w:val="18"/>
                <w:szCs w:val="18"/>
              </w:rPr>
              <w:t>到</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
              <w:jc w:val="right"/>
              <w:rPr>
                <w:rFonts w:ascii="Times New Roman" w:hAnsi="Times New Roman" w:cs="Times New Roman" w:eastAsia="Times New Roman" w:hint="default"/>
                <w:sz w:val="18"/>
                <w:szCs w:val="18"/>
              </w:rPr>
            </w:pPr>
            <w:r>
              <w:rPr>
                <w:rFonts w:ascii="Times New Roman"/>
                <w:spacing w:val="-1"/>
                <w:sz w:val="18"/>
              </w:rPr>
              <w:t>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27,157,021.21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7,524,143.37</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7"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2</w:t>
            </w:r>
            <w:r>
              <w:rPr>
                <w:rFonts w:ascii="宋体" w:hAnsi="宋体" w:cs="宋体" w:eastAsia="宋体" w:hint="default"/>
                <w:sz w:val="18"/>
                <w:szCs w:val="18"/>
              </w:rPr>
              <w:t>到</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18,555,224.34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7,055,791.21</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7"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3</w:t>
            </w:r>
            <w:r>
              <w:rPr>
                <w:rFonts w:ascii="宋体" w:hAnsi="宋体" w:cs="宋体" w:eastAsia="宋体" w:hint="default"/>
                <w:sz w:val="18"/>
                <w:szCs w:val="18"/>
              </w:rPr>
              <w:t>到</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
              <w:jc w:val="right"/>
              <w:rPr>
                <w:rFonts w:ascii="Times New Roman" w:hAnsi="Times New Roman" w:cs="Times New Roman" w:eastAsia="Times New Roman" w:hint="default"/>
                <w:sz w:val="18"/>
                <w:szCs w:val="18"/>
              </w:rPr>
            </w:pPr>
            <w:r>
              <w:rPr>
                <w:rFonts w:ascii="Times New Roman"/>
                <w:spacing w:val="-1"/>
                <w:sz w:val="18"/>
              </w:rPr>
              <w:t>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11,198,303.52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4,682,135.88</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7"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4</w:t>
            </w:r>
            <w:r>
              <w:rPr>
                <w:rFonts w:ascii="宋体" w:hAnsi="宋体" w:cs="宋体" w:eastAsia="宋体" w:hint="default"/>
                <w:sz w:val="18"/>
                <w:szCs w:val="18"/>
              </w:rPr>
              <w:t>到</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16,107,308.85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10,650,337.91</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7"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
              <w:jc w:val="right"/>
              <w:rPr>
                <w:rFonts w:ascii="Times New Roman" w:hAnsi="Times New Roman" w:cs="Times New Roman" w:eastAsia="Times New Roman" w:hint="default"/>
                <w:sz w:val="18"/>
                <w:szCs w:val="18"/>
              </w:rPr>
            </w:pPr>
            <w:r>
              <w:rPr>
                <w:rFonts w:ascii="Times New Roman"/>
                <w:sz w:val="18"/>
              </w:rPr>
              <w:t>100%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16,567,334.00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16,567,334.00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710" w:type="dxa"/>
        <w:tblLayout w:type="fixed"/>
        <w:tblCellMar>
          <w:top w:w="0" w:type="dxa"/>
          <w:left w:w="0" w:type="dxa"/>
          <w:bottom w:w="0" w:type="dxa"/>
          <w:right w:w="0" w:type="dxa"/>
        </w:tblCellMar>
        <w:tblLook w:val="01E0"/>
      </w:tblPr>
      <w:tblGrid>
        <w:gridCol w:w="2552"/>
        <w:gridCol w:w="1983"/>
        <w:gridCol w:w="1985"/>
        <w:gridCol w:w="1985"/>
      </w:tblGrid>
      <w:tr>
        <w:trPr>
          <w:trHeight w:val="34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44" w:right="0"/>
              <w:jc w:val="left"/>
              <w:rPr>
                <w:rFonts w:ascii="Times New Roman" w:hAnsi="Times New Roman" w:cs="Times New Roman" w:eastAsia="Times New Roman" w:hint="default"/>
                <w:sz w:val="18"/>
                <w:szCs w:val="18"/>
              </w:rPr>
            </w:pPr>
            <w:r>
              <w:rPr>
                <w:rFonts w:ascii="Times New Roman"/>
                <w:sz w:val="18"/>
              </w:rPr>
              <w:t>354,735,490.54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36" w:right="0"/>
              <w:jc w:val="left"/>
              <w:rPr>
                <w:rFonts w:ascii="Times New Roman" w:hAnsi="Times New Roman" w:cs="Times New Roman" w:eastAsia="Times New Roman" w:hint="default"/>
                <w:sz w:val="18"/>
                <w:szCs w:val="18"/>
              </w:rPr>
            </w:pPr>
            <w:r>
              <w:rPr>
                <w:rFonts w:ascii="Times New Roman"/>
                <w:sz w:val="18"/>
              </w:rPr>
              <w:t>65,884,222.06</w:t>
            </w:r>
          </w:p>
        </w:tc>
      </w:tr>
    </w:tbl>
    <w:p>
      <w:pPr>
        <w:spacing w:line="240" w:lineRule="auto" w:before="3"/>
        <w:rPr>
          <w:rFonts w:ascii="宋体" w:hAnsi="宋体" w:cs="宋体" w:eastAsia="宋体" w:hint="default"/>
          <w:sz w:val="21"/>
          <w:szCs w:val="21"/>
        </w:rPr>
      </w:pPr>
    </w:p>
    <w:p>
      <w:pPr>
        <w:pStyle w:val="BodyText"/>
        <w:spacing w:line="300" w:lineRule="auto" w:before="44"/>
        <w:ind w:left="719" w:right="0"/>
        <w:jc w:val="left"/>
      </w:pPr>
      <w:r>
        <w:rPr>
          <w:spacing w:val="-1"/>
        </w:rPr>
        <w:t>违约损失率基于过去</w:t>
      </w:r>
      <w:r>
        <w:rPr>
          <w:rFonts w:ascii="Times New Roman" w:hAnsi="Times New Roman" w:cs="Times New Roman" w:eastAsia="Times New Roman" w:hint="default"/>
          <w:spacing w:val="-1"/>
        </w:rPr>
        <w:t>3</w:t>
      </w:r>
      <w:r>
        <w:rPr>
          <w:spacing w:val="-1"/>
        </w:rPr>
        <w:t>年的实际信用损失经验计算，并根据历史数据收集期间的经济状况、当前的经济状况与本集团</w:t>
      </w:r>
      <w:r>
        <w:rPr>
          <w:spacing w:val="-59"/>
        </w:rPr>
        <w:t> </w:t>
      </w:r>
      <w:r>
        <w:rPr>
          <w:spacing w:val="-59"/>
        </w:rPr>
      </w:r>
      <w:r>
        <w:rPr/>
        <w:t>所认为的预计存续期内的经济状况三者之间的差异进行调整。</w:t>
      </w:r>
    </w:p>
    <w:p>
      <w:pPr>
        <w:pStyle w:val="BodyText"/>
        <w:spacing w:line="600" w:lineRule="auto" w:before="31"/>
        <w:ind w:left="719" w:right="4967"/>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17"/>
        </w:rPr>
        <w:t> </w:t>
      </w:r>
      <w:r>
        <w:rPr>
          <w:rFonts w:ascii="Times New Roman" w:hAnsi="Times New Roman" w:cs="Times New Roman" w:eastAsia="Times New Roman" w:hint="default"/>
        </w:rPr>
        <w:t>2018</w:t>
      </w:r>
      <w:r>
        <w:rPr/>
        <w:t>年应收账款的减值</w:t>
      </w:r>
      <w:r>
        <w:rPr>
          <w:w w:val="99"/>
        </w:rPr>
        <w:t> </w:t>
      </w:r>
      <w:r>
        <w:rPr/>
        <w:t>在原金融工具准则下，有客观证明表明发生减值时计提减值准备。</w:t>
      </w:r>
    </w:p>
    <w:p>
      <w:pPr>
        <w:spacing w:line="240" w:lineRule="auto" w:before="3"/>
        <w:rPr>
          <w:rFonts w:ascii="宋体" w:hAnsi="宋体" w:cs="宋体" w:eastAsia="宋体" w:hint="default"/>
          <w:sz w:val="8"/>
          <w:szCs w:val="8"/>
        </w:rPr>
      </w:pPr>
    </w:p>
    <w:tbl>
      <w:tblPr>
        <w:tblW w:w="0" w:type="auto"/>
        <w:jc w:val="left"/>
        <w:tblInd w:w="710" w:type="dxa"/>
        <w:tblLayout w:type="fixed"/>
        <w:tblCellMar>
          <w:top w:w="0" w:type="dxa"/>
          <w:left w:w="0" w:type="dxa"/>
          <w:bottom w:w="0" w:type="dxa"/>
          <w:right w:w="0" w:type="dxa"/>
        </w:tblCellMar>
        <w:tblLook w:val="01E0"/>
      </w:tblPr>
      <w:tblGrid>
        <w:gridCol w:w="2607"/>
        <w:gridCol w:w="1361"/>
        <w:gridCol w:w="908"/>
        <w:gridCol w:w="1361"/>
        <w:gridCol w:w="908"/>
        <w:gridCol w:w="1361"/>
      </w:tblGrid>
      <w:tr>
        <w:trPr>
          <w:trHeight w:val="341" w:hRule="exact"/>
        </w:trPr>
        <w:tc>
          <w:tcPr>
            <w:tcW w:w="2607"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8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年余额</w:t>
            </w:r>
          </w:p>
        </w:tc>
      </w:tr>
      <w:tr>
        <w:trPr>
          <w:trHeight w:val="343" w:hRule="exact"/>
        </w:trPr>
        <w:tc>
          <w:tcPr>
            <w:tcW w:w="2607" w:type="dxa"/>
            <w:vMerge/>
            <w:tcBorders>
              <w:left w:val="single" w:sz="4" w:space="0" w:color="000000"/>
              <w:right w:val="single" w:sz="4" w:space="0" w:color="000000"/>
            </w:tcBorders>
          </w:tcPr>
          <w:p>
            <w:pP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20"/>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53" w:hRule="exact"/>
        </w:trPr>
        <w:tc>
          <w:tcPr>
            <w:tcW w:w="2607" w:type="dxa"/>
            <w:vMerge/>
            <w:tcBorders>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6" w:right="0"/>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118"/>
              <w:ind w:left="6" w:right="0"/>
              <w:jc w:val="center"/>
              <w:rPr>
                <w:rFonts w:ascii="Times New Roman" w:hAnsi="Times New Roman" w:cs="Times New Roman" w:eastAsia="Times New Roman" w:hint="default"/>
                <w:sz w:val="18"/>
                <w:szCs w:val="18"/>
              </w:rPr>
            </w:pPr>
            <w:r>
              <w:rPr>
                <w:rFonts w:ascii="Times New Roman"/>
                <w:sz w:val="18"/>
              </w:rPr>
              <w:t>(%)</w:t>
            </w:r>
          </w:p>
        </w:tc>
        <w:tc>
          <w:tcPr>
            <w:tcW w:w="1361" w:type="dxa"/>
            <w:vMerge/>
            <w:tcBorders>
              <w:left w:val="single" w:sz="4" w:space="0" w:color="000000"/>
              <w:bottom w:val="single" w:sz="4" w:space="0" w:color="000000"/>
              <w:right w:val="single" w:sz="4" w:space="0" w:color="000000"/>
            </w:tcBorders>
          </w:tcPr>
          <w:p>
            <w:pPr/>
          </w:p>
        </w:tc>
      </w:tr>
      <w:tr>
        <w:trPr>
          <w:trHeight w:val="656"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97" w:right="137"/>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2,273,625.00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2,273,625.00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100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3"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97" w:right="137"/>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361"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281,087,202.37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54,748,557.68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226,338,644.69</w:t>
            </w:r>
          </w:p>
        </w:tc>
      </w:tr>
      <w:tr>
        <w:trPr>
          <w:trHeight w:val="653"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97" w:right="137"/>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1,204,337.88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1,204,337.88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284,565,165.25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58,226,520.56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226,338,644.69</w:t>
            </w:r>
          </w:p>
        </w:tc>
      </w:tr>
    </w:tbl>
    <w:p>
      <w:pPr>
        <w:spacing w:line="240" w:lineRule="auto" w:before="3"/>
        <w:rPr>
          <w:rFonts w:ascii="宋体" w:hAnsi="宋体" w:cs="宋体" w:eastAsia="宋体" w:hint="default"/>
          <w:sz w:val="21"/>
          <w:szCs w:val="21"/>
        </w:rPr>
      </w:pPr>
    </w:p>
    <w:p>
      <w:pPr>
        <w:pStyle w:val="BodyText"/>
        <w:spacing w:line="600" w:lineRule="auto" w:before="44"/>
        <w:ind w:left="719" w:right="6137"/>
        <w:jc w:val="left"/>
      </w:pPr>
      <w:r>
        <w:rPr>
          <w:rFonts w:ascii="Times New Roman" w:hAnsi="Times New Roman" w:cs="Times New Roman" w:eastAsia="Times New Roman" w:hint="default"/>
        </w:rPr>
        <w:t>2018</w:t>
      </w:r>
      <w:r>
        <w:rPr/>
        <w:t>年按组合计提坏账准备的确认标准及说明： 组合</w:t>
      </w:r>
      <w:r>
        <w:rPr>
          <w:rFonts w:ascii="Times New Roman" w:hAnsi="Times New Roman" w:cs="Times New Roman" w:eastAsia="Times New Roman" w:hint="default"/>
        </w:rPr>
        <w:t>1</w:t>
      </w:r>
      <w:r>
        <w:rPr/>
        <w:t>中，按账龄分析法计提坏账准备的应收账款：</w:t>
      </w:r>
    </w:p>
    <w:p>
      <w:pPr>
        <w:spacing w:line="240" w:lineRule="auto" w:before="0"/>
        <w:rPr>
          <w:rFonts w:ascii="宋体" w:hAnsi="宋体" w:cs="宋体" w:eastAsia="宋体" w:hint="default"/>
          <w:sz w:val="5"/>
          <w:szCs w:val="5"/>
        </w:rPr>
      </w:pPr>
    </w:p>
    <w:tbl>
      <w:tblPr>
        <w:tblW w:w="0" w:type="auto"/>
        <w:jc w:val="left"/>
        <w:tblInd w:w="710" w:type="dxa"/>
        <w:tblLayout w:type="fixed"/>
        <w:tblCellMar>
          <w:top w:w="0" w:type="dxa"/>
          <w:left w:w="0" w:type="dxa"/>
          <w:bottom w:w="0" w:type="dxa"/>
          <w:right w:w="0" w:type="dxa"/>
        </w:tblCellMar>
        <w:tblLook w:val="01E0"/>
      </w:tblPr>
      <w:tblGrid>
        <w:gridCol w:w="2552"/>
        <w:gridCol w:w="1988"/>
        <w:gridCol w:w="1987"/>
        <w:gridCol w:w="1985"/>
      </w:tblGrid>
      <w:tr>
        <w:trPr>
          <w:trHeight w:val="341" w:hRule="exact"/>
        </w:trPr>
        <w:tc>
          <w:tcPr>
            <w:tcW w:w="2552" w:type="dxa"/>
            <w:vMerge w:val="restart"/>
            <w:tcBorders>
              <w:top w:val="single" w:sz="4" w:space="0" w:color="000000"/>
              <w:left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59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3" w:hRule="exact"/>
        </w:trPr>
        <w:tc>
          <w:tcPr>
            <w:tcW w:w="2552" w:type="dxa"/>
            <w:vMerge/>
            <w:tcBorders>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171,737,575.92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8,586,878.80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38,963,406.22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3,896,340.62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10</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20,513,818.14</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6,154,145.44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20,383,489.56</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10,191,744.78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50</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17,847,322.43</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14,277,857.94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80</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11,641,590.10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11,641,590.10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281,087,202.37</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54,748,557.68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4"/>
        <w:rPr>
          <w:rFonts w:ascii="宋体" w:hAnsi="宋体" w:cs="宋体" w:eastAsia="宋体" w:hint="default"/>
          <w:sz w:val="21"/>
          <w:szCs w:val="21"/>
        </w:rPr>
      </w:pPr>
    </w:p>
    <w:p>
      <w:pPr>
        <w:pStyle w:val="BodyText"/>
        <w:tabs>
          <w:tab w:pos="1833" w:val="left" w:leader="none"/>
        </w:tabs>
        <w:spacing w:line="300" w:lineRule="auto" w:before="44"/>
        <w:ind w:left="1286" w:right="1133"/>
        <w:jc w:val="left"/>
      </w:pPr>
      <w:r>
        <w:rPr>
          <w:rFonts w:ascii="Times New Roman" w:hAnsi="Times New Roman" w:cs="Times New Roman" w:eastAsia="Times New Roman" w:hint="default"/>
          <w:spacing w:val="-1"/>
        </w:rPr>
        <w:t>A</w:t>
      </w:r>
      <w:r>
        <w:rPr>
          <w:spacing w:val="-1"/>
        </w:rPr>
        <w:t>、</w:t>
        <w:tab/>
      </w:r>
      <w:r>
        <w:rPr>
          <w:spacing w:val="-2"/>
        </w:rPr>
        <w:t>单项金额重大的应收账款是指单笔金额</w:t>
      </w:r>
      <w:r>
        <w:rPr>
          <w:rFonts w:ascii="Times New Roman" w:hAnsi="Times New Roman" w:cs="Times New Roman" w:eastAsia="Times New Roman" w:hint="default"/>
          <w:spacing w:val="-2"/>
        </w:rPr>
        <w:t>100</w:t>
      </w:r>
      <w:r>
        <w:rPr>
          <w:spacing w:val="-2"/>
        </w:rPr>
        <w:t>万元以上的客户应收账款，经减值测试后不存在减值，公司</w:t>
      </w:r>
      <w:r>
        <w:rPr>
          <w:spacing w:val="-52"/>
        </w:rPr>
        <w:t> </w:t>
      </w:r>
      <w:r>
        <w:rPr>
          <w:spacing w:val="-52"/>
        </w:rPr>
      </w:r>
      <w:r>
        <w:rPr/>
        <w:t>按照账龄分析法计提坏账准备；</w:t>
      </w:r>
    </w:p>
    <w:p>
      <w:pPr>
        <w:spacing w:line="240" w:lineRule="auto" w:before="3"/>
        <w:rPr>
          <w:rFonts w:ascii="宋体" w:hAnsi="宋体" w:cs="宋体" w:eastAsia="宋体" w:hint="default"/>
          <w:sz w:val="26"/>
          <w:szCs w:val="26"/>
        </w:rPr>
      </w:pPr>
    </w:p>
    <w:p>
      <w:pPr>
        <w:pStyle w:val="BodyText"/>
        <w:tabs>
          <w:tab w:pos="1833" w:val="left" w:leader="none"/>
        </w:tabs>
        <w:spacing w:line="240" w:lineRule="auto"/>
        <w:ind w:left="1286" w:right="0"/>
        <w:jc w:val="left"/>
      </w:pPr>
      <w:r>
        <w:rPr>
          <w:rFonts w:ascii="Times New Roman" w:hAnsi="Times New Roman" w:cs="Times New Roman" w:eastAsia="Times New Roman" w:hint="default"/>
          <w:spacing w:val="-1"/>
        </w:rPr>
        <w:t>B</w:t>
      </w:r>
      <w:r>
        <w:rPr>
          <w:spacing w:val="-1"/>
        </w:rPr>
        <w:t>、</w:t>
        <w:tab/>
      </w:r>
      <w:r>
        <w:rPr/>
        <w:t>本报告期应收账款中无持本公司</w:t>
      </w:r>
      <w:r>
        <w:rPr>
          <w:rFonts w:ascii="Times New Roman" w:hAnsi="Times New Roman" w:cs="Times New Roman" w:eastAsia="Times New Roman" w:hint="default"/>
        </w:rPr>
        <w:t>5</w:t>
      </w:r>
      <w:r>
        <w:rPr/>
        <w:t>％以上 </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spacing w:val="-1"/>
        </w:rPr>
        <w:t>表决权股份的股东单位欠款。</w:t>
      </w:r>
    </w:p>
    <w:p>
      <w:pPr>
        <w:pStyle w:val="BodyText"/>
        <w:tabs>
          <w:tab w:pos="573" w:val="left" w:leader="none"/>
        </w:tabs>
        <w:spacing w:line="240" w:lineRule="auto" w:before="63"/>
        <w:ind w:right="0"/>
        <w:jc w:val="left"/>
      </w:pPr>
      <w:r>
        <w:rPr>
          <w:rFonts w:ascii="Times New Roman" w:hAnsi="Times New Roman" w:cs="Times New Roman" w:eastAsia="Times New Roman" w:hint="default"/>
        </w:rPr>
        <w:t>(3)</w:t>
        <w:tab/>
      </w:r>
      <w:r>
        <w:rPr/>
        <w:t>坏账准备的变动情况：</w:t>
      </w:r>
    </w:p>
    <w:p>
      <w:pPr>
        <w:spacing w:line="240" w:lineRule="auto" w:before="11"/>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104"/>
        <w:gridCol w:w="1985"/>
        <w:gridCol w:w="1983"/>
      </w:tblGrid>
      <w:tr>
        <w:trPr>
          <w:trHeight w:val="343" w:hRule="exact"/>
        </w:trPr>
        <w:tc>
          <w:tcPr>
            <w:tcW w:w="510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104"/>
        <w:gridCol w:w="1985"/>
        <w:gridCol w:w="1983"/>
      </w:tblGrid>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原金融工具准则下的余额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58,226,520.56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43,397,098.00</w:t>
            </w:r>
          </w:p>
        </w:tc>
      </w:tr>
      <w:tr>
        <w:trPr>
          <w:trHeight w:val="34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首次执行新金融工具准则的调整金额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调整后的年初余额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58,226,520.56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43,397,098.00</w:t>
            </w:r>
          </w:p>
        </w:tc>
      </w:tr>
      <w:tr>
        <w:trPr>
          <w:trHeight w:val="34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14,490,071.26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15,573,272.56</w:t>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本年收回或转回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6,832,369.76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743,850.00</w:t>
            </w:r>
          </w:p>
        </w:tc>
      </w:tr>
      <w:tr>
        <w:trPr>
          <w:trHeight w:val="34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65,884,222.06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58,226,520.56</w:t>
            </w:r>
          </w:p>
        </w:tc>
      </w:tr>
    </w:tbl>
    <w:p>
      <w:pPr>
        <w:pStyle w:val="BodyText"/>
        <w:spacing w:line="240" w:lineRule="auto" w:before="51"/>
        <w:ind w:right="0"/>
        <w:jc w:val="left"/>
      </w:pPr>
      <w:r>
        <w:rPr/>
        <w:t>按账龄披露</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265,150,298.62</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27,157,021.21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18,555,224.34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43,872,946.37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11,198,303.52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16,107,308.85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16,567,334.00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354,735,490.54</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right="0"/>
        <w:jc w:val="left"/>
      </w:pPr>
      <w:r>
        <w:rPr/>
        <w:t>本集团本年无金额重大的坏账收回或转回情况。</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本集团本年无金额重大的应收账款核销情况。</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47,808,547.28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2,390,427.36</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12,654,777.30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2,767,051.30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10,679,448.00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533,972.40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8,847,593.90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983,970.90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8,501,038.20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2.00%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1,083,282.88</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88,491,404.68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7,758,704.84</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本期无因金融资产转移而终止确认的应收账款情况。</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074"/>
        <w:jc w:val="left"/>
      </w:pPr>
      <w:r>
        <w:rPr/>
        <w:t>本期无转移应收账款且继续涉入形成的资产、负债的金额。 其他说明：</w:t>
      </w:r>
    </w:p>
    <w:p>
      <w:pPr>
        <w:spacing w:line="240" w:lineRule="auto" w:before="13"/>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2,063,920.01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6,656,568.50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185,151.90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456,167.84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353,417.62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10,683.76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10,683.76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2,613,173.29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7,123,420.10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38" w:lineRule="auto" w:before="51"/>
        <w:ind w:right="589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本集团无账龄超过</w:t>
      </w:r>
      <w:r>
        <w:rPr>
          <w:rFonts w:ascii="Times New Roman" w:hAnsi="Times New Roman" w:cs="Times New Roman" w:eastAsia="Times New Roman" w:hint="default"/>
        </w:rPr>
        <w:t>1</w:t>
      </w:r>
      <w:r>
        <w:rPr/>
        <w:t>年的金额重大的预付款项。</w:t>
      </w:r>
    </w:p>
    <w:p>
      <w:pPr>
        <w:spacing w:after="0" w:line="338"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按预付对象归集的年末余额前五名的预付款项情况</w:t>
      </w: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395"/>
        <w:gridCol w:w="2127"/>
        <w:gridCol w:w="2552"/>
      </w:tblGrid>
      <w:tr>
        <w:trPr>
          <w:trHeight w:val="65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1"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01" w:right="195" w:firstLine="621"/>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 期末余额合计数的比例</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p>
        </w:tc>
      </w:tr>
      <w:tr>
        <w:trPr>
          <w:trHeight w:val="34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311,181.67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12</w:t>
            </w:r>
          </w:p>
        </w:tc>
      </w:tr>
      <w:tr>
        <w:trPr>
          <w:trHeight w:val="34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191,600.00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7</w:t>
            </w:r>
          </w:p>
        </w:tc>
      </w:tr>
      <w:tr>
        <w:trPr>
          <w:trHeight w:val="34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137,583.80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5</w:t>
            </w:r>
          </w:p>
        </w:tc>
      </w:tr>
      <w:tr>
        <w:trPr>
          <w:trHeight w:val="34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117,600.00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5</w:t>
            </w:r>
          </w:p>
        </w:tc>
      </w:tr>
      <w:tr>
        <w:trPr>
          <w:trHeight w:val="34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89,588.50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3</w:t>
            </w:r>
          </w:p>
        </w:tc>
      </w:tr>
      <w:tr>
        <w:trPr>
          <w:trHeight w:val="34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b/>
                <w:spacing w:val="-1"/>
                <w:sz w:val="18"/>
              </w:rPr>
              <w:t>847,553.97</w:t>
            </w:r>
            <w:r>
              <w:rPr>
                <w:rFonts w:ascii="Times New Roman"/>
                <w:spacing w:val="-1"/>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b/>
                <w:sz w:val="18"/>
              </w:rPr>
              <w:t>32</w:t>
            </w:r>
            <w:r>
              <w:rPr>
                <w:rFonts w:ascii="Times New Roman"/>
                <w:sz w:val="18"/>
              </w:rPr>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14,794.52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12,941,186.75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8,538,296.59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12,941,186.75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8,553,091.11</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14,794.52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14,794.52</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股权收购意向金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3,627,053.41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3,783,646.86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1,442,996.00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1,907,074.40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364,143.47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700,046.33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3,641,598.37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3,999,085.61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-1,134,604.50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-1,851,556.61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12,941,186.75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8,538,296.59</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9"/>
        <w:gridCol w:w="1702"/>
        <w:gridCol w:w="2268"/>
        <w:gridCol w:w="1985"/>
        <w:gridCol w:w="1205"/>
      </w:tblGrid>
      <w:tr>
        <w:trPr>
          <w:trHeight w:val="403" w:hRule="exact"/>
        </w:trPr>
        <w:tc>
          <w:tcPr>
            <w:tcW w:w="2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1"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w:t>
            </w:r>
          </w:p>
        </w:tc>
        <w:tc>
          <w:tcPr>
            <w:tcW w:w="120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10"/>
        <w:gridCol w:w="1702"/>
        <w:gridCol w:w="2268"/>
        <w:gridCol w:w="1985"/>
        <w:gridCol w:w="1205"/>
      </w:tblGrid>
      <w:tr>
        <w:trPr>
          <w:trHeight w:val="36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用损失</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953,718.18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897,838.43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1,851,556.61</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-74,031.00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74,031.00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298,757.17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177,940.73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476,697.90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748,087.00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445,563.01</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1,193,650.01</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430,357.35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704,247.15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1,134,604.50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pStyle w:val="BodyText"/>
        <w:spacing w:line="240" w:lineRule="auto" w:before="51"/>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10,145,563.34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1,690,233.55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1,403,762.20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836,232.16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14,075,791.25</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5"/>
        <w:gridCol w:w="1097"/>
        <w:gridCol w:w="1340"/>
        <w:gridCol w:w="1332"/>
        <w:gridCol w:w="1332"/>
        <w:gridCol w:w="1325"/>
        <w:gridCol w:w="1726"/>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11"/>
        <w:ind w:right="0"/>
        <w:jc w:val="left"/>
      </w:pPr>
      <w:r>
        <w:rPr/>
        <w:t>本年无金额重大的其他应收款坏账准备收回或转回。</w:t>
      </w:r>
    </w:p>
    <w:p>
      <w:pPr>
        <w:spacing w:line="240" w:lineRule="auto" w:before="6"/>
        <w:rPr>
          <w:rFonts w:ascii="宋体" w:hAnsi="宋体" w:cs="宋体" w:eastAsia="宋体" w:hint="default"/>
          <w:sz w:val="13"/>
          <w:szCs w:val="13"/>
        </w:rPr>
      </w:pPr>
    </w:p>
    <w:p>
      <w:pPr>
        <w:pStyle w:val="Heading3"/>
        <w:spacing w:line="240" w:lineRule="auto"/>
        <w:ind w:right="0"/>
        <w:jc w:val="left"/>
      </w:pPr>
      <w:r>
        <w:rPr>
          <w:b w:val="0"/>
          <w:bCs w:val="0"/>
        </w:rPr>
        <w:t>其中本期坏账准备转回或收回金额重要的：</w:t>
      </w:r>
      <w:r>
        <w:rPr/>
      </w:r>
    </w:p>
    <w:p>
      <w:pPr>
        <w:spacing w:line="240" w:lineRule="auto" w:before="3"/>
        <w:rPr>
          <w:rFonts w:ascii="等线 Light" w:hAnsi="等线 Light" w:cs="等线 Light" w:eastAsia="等线 Light" w:hint="default"/>
          <w:b w:val="0"/>
          <w:bCs w:val="0"/>
          <w:sz w:val="14"/>
          <w:szCs w:val="14"/>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1"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36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pStyle w:val="BodyText"/>
        <w:spacing w:line="357" w:lineRule="auto" w:before="51"/>
        <w:ind w:right="7874"/>
        <w:jc w:val="left"/>
      </w:pPr>
      <w:r>
        <w:rPr/>
        <w:t>其他应收款核销说明： 本年无金额重大的其他应收款核销。</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股权收购意向金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中关村发展集团股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570,506.92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57,050.69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深圳市联泰房地产 开发有限公司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341,505.00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17,075.25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深圳市联泰房地产 开发有限公司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291,608.00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87,482.40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柳州市公共资源交 易服务中心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6,483,619.92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189,608.34</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0"/>
        <w:ind w:right="0"/>
        <w:jc w:val="left"/>
      </w:pPr>
      <w:r>
        <w:rPr/>
        <w:t>本报告期无涉及政府补助的应收款项。</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本报告期无因金融资产转移而予以终止确认的其他应收款项情况。</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676" w:lineRule="auto"/>
        <w:ind w:right="5354"/>
        <w:jc w:val="left"/>
      </w:pPr>
      <w:r>
        <w:rPr/>
        <w:t>本报告期无转移其他应收款项且继续涉入形成的资产、负债的金额。 其他说明：</w:t>
      </w:r>
    </w:p>
    <w:p>
      <w:pPr>
        <w:pStyle w:val="Heading6"/>
        <w:spacing w:line="240" w:lineRule="auto" w:before="23"/>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70,916.15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70,916.15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100,899.80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100,899.80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70,916.15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70,916.15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100,899.80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100,899.80</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10"/>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4,588,865.25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5,776,110.91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4,713,086.40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3,862,814.60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65.77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9,301,951.65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11,638,991.28</w:t>
            </w:r>
          </w:p>
        </w:tc>
      </w:tr>
    </w:tbl>
    <w:p>
      <w:pPr>
        <w:pStyle w:val="BodyText"/>
        <w:spacing w:line="240" w:lineRule="auto" w:before="51"/>
        <w:ind w:right="0"/>
        <w:jc w:val="left"/>
      </w:pPr>
      <w:r>
        <w:rPr/>
        <w:t>其他说明：</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1046"/>
        <w:gridCol w:w="1133"/>
        <w:gridCol w:w="569"/>
        <w:gridCol w:w="991"/>
        <w:gridCol w:w="708"/>
        <w:gridCol w:w="569"/>
        <w:gridCol w:w="850"/>
        <w:gridCol w:w="708"/>
        <w:gridCol w:w="605"/>
        <w:gridCol w:w="1097"/>
        <w:gridCol w:w="499"/>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00" w:lineRule="auto"/>
              <w:ind w:left="218" w:right="3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613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00" w:lineRule="auto"/>
              <w:ind w:left="242" w:right="62"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64" w:right="62"/>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0" w:right="9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96"/>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7" w:type="dxa"/>
            <w:vMerge/>
            <w:tcBorders>
              <w:left w:val="single" w:sz="4" w:space="0" w:color="000000"/>
              <w:bottom w:val="single" w:sz="4" w:space="0" w:color="000000"/>
              <w:right w:val="single" w:sz="4" w:space="0" w:color="000000"/>
            </w:tcBorders>
            <w:shd w:val="clear" w:color="auto" w:fill="D2D2D2"/>
          </w:tcPr>
          <w:p>
            <w:pPr/>
          </w:p>
        </w:tc>
        <w:tc>
          <w:tcPr>
            <w:tcW w:w="49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荆门玖伊 园科技有 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1,217,986.96</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-133,589.19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1,084,397.77</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雄安绿研 智库有限 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2,108,514.90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-343,670.86</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1,764,844.04</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六邻科技 </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-111,764.09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888,235.91</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3,326,501.86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1,000,000.00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-589,024.14</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3,737,477.72</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3,326,501.86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1,000,000.00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-589,024.14</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3,737,477.72</w:t>
            </w:r>
          </w:p>
        </w:tc>
        <w:tc>
          <w:tcPr>
            <w:tcW w:w="4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1560"/>
        <w:gridCol w:w="1700"/>
        <w:gridCol w:w="1277"/>
        <w:gridCol w:w="1632"/>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14,577,690.96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14,577,690.96</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14,577,690.96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6" w:right="0"/>
              <w:jc w:val="left"/>
              <w:rPr>
                <w:rFonts w:ascii="Times New Roman" w:hAnsi="Times New Roman" w:cs="Times New Roman" w:eastAsia="Times New Roman" w:hint="default"/>
                <w:sz w:val="18"/>
                <w:szCs w:val="18"/>
              </w:rPr>
            </w:pPr>
            <w:r>
              <w:rPr>
                <w:rFonts w:ascii="Times New Roman"/>
                <w:sz w:val="18"/>
              </w:rPr>
              <w:t>14,577,690.96</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14,577,690.96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6" w:right="0"/>
              <w:jc w:val="left"/>
              <w:rPr>
                <w:rFonts w:ascii="Times New Roman" w:hAnsi="Times New Roman" w:cs="Times New Roman" w:eastAsia="Times New Roman" w:hint="default"/>
                <w:sz w:val="18"/>
                <w:szCs w:val="18"/>
              </w:rPr>
            </w:pPr>
            <w:r>
              <w:rPr>
                <w:rFonts w:ascii="Times New Roman"/>
                <w:sz w:val="18"/>
              </w:rPr>
              <w:t>14,577,690.96</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04"/>
        <w:gridCol w:w="1560"/>
        <w:gridCol w:w="1700"/>
        <w:gridCol w:w="1277"/>
        <w:gridCol w:w="1632"/>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转出至固定资产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14,577,690.96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14,577,690.96</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5,074,134.26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5,074,134.26</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557,375.40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557,375.40</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557,375.40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557,375.40</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5,631,509.66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5,631,509.66</w:t>
            </w: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转出至固定资产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5,631,509.66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5,631,509.66</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9,503,556.70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9,503,556.70</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right="0"/>
        <w:jc w:val="left"/>
      </w:pPr>
      <w:r>
        <w:rPr/>
        <w:t>其他说明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116,127,414.24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87,247,624.00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116,127,414.24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87,247,624.00</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277"/>
        <w:gridCol w:w="1274"/>
        <w:gridCol w:w="1136"/>
        <w:gridCol w:w="1164"/>
        <w:gridCol w:w="1369"/>
        <w:gridCol w:w="1366"/>
      </w:tblGrid>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81,738,948.76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sz w:val="18"/>
              </w:rPr>
              <w:t>6,218,751.85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57,730,788.23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26,498,576.78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173,167,065.62</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sz w:val="18"/>
              </w:rPr>
              <w:t>5,864,575.16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14,988,313.69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832,331.75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21,685,220.60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投资性房地产转入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14,577,690.96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14,577,690.96</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非同一控制下企业合并 增加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9,431,028.60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2,220,751.06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1,024,886.17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243,974.78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834,676.15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13,755,316.76</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3"/>
                <w:sz w:val="18"/>
              </w:rPr>
              <w:t>113,111.11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587,814.26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700,925.37</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105,747,668.32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14,304,078.07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2,004,886.17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72,849,965.59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27,577,770.42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222,484,368.57</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27,196,285.82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sz w:val="18"/>
              </w:rPr>
              <w:t>1,286,980.29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784,000.32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35,900,868.08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20,751,307.11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85,919,441.62</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3,450,974.80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sz w:val="18"/>
              </w:rPr>
              <w:t>2,071,647.57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154,018.57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7,834,143.16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1,996,144.32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15,506,928.42</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投资性房地产转入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5,631,509.66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5,631,509.66</w:t>
            </w: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非同一控制下企业合并 增加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3"/>
                <w:sz w:val="18"/>
              </w:rPr>
              <w:t>113,111.11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587,814.26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700,925.37</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36,278,770.28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sz w:val="18"/>
              </w:rPr>
              <w:t>3,358,627.86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938,018.89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43,621,900.13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22,159,637.17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106,356,954.33</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4"/>
        <w:gridCol w:w="1277"/>
        <w:gridCol w:w="1274"/>
        <w:gridCol w:w="1136"/>
        <w:gridCol w:w="1164"/>
        <w:gridCol w:w="1369"/>
        <w:gridCol w:w="1366"/>
      </w:tblGrid>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69,468,898.04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10,945,450.21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1,066,867.28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29,228,065.46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5,418,133.25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116,127,414.24</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54,542,662.94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4,931,771.56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195,999.68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21,829,920.15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5,747,269.67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87,247,624.00</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建科大楼</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8,946,181.30</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right="0"/>
        <w:jc w:val="left"/>
      </w:pPr>
      <w:r>
        <w:rPr/>
        <w:t>其他说明</w:t>
      </w:r>
    </w:p>
    <w:p>
      <w:pPr>
        <w:pStyle w:val="BodyText"/>
        <w:spacing w:line="240" w:lineRule="auto" w:before="115"/>
        <w:ind w:right="0"/>
        <w:jc w:val="left"/>
      </w:pPr>
      <w:r>
        <w:rPr/>
        <w:t>（</w:t>
      </w:r>
      <w:r>
        <w:rPr>
          <w:rFonts w:ascii="Times New Roman" w:hAnsi="Times New Roman" w:cs="Times New Roman" w:eastAsia="Times New Roman" w:hint="default"/>
        </w:rPr>
        <w:t>1</w:t>
      </w:r>
      <w:r>
        <w:rPr/>
        <w:t>）本报告期无暂时闲置的固定资产。</w:t>
      </w:r>
    </w:p>
    <w:p>
      <w:pPr>
        <w:spacing w:line="240" w:lineRule="auto" w:before="0"/>
        <w:rPr>
          <w:rFonts w:ascii="宋体" w:hAnsi="宋体" w:cs="宋体" w:eastAsia="宋体" w:hint="default"/>
          <w:sz w:val="18"/>
          <w:szCs w:val="18"/>
        </w:rPr>
      </w:pPr>
    </w:p>
    <w:p>
      <w:pPr>
        <w:pStyle w:val="BodyText"/>
        <w:spacing w:line="240" w:lineRule="auto" w:before="139"/>
        <w:ind w:right="0"/>
        <w:jc w:val="left"/>
      </w:pPr>
      <w:r>
        <w:rPr/>
        <w:t>（</w:t>
      </w:r>
      <w:r>
        <w:rPr>
          <w:rFonts w:ascii="Times New Roman" w:hAnsi="Times New Roman" w:cs="Times New Roman" w:eastAsia="Times New Roman" w:hint="default"/>
        </w:rPr>
        <w:t>2</w:t>
      </w:r>
      <w:r>
        <w:rPr/>
        <w:t>）本报告期无通过融资租赁租入的固定资产。</w:t>
      </w:r>
    </w:p>
    <w:p>
      <w:pPr>
        <w:spacing w:line="240" w:lineRule="auto" w:before="0"/>
        <w:rPr>
          <w:rFonts w:ascii="宋体" w:hAnsi="宋体" w:cs="宋体" w:eastAsia="宋体" w:hint="default"/>
          <w:sz w:val="18"/>
          <w:szCs w:val="18"/>
        </w:rPr>
      </w:pPr>
    </w:p>
    <w:p>
      <w:pPr>
        <w:pStyle w:val="BodyText"/>
        <w:spacing w:line="240" w:lineRule="auto" w:before="139"/>
        <w:ind w:right="0"/>
        <w:jc w:val="left"/>
      </w:pPr>
      <w:r>
        <w:rPr/>
        <w:t>（</w:t>
      </w:r>
      <w:r>
        <w:rPr>
          <w:rFonts w:ascii="Times New Roman" w:hAnsi="Times New Roman" w:cs="Times New Roman" w:eastAsia="Times New Roman" w:hint="default"/>
        </w:rPr>
        <w:t>3</w:t>
      </w:r>
      <w:r>
        <w:rPr/>
        <w:t>）本报告期无未办妥产权证书的固定资产。</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w:t>
      </w:r>
      <w:r>
        <w:rPr>
          <w:rFonts w:ascii="Times New Roman" w:hAnsi="Times New Roman" w:cs="Times New Roman" w:eastAsia="Times New Roman" w:hint="default"/>
        </w:rPr>
        <w:t>4</w:t>
      </w:r>
      <w:r>
        <w:rPr/>
        <w:t>）本报告期末用于抵押固定资产明细情况</w:t>
      </w:r>
    </w:p>
    <w:p>
      <w:pPr>
        <w:spacing w:line="240" w:lineRule="auto" w:before="11"/>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54"/>
        <w:gridCol w:w="1505"/>
        <w:gridCol w:w="2499"/>
        <w:gridCol w:w="1406"/>
        <w:gridCol w:w="1285"/>
        <w:gridCol w:w="1438"/>
      </w:tblGrid>
      <w:tr>
        <w:trPr>
          <w:trHeight w:val="34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center"/>
              <w:rPr>
                <w:rFonts w:ascii="宋体" w:hAnsi="宋体" w:cs="宋体" w:eastAsia="宋体" w:hint="default"/>
                <w:sz w:val="16"/>
                <w:szCs w:val="16"/>
              </w:rPr>
            </w:pPr>
            <w:r>
              <w:rPr>
                <w:rFonts w:ascii="宋体" w:hAnsi="宋体" w:cs="宋体" w:eastAsia="宋体" w:hint="default"/>
                <w:sz w:val="16"/>
                <w:szCs w:val="16"/>
              </w:rPr>
              <w:t>名称</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9"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建筑面积</w:t>
            </w:r>
            <w:r>
              <w:rPr>
                <w:rFonts w:ascii="宋体" w:hAnsi="宋体" w:cs="宋体" w:eastAsia="宋体" w:hint="default"/>
                <w:spacing w:val="-15"/>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产权证编号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原值</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16" w:right="0"/>
              <w:jc w:val="left"/>
              <w:rPr>
                <w:rFonts w:ascii="宋体" w:hAnsi="宋体" w:cs="宋体" w:eastAsia="宋体" w:hint="default"/>
                <w:sz w:val="16"/>
                <w:szCs w:val="16"/>
              </w:rPr>
            </w:pPr>
            <w:r>
              <w:rPr>
                <w:rFonts w:ascii="宋体" w:hAnsi="宋体" w:cs="宋体" w:eastAsia="宋体" w:hint="default"/>
                <w:sz w:val="16"/>
                <w:szCs w:val="16"/>
              </w:rPr>
              <w:t>累计折旧</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宋体" w:hAnsi="宋体" w:cs="宋体" w:eastAsia="宋体" w:hint="default"/>
                <w:sz w:val="16"/>
                <w:szCs w:val="16"/>
              </w:rPr>
            </w:pPr>
            <w:r>
              <w:rPr>
                <w:rFonts w:ascii="宋体" w:hAnsi="宋体" w:cs="宋体" w:eastAsia="宋体" w:hint="default"/>
                <w:sz w:val="16"/>
                <w:szCs w:val="16"/>
              </w:rPr>
              <w:t>净值</w:t>
            </w:r>
          </w:p>
        </w:tc>
      </w:tr>
      <w:tr>
        <w:trPr>
          <w:trHeight w:val="34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16"/>
                <w:szCs w:val="16"/>
              </w:rPr>
            </w:pPr>
            <w:r>
              <w:rPr>
                <w:rFonts w:ascii="宋体" w:hAnsi="宋体" w:cs="宋体" w:eastAsia="宋体" w:hint="default"/>
                <w:sz w:val="16"/>
                <w:szCs w:val="16"/>
              </w:rPr>
              <w:t>建科大楼</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49" w:right="0"/>
              <w:jc w:val="left"/>
              <w:rPr>
                <w:rFonts w:ascii="Times New Roman" w:hAnsi="Times New Roman" w:cs="Times New Roman" w:eastAsia="Times New Roman" w:hint="default"/>
                <w:sz w:val="16"/>
                <w:szCs w:val="16"/>
              </w:rPr>
            </w:pPr>
            <w:r>
              <w:rPr>
                <w:rFonts w:ascii="Times New Roman"/>
                <w:sz w:val="16"/>
              </w:rPr>
              <w:t>12,159.49</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深房地字第</w:t>
            </w:r>
            <w:r>
              <w:rPr>
                <w:rFonts w:ascii="Times New Roman" w:hAnsi="Times New Roman" w:cs="Times New Roman" w:eastAsia="Times New Roman" w:hint="default"/>
                <w:sz w:val="16"/>
                <w:szCs w:val="16"/>
              </w:rPr>
              <w:t>3000749885</w:t>
            </w:r>
            <w:r>
              <w:rPr>
                <w:rFonts w:ascii="宋体" w:hAnsi="宋体" w:cs="宋体" w:eastAsia="宋体" w:hint="default"/>
                <w:sz w:val="16"/>
                <w:szCs w:val="16"/>
              </w:rPr>
              <w:t>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72" w:right="0"/>
              <w:jc w:val="left"/>
              <w:rPr>
                <w:rFonts w:ascii="Times New Roman" w:hAnsi="Times New Roman" w:cs="Times New Roman" w:eastAsia="Times New Roman" w:hint="default"/>
                <w:sz w:val="16"/>
                <w:szCs w:val="16"/>
              </w:rPr>
            </w:pPr>
            <w:r>
              <w:rPr>
                <w:rFonts w:ascii="Times New Roman"/>
                <w:sz w:val="16"/>
              </w:rPr>
              <w:t>91,658,857.18</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0" w:right="0"/>
              <w:jc w:val="left"/>
              <w:rPr>
                <w:rFonts w:ascii="Times New Roman" w:hAnsi="Times New Roman" w:cs="Times New Roman" w:eastAsia="Times New Roman" w:hint="default"/>
                <w:sz w:val="16"/>
                <w:szCs w:val="16"/>
              </w:rPr>
            </w:pPr>
            <w:r>
              <w:rPr>
                <w:rFonts w:ascii="Times New Roman"/>
                <w:sz w:val="16"/>
              </w:rPr>
              <w:t>35,490,011.65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06" w:right="0"/>
              <w:jc w:val="left"/>
              <w:rPr>
                <w:rFonts w:ascii="Times New Roman" w:hAnsi="Times New Roman" w:cs="Times New Roman" w:eastAsia="Times New Roman" w:hint="default"/>
                <w:sz w:val="16"/>
                <w:szCs w:val="16"/>
              </w:rPr>
            </w:pPr>
            <w:r>
              <w:rPr>
                <w:rFonts w:ascii="Times New Roman"/>
                <w:sz w:val="16"/>
              </w:rPr>
              <w:t>56,168,845.53</w:t>
            </w:r>
          </w:p>
        </w:tc>
      </w:tr>
    </w:tbl>
    <w:p>
      <w:pPr>
        <w:spacing w:line="240" w:lineRule="auto" w:before="3"/>
        <w:rPr>
          <w:rFonts w:ascii="宋体" w:hAnsi="宋体" w:cs="宋体" w:eastAsia="宋体" w:hint="default"/>
          <w:sz w:val="21"/>
          <w:szCs w:val="21"/>
        </w:rPr>
      </w:pPr>
    </w:p>
    <w:p>
      <w:pPr>
        <w:pStyle w:val="BodyText"/>
        <w:spacing w:line="240" w:lineRule="auto" w:before="44"/>
        <w:ind w:right="0"/>
        <w:jc w:val="left"/>
      </w:pPr>
      <w:r>
        <w:rPr/>
        <w:t>固定资产抵押用于取得长期借款，详见长期借款。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197,099,469.04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91,470,942.13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197,099,469.04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91,470,942.13</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建科院未来大厦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197,099,469.04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197,099,469.04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9" w:right="0"/>
              <w:jc w:val="left"/>
              <w:rPr>
                <w:rFonts w:ascii="Times New Roman" w:hAnsi="Times New Roman" w:cs="Times New Roman" w:eastAsia="Times New Roman" w:hint="default"/>
                <w:sz w:val="18"/>
                <w:szCs w:val="18"/>
              </w:rPr>
            </w:pPr>
            <w:r>
              <w:rPr>
                <w:rFonts w:ascii="Times New Roman"/>
                <w:sz w:val="18"/>
              </w:rPr>
              <w:t>91,470,942.13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9" w:right="0"/>
              <w:jc w:val="left"/>
              <w:rPr>
                <w:rFonts w:ascii="Times New Roman" w:hAnsi="Times New Roman" w:cs="Times New Roman" w:eastAsia="Times New Roman" w:hint="default"/>
                <w:sz w:val="18"/>
                <w:szCs w:val="18"/>
              </w:rPr>
            </w:pPr>
            <w:r>
              <w:rPr>
                <w:rFonts w:ascii="Times New Roman"/>
                <w:sz w:val="18"/>
              </w:rPr>
              <w:t>91,470,942.13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197,099,469.04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197,099,469.04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91,470,942.13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91,470,942.13</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07"/>
        <w:gridCol w:w="761"/>
        <w:gridCol w:w="734"/>
        <w:gridCol w:w="737"/>
        <w:gridCol w:w="737"/>
        <w:gridCol w:w="734"/>
        <w:gridCol w:w="737"/>
        <w:gridCol w:w="737"/>
        <w:gridCol w:w="734"/>
        <w:gridCol w:w="737"/>
        <w:gridCol w:w="737"/>
        <w:gridCol w:w="734"/>
        <w:gridCol w:w="737"/>
      </w:tblGrid>
      <w:tr>
        <w:trPr>
          <w:trHeight w:val="133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8" w:right="77"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62" w:hanging="70"/>
              <w:jc w:val="both"/>
              <w:rPr>
                <w:rFonts w:ascii="宋体" w:hAnsi="宋体" w:cs="宋体" w:eastAsia="宋体" w:hint="default"/>
                <w:sz w:val="18"/>
                <w:szCs w:val="18"/>
              </w:rPr>
            </w:pPr>
            <w:r>
              <w:rPr>
                <w:rFonts w:ascii="宋体" w:hAnsi="宋体" w:cs="宋体" w:eastAsia="宋体" w:hint="default"/>
                <w:spacing w:val="-21"/>
                <w:sz w:val="18"/>
                <w:szCs w:val="18"/>
              </w:rPr>
              <w:t>其中：本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期利息</w:t>
            </w:r>
            <w:r>
              <w:rPr>
                <w:rFonts w:ascii="宋体" w:hAnsi="宋体" w:cs="宋体" w:eastAsia="宋体" w:hint="default"/>
                <w:sz w:val="18"/>
                <w:szCs w:val="18"/>
              </w:rPr>
              <w:t>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未来大 厦</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479,484,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900.00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91,470,9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42.13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105,628,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526.91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197,099,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469.04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41.11%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9,262,46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5,384,33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24" w:right="161"/>
              <w:jc w:val="left"/>
              <w:rPr>
                <w:rFonts w:ascii="宋体" w:hAnsi="宋体" w:cs="宋体" w:eastAsia="宋体" w:hint="default"/>
                <w:sz w:val="18"/>
                <w:szCs w:val="18"/>
              </w:rPr>
            </w:pPr>
            <w:r>
              <w:rPr>
                <w:rFonts w:ascii="宋体" w:hAnsi="宋体" w:cs="宋体" w:eastAsia="宋体" w:hint="default"/>
                <w:sz w:val="18"/>
                <w:szCs w:val="18"/>
              </w:rPr>
              <w:t>自有资 金及银</w:t>
            </w:r>
          </w:p>
        </w:tc>
      </w:tr>
    </w:tbl>
    <w:p>
      <w:pPr>
        <w:spacing w:after="0" w:line="314"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07"/>
        <w:gridCol w:w="761"/>
        <w:gridCol w:w="734"/>
        <w:gridCol w:w="737"/>
        <w:gridCol w:w="737"/>
        <w:gridCol w:w="734"/>
        <w:gridCol w:w="738"/>
        <w:gridCol w:w="736"/>
        <w:gridCol w:w="734"/>
        <w:gridCol w:w="737"/>
        <w:gridCol w:w="737"/>
        <w:gridCol w:w="736"/>
        <w:gridCol w:w="736"/>
      </w:tblGrid>
      <w:tr>
        <w:trPr>
          <w:trHeight w:val="363" w:hRule="exact"/>
        </w:trPr>
        <w:tc>
          <w:tcPr>
            <w:tcW w:w="7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行借款</w:t>
            </w: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479,484,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900.00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91,470,9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42.13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105,628,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526.91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center"/>
              <w:rPr>
                <w:rFonts w:ascii="Times New Roman" w:hAnsi="Times New Roman" w:cs="Times New Roman" w:eastAsia="Times New Roman" w:hint="default"/>
                <w:sz w:val="18"/>
                <w:szCs w:val="18"/>
              </w:rPr>
            </w:pPr>
            <w:r>
              <w:rPr>
                <w:rFonts w:ascii="Times New Roman"/>
                <w:sz w:val="18"/>
              </w:rPr>
              <w:t>197,099,</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469.04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9,262,46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5,384,33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4.66%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60" w:lineRule="auto" w:before="51"/>
        <w:ind w:right="6974"/>
        <w:jc w:val="left"/>
      </w:pPr>
      <w:r>
        <w:rPr/>
        <w:t>其他说明 本集团本期末不存在在建工程用于抵押的情况。</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699"/>
        <w:gridCol w:w="994"/>
        <w:gridCol w:w="1133"/>
        <w:gridCol w:w="1277"/>
        <w:gridCol w:w="1342"/>
      </w:tblGrid>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85,511,997.00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center"/>
              <w:rPr>
                <w:rFonts w:ascii="Times New Roman" w:hAnsi="Times New Roman" w:cs="Times New Roman" w:eastAsia="Times New Roman" w:hint="default"/>
                <w:sz w:val="18"/>
                <w:szCs w:val="18"/>
              </w:rPr>
            </w:pPr>
            <w:r>
              <w:rPr>
                <w:rFonts w:ascii="Times New Roman"/>
                <w:sz w:val="18"/>
              </w:rPr>
              <w:t>219,924.98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31,779,060.41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117,510,982.39</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3,294,261.26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3,294,261.26</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2,135,443.23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2,135,443.23</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非同一控制下企业合并增加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7,222,706.96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7,222,706.96</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92,734,703.96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center"/>
              <w:rPr>
                <w:rFonts w:ascii="Times New Roman" w:hAnsi="Times New Roman" w:cs="Times New Roman" w:eastAsia="Times New Roman" w:hint="default"/>
                <w:sz w:val="18"/>
                <w:szCs w:val="18"/>
              </w:rPr>
            </w:pPr>
            <w:r>
              <w:rPr>
                <w:rFonts w:ascii="Times New Roman"/>
                <w:sz w:val="18"/>
              </w:rPr>
              <w:t>219,924.98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37,208,764.90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130,163,393.84</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10,392,965.30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center"/>
              <w:rPr>
                <w:rFonts w:ascii="Times New Roman" w:hAnsi="Times New Roman" w:cs="Times New Roman" w:eastAsia="Times New Roman" w:hint="default"/>
                <w:sz w:val="18"/>
                <w:szCs w:val="18"/>
              </w:rPr>
            </w:pPr>
            <w:r>
              <w:rPr>
                <w:rFonts w:ascii="Times New Roman"/>
                <w:sz w:val="18"/>
              </w:rPr>
              <w:t>219,924.98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19,009,376.00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29,622,266.28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20"/>
        <w:gridCol w:w="1699"/>
        <w:gridCol w:w="994"/>
        <w:gridCol w:w="1133"/>
        <w:gridCol w:w="1277"/>
        <w:gridCol w:w="1342"/>
      </w:tblGrid>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2,724,956.48</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7,821,311.67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10,546,268.15</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0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13,117,921.78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219,924.98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26,830,687.67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40,168,534.43</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0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0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79,616,782.18</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10,378,077.23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89,994,859.41</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75,119,031.70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12,769,684.41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87,888,716.11</w:t>
            </w:r>
          </w:p>
        </w:tc>
      </w:tr>
    </w:tbl>
    <w:p>
      <w:pPr>
        <w:pStyle w:val="BodyText"/>
        <w:spacing w:line="240" w:lineRule="auto" w:before="51"/>
        <w:ind w:right="0"/>
        <w:jc w:val="left"/>
      </w:pPr>
      <w:r>
        <w:rPr/>
        <w:t>本期末通过公司内部研发形成的无形资产占无形资产余额的比例</w:t>
      </w:r>
      <w:r>
        <w:rPr>
          <w:spacing w:val="-42"/>
        </w:rPr>
        <w:t> </w:t>
      </w:r>
      <w:r>
        <w:rPr>
          <w:rFonts w:ascii="Times New Roman" w:hAnsi="Times New Roman" w:cs="Times New Roman" w:eastAsia="Times New Roman" w:hint="default"/>
        </w:rPr>
        <w:t>7.00%</w:t>
      </w:r>
      <w:r>
        <w:rPr/>
        <w:t>。</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pStyle w:val="BodyText"/>
        <w:spacing w:line="240" w:lineRule="auto" w:before="117"/>
        <w:ind w:right="0"/>
        <w:jc w:val="left"/>
      </w:pPr>
      <w:r>
        <w:rPr/>
        <w:t>（</w:t>
      </w:r>
      <w:r>
        <w:rPr>
          <w:rFonts w:ascii="Times New Roman" w:hAnsi="Times New Roman" w:cs="Times New Roman" w:eastAsia="Times New Roman" w:hint="default"/>
        </w:rPr>
        <w:t>1</w:t>
      </w:r>
      <w:r>
        <w:rPr/>
        <w:t>）本报告期无未办妥产权证书的土地使用权。</w:t>
      </w:r>
    </w:p>
    <w:p>
      <w:pPr>
        <w:pStyle w:val="BodyText"/>
        <w:spacing w:line="240" w:lineRule="auto" w:before="63"/>
        <w:ind w:right="0"/>
        <w:jc w:val="left"/>
      </w:pPr>
      <w:r>
        <w:rPr/>
        <w:t>（</w:t>
      </w:r>
      <w:r>
        <w:rPr>
          <w:rFonts w:ascii="Times New Roman" w:hAnsi="Times New Roman" w:cs="Times New Roman" w:eastAsia="Times New Roman" w:hint="default"/>
        </w:rPr>
        <w:t>2</w:t>
      </w:r>
      <w:r>
        <w:rPr/>
        <w:t>）期末存在抵押或担保的无形资产明细情况</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416"/>
        <w:gridCol w:w="1136"/>
        <w:gridCol w:w="2268"/>
        <w:gridCol w:w="1416"/>
        <w:gridCol w:w="1419"/>
        <w:gridCol w:w="1416"/>
      </w:tblGrid>
      <w:tr>
        <w:trPr>
          <w:trHeight w:val="34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宗地面积</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产权证编号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累计摊销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净值</w:t>
            </w:r>
          </w:p>
        </w:tc>
      </w:tr>
      <w:tr>
        <w:trPr>
          <w:trHeight w:val="65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120" w:right="204"/>
              <w:jc w:val="left"/>
              <w:rPr>
                <w:rFonts w:ascii="宋体" w:hAnsi="宋体" w:cs="宋体" w:eastAsia="宋体" w:hint="default"/>
                <w:sz w:val="18"/>
                <w:szCs w:val="18"/>
              </w:rPr>
            </w:pPr>
            <w:r>
              <w:rPr>
                <w:rFonts w:ascii="宋体" w:hAnsi="宋体" w:cs="宋体" w:eastAsia="宋体" w:hint="default"/>
                <w:sz w:val="18"/>
                <w:szCs w:val="18"/>
              </w:rPr>
              <w:t>建科大楼土地 使用权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2,999.96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深房地字第</w:t>
            </w:r>
            <w:r>
              <w:rPr>
                <w:rFonts w:ascii="Times New Roman" w:hAnsi="Times New Roman" w:cs="Times New Roman" w:eastAsia="Times New Roman" w:hint="default"/>
                <w:sz w:val="18"/>
                <w:szCs w:val="18"/>
              </w:rPr>
              <w:t>3000749885</w:t>
            </w:r>
            <w:r>
              <w:rPr>
                <w:rFonts w:ascii="宋体" w:hAnsi="宋体" w:cs="宋体" w:eastAsia="宋体" w:hint="default"/>
                <w:sz w:val="18"/>
                <w:szCs w:val="18"/>
              </w:rPr>
              <w:t>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16,501,997.00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3,880,654.00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12,621,343.00</w:t>
            </w:r>
          </w:p>
        </w:tc>
      </w:tr>
    </w:tbl>
    <w:p>
      <w:pPr>
        <w:spacing w:line="240" w:lineRule="auto" w:before="3"/>
        <w:rPr>
          <w:rFonts w:ascii="宋体" w:hAnsi="宋体" w:cs="宋体" w:eastAsia="宋体" w:hint="default"/>
          <w:sz w:val="21"/>
          <w:szCs w:val="21"/>
        </w:rPr>
      </w:pPr>
    </w:p>
    <w:p>
      <w:pPr>
        <w:pStyle w:val="BodyText"/>
        <w:spacing w:line="240" w:lineRule="auto" w:before="44"/>
        <w:ind w:right="0"/>
        <w:jc w:val="left"/>
      </w:pPr>
      <w:r>
        <w:rPr/>
        <w:t>无形资产抵押用于取得长期借款，详见长期借款。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6"/>
        <w:spacing w:line="240" w:lineRule="auto"/>
        <w:ind w:right="0"/>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1274"/>
        <w:gridCol w:w="852"/>
        <w:gridCol w:w="566"/>
        <w:gridCol w:w="1135"/>
        <w:gridCol w:w="709"/>
        <w:gridCol w:w="564"/>
        <w:gridCol w:w="1063"/>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40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81" w:right="110" w:hanging="269"/>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79" w:right="77"/>
              <w:jc w:val="left"/>
              <w:rPr>
                <w:rFonts w:ascii="宋体" w:hAnsi="宋体" w:cs="宋体" w:eastAsia="宋体" w:hint="default"/>
                <w:sz w:val="18"/>
                <w:szCs w:val="18"/>
              </w:rPr>
            </w:pPr>
            <w:r>
              <w:rPr>
                <w:rFonts w:ascii="宋体" w:hAnsi="宋体" w:cs="宋体" w:eastAsia="宋体" w:hint="default"/>
                <w:sz w:val="18"/>
                <w:szCs w:val="18"/>
              </w:rPr>
              <w:t>转入当 期损益</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线上运营平台及乐活系 统开发项目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3,015,214.24</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3,015,214.24</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46"/>
              <w:jc w:val="left"/>
              <w:rPr>
                <w:rFonts w:ascii="宋体" w:hAnsi="宋体" w:cs="宋体" w:eastAsia="宋体" w:hint="default"/>
                <w:sz w:val="18"/>
                <w:szCs w:val="18"/>
              </w:rPr>
            </w:pPr>
            <w:r>
              <w:rPr>
                <w:rFonts w:ascii="宋体" w:hAnsi="宋体" w:cs="宋体" w:eastAsia="宋体" w:hint="default"/>
                <w:sz w:val="18"/>
                <w:szCs w:val="18"/>
              </w:rPr>
              <w:t>公信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365 </w:t>
            </w:r>
            <w:r>
              <w:rPr>
                <w:rFonts w:ascii="宋体" w:hAnsi="宋体" w:cs="宋体" w:eastAsia="宋体" w:hint="default"/>
                <w:sz w:val="18"/>
                <w:szCs w:val="18"/>
              </w:rPr>
              <w:t>平台二期相关 软件及开发服务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590,496.72</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590,496.72</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OS</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1,026,451.21</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-1,026,451.21</w:t>
            </w:r>
          </w:p>
        </w:tc>
        <w:tc>
          <w:tcPr>
            <w:tcW w:w="7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集采平台开发服务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504,593.25</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-504,593.25</w:t>
            </w:r>
          </w:p>
        </w:tc>
        <w:tc>
          <w:tcPr>
            <w:tcW w:w="7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财务共享平台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307,733.73</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-307,733.73</w:t>
            </w:r>
          </w:p>
        </w:tc>
        <w:tc>
          <w:tcPr>
            <w:tcW w:w="7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乐活小程序软件</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296,665.04</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-296,665.04</w:t>
            </w:r>
          </w:p>
        </w:tc>
        <w:tc>
          <w:tcPr>
            <w:tcW w:w="7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5,741,154.19</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-2,135,443.23</w:t>
            </w:r>
          </w:p>
        </w:tc>
        <w:tc>
          <w:tcPr>
            <w:tcW w:w="70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3,605,710.96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561"/>
        <w:gridCol w:w="1558"/>
        <w:gridCol w:w="1560"/>
        <w:gridCol w:w="1419"/>
        <w:gridCol w:w="1344"/>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23,644,217.02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51,750.46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5,718,495.26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17,977,472.22</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13,704,345.85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2,149,336.46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4,011,778.18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598,694.73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11,243,209.40</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余土资源化综合利用示范 生产线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2,322,923.26</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570,241.12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1,752,682.14</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与同济大学战略合作费用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1,666,759.60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417,170.92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206,666.67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1,042,922.01</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39,771,486.13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3,867,846.52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10,817,685.48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805,361.40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32,016,285.77</w:t>
            </w:r>
          </w:p>
        </w:tc>
      </w:tr>
    </w:tbl>
    <w:p>
      <w:pPr>
        <w:pStyle w:val="BodyText"/>
        <w:spacing w:line="360" w:lineRule="auto" w:before="51"/>
        <w:ind w:right="10034"/>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67,018,826.56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9,920,323.65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59,290,124.27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5" w:right="0"/>
              <w:jc w:val="left"/>
              <w:rPr>
                <w:rFonts w:ascii="Times New Roman" w:hAnsi="Times New Roman" w:cs="Times New Roman" w:eastAsia="Times New Roman" w:hint="default"/>
                <w:sz w:val="18"/>
                <w:szCs w:val="18"/>
              </w:rPr>
            </w:pPr>
            <w:r>
              <w:rPr>
                <w:rFonts w:ascii="Times New Roman"/>
                <w:sz w:val="18"/>
              </w:rPr>
              <w:t>8,861,586.16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1,420,121.08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213,018.16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2,087,412.09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521,853.02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46,270,283.31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7,361,915.30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折旧税会差异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1,432,565.82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214,884.87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互抵金额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118,229,208.86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18,231,995.00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59,290,124.27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5" w:right="0"/>
              <w:jc w:val="left"/>
              <w:rPr>
                <w:rFonts w:ascii="Times New Roman" w:hAnsi="Times New Roman" w:cs="Times New Roman" w:eastAsia="Times New Roman" w:hint="default"/>
                <w:sz w:val="18"/>
                <w:szCs w:val="18"/>
              </w:rPr>
            </w:pPr>
            <w:r>
              <w:rPr>
                <w:rFonts w:ascii="Times New Roman"/>
                <w:sz w:val="18"/>
              </w:rPr>
              <w:t>8,861,586.16</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7,322,915.40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366,145.77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715,804.10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107,370.62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8,038,719.50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473,516.39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-107,370.62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18,124,624.38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5" w:right="0"/>
              <w:jc w:val="left"/>
              <w:rPr>
                <w:rFonts w:ascii="Times New Roman" w:hAnsi="Times New Roman" w:cs="Times New Roman" w:eastAsia="Times New Roman" w:hint="default"/>
                <w:sz w:val="18"/>
                <w:szCs w:val="18"/>
              </w:rPr>
            </w:pPr>
            <w:r>
              <w:rPr>
                <w:rFonts w:ascii="Times New Roman"/>
                <w:sz w:val="18"/>
              </w:rPr>
              <w:t>8,861,586.16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-107,370.62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366,145.77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469,084.05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787,952.90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21,148,190.89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8,525,574.66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21,617,274.94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9,313,527.56</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2,964.50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51.81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627,682.17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135,150.76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3,478,413.29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877,776.09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8,782,642.62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7,509,631.50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8,259,401.00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21,148,190.89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8,525,574.66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预付设备采购款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1,847,746.60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预付软件开发款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1,472,999.11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3,320,745.71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30,041,687.50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100,146,875.00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100,132,951.39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100,146,875.00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130,174,638.89</w:t>
            </w:r>
          </w:p>
        </w:tc>
      </w:tr>
    </w:tbl>
    <w:p>
      <w:pPr>
        <w:pStyle w:val="BodyText"/>
        <w:spacing w:line="240" w:lineRule="auto" w:before="51"/>
        <w:ind w:right="0"/>
        <w:jc w:val="left"/>
      </w:pPr>
      <w:r>
        <w:rPr/>
        <w:t>短期借款分类的说明：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57" w:lineRule="auto" w:before="51"/>
        <w:ind w:right="8234"/>
        <w:jc w:val="left"/>
      </w:pPr>
      <w:r>
        <w:rPr/>
        <w:t>其他说明： 本年无已逾期未支付短期借款。</w:t>
      </w:r>
    </w:p>
    <w:p>
      <w:pPr>
        <w:spacing w:after="0" w:line="357" w:lineRule="auto"/>
        <w:jc w:val="left"/>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121,119,311.72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49,880,186.67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13,130,896.85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13,628,038.81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6,831,534.95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6,947,561.31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17,086,154.19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12,675,710.50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158,167,897.71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83,131,497.29</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1"/>
        <w:ind w:right="7064"/>
        <w:jc w:val="left"/>
      </w:pPr>
      <w:r>
        <w:rPr/>
        <w:t>其他说明： 本集团无账龄超过</w:t>
      </w:r>
      <w:r>
        <w:rPr>
          <w:rFonts w:ascii="Times New Roman" w:hAnsi="Times New Roman" w:cs="Times New Roman" w:eastAsia="Times New Roman" w:hint="default"/>
        </w:rPr>
        <w:t>1</w:t>
      </w:r>
      <w:r>
        <w:rPr/>
        <w:t>年的金额重大的应付账款。</w:t>
      </w:r>
    </w:p>
    <w:p>
      <w:pPr>
        <w:spacing w:line="240" w:lineRule="auto" w:before="7"/>
        <w:rPr>
          <w:rFonts w:ascii="宋体" w:hAnsi="宋体" w:cs="宋体" w:eastAsia="宋体" w:hint="default"/>
          <w:sz w:val="18"/>
          <w:szCs w:val="18"/>
        </w:rPr>
      </w:pPr>
    </w:p>
    <w:p>
      <w:pPr>
        <w:pStyle w:val="Heading6"/>
        <w:spacing w:line="240" w:lineRule="auto"/>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15,109,724.84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15,344,446.82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1,396,425.04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1,245,897.68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609,189.48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958,681.59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521,216.59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198,743.00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17,636,555.95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17,747,769.09</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1"/>
        <w:ind w:right="7064"/>
        <w:jc w:val="left"/>
      </w:pPr>
      <w:r>
        <w:rPr/>
        <w:t>其他说明： 本集团无账龄超过</w:t>
      </w:r>
      <w:r>
        <w:rPr>
          <w:rFonts w:ascii="Times New Roman" w:hAnsi="Times New Roman" w:cs="Times New Roman" w:eastAsia="Times New Roman" w:hint="default"/>
        </w:rPr>
        <w:t>1</w:t>
      </w:r>
      <w:r>
        <w:rPr/>
        <w:t>年的金额重大的预收款项。</w:t>
      </w:r>
    </w:p>
    <w:p>
      <w:pPr>
        <w:spacing w:line="240" w:lineRule="auto" w:before="7"/>
        <w:rPr>
          <w:rFonts w:ascii="宋体" w:hAnsi="宋体" w:cs="宋体" w:eastAsia="宋体" w:hint="default"/>
          <w:sz w:val="18"/>
          <w:szCs w:val="18"/>
        </w:rPr>
      </w:pPr>
    </w:p>
    <w:p>
      <w:pPr>
        <w:pStyle w:val="Heading6"/>
        <w:spacing w:line="240" w:lineRule="auto"/>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32,180,859.18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209,856,714.74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202,013,665.00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40,023,908.92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9,364,008.64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9,224,985.36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139,023.28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41,459.73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41,459.73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32,180,859.18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219,262,183.11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211,280,110.09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40,162,932.20</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561"/>
        <w:gridCol w:w="1916"/>
        <w:gridCol w:w="1913"/>
        <w:gridCol w:w="1915"/>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、工资、奖金、津贴和补贴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32,176,699.18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189,065,127.25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181,368,242.51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39,873,583.92</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4,734,281.88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4,737,281.88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4,480,237.47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4,480,237.47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4,057,516.42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4,057,516.42</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94,025.52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94,025.52</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328,695.53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328,695.53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6,735,922.28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6,730,757.28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6,325.00</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、工会经费和职工教育经费</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926,097.79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926,097.79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劳务外包</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3,532,674.32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3,532,674.32</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382,373.75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238,373.75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144,000.00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32,180,859.18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209,856,714.74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202,013,665.00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40,023,908.92</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9,167,770.68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9,028,747.40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139,023.28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196,237.96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196,237.96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9,364,008.64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9,224,985.36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139,023.28</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865,398.49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769,751.24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12,706,098.14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6,796,533.92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1,314,153.47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1,124,359.08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568,742.82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571,712.35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406,332.77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409,057.21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13,027.92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351,223.33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496,369.32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14,497.61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16,239,474.55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10,167,783.12</w:t>
            </w:r>
          </w:p>
        </w:tc>
      </w:tr>
    </w:tbl>
    <w:p>
      <w:pPr>
        <w:pStyle w:val="BodyText"/>
        <w:spacing w:line="360" w:lineRule="auto" w:before="51"/>
        <w:ind w:right="9854"/>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24,449,884.85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17,278,531.73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24,449,884.85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17,278,531.73</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重要的已逾期未支付的利息情况：</w:t>
      </w:r>
    </w:p>
    <w:p>
      <w:pPr>
        <w:pStyle w:val="BodyText"/>
        <w:spacing w:line="240" w:lineRule="auto" w:before="117"/>
        <w:ind w:left="0" w:right="1131"/>
        <w:jc w:val="right"/>
      </w:pPr>
      <w:r>
        <w:rPr/>
        <w:t>单位：</w:t>
      </w:r>
      <w:r>
        <w:rPr>
          <w:spacing w:val="1"/>
        </w:rPr>
        <w:t> </w:t>
      </w:r>
      <w:r>
        <w:rPr/>
        <w:t>元</w:t>
      </w:r>
    </w:p>
    <w:p>
      <w:pPr>
        <w:spacing w:after="0" w:line="240" w:lineRule="auto"/>
        <w:jc w:val="righ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52"/>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38" w:lineRule="auto" w:before="51"/>
        <w:ind w:right="4994"/>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5"/>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应付代建工程款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15,352,405.13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10,176,820.80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3,228,957.36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3,540,776.80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334,058.53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867,690.94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5,534,463.83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2,693,243.19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24,449,884.85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17,278,531.73</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24</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60,694.44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60,694.44</w:t>
            </w:r>
          </w:p>
        </w:tc>
      </w:tr>
    </w:tbl>
    <w:p>
      <w:pPr>
        <w:pStyle w:val="BodyText"/>
        <w:spacing w:line="240" w:lineRule="auto" w:before="51"/>
        <w:ind w:right="0"/>
        <w:jc w:val="left"/>
      </w:pPr>
      <w:r>
        <w:rPr/>
        <w:t>其他说明：</w:t>
      </w:r>
    </w:p>
    <w:p>
      <w:pPr>
        <w:pStyle w:val="BodyText"/>
        <w:spacing w:line="240" w:lineRule="auto" w:before="117"/>
        <w:ind w:right="0"/>
        <w:jc w:val="left"/>
      </w:pPr>
      <w:r>
        <w:rPr/>
        <w:t>一年内到期的非流动负债为按照财会 </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rFonts w:ascii="Times New Roman" w:hAnsi="Times New Roman" w:cs="Times New Roman" w:eastAsia="Times New Roman" w:hint="default"/>
        </w:rPr>
        <w:t>6</w:t>
      </w:r>
      <w:r>
        <w:rPr/>
        <w:t>号的规定列示的长期借款应付利息。</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25</w:t>
      </w:r>
      <w:r>
        <w:rPr/>
        <w:t>、其他流动负债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14,118,832.08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11,725,446.43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14,118,832.08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11,725,446.43</w:t>
            </w:r>
          </w:p>
        </w:tc>
      </w:tr>
    </w:tbl>
    <w:p>
      <w:pPr>
        <w:pStyle w:val="BodyText"/>
        <w:spacing w:line="240" w:lineRule="auto" w:before="51"/>
        <w:ind w:right="0"/>
        <w:jc w:val="left"/>
      </w:pPr>
      <w:r>
        <w:rPr/>
        <w:t>短期应付债券的增减变动：</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71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26</w:t>
      </w:r>
      <w:r>
        <w:rPr/>
        <w:t>、长期借款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40,000,000.00</w:t>
            </w:r>
          </w:p>
        </w:tc>
      </w:tr>
    </w:tbl>
    <w:p>
      <w:pPr>
        <w:pStyle w:val="BodyText"/>
        <w:spacing w:line="357" w:lineRule="auto" w:before="51"/>
        <w:ind w:right="8954"/>
        <w:jc w:val="left"/>
      </w:pPr>
      <w:r>
        <w:rPr/>
        <w:t>长期借款分类的说明： 本集团及本公司</w:t>
      </w:r>
    </w:p>
    <w:p>
      <w:pPr>
        <w:spacing w:line="240" w:lineRule="auto" w:before="12"/>
        <w:rPr>
          <w:rFonts w:ascii="宋体" w:hAnsi="宋体" w:cs="宋体" w:eastAsia="宋体" w:hint="default"/>
          <w:sz w:val="22"/>
          <w:szCs w:val="22"/>
        </w:rPr>
      </w:pPr>
    </w:p>
    <w:p>
      <w:pPr>
        <w:pStyle w:val="BodyText"/>
        <w:tabs>
          <w:tab w:pos="573" w:val="left" w:leader="none"/>
        </w:tabs>
        <w:spacing w:line="240" w:lineRule="auto"/>
        <w:ind w:right="0"/>
        <w:jc w:val="left"/>
      </w:pPr>
      <w:r>
        <w:rPr>
          <w:rFonts w:ascii="Times New Roman" w:hAnsi="Times New Roman" w:cs="Times New Roman" w:eastAsia="Times New Roman" w:hint="default"/>
        </w:rPr>
        <w:t>(1)</w:t>
        <w:tab/>
      </w:r>
      <w:r>
        <w:rPr/>
        <w:t>长期借款分类</w:t>
      </w:r>
    </w:p>
    <w:p>
      <w:pPr>
        <w:spacing w:line="240" w:lineRule="auto" w:before="11"/>
        <w:rPr>
          <w:rFonts w:ascii="宋体" w:hAnsi="宋体" w:cs="宋体" w:eastAsia="宋体" w:hint="default"/>
          <w:sz w:val="27"/>
          <w:szCs w:val="27"/>
        </w:rPr>
      </w:pPr>
    </w:p>
    <w:tbl>
      <w:tblPr>
        <w:tblW w:w="0" w:type="auto"/>
        <w:jc w:val="left"/>
        <w:tblInd w:w="155" w:type="dxa"/>
        <w:tblLayout w:type="fixed"/>
        <w:tblCellMar>
          <w:top w:w="0" w:type="dxa"/>
          <w:left w:w="0" w:type="dxa"/>
          <w:bottom w:w="0" w:type="dxa"/>
          <w:right w:w="0" w:type="dxa"/>
        </w:tblCellMar>
        <w:tblLook w:val="01E0"/>
      </w:tblPr>
      <w:tblGrid>
        <w:gridCol w:w="5101"/>
        <w:gridCol w:w="1985"/>
        <w:gridCol w:w="1988"/>
      </w:tblGrid>
      <w:tr>
        <w:trPr>
          <w:trHeight w:val="34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47" w:right="0"/>
              <w:jc w:val="left"/>
              <w:rPr>
                <w:rFonts w:ascii="Times New Roman" w:hAnsi="Times New Roman" w:cs="Times New Roman" w:eastAsia="Times New Roman" w:hint="default"/>
                <w:sz w:val="18"/>
                <w:szCs w:val="18"/>
              </w:rPr>
            </w:pPr>
            <w:r>
              <w:rPr>
                <w:rFonts w:ascii="Times New Roman"/>
                <w:sz w:val="18"/>
              </w:rPr>
              <w:t>150,000,000.00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38" w:right="0"/>
              <w:jc w:val="left"/>
              <w:rPr>
                <w:rFonts w:ascii="Times New Roman" w:hAnsi="Times New Roman" w:cs="Times New Roman" w:eastAsia="Times New Roman" w:hint="default"/>
                <w:sz w:val="18"/>
                <w:szCs w:val="18"/>
              </w:rPr>
            </w:pPr>
            <w:r>
              <w:rPr>
                <w:rFonts w:ascii="Times New Roman"/>
                <w:sz w:val="18"/>
              </w:rPr>
              <w:t>40,000,000.00</w:t>
            </w:r>
          </w:p>
        </w:tc>
      </w:tr>
    </w:tbl>
    <w:p>
      <w:pPr>
        <w:spacing w:line="240" w:lineRule="auto" w:before="3"/>
        <w:rPr>
          <w:rFonts w:ascii="宋体" w:hAnsi="宋体" w:cs="宋体" w:eastAsia="宋体" w:hint="default"/>
          <w:sz w:val="21"/>
          <w:szCs w:val="21"/>
        </w:rPr>
      </w:pPr>
    </w:p>
    <w:p>
      <w:pPr>
        <w:pStyle w:val="BodyText"/>
        <w:tabs>
          <w:tab w:pos="573" w:val="left" w:leader="none"/>
        </w:tabs>
        <w:spacing w:line="240" w:lineRule="auto" w:before="44"/>
        <w:ind w:right="0"/>
        <w:jc w:val="left"/>
      </w:pPr>
      <w:r>
        <w:rPr>
          <w:rFonts w:ascii="Times New Roman" w:hAnsi="Times New Roman" w:cs="Times New Roman" w:eastAsia="Times New Roman" w:hint="default"/>
        </w:rPr>
        <w:t>(2)</w:t>
        <w:tab/>
      </w:r>
      <w:r>
        <w:rPr/>
        <w:t>长期借款情况</w:t>
      </w:r>
    </w:p>
    <w:p>
      <w:pPr>
        <w:spacing w:line="240" w:lineRule="auto" w:before="11"/>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404"/>
        <w:gridCol w:w="1474"/>
        <w:gridCol w:w="850"/>
        <w:gridCol w:w="850"/>
        <w:gridCol w:w="1249"/>
        <w:gridCol w:w="1246"/>
      </w:tblGrid>
      <w:tr>
        <w:trPr>
          <w:trHeight w:val="34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0" w:right="0"/>
              <w:jc w:val="left"/>
              <w:rPr>
                <w:rFonts w:ascii="宋体" w:hAnsi="宋体" w:cs="宋体" w:eastAsia="宋体" w:hint="default"/>
                <w:sz w:val="18"/>
                <w:szCs w:val="18"/>
              </w:rPr>
            </w:pPr>
            <w:r>
              <w:rPr>
                <w:rFonts w:ascii="宋体" w:hAnsi="宋体" w:cs="宋体" w:eastAsia="宋体" w:hint="default"/>
                <w:sz w:val="18"/>
                <w:szCs w:val="18"/>
              </w:rPr>
              <w:t>借款开始日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8" w:right="0"/>
              <w:jc w:val="left"/>
              <w:rPr>
                <w:rFonts w:ascii="宋体" w:hAnsi="宋体" w:cs="宋体" w:eastAsia="宋体" w:hint="default"/>
                <w:sz w:val="18"/>
                <w:szCs w:val="18"/>
              </w:rPr>
            </w:pPr>
            <w:r>
              <w:rPr>
                <w:rFonts w:ascii="宋体" w:hAnsi="宋体" w:cs="宋体" w:eastAsia="宋体" w:hint="default"/>
                <w:sz w:val="18"/>
                <w:szCs w:val="18"/>
              </w:rPr>
              <w:t>合同到期日</w:t>
            </w:r>
          </w:p>
        </w:tc>
      </w:tr>
      <w:tr>
        <w:trPr>
          <w:trHeight w:val="34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5"/>
              <w:jc w:val="right"/>
              <w:rPr>
                <w:rFonts w:ascii="宋体" w:hAnsi="宋体" w:cs="宋体" w:eastAsia="宋体" w:hint="default"/>
                <w:sz w:val="18"/>
                <w:szCs w:val="18"/>
              </w:rPr>
            </w:pPr>
            <w:r>
              <w:rPr>
                <w:rFonts w:ascii="宋体" w:hAnsi="宋体" w:cs="宋体" w:eastAsia="宋体" w:hint="default"/>
                <w:sz w:val="18"/>
                <w:szCs w:val="18"/>
              </w:rPr>
              <w:t>招商银行股份有限公司深圳梅林支行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5.46%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z w:val="18"/>
              </w:rPr>
              <w:t>28/04/2018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z w:val="18"/>
              </w:rPr>
              <w:t>28/04/2023</w:t>
            </w:r>
          </w:p>
        </w:tc>
      </w:tr>
      <w:tr>
        <w:trPr>
          <w:trHeight w:val="34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5"/>
              <w:jc w:val="right"/>
              <w:rPr>
                <w:rFonts w:ascii="宋体" w:hAnsi="宋体" w:cs="宋体" w:eastAsia="宋体" w:hint="default"/>
                <w:sz w:val="18"/>
                <w:szCs w:val="18"/>
              </w:rPr>
            </w:pPr>
            <w:r>
              <w:rPr>
                <w:rFonts w:ascii="宋体" w:hAnsi="宋体" w:cs="宋体" w:eastAsia="宋体" w:hint="default"/>
                <w:sz w:val="18"/>
                <w:szCs w:val="18"/>
              </w:rPr>
              <w:t>招商银行股份有限公司深圳梅林支行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5.46%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z w:val="18"/>
              </w:rPr>
              <w:t>28/06/2018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z w:val="18"/>
              </w:rPr>
              <w:t>28/06/2023</w:t>
            </w:r>
          </w:p>
        </w:tc>
      </w:tr>
      <w:tr>
        <w:trPr>
          <w:trHeight w:val="34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5"/>
              <w:jc w:val="right"/>
              <w:rPr>
                <w:rFonts w:ascii="宋体" w:hAnsi="宋体" w:cs="宋体" w:eastAsia="宋体" w:hint="default"/>
                <w:sz w:val="18"/>
                <w:szCs w:val="18"/>
              </w:rPr>
            </w:pPr>
            <w:r>
              <w:rPr>
                <w:rFonts w:ascii="宋体" w:hAnsi="宋体" w:cs="宋体" w:eastAsia="宋体" w:hint="default"/>
                <w:sz w:val="18"/>
                <w:szCs w:val="18"/>
              </w:rPr>
              <w:t>招商银行股份有限公司深圳梅林支行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4.75%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29/05/2019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29/05/2022</w:t>
            </w:r>
          </w:p>
        </w:tc>
      </w:tr>
      <w:tr>
        <w:trPr>
          <w:trHeight w:val="34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5"/>
              <w:jc w:val="right"/>
              <w:rPr>
                <w:rFonts w:ascii="宋体" w:hAnsi="宋体" w:cs="宋体" w:eastAsia="宋体" w:hint="default"/>
                <w:sz w:val="18"/>
                <w:szCs w:val="18"/>
              </w:rPr>
            </w:pPr>
            <w:r>
              <w:rPr>
                <w:rFonts w:ascii="宋体" w:hAnsi="宋体" w:cs="宋体" w:eastAsia="宋体" w:hint="default"/>
                <w:sz w:val="18"/>
                <w:szCs w:val="18"/>
              </w:rPr>
              <w:t>招商银行股份有限公司深圳梅林支行</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60,000,000.00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4.60%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z w:val="18"/>
              </w:rPr>
              <w:t>19/11/2019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z w:val="18"/>
              </w:rPr>
              <w:t>18/11/2022</w:t>
            </w:r>
          </w:p>
        </w:tc>
      </w:tr>
      <w:tr>
        <w:trPr>
          <w:trHeight w:val="34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1"/>
          <w:szCs w:val="21"/>
        </w:rPr>
      </w:pPr>
    </w:p>
    <w:p>
      <w:pPr>
        <w:pStyle w:val="BodyText"/>
        <w:tabs>
          <w:tab w:pos="573" w:val="left" w:leader="none"/>
        </w:tabs>
        <w:spacing w:line="240" w:lineRule="auto" w:before="44"/>
        <w:ind w:right="0"/>
        <w:jc w:val="left"/>
      </w:pPr>
      <w:r>
        <w:rPr>
          <w:rFonts w:ascii="Times New Roman" w:hAnsi="Times New Roman" w:cs="Times New Roman" w:eastAsia="Times New Roman" w:hint="default"/>
        </w:rPr>
        <w:t>(3)</w:t>
        <w:tab/>
      </w:r>
      <w:r>
        <w:rPr/>
        <w:t>根据长期借款的实际借款利率计提的将于一年内支付的应付利息人民币</w:t>
      </w:r>
      <w:r>
        <w:rPr>
          <w:rFonts w:ascii="Times New Roman" w:hAnsi="Times New Roman" w:cs="Times New Roman" w:eastAsia="Times New Roman" w:hint="default"/>
        </w:rPr>
        <w:t>203,333.33</w:t>
      </w:r>
      <w:r>
        <w:rPr/>
        <w:t>元 </w:t>
      </w:r>
      <w:r>
        <w:rPr>
          <w:rFonts w:ascii="Times New Roman" w:hAnsi="Times New Roman" w:cs="Times New Roman" w:eastAsia="Times New Roman" w:hint="default"/>
        </w:rPr>
        <w:t>(2018</w:t>
      </w:r>
      <w:r>
        <w:rPr/>
        <w:t>：人民币</w:t>
      </w:r>
      <w:r>
        <w:rPr>
          <w:rFonts w:ascii="Times New Roman" w:hAnsi="Times New Roman" w:cs="Times New Roman" w:eastAsia="Times New Roman" w:hint="default"/>
        </w:rPr>
        <w:t>60,694.44</w:t>
      </w:r>
      <w:r>
        <w:rPr/>
        <w:t>元</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归集</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在一年内到期的非流动负债科目。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BodyText"/>
        <w:spacing w:line="357" w:lineRule="auto"/>
        <w:ind w:right="8594"/>
        <w:jc w:val="left"/>
      </w:pPr>
      <w:r>
        <w:rPr/>
        <w:t>其他说明，包括利率区间：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27</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60,873,841.53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12,679,210.00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27,282,768.22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46,270,283.31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60,873,841.53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12,679,210.00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27,282,768.22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46,270,283.31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0"/>
        <w:gridCol w:w="1275"/>
        <w:gridCol w:w="1135"/>
        <w:gridCol w:w="850"/>
        <w:gridCol w:w="1136"/>
        <w:gridCol w:w="850"/>
        <w:gridCol w:w="506"/>
        <w:gridCol w:w="1196"/>
        <w:gridCol w:w="1063"/>
      </w:tblGrid>
      <w:tr>
        <w:trPr>
          <w:trHeight w:val="102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2" w:right="11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5"/>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中美低碳建筑与社 区创新实验中心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启动区碳排放实时 监测公共平台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16,798,808.94</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4,613,910.75</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12,184,898.19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国际低碳城碳认证 服务中心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6,358,374.66</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2,144,646.59</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4,213,728.07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低碳检测服务机构 培育工程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3,300,165.53</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580,289.45</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2,719,876.08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04"/>
              <w:jc w:val="left"/>
              <w:rPr>
                <w:rFonts w:ascii="Times New Roman" w:hAnsi="Times New Roman" w:cs="Times New Roman" w:eastAsia="Times New Roman" w:hint="default"/>
                <w:sz w:val="18"/>
                <w:szCs w:val="18"/>
              </w:rPr>
            </w:pPr>
            <w:r>
              <w:rPr>
                <w:rFonts w:ascii="宋体" w:hAnsi="宋体" w:cs="宋体" w:eastAsia="宋体" w:hint="default"/>
                <w:sz w:val="18"/>
                <w:szCs w:val="18"/>
              </w:rPr>
              <w:t>建科大楼</w:t>
            </w:r>
            <w:r>
              <w:rPr>
                <w:rFonts w:ascii="Times New Roman" w:hAnsi="Times New Roman" w:cs="Times New Roman" w:eastAsia="Times New Roman" w:hint="default"/>
                <w:sz w:val="18"/>
                <w:szCs w:val="18"/>
              </w:rPr>
              <w:t>(</w:t>
            </w:r>
            <w:r>
              <w:rPr>
                <w:rFonts w:ascii="宋体" w:hAnsi="宋体" w:cs="宋体" w:eastAsia="宋体" w:hint="default"/>
                <w:sz w:val="18"/>
                <w:szCs w:val="18"/>
              </w:rPr>
              <w:t>节能贴 息</w:t>
            </w:r>
            <w:r>
              <w:rPr>
                <w:rFonts w:ascii="Times New Roman" w:hAnsi="Times New Roman" w:cs="Times New Roman" w:eastAsia="Times New Roman"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2,006,743.86</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101,650.89</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1,905,092.97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深圳市低碳试点示 范项目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3,029,856.58</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1,276,340.88</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1,753,515.70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深圳国际低碳城中 美中心建设渣土资 源化利用示范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1,579,200.00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357,642.00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1,221,558.00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既有城市工业区信 息化升级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732,900.00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1,095,300.00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882,917.75</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945,282.25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城市宜居空间智能 模型及个性化决策 系统研究</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2,145,992.49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653,900.00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2,050,979.64</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748,912.85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既有居住建筑室内 外环境宜居改善关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728,561.88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2,180,200.00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2,390,789.02</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517,972.86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1275"/>
        <w:gridCol w:w="1135"/>
        <w:gridCol w:w="850"/>
        <w:gridCol w:w="1136"/>
        <w:gridCol w:w="850"/>
        <w:gridCol w:w="506"/>
        <w:gridCol w:w="1196"/>
        <w:gridCol w:w="1063"/>
      </w:tblGrid>
      <w:tr>
        <w:trPr>
          <w:trHeight w:val="3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键技术研究</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城市节能和低碳解 决方案的工具研究 与开发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568,554.33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1,129,019.89</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359,534.44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夏热冬暖地区</w:t>
            </w:r>
            <w:r>
              <w:rPr>
                <w:rFonts w:ascii="Times New Roman" w:hAnsi="Times New Roman" w:cs="Times New Roman" w:eastAsia="Times New Roman" w:hint="default"/>
                <w:sz w:val="18"/>
                <w:szCs w:val="18"/>
              </w:rPr>
              <w:t>"</w:t>
            </w:r>
            <w:r>
              <w:rPr>
                <w:rFonts w:ascii="宋体" w:hAnsi="宋体" w:cs="宋体" w:eastAsia="宋体" w:hint="default"/>
                <w:sz w:val="18"/>
                <w:szCs w:val="18"/>
              </w:rPr>
              <w:t>净 零能耗建筑</w:t>
            </w:r>
            <w:r>
              <w:rPr>
                <w:rFonts w:ascii="Times New Roman" w:hAnsi="Times New Roman" w:cs="Times New Roman" w:eastAsia="Times New Roman" w:hint="default"/>
                <w:sz w:val="18"/>
                <w:szCs w:val="18"/>
              </w:rPr>
              <w:t>"</w:t>
            </w:r>
            <w:r>
              <w:rPr>
                <w:rFonts w:ascii="宋体" w:hAnsi="宋体" w:cs="宋体" w:eastAsia="宋体" w:hint="default"/>
                <w:sz w:val="18"/>
                <w:szCs w:val="18"/>
              </w:rPr>
              <w:t>关键 技术综合性工程示 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3,236,382.17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2,420,900.00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5,512,989.24</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144,292.93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城市能源体系及碳 排放综合研究关键 技术与示范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914,018.36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1,651,921.77</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122,096.59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其他与资产相关项 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1,273,539.08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794,539.44</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482,999.64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其他与收益相关项 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3,200,743.65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4,544,910.00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3,795,130.91</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3,950,522.74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60,873,841.53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12,679,210.00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27,282,768.22</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46,270,283.31</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146,666,700.00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146,666,700.00</w:t>
            </w:r>
          </w:p>
        </w:tc>
      </w:tr>
    </w:tbl>
    <w:p>
      <w:pPr>
        <w:pStyle w:val="BodyText"/>
        <w:spacing w:line="360" w:lineRule="auto" w:before="51"/>
        <w:ind w:right="9854"/>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126,541,353.92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126,541,353.92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127,541,353.92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127,541,353.92</w:t>
            </w:r>
          </w:p>
        </w:tc>
      </w:tr>
    </w:tbl>
    <w:p>
      <w:pPr>
        <w:pStyle w:val="BodyText"/>
        <w:spacing w:line="357" w:lineRule="auto" w:before="51"/>
        <w:ind w:right="6614"/>
        <w:jc w:val="left"/>
      </w:pPr>
      <w:r>
        <w:rPr/>
        <w:t>其他说明，包括本期增减变动情况、变动原因说明： 无。</w:t>
      </w:r>
    </w:p>
    <w:p>
      <w:pPr>
        <w:spacing w:after="0" w:line="357"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30</w:t>
      </w:r>
      <w:r>
        <w:rPr/>
        <w:t>、盈余公积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14,947,485.38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1,447,594.59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16,395,079.97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14,947,485.38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1,447,594.59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16,395,079.97</w:t>
            </w:r>
          </w:p>
        </w:tc>
      </w:tr>
    </w:tbl>
    <w:p>
      <w:pPr>
        <w:pStyle w:val="BodyText"/>
        <w:spacing w:line="357" w:lineRule="auto" w:before="51"/>
        <w:ind w:right="6254"/>
        <w:jc w:val="left"/>
      </w:pPr>
      <w:r>
        <w:rPr/>
        <w:t>盈余公积说明，包括本期增减变动情况、变动原因说明：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31</w:t>
      </w:r>
      <w:r>
        <w:rPr/>
        <w:t>、未分配利润</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154,114,765.30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131,749,237.72</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154,114,765.30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131,749,237.72</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36,620,943.28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34,630,772.68</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1,447,594.59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2,731,909.60</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10,266,669.00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9,533,335.50</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179,021,444.99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154,114,765.30</w:t>
            </w:r>
          </w:p>
        </w:tc>
      </w:tr>
    </w:tbl>
    <w:p>
      <w:pPr>
        <w:pStyle w:val="BodyText"/>
        <w:spacing w:line="240" w:lineRule="auto" w:before="51"/>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32</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467,972,060.82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305,442,226.16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397,007,934.86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245,210,537.81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467,972,060.82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305,442,226.16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397,007,934.86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245,210,537.81</w:t>
            </w:r>
          </w:p>
        </w:tc>
      </w:tr>
    </w:tbl>
    <w:p>
      <w:pPr>
        <w:pStyle w:val="BodyText"/>
        <w:spacing w:line="240" w:lineRule="auto" w:before="51"/>
        <w:ind w:right="0"/>
        <w:jc w:val="left"/>
      </w:pPr>
      <w:r>
        <w:rPr/>
        <w:t>是否已执行新收入准则</w:t>
      </w:r>
    </w:p>
    <w:p>
      <w:pPr>
        <w:pStyle w:val="BodyText"/>
        <w:spacing w:line="338" w:lineRule="auto" w:before="117"/>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after="0" w:line="338"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33</w:t>
      </w:r>
      <w:r>
        <w:rPr/>
        <w:t>、税金及附加</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416,138.39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968,022.98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297,770.48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688,733.75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889,375.69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873,742.19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57,472.40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30,056.46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2,261.19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395,575.40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500,966.75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2,058,593.55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3,061,522.13</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34</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29,176,315.31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29,425,609.50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7,022,797.41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5,942,109.07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4,640,874.86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4,496,242.27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3,396,252.37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2,659,923.54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3,149,449.13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3,984,992.74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2,960,774.21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2,432,705.35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2,008,808.32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2,959,096.22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图文制作费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1,653,941.19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1,004,430.99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交通及汽车费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1,311,995.02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1,580,914.73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4,256,765.48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2,975,115.83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59,577,973.30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57,461,140.24</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35</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25,415,408.26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23,697,439.49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5,422,972.46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5,605,767.46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5,158,626.52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4,687,836.30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4,462,670.66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4,156,026.15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1,311,666.21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894,783.72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水电气及维修费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1,161,137.50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619,980.79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3,631,734.56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4,964,579.00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46,564,216.17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44,626,412.91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36</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12,929,660.65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9,266,945.91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558,885.14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课题研发经费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14,333,695.71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13,888,223.01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857,455.77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37,387,758.04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14,447,108.15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37</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贷款及应付款项的利息支出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9,390,147.99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6,115,476.91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减：资本化的利息支出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5,384,332.81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2,539,922.36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存款及应收款项的利息收入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715,393.98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798,593.68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净汇兑亏损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699.97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140,132.15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224,757.50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3,430,553.35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3,001,018.40</w:t>
            </w:r>
          </w:p>
        </w:tc>
      </w:tr>
    </w:tbl>
    <w:p>
      <w:pPr>
        <w:pStyle w:val="BodyText"/>
        <w:spacing w:line="240" w:lineRule="auto" w:before="51"/>
        <w:ind w:right="0"/>
        <w:jc w:val="left"/>
      </w:pPr>
      <w:r>
        <w:rPr/>
        <w:t>其他说明：</w:t>
      </w:r>
    </w:p>
    <w:p>
      <w:pPr>
        <w:pStyle w:val="BodyText"/>
        <w:spacing w:line="240" w:lineRule="auto" w:before="117"/>
        <w:ind w:right="0"/>
        <w:jc w:val="left"/>
      </w:pPr>
      <w:r>
        <w:rPr/>
        <w:t>本集团本年度用于确定借款费用资本化金额的资本化率为</w:t>
      </w:r>
      <w:r>
        <w:rPr>
          <w:rFonts w:ascii="Times New Roman" w:hAnsi="Times New Roman" w:cs="Times New Roman" w:eastAsia="Times New Roman" w:hint="default"/>
        </w:rPr>
        <w:t>4.66% (2018</w:t>
      </w:r>
      <w:r>
        <w:rPr/>
        <w:t>年：</w:t>
      </w:r>
      <w:r>
        <w:rPr>
          <w:rFonts w:ascii="Times New Roman" w:hAnsi="Times New Roman" w:cs="Times New Roman" w:eastAsia="Times New Roman" w:hint="default"/>
        </w:rPr>
        <w:t>5.21%)</w:t>
      </w:r>
      <w:r>
        <w:rPr>
          <w:rFonts w:ascii="Times New Roman" w:hAnsi="Times New Roman" w:cs="Times New Roman" w:eastAsia="Times New Roman" w:hint="default"/>
          <w:spacing w:val="24"/>
        </w:rPr>
        <w:t> </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6"/>
        <w:spacing w:line="240" w:lineRule="auto"/>
        <w:ind w:right="0"/>
        <w:jc w:val="left"/>
        <w:rPr>
          <w:b w:val="0"/>
          <w:bCs w:val="0"/>
        </w:rPr>
      </w:pPr>
      <w:r>
        <w:rPr>
          <w:rFonts w:ascii="Times New Roman" w:hAnsi="Times New Roman" w:cs="Times New Roman" w:eastAsia="Times New Roman" w:hint="default"/>
        </w:rPr>
        <w:t>38</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27,282,768.22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9,920,143.59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增值税进项税加计扣除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1,758,875.52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29,041,643.74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9,920,143.59</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39</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-589,024.14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-558,150.57</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2,232,654.34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1,220,968.47</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1,643,630.20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662,817.90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40</w:t>
      </w:r>
      <w:r>
        <w:rPr/>
        <w:t>、公允价值变动收益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715,804.10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891,468.50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715,804.10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891,468.50</w:t>
            </w:r>
          </w:p>
        </w:tc>
      </w:tr>
    </w:tbl>
    <w:p>
      <w:pPr>
        <w:pStyle w:val="BodyText"/>
        <w:spacing w:line="357" w:lineRule="auto" w:before="51"/>
        <w:ind w:right="9854"/>
        <w:jc w:val="left"/>
      </w:pPr>
      <w:r>
        <w:rPr/>
        <w:t>其他说明： 无。</w:t>
      </w:r>
    </w:p>
    <w:p>
      <w:pPr>
        <w:spacing w:line="240" w:lineRule="auto" w:before="4"/>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41</w:t>
      </w:r>
      <w:r>
        <w:rPr/>
        <w:t>、信用减值损失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7,657,701.50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-716,952.11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6,940,749.39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15,603,246.92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15,603,246.92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43</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44</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3"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5,336,179.23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14,091,399.36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5,336,179.23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70,931.29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169,398.74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70,931.29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5,407,110.52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14,260,798.10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5,407,110.52</w:t>
            </w:r>
          </w:p>
        </w:tc>
      </w:tr>
    </w:tbl>
    <w:p>
      <w:pPr>
        <w:pStyle w:val="BodyText"/>
        <w:spacing w:line="240" w:lineRule="auto" w:before="51"/>
        <w:ind w:right="0"/>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569"/>
        <w:gridCol w:w="567"/>
        <w:gridCol w:w="1699"/>
        <w:gridCol w:w="994"/>
        <w:gridCol w:w="708"/>
        <w:gridCol w:w="1135"/>
        <w:gridCol w:w="1275"/>
        <w:gridCol w:w="1063"/>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98" w:right="98"/>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98" w:right="98"/>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9" w:right="77"/>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72" w:right="110"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福田区产业发展专 项资金</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专业服务 业</w:t>
            </w:r>
            <w:r>
              <w:rPr>
                <w:rFonts w:ascii="Times New Roman" w:hAnsi="Times New Roman" w:cs="Times New Roman" w:eastAsia="Times New Roman" w:hint="default"/>
                <w:sz w:val="18"/>
                <w:szCs w:val="18"/>
              </w:rPr>
              <w:t>-  </w:t>
            </w:r>
            <w:r>
              <w:rPr>
                <w:rFonts w:ascii="宋体" w:hAnsi="宋体" w:cs="宋体" w:eastAsia="宋体" w:hint="default"/>
                <w:sz w:val="18"/>
                <w:szCs w:val="18"/>
              </w:rPr>
              <w:t>综合贡献</w:t>
            </w:r>
            <w:r>
              <w:rPr>
                <w:rFonts w:ascii="Times New Roman" w:hAnsi="Times New Roman" w:cs="Times New Roman" w:eastAsia="Times New Roman" w:hint="default"/>
                <w:sz w:val="18"/>
                <w:szCs w:val="18"/>
              </w:rPr>
              <w:t>)</w:t>
            </w: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2,509,400.00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97" w:lineRule="auto"/>
              <w:ind w:left="24" w:right="24"/>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产业发展 专项资金</w:t>
            </w: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1,080,300.00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4"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年度产业发 展专项资金生产性 服务业公共服务平 台</w:t>
            </w: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其他与资产相关项 目</w:t>
            </w: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393,709.72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569"/>
        <w:gridCol w:w="567"/>
        <w:gridCol w:w="1699"/>
        <w:gridCol w:w="994"/>
        <w:gridCol w:w="708"/>
        <w:gridCol w:w="1135"/>
        <w:gridCol w:w="1275"/>
        <w:gridCol w:w="1063"/>
      </w:tblGrid>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其他与收益相关项 目</w:t>
            </w: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1,746,479.23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3,697,689.64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5,336,179.23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14,091,399.36</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45</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4"/>
        <w:gridCol w:w="2392"/>
      </w:tblGrid>
      <w:tr>
        <w:trPr>
          <w:trHeight w:val="161" w:hRule="exact"/>
        </w:trPr>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7"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3,114.26</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8" w:right="0"/>
              <w:jc w:val="left"/>
              <w:rPr>
                <w:rFonts w:ascii="Times New Roman" w:hAnsi="Times New Roman" w:cs="Times New Roman" w:eastAsia="Times New Roman" w:hint="default"/>
                <w:sz w:val="18"/>
                <w:szCs w:val="18"/>
              </w:rPr>
            </w:pPr>
            <w:r>
              <w:rPr>
                <w:rFonts w:ascii="Times New Roman"/>
                <w:sz w:val="18"/>
              </w:rPr>
              <w:t>371,800.91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46</w:t>
      </w:r>
      <w:r>
        <w:rPr/>
        <w:t>、所得税费用</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15,377,205.52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8,232,687.14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-9,263,038.22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-2,297,767.95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6,114,167.30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5,934,919.19</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43,367,423.61</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6,505,113.54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-785,187.76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137,565.62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88,353.62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1,094,598.16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-112,268.16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1,663,472.71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-2,477,480.43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6,114,167.30</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19,555,998.83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29,798,129.64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709,644.97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783,799.16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3,017,402.93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4,397,930.40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23,283,046.73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34,979,859.20</w:t>
            </w:r>
          </w:p>
        </w:tc>
      </w:tr>
    </w:tbl>
    <w:p>
      <w:pPr>
        <w:pStyle w:val="BodyText"/>
        <w:spacing w:line="360" w:lineRule="auto" w:before="51"/>
        <w:ind w:right="7514"/>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21,253,282.49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5,111,273.73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差旅及交通费用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17,212,559.83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6,305,698.29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课题研发经费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11,546,551.04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31,527,179.05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差异</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50,012,393.36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42,944,151.07</w:t>
            </w:r>
          </w:p>
        </w:tc>
      </w:tr>
    </w:tbl>
    <w:p>
      <w:pPr>
        <w:pStyle w:val="BodyText"/>
        <w:spacing w:line="357" w:lineRule="auto" w:before="51"/>
        <w:ind w:right="7514"/>
        <w:jc w:val="left"/>
      </w:pPr>
      <w:r>
        <w:rPr/>
        <w:t>支付的其他与经营活动有关的现金说明： 无。</w:t>
      </w:r>
    </w:p>
    <w:p>
      <w:pPr>
        <w:spacing w:after="0" w:line="357"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right="7514"/>
        <w:jc w:val="left"/>
      </w:pPr>
      <w:r>
        <w:rPr/>
        <w:t>收到的其他与投资活动有关的现金说明：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7514"/>
        <w:jc w:val="left"/>
      </w:pPr>
      <w:r>
        <w:rPr/>
        <w:t>支付的其他与投资活动有关的现金说明：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7514"/>
        <w:jc w:val="left"/>
      </w:pPr>
      <w:r>
        <w:rPr/>
        <w:t>收到的其他与筹资活动有关的现金说明：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7514"/>
        <w:jc w:val="left"/>
      </w:pPr>
      <w:r>
        <w:rPr/>
        <w:t>支付的其他与筹资活动有关的现金说明：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48</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389"/>
        <w:gridCol w:w="2269"/>
        <w:gridCol w:w="1913"/>
      </w:tblGrid>
      <w:tr>
        <w:trPr>
          <w:trHeight w:val="401"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37,253,256.31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33,031,226.29</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加：信用减值损失</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6,940,749.39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15,603,246.92</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16,064,303.82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11,932,039.79</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7,555,290.84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4,859,769.67</w:t>
            </w:r>
          </w:p>
        </w:tc>
      </w:tr>
      <w:tr>
        <w:trPr>
          <w:trHeight w:val="401"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10,817,685.48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9,202,273.33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389"/>
        <w:gridCol w:w="2269"/>
        <w:gridCol w:w="1913"/>
      </w:tblGrid>
      <w:tr>
        <w:trPr>
          <w:trHeight w:val="714"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7,641.55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-5,770.00</w:t>
            </w:r>
          </w:p>
        </w:tc>
      </w:tr>
      <w:tr>
        <w:trPr>
          <w:trHeight w:val="402"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-715,804.10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-891,468.50</w:t>
            </w:r>
          </w:p>
        </w:tc>
      </w:tr>
      <w:tr>
        <w:trPr>
          <w:trHeight w:val="402"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4,005,815.18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3,574,854.58</w:t>
            </w:r>
          </w:p>
        </w:tc>
      </w:tr>
      <w:tr>
        <w:trPr>
          <w:trHeight w:val="402"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-1,643,630.20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-662,817.90</w:t>
            </w:r>
          </w:p>
        </w:tc>
      </w:tr>
      <w:tr>
        <w:trPr>
          <w:trHeight w:val="402"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-9,263,038.22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-2,297,767.95</w:t>
            </w:r>
          </w:p>
        </w:tc>
      </w:tr>
      <w:tr>
        <w:trPr>
          <w:trHeight w:val="402"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29,983.65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-35,509.84</w:t>
            </w:r>
          </w:p>
        </w:tc>
      </w:tr>
      <w:tr>
        <w:trPr>
          <w:trHeight w:val="402"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-28,909,877.10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-61,136,788.05</w:t>
            </w:r>
          </w:p>
        </w:tc>
      </w:tr>
      <w:tr>
        <w:trPr>
          <w:trHeight w:val="402"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4"/>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35,974,895.09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24,462,111.65</w:t>
            </w:r>
          </w:p>
        </w:tc>
      </w:tr>
      <w:tr>
        <w:trPr>
          <w:trHeight w:val="402"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-14,603,558.22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5,351,394.69</w:t>
            </w:r>
          </w:p>
        </w:tc>
      </w:tr>
      <w:tr>
        <w:trPr>
          <w:trHeight w:val="407"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63,513,713.47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42,986,794.68</w:t>
            </w:r>
          </w:p>
        </w:tc>
      </w:tr>
      <w:tr>
        <w:trPr>
          <w:trHeight w:val="397"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70"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070"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200,785,027.19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145,584,988.20</w:t>
            </w:r>
          </w:p>
        </w:tc>
      </w:tr>
      <w:tr>
        <w:trPr>
          <w:trHeight w:val="402"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145,584,988.20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220,466,732.62</w:t>
            </w:r>
          </w:p>
        </w:tc>
      </w:tr>
      <w:tr>
        <w:trPr>
          <w:trHeight w:val="403" w:hRule="exact"/>
        </w:trPr>
        <w:tc>
          <w:tcPr>
            <w:tcW w:w="5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55,200,038.99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-74,881,744.42</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2"/>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12,415,400.00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湖北建胜及其子公司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12,415,400.00</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5,098,804.91</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湖北建胜及其子公司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5,098,804.91</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7,316,595.09</w:t>
            </w:r>
          </w:p>
        </w:tc>
      </w:tr>
    </w:tbl>
    <w:p>
      <w:pPr>
        <w:pStyle w:val="BodyText"/>
        <w:spacing w:line="357" w:lineRule="auto" w:before="52"/>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967;top:15;width:24;height:394" coordorigin="4967,15" coordsize="24,394">
              <v:shape style="position:absolute;left:4967;top:15;width:24;height:394" coordorigin="4967,15" coordsize="24,394" path="m4967,408l4991,408,4991,15,4967,15,4967,408xe" filled="true" fillcolor="#d2d2d2" stroked="false">
                <v:path arrowok="t"/>
                <v:fill type="solid"/>
              </v:shape>
            </v:group>
            <v:group style="position:absolute;left:12;top:15;width:22;height:394" coordorigin="12,15" coordsize="22,394">
              <v:shape style="position:absolute;left:12;top:15;width:22;height:394" coordorigin="12,15" coordsize="22,394" path="m12,408l34,408,34,15,12,15,12,408xe" filled="true" fillcolor="#d2d2d2" stroked="false">
                <v:path arrowok="t"/>
                <v:fill type="solid"/>
              </v:shape>
            </v:group>
            <v:group style="position:absolute;left:34;top:15;width:4933;height:394" coordorigin="34,15" coordsize="4933,394">
              <v:shape style="position:absolute;left:34;top:15;width:4933;height:394" coordorigin="34,15" coordsize="4933,394" path="m34,408l4967,408,4967,15,34,15,34,408xe" filled="true" fillcolor="#d2d2d2" stroked="false">
                <v:path arrowok="t"/>
                <v:fill type="solid"/>
              </v:shape>
            </v:group>
            <v:group style="position:absolute;left:5001;top:15;width:22;height:394" coordorigin="5001,15" coordsize="22,394">
              <v:shape style="position:absolute;left:5001;top:15;width:22;height:394" coordorigin="5001,15" coordsize="22,394" path="m5001,408l5022,408,5022,15,5001,15,5001,408xe" filled="true" fillcolor="#d2d2d2" stroked="false">
                <v:path arrowok="t"/>
                <v:fill type="solid"/>
              </v:shape>
            </v:group>
            <v:group style="position:absolute;left:9547;top:15;width:24;height:394" coordorigin="9547,15" coordsize="24,394">
              <v:shape style="position:absolute;left:9547;top:15;width:24;height:394" coordorigin="9547,15" coordsize="24,394" path="m9547,408l9571,408,9571,15,9547,15,9547,408xe" filled="true" fillcolor="#d2d2d2" stroked="false">
                <v:path arrowok="t"/>
                <v:fill type="solid"/>
              </v:shape>
            </v:group>
            <v:group style="position:absolute;left:5022;top:15;width:4525;height:394" coordorigin="5022,15" coordsize="4525,394">
              <v:shape style="position:absolute;left:5022;top:15;width:4525;height:394" coordorigin="5022,15" coordsize="4525,394" path="m5022,408l9547,408,9547,15,5022,15,5022,408xe" filled="true" fillcolor="#d2d2d2" stroked="false">
                <v:path arrowok="t"/>
                <v:fill type="solid"/>
              </v:shape>
            </v:group>
            <v:group style="position:absolute;left:10;top:10;width:4979;height:2" coordorigin="10,10" coordsize="4979,2">
              <v:shape style="position:absolute;left:10;top:10;width:4979;height:2" coordorigin="10,10" coordsize="4979,0" path="m10,10l4988,10e" filled="false" stroked="true" strokeweight=".48004pt" strokecolor="#000000">
                <v:path arrowok="t"/>
              </v:shape>
            </v:group>
            <v:group style="position:absolute;left:4998;top:10;width:4573;height:2" coordorigin="4998,10" coordsize="4573,2">
              <v:shape style="position:absolute;left:4998;top:10;width:4573;height:2" coordorigin="4998,10" coordsize="4573,0" path="m4998,10l9571,10e" filled="false" stroked="true" strokeweight=".48004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979;height:2" coordorigin="10,413" coordsize="4979,2">
              <v:shape style="position:absolute;left:10;top:413;width:4979;height:2" coordorigin="10,413" coordsize="4979,0" path="m10,413l4988,413e" filled="false" stroked="true" strokeweight=".47998pt" strokecolor="#000000">
                <v:path arrowok="t"/>
              </v:shape>
            </v:group>
            <v:group style="position:absolute;left:4993;top:5;width:2;height:413" coordorigin="4993,5" coordsize="2,413">
              <v:shape style="position:absolute;left:4993;top:5;width:2;height:413" coordorigin="4993,5" coordsize="0,413" path="m4993,5l4993,418e" filled="false" stroked="true" strokeweight=".504pt" strokecolor="#000000">
                <v:path arrowok="t"/>
              </v:shape>
            </v:group>
            <v:group style="position:absolute;left:4998;top:413;width:4573;height:2" coordorigin="4998,413" coordsize="4573,2">
              <v:shape style="position:absolute;left:4998;top:413;width:4573;height:2" coordorigin="4998,413" coordsize="4573,0" path="m4998,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7103;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24"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2"/>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546"/>
        <w:gridCol w:w="2840"/>
        <w:gridCol w:w="3185"/>
      </w:tblGrid>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200,785,027.19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145,584,988.20</w:t>
            </w:r>
          </w:p>
        </w:tc>
      </w:tr>
      <w:tr>
        <w:trPr>
          <w:trHeight w:val="404"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121,967.34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88,483.79</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168,663,059.85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117,298,203.66</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84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198,300.75</w:t>
            </w:r>
          </w:p>
        </w:tc>
      </w:tr>
      <w:tr>
        <w:trPr>
          <w:trHeight w:val="401" w:hRule="exact"/>
        </w:trPr>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原始期限在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个月以内的定期存款</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200,785,027.19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145,584,988.20</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49</w:t>
      </w:r>
      <w:r>
        <w:rPr/>
        <w:t>、所有权或使用权受到限制的资产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10,075,356.76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保函保证金、代建户</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56,168,845.52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用于抵押借款</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12,621,343.00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用于抵押借款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78,865,545.28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5804"/>
        <w:jc w:val="left"/>
      </w:pPr>
      <w:r>
        <w:rPr/>
        <w:t>其他说明： 用于抵押借款的无形资产本年摊销金额为人民币</w:t>
      </w:r>
      <w:r>
        <w:rPr>
          <w:rFonts w:ascii="Times New Roman" w:hAnsi="Times New Roman" w:cs="Times New Roman" w:eastAsia="Times New Roman" w:hint="default"/>
        </w:rPr>
        <w:t>330,039.95</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60"/>
        <w:ind w:right="0"/>
        <w:jc w:val="left"/>
        <w:rPr>
          <w:b w:val="0"/>
          <w:bCs w:val="0"/>
        </w:rPr>
      </w:pPr>
      <w:r>
        <w:rPr>
          <w:rFonts w:ascii="Times New Roman" w:hAnsi="Times New Roman" w:cs="Times New Roman" w:eastAsia="Times New Roman" w:hint="default"/>
        </w:rPr>
        <w:t>50</w:t>
      </w:r>
      <w:r>
        <w:rPr/>
        <w:t>、政府补助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103"/>
        <w:gridCol w:w="1560"/>
        <w:gridCol w:w="1136"/>
        <w:gridCol w:w="1771"/>
      </w:tblGrid>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104"/>
        <w:gridCol w:w="1560"/>
        <w:gridCol w:w="1136"/>
        <w:gridCol w:w="1771"/>
      </w:tblGrid>
      <w:tr>
        <w:trPr>
          <w:trHeight w:val="40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中美低碳建筑与社区创新实验中心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启动区碳排放实时监测公共平台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16,798,808.94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4,613,910.75</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国际低碳城碳认证服务中心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6,358,374.66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2,144,646.59</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低碳检测服务机构培育工程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3,300,165.53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580,289.45</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建科大楼 </w:t>
            </w:r>
            <w:r>
              <w:rPr>
                <w:rFonts w:ascii="Times New Roman" w:hAnsi="Times New Roman" w:cs="Times New Roman" w:eastAsia="Times New Roman" w:hint="default"/>
                <w:sz w:val="18"/>
                <w:szCs w:val="18"/>
              </w:rPr>
              <w:t>(</w:t>
            </w:r>
            <w:r>
              <w:rPr>
                <w:rFonts w:ascii="宋体" w:hAnsi="宋体" w:cs="宋体" w:eastAsia="宋体" w:hint="default"/>
                <w:sz w:val="18"/>
                <w:szCs w:val="18"/>
              </w:rPr>
              <w:t>节能贴息</w:t>
            </w:r>
            <w:r>
              <w:rPr>
                <w:rFonts w:ascii="Times New Roman" w:hAnsi="Times New Roman" w:cs="Times New Roman" w:eastAsia="Times New Roman"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2,006,743.86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101,650.89</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深圳市低碳试点示范项目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3,029,856.58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1,276,340.88</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深圳国际低碳城中美中心建设渣土资源化利用示范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1,579,200.00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357,642.00</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既有城市工业区信息化升级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1,828,200.00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882,917.75</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城市宜居空间智能模型及个性化决策系统研究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2,799,892.49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2,050,979.64</w:t>
            </w:r>
          </w:p>
        </w:tc>
      </w:tr>
      <w:tr>
        <w:trPr>
          <w:trHeight w:val="404"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既有居住建筑室内外环境宜居改善关键技术研究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2,908,761.88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2,390,789.02</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城市节能和低碳解决方案的工具研究与开发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1,488,554.33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1,129,019.89</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夏热冬暖地区</w:t>
            </w:r>
            <w:r>
              <w:rPr>
                <w:rFonts w:ascii="Times New Roman" w:hAnsi="Times New Roman" w:cs="Times New Roman" w:eastAsia="Times New Roman" w:hint="default"/>
                <w:sz w:val="18"/>
                <w:szCs w:val="18"/>
              </w:rPr>
              <w:t>"</w:t>
            </w:r>
            <w:r>
              <w:rPr>
                <w:rFonts w:ascii="宋体" w:hAnsi="宋体" w:cs="宋体" w:eastAsia="宋体" w:hint="default"/>
                <w:sz w:val="18"/>
                <w:szCs w:val="18"/>
              </w:rPr>
              <w:t>净零能耗建筑</w:t>
            </w:r>
            <w:r>
              <w:rPr>
                <w:rFonts w:ascii="Times New Roman" w:hAnsi="Times New Roman" w:cs="Times New Roman" w:eastAsia="Times New Roman" w:hint="default"/>
                <w:sz w:val="18"/>
                <w:szCs w:val="18"/>
              </w:rPr>
              <w:t>"</w:t>
            </w:r>
            <w:r>
              <w:rPr>
                <w:rFonts w:ascii="宋体" w:hAnsi="宋体" w:cs="宋体" w:eastAsia="宋体" w:hint="default"/>
                <w:sz w:val="18"/>
                <w:szCs w:val="18"/>
              </w:rPr>
              <w:t>关键技术综合性工程示范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5,657,282.17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5,512,989.24</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城市能源体系及碳排放综合研究关键技术与示范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1,774,018.36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1,651,921.77</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其他与资产相关项目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1,277,539.08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794,539.44</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其他与收益相关项目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7,745,653.65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3,795,130.91</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增值税进项税加计扣除</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1,758,875.52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1,758,875.52</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5,336,179.23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5,336,179.23</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70,931.29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70,931.29</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BodyText"/>
        <w:spacing w:line="240" w:lineRule="auto" w:before="43"/>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51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234"/>
        <w:jc w:val="left"/>
      </w:pPr>
      <w:r>
        <w:rPr/>
        <w:t>利润表补充资料 对利润表中的费用按性质分类：</w:t>
      </w:r>
    </w:p>
    <w:p>
      <w:pPr>
        <w:spacing w:line="240" w:lineRule="auto" w:before="6"/>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5104"/>
        <w:gridCol w:w="1985"/>
        <w:gridCol w:w="1983"/>
      </w:tblGrid>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4"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467,972,060.82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397,007,934.86</w:t>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left"/>
              <w:rPr>
                <w:rFonts w:ascii="宋体" w:hAnsi="宋体" w:cs="宋体" w:eastAsia="宋体" w:hint="default"/>
                <w:sz w:val="18"/>
                <w:szCs w:val="18"/>
              </w:rPr>
            </w:pPr>
            <w:r>
              <w:rPr>
                <w:rFonts w:ascii="宋体" w:hAnsi="宋体" w:cs="宋体" w:eastAsia="宋体" w:hint="default"/>
                <w:sz w:val="18"/>
                <w:szCs w:val="18"/>
              </w:rPr>
              <w:t>减：职工薪酬费用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207,570,511.89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176,575,999.40</w:t>
            </w:r>
          </w:p>
        </w:tc>
      </w:tr>
      <w:tr>
        <w:trPr>
          <w:trHeight w:val="34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4" w:right="0"/>
              <w:jc w:val="left"/>
              <w:rPr>
                <w:rFonts w:ascii="宋体" w:hAnsi="宋体" w:cs="宋体" w:eastAsia="宋体" w:hint="default"/>
                <w:sz w:val="18"/>
                <w:szCs w:val="18"/>
              </w:rPr>
            </w:pPr>
            <w:r>
              <w:rPr>
                <w:rFonts w:ascii="宋体" w:hAnsi="宋体" w:cs="宋体" w:eastAsia="宋体" w:hint="default"/>
                <w:sz w:val="18"/>
                <w:szCs w:val="18"/>
              </w:rPr>
              <w:t>分包费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75,149,168.09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39,340,874.69</w:t>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4"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34,437,280.14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25,994,082.79</w:t>
            </w:r>
          </w:p>
        </w:tc>
      </w:tr>
      <w:tr>
        <w:trPr>
          <w:trHeight w:val="34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4" w:right="0"/>
              <w:jc w:val="left"/>
              <w:rPr>
                <w:rFonts w:ascii="宋体" w:hAnsi="宋体" w:cs="宋体" w:eastAsia="宋体" w:hint="default"/>
                <w:sz w:val="18"/>
                <w:szCs w:val="18"/>
              </w:rPr>
            </w:pPr>
            <w:r>
              <w:rPr>
                <w:rFonts w:ascii="宋体" w:hAnsi="宋体" w:cs="宋体" w:eastAsia="宋体" w:hint="default"/>
                <w:sz w:val="18"/>
                <w:szCs w:val="18"/>
              </w:rPr>
              <w:t>租金费用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21,253,282.49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22,214,956.15</w:t>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(27,282,768.22)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(9,920,143.59)</w:t>
            </w:r>
          </w:p>
        </w:tc>
      </w:tr>
      <w:tr>
        <w:trPr>
          <w:trHeight w:val="34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4" w:right="0"/>
              <w:jc w:val="left"/>
              <w:rPr>
                <w:rFonts w:ascii="宋体" w:hAnsi="宋体" w:cs="宋体" w:eastAsia="宋体" w:hint="default"/>
                <w:sz w:val="18"/>
                <w:szCs w:val="18"/>
              </w:rPr>
            </w:pPr>
            <w:r>
              <w:rPr>
                <w:rFonts w:ascii="宋体" w:hAnsi="宋体" w:cs="宋体" w:eastAsia="宋体" w:hint="default"/>
                <w:sz w:val="18"/>
                <w:szCs w:val="18"/>
              </w:rPr>
              <w:t>办公及会务费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13,072,955.96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11,982,275.87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104"/>
        <w:gridCol w:w="1985"/>
        <w:gridCol w:w="1983"/>
      </w:tblGrid>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577"/>
              <w:jc w:val="right"/>
              <w:rPr>
                <w:rFonts w:ascii="宋体" w:hAnsi="宋体" w:cs="宋体" w:eastAsia="宋体" w:hint="default"/>
                <w:sz w:val="18"/>
                <w:szCs w:val="18"/>
              </w:rPr>
            </w:pPr>
            <w:r>
              <w:rPr>
                <w:rFonts w:ascii="宋体" w:hAnsi="宋体" w:cs="宋体" w:eastAsia="宋体" w:hint="default"/>
                <w:sz w:val="18"/>
                <w:szCs w:val="18"/>
              </w:rPr>
              <w:t>课题研发经费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14,333,695.71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13,888,223.01</w:t>
            </w:r>
          </w:p>
        </w:tc>
      </w:tr>
      <w:tr>
        <w:trPr>
          <w:trHeight w:val="34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577"/>
              <w:jc w:val="right"/>
              <w:rPr>
                <w:rFonts w:ascii="宋体" w:hAnsi="宋体" w:cs="宋体" w:eastAsia="宋体" w:hint="default"/>
                <w:sz w:val="18"/>
                <w:szCs w:val="18"/>
              </w:rPr>
            </w:pPr>
            <w:r>
              <w:rPr>
                <w:rFonts w:ascii="宋体" w:hAnsi="宋体" w:cs="宋体" w:eastAsia="宋体" w:hint="default"/>
                <w:sz w:val="18"/>
                <w:szCs w:val="18"/>
              </w:rPr>
              <w:t>资产减值损失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15,603,246.92</w:t>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577"/>
              <w:jc w:val="right"/>
              <w:rPr>
                <w:rFonts w:ascii="宋体" w:hAnsi="宋体" w:cs="宋体" w:eastAsia="宋体" w:hint="default"/>
                <w:sz w:val="18"/>
                <w:szCs w:val="18"/>
              </w:rPr>
            </w:pPr>
            <w:r>
              <w:rPr>
                <w:rFonts w:ascii="宋体" w:hAnsi="宋体" w:cs="宋体" w:eastAsia="宋体" w:hint="default"/>
                <w:sz w:val="18"/>
                <w:szCs w:val="18"/>
              </w:rPr>
              <w:t>信用减值损失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6,940,749.39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9,861,770.51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8,706,471.71</w:t>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3,430,553.35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3,001,018.40</w:t>
            </w:r>
          </w:p>
        </w:tc>
      </w:tr>
      <w:tr>
        <w:trPr>
          <w:trHeight w:val="34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9"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2,058,593.55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3,061,522.13</w:t>
            </w:r>
          </w:p>
        </w:tc>
      </w:tr>
      <w:tr>
        <w:trPr>
          <w:trHeight w:val="341"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69,182,840.61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61,482,259.09</w:t>
            </w:r>
          </w:p>
        </w:tc>
      </w:tr>
      <w:tr>
        <w:trPr>
          <w:trHeight w:val="34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37,963,427.35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25,077,148.29</w:t>
            </w:r>
          </w:p>
        </w:tc>
      </w:tr>
    </w:tbl>
    <w:p>
      <w:pPr>
        <w:spacing w:line="240" w:lineRule="auto" w:before="3"/>
        <w:rPr>
          <w:rFonts w:ascii="宋体" w:hAnsi="宋体" w:cs="宋体" w:eastAsia="宋体" w:hint="default"/>
          <w:sz w:val="21"/>
          <w:szCs w:val="21"/>
        </w:rPr>
      </w:pPr>
    </w:p>
    <w:p>
      <w:pPr>
        <w:pStyle w:val="BodyText"/>
        <w:spacing w:line="316" w:lineRule="auto" w:before="44"/>
        <w:ind w:right="7514"/>
        <w:jc w:val="left"/>
      </w:pPr>
      <w:r>
        <w:rPr/>
        <w:t>基本每股收益和稀释每股收益的计算过程 基本每股收益</w:t>
      </w:r>
    </w:p>
    <w:p>
      <w:pPr>
        <w:pStyle w:val="BodyText"/>
        <w:spacing w:line="240" w:lineRule="auto" w:before="19"/>
        <w:ind w:right="0"/>
        <w:jc w:val="left"/>
      </w:pPr>
      <w:r>
        <w:rPr/>
        <w:t>基本每股收益以归属于本公司普通股股东的合并净利润除以本公司发行在外普通股的加权平均数计算：</w:t>
      </w:r>
    </w:p>
    <w:p>
      <w:pPr>
        <w:spacing w:line="240" w:lineRule="auto" w:before="12"/>
        <w:rPr>
          <w:rFonts w:ascii="宋体" w:hAnsi="宋体" w:cs="宋体" w:eastAsia="宋体" w:hint="default"/>
          <w:sz w:val="28"/>
          <w:szCs w:val="28"/>
        </w:rPr>
      </w:pPr>
    </w:p>
    <w:tbl>
      <w:tblPr>
        <w:tblW w:w="0" w:type="auto"/>
        <w:jc w:val="left"/>
        <w:tblInd w:w="155" w:type="dxa"/>
        <w:tblLayout w:type="fixed"/>
        <w:tblCellMar>
          <w:top w:w="0" w:type="dxa"/>
          <w:left w:w="0" w:type="dxa"/>
          <w:bottom w:w="0" w:type="dxa"/>
          <w:right w:w="0" w:type="dxa"/>
        </w:tblCellMar>
        <w:tblLook w:val="01E0"/>
      </w:tblPr>
      <w:tblGrid>
        <w:gridCol w:w="5101"/>
        <w:gridCol w:w="1985"/>
        <w:gridCol w:w="1988"/>
      </w:tblGrid>
      <w:tr>
        <w:trPr>
          <w:trHeight w:val="343" w:hRule="exact"/>
        </w:trPr>
        <w:tc>
          <w:tcPr>
            <w:tcW w:w="510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36,620,943.28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34,630,772.68</w:t>
            </w:r>
          </w:p>
        </w:tc>
      </w:tr>
      <w:tr>
        <w:trPr>
          <w:trHeight w:val="34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146,666,700.00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146,666,700.00</w:t>
            </w:r>
          </w:p>
        </w:tc>
      </w:tr>
      <w:tr>
        <w:trPr>
          <w:trHeight w:val="34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 </w:t>
            </w:r>
            <w:r>
              <w:rPr>
                <w:rFonts w:ascii="Times New Roman" w:hAnsi="Times New Roman" w:cs="Times New Roman" w:eastAsia="Times New Roman" w:hint="default"/>
                <w:sz w:val="18"/>
                <w:szCs w:val="18"/>
              </w:rPr>
              <w:t>(</w:t>
            </w:r>
            <w:r>
              <w:rPr>
                <w:rFonts w:ascii="宋体" w:hAnsi="宋体" w:cs="宋体" w:eastAsia="宋体" w:hint="default"/>
                <w:sz w:val="18"/>
                <w:szCs w:val="18"/>
              </w:rPr>
              <w:t>元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0.2497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0.2361</w:t>
            </w:r>
          </w:p>
        </w:tc>
      </w:tr>
    </w:tbl>
    <w:p>
      <w:pPr>
        <w:spacing w:line="240" w:lineRule="auto" w:before="3"/>
        <w:rPr>
          <w:rFonts w:ascii="宋体" w:hAnsi="宋体" w:cs="宋体" w:eastAsia="宋体" w:hint="default"/>
          <w:sz w:val="21"/>
          <w:szCs w:val="21"/>
        </w:rPr>
      </w:pPr>
    </w:p>
    <w:p>
      <w:pPr>
        <w:pStyle w:val="BodyText"/>
        <w:spacing w:line="240" w:lineRule="auto" w:before="44"/>
        <w:ind w:right="0"/>
        <w:jc w:val="left"/>
      </w:pPr>
      <w:r>
        <w:rPr/>
        <w:t>普通股的加权平均数计算过程如下：</w:t>
      </w:r>
    </w:p>
    <w:p>
      <w:pPr>
        <w:spacing w:line="240" w:lineRule="auto" w:before="11"/>
        <w:rPr>
          <w:rFonts w:ascii="宋体" w:hAnsi="宋体" w:cs="宋体" w:eastAsia="宋体" w:hint="default"/>
          <w:sz w:val="28"/>
          <w:szCs w:val="28"/>
        </w:rPr>
      </w:pPr>
    </w:p>
    <w:tbl>
      <w:tblPr>
        <w:tblW w:w="0" w:type="auto"/>
        <w:jc w:val="left"/>
        <w:tblInd w:w="155" w:type="dxa"/>
        <w:tblLayout w:type="fixed"/>
        <w:tblCellMar>
          <w:top w:w="0" w:type="dxa"/>
          <w:left w:w="0" w:type="dxa"/>
          <w:bottom w:w="0" w:type="dxa"/>
          <w:right w:w="0" w:type="dxa"/>
        </w:tblCellMar>
        <w:tblLook w:val="01E0"/>
      </w:tblPr>
      <w:tblGrid>
        <w:gridCol w:w="5101"/>
        <w:gridCol w:w="1985"/>
        <w:gridCol w:w="1988"/>
      </w:tblGrid>
      <w:tr>
        <w:trPr>
          <w:trHeight w:val="343" w:hRule="exact"/>
        </w:trPr>
        <w:tc>
          <w:tcPr>
            <w:tcW w:w="510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1"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年初已发行普通股股数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146,666,700.00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146,666,700.00</w:t>
            </w:r>
          </w:p>
        </w:tc>
      </w:tr>
      <w:tr>
        <w:trPr>
          <w:trHeight w:val="343" w:hRule="exact"/>
        </w:trPr>
        <w:tc>
          <w:tcPr>
            <w:tcW w:w="5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7" w:right="0"/>
              <w:jc w:val="left"/>
              <w:rPr>
                <w:rFonts w:ascii="宋体" w:hAnsi="宋体" w:cs="宋体" w:eastAsia="宋体" w:hint="default"/>
                <w:sz w:val="18"/>
                <w:szCs w:val="18"/>
              </w:rPr>
            </w:pPr>
            <w:r>
              <w:rPr>
                <w:rFonts w:ascii="宋体" w:hAnsi="宋体" w:cs="宋体" w:eastAsia="宋体" w:hint="default"/>
                <w:sz w:val="18"/>
                <w:szCs w:val="18"/>
              </w:rPr>
              <w:t>年末普通股的加权平均数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146,666,700.00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146,666,700.00</w:t>
            </w:r>
          </w:p>
        </w:tc>
      </w:tr>
    </w:tbl>
    <w:p>
      <w:pPr>
        <w:spacing w:line="240" w:lineRule="auto" w:before="4"/>
        <w:rPr>
          <w:rFonts w:ascii="宋体" w:hAnsi="宋体" w:cs="宋体" w:eastAsia="宋体" w:hint="default"/>
          <w:sz w:val="21"/>
          <w:szCs w:val="21"/>
        </w:rPr>
      </w:pPr>
    </w:p>
    <w:p>
      <w:pPr>
        <w:pStyle w:val="BodyText"/>
        <w:spacing w:line="240" w:lineRule="auto" w:before="44"/>
        <w:ind w:right="0"/>
        <w:jc w:val="left"/>
      </w:pPr>
      <w:r>
        <w:rPr/>
        <w:t>本公司无稀释性潜在普通股。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4"/>
        <w:gridCol w:w="638"/>
        <w:gridCol w:w="1275"/>
        <w:gridCol w:w="852"/>
        <w:gridCol w:w="850"/>
        <w:gridCol w:w="994"/>
        <w:gridCol w:w="991"/>
        <w:gridCol w:w="1419"/>
        <w:gridCol w:w="1488"/>
      </w:tblGrid>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 w:right="41"/>
              <w:jc w:val="left"/>
              <w:rPr>
                <w:rFonts w:ascii="宋体" w:hAnsi="宋体" w:cs="宋体" w:eastAsia="宋体" w:hint="default"/>
                <w:sz w:val="18"/>
                <w:szCs w:val="18"/>
              </w:rPr>
            </w:pPr>
            <w:r>
              <w:rPr>
                <w:rFonts w:ascii="宋体" w:hAnsi="宋体" w:cs="宋体" w:eastAsia="宋体" w:hint="default"/>
                <w:sz w:val="18"/>
                <w:szCs w:val="18"/>
              </w:rPr>
              <w:t>股权取 得时点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2" w:right="59"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0" w:right="38"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3" w:right="74" w:hanging="89"/>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7"/>
              <w:jc w:val="left"/>
              <w:rPr>
                <w:rFonts w:ascii="宋体" w:hAnsi="宋体" w:cs="宋体" w:eastAsia="宋体" w:hint="default"/>
                <w:sz w:val="18"/>
                <w:szCs w:val="18"/>
              </w:rPr>
            </w:pPr>
            <w:r>
              <w:rPr>
                <w:rFonts w:ascii="宋体" w:hAnsi="宋体" w:cs="宋体" w:eastAsia="宋体" w:hint="default"/>
                <w:sz w:val="18"/>
                <w:szCs w:val="18"/>
              </w:rPr>
              <w:t>购买日至期末被 购买方的净利润</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湖北建胜及 其子公司</w:t>
            </w:r>
          </w:p>
        </w:tc>
        <w:tc>
          <w:tcPr>
            <w:tcW w:w="63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12,415,400.00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5"/>
              <w:jc w:val="left"/>
              <w:rPr>
                <w:rFonts w:ascii="宋体" w:hAnsi="宋体" w:cs="宋体" w:eastAsia="宋体" w:hint="default"/>
                <w:sz w:val="18"/>
                <w:szCs w:val="18"/>
              </w:rPr>
            </w:pPr>
            <w:r>
              <w:rPr>
                <w:rFonts w:ascii="宋体" w:hAnsi="宋体" w:cs="宋体" w:eastAsia="宋体" w:hint="default"/>
                <w:sz w:val="18"/>
                <w:szCs w:val="18"/>
              </w:rPr>
              <w:t>完成工商变 更登记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12,305,972.92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2,215,700.12</w:t>
            </w:r>
          </w:p>
        </w:tc>
      </w:tr>
    </w:tbl>
    <w:p>
      <w:pPr>
        <w:pStyle w:val="BodyText"/>
        <w:spacing w:line="240" w:lineRule="auto" w:before="51"/>
        <w:ind w:right="0"/>
        <w:jc w:val="both"/>
      </w:pPr>
      <w:r>
        <w:rPr/>
        <w:t>其他说明：</w:t>
      </w:r>
    </w:p>
    <w:p>
      <w:pPr>
        <w:pStyle w:val="BodyText"/>
        <w:spacing w:line="309" w:lineRule="auto" w:before="117"/>
        <w:ind w:right="1133"/>
        <w:jc w:val="both"/>
      </w:pPr>
      <w:r>
        <w:rPr/>
        <w:t>湖北建胜于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日在湖北省荆门市成立，总部位于湖北省荆门市，主要从事建筑工程安全生产评价、工程技术咨询</w:t>
      </w:r>
      <w:r>
        <w:rPr>
          <w:spacing w:val="-86"/>
        </w:rPr>
        <w:t> </w:t>
      </w:r>
      <w:r>
        <w:rPr>
          <w:spacing w:val="-86"/>
        </w:rPr>
      </w:r>
      <w:r>
        <w:rPr>
          <w:spacing w:val="-2"/>
        </w:rPr>
        <w:t>及指导服务、工程造价信息咨询服务、工程技术专家论证服务、房屋租赁等服务。在被合并之前，湖北建胜的母公司为湖北</w:t>
      </w:r>
      <w:r>
        <w:rPr>
          <w:spacing w:val="-67"/>
        </w:rPr>
        <w:t> </w:t>
      </w:r>
      <w:r>
        <w:rPr>
          <w:spacing w:val="-67"/>
        </w:rPr>
      </w:r>
      <w:r>
        <w:rPr/>
        <w:t>荆门城建集团有限公司，最终控股方为荆门市人民政府国有资产监督管理委员会。</w:t>
      </w:r>
    </w:p>
    <w:p>
      <w:pPr>
        <w:spacing w:after="0" w:line="309" w:lineRule="auto"/>
        <w:jc w:val="both"/>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85"/>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63"/>
        <w:gridCol w:w="3118"/>
        <w:gridCol w:w="3193"/>
      </w:tblGrid>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12,415,400.00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12,415,400.00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12,415,400.00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12,415,400.00</w:t>
            </w:r>
          </w:p>
        </w:tc>
      </w:tr>
    </w:tbl>
    <w:p>
      <w:pPr>
        <w:pStyle w:val="BodyText"/>
        <w:spacing w:line="357" w:lineRule="auto" w:before="51"/>
        <w:ind w:right="5354"/>
        <w:jc w:val="left"/>
      </w:pPr>
      <w:r>
        <w:rPr/>
        <w:t>合并成本公允价值的确定方法、或有对价及其变动的说明： 取得的可辨认净资产的公允价价值由独立第三方评估机构评估确定。</w:t>
      </w:r>
    </w:p>
    <w:p>
      <w:pPr>
        <w:spacing w:line="240" w:lineRule="auto" w:before="1"/>
        <w:rPr>
          <w:rFonts w:ascii="宋体" w:hAnsi="宋体" w:cs="宋体" w:eastAsia="宋体" w:hint="default"/>
          <w:sz w:val="26"/>
          <w:szCs w:val="26"/>
        </w:rPr>
      </w:pPr>
    </w:p>
    <w:p>
      <w:pPr>
        <w:pStyle w:val="BodyText"/>
        <w:spacing w:line="360" w:lineRule="auto"/>
        <w:ind w:right="8594"/>
        <w:jc w:val="left"/>
      </w:pPr>
      <w:r>
        <w:rPr/>
        <w:t>大额商誉形成的主要原因： 无。</w:t>
      </w:r>
    </w:p>
    <w:p>
      <w:pPr>
        <w:pStyle w:val="BodyText"/>
        <w:spacing w:line="357" w:lineRule="auto" w:before="27"/>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5,098,804.91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5,098,804.91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2,161,084.90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2,161,084.90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13,755,316.76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13,755,316.76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7,222,706.96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7,222,706.96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4,643,193.73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4,643,193.73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2,002,510.55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2,002,510.55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366,145.77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366,145.77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120,792.00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120,792.00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501,095.00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501,095.00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777,206.30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777,206.30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2,119,784.81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2,119,784.81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31,038,593.93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31,038,593.93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18,623,193.93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18,623,193.93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12,415,400.00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12,415,400.00</w:t>
            </w:r>
          </w:p>
        </w:tc>
      </w:tr>
    </w:tbl>
    <w:p>
      <w:pPr>
        <w:pStyle w:val="BodyText"/>
        <w:spacing w:line="240" w:lineRule="auto" w:before="51"/>
        <w:ind w:right="0"/>
        <w:jc w:val="left"/>
      </w:pPr>
      <w:r>
        <w:rPr/>
        <w:t>可辨认资产、负债公允价值的确定方法：</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上述可辨认资产存在活跃市场的，根据活跃市场中的报价确定其公允价值；不存在活跃市场，但同类或类似资产存在活跃市</w:t>
      </w:r>
      <w:r>
        <w:rPr>
          <w:spacing w:val="-63"/>
        </w:rPr>
        <w:t> </w:t>
      </w:r>
      <w:r>
        <w:rPr>
          <w:spacing w:val="-63"/>
        </w:rPr>
      </w:r>
      <w:r>
        <w:rPr>
          <w:spacing w:val="-2"/>
        </w:rPr>
        <w:t>场的，参照同类或类似资产的市场价格确定其公允价值；对同类或类似资产也不存在活跃市场的，则采用估值技术确定其公</w:t>
      </w:r>
      <w:r>
        <w:rPr>
          <w:spacing w:val="-63"/>
        </w:rPr>
        <w:t> </w:t>
      </w:r>
      <w:r>
        <w:rPr>
          <w:spacing w:val="-63"/>
        </w:rPr>
      </w:r>
      <w:r>
        <w:rPr/>
        <w:t>允价值。</w:t>
      </w:r>
    </w:p>
    <w:p>
      <w:pPr>
        <w:spacing w:line="240" w:lineRule="auto" w:before="0"/>
        <w:rPr>
          <w:rFonts w:ascii="宋体" w:hAnsi="宋体" w:cs="宋体" w:eastAsia="宋体" w:hint="default"/>
          <w:sz w:val="18"/>
          <w:szCs w:val="18"/>
        </w:rPr>
      </w:pPr>
    </w:p>
    <w:p>
      <w:pPr>
        <w:pStyle w:val="BodyText"/>
        <w:spacing w:line="357" w:lineRule="auto" w:before="134"/>
        <w:ind w:right="5534"/>
        <w:jc w:val="left"/>
      </w:pPr>
      <w:r>
        <w:rPr/>
        <w:t>企业合并中承担的被购买方的或有负债： 上述可辨认负债按照应付金额或应付金额的现值作为其公允价值。</w:t>
      </w:r>
    </w:p>
    <w:p>
      <w:pPr>
        <w:spacing w:line="240" w:lineRule="auto" w:before="1"/>
        <w:rPr>
          <w:rFonts w:ascii="宋体" w:hAnsi="宋体" w:cs="宋体" w:eastAsia="宋体" w:hint="default"/>
          <w:sz w:val="26"/>
          <w:szCs w:val="26"/>
        </w:rPr>
      </w:pPr>
    </w:p>
    <w:p>
      <w:pPr>
        <w:pStyle w:val="BodyText"/>
        <w:spacing w:line="360" w:lineRule="auto"/>
        <w:ind w:right="9854"/>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6"/>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湖北建胜的子公司</w:t>
      </w: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089"/>
        <w:gridCol w:w="1985"/>
      </w:tblGrid>
      <w:tr>
        <w:trPr>
          <w:trHeight w:val="341" w:hRule="exact"/>
        </w:trPr>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股权比例</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p>
        </w:tc>
      </w:tr>
      <w:tr>
        <w:trPr>
          <w:trHeight w:val="344" w:hRule="exact"/>
        </w:trPr>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31" w:right="0"/>
              <w:jc w:val="left"/>
              <w:rPr>
                <w:rFonts w:ascii="宋体" w:hAnsi="宋体" w:cs="宋体" w:eastAsia="宋体" w:hint="default"/>
                <w:sz w:val="18"/>
                <w:szCs w:val="18"/>
              </w:rPr>
            </w:pPr>
            <w:r>
              <w:rPr>
                <w:rFonts w:ascii="宋体" w:hAnsi="宋体" w:cs="宋体" w:eastAsia="宋体" w:hint="default"/>
                <w:sz w:val="18"/>
                <w:szCs w:val="18"/>
              </w:rPr>
              <w:t>精兴建设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5"/>
              <w:jc w:val="right"/>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图强建设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Times New Roman" w:hAnsi="Times New Roman" w:cs="Times New Roman" w:eastAsia="Times New Roman" w:hint="default"/>
                <w:sz w:val="18"/>
                <w:szCs w:val="18"/>
              </w:rPr>
            </w:pPr>
            <w:r>
              <w:rPr>
                <w:rFonts w:ascii="Times New Roman"/>
                <w:sz w:val="18"/>
              </w:rPr>
              <w:t>100</w:t>
            </w:r>
          </w:p>
        </w:tc>
      </w:tr>
      <w:tr>
        <w:trPr>
          <w:trHeight w:val="343" w:hRule="exact"/>
        </w:trPr>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2" w:right="0"/>
              <w:jc w:val="left"/>
              <w:rPr>
                <w:rFonts w:ascii="宋体" w:hAnsi="宋体" w:cs="宋体" w:eastAsia="宋体" w:hint="default"/>
                <w:sz w:val="18"/>
                <w:szCs w:val="18"/>
              </w:rPr>
            </w:pPr>
            <w:r>
              <w:rPr>
                <w:rFonts w:ascii="宋体" w:hAnsi="宋体" w:cs="宋体" w:eastAsia="宋体" w:hint="default"/>
                <w:sz w:val="18"/>
                <w:szCs w:val="18"/>
              </w:rPr>
              <w:t>领航培训</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5"/>
              <w:jc w:val="right"/>
              <w:rPr>
                <w:rFonts w:ascii="Times New Roman" w:hAnsi="Times New Roman" w:cs="Times New Roman" w:eastAsia="Times New Roman" w:hint="default"/>
                <w:sz w:val="18"/>
                <w:szCs w:val="18"/>
              </w:rPr>
            </w:pPr>
            <w:r>
              <w:rPr>
                <w:rFonts w:ascii="Times New Roman"/>
                <w:sz w:val="18"/>
              </w:rPr>
              <w:t>100</w:t>
            </w:r>
          </w:p>
        </w:tc>
      </w:tr>
      <w:tr>
        <w:trPr>
          <w:trHeight w:val="343" w:hRule="exact"/>
        </w:trPr>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1" w:right="0"/>
              <w:jc w:val="left"/>
              <w:rPr>
                <w:rFonts w:ascii="宋体" w:hAnsi="宋体" w:cs="宋体" w:eastAsia="宋体" w:hint="default"/>
                <w:sz w:val="18"/>
                <w:szCs w:val="18"/>
              </w:rPr>
            </w:pPr>
            <w:r>
              <w:rPr>
                <w:rFonts w:ascii="宋体" w:hAnsi="宋体" w:cs="宋体" w:eastAsia="宋体" w:hint="default"/>
                <w:sz w:val="18"/>
                <w:szCs w:val="18"/>
              </w:rPr>
              <w:t>丰天工程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357" w:lineRule="auto" w:before="51"/>
        <w:ind w:right="7334"/>
        <w:jc w:val="left"/>
      </w:pPr>
      <w:r>
        <w:rPr/>
        <w:t>其他说明： 本集团本年没有发生同一控制下企业合并。</w:t>
      </w:r>
    </w:p>
    <w:p>
      <w:pPr>
        <w:spacing w:after="0" w:line="357"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8"/>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4" coordorigin="4763,14" coordsize="24,394">
              <v:shape style="position:absolute;left:4763;top:14;width:24;height:394" coordorigin="4763,14" coordsize="24,394" path="m4763,408l4787,408,4787,14,4763,14,4763,408xe" filled="true" fillcolor="#d2d2d2"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2d2d2" stroked="false">
                <v:path arrowok="t"/>
                <v:fill type="solid"/>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796;top:14;width:22;height:394" coordorigin="4796,14" coordsize="22,394">
              <v:shape style="position:absolute;left:4796;top:14;width:22;height:394" coordorigin="4796,14" coordsize="22,394" path="m4796,408l4818,408,4818,14,4796,14,4796,408xe" filled="true" fillcolor="#d2d2d2" stroked="false">
                <v:path arrowok="t"/>
                <v:fill type="solid"/>
              </v:shape>
            </v:group>
            <v:group style="position:absolute;left:9547;top:14;width:24;height:394" coordorigin="9547,14" coordsize="24,394">
              <v:shape style="position:absolute;left:9547;top:14;width:24;height:394" coordorigin="9547,14" coordsize="24,394" path="m9547,408l9571,408,9571,14,9547,14,9547,408xe" filled="true" fillcolor="#d2d2d2" stroked="false">
                <v:path arrowok="t"/>
                <v:fill type="solid"/>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4"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right="8594"/>
        <w:jc w:val="left"/>
      </w:pPr>
      <w:r>
        <w:rPr/>
        <w:t>或有对价及其变动的说明： 无。</w:t>
      </w:r>
    </w:p>
    <w:p>
      <w:pPr>
        <w:pStyle w:val="BodyText"/>
        <w:spacing w:line="240" w:lineRule="auto" w:before="29"/>
        <w:ind w:right="0"/>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3169;top:15;width:24;height:395" coordorigin="3169,15" coordsize="24,395">
              <v:shape style="position:absolute;left:3169;top:15;width:24;height:395" coordorigin="3169,15" coordsize="24,395" path="m3169,409l3193,409,3193,15,3169,15,3169,409xe" filled="true" fillcolor="#d2d2d2" stroked="false">
                <v:path arrowok="t"/>
                <v:fill type="solid"/>
              </v:shape>
            </v:group>
            <v:group style="position:absolute;left:12;top:15;width:22;height:395" coordorigin="12,15" coordsize="22,395">
              <v:shape style="position:absolute;left:12;top:15;width:22;height:395" coordorigin="12,15" coordsize="22,395" path="m12,409l34,409,34,15,12,15,12,409xe" filled="true" fillcolor="#d2d2d2" stroked="false">
                <v:path arrowok="t"/>
                <v:fill type="solid"/>
              </v:shape>
            </v:group>
            <v:group style="position:absolute;left:34;top:15;width:3136;height:395" coordorigin="34,15" coordsize="3136,395">
              <v:shape style="position:absolute;left:34;top:15;width:3136;height:395" coordorigin="34,15" coordsize="3136,395" path="m34,409l3169,409,3169,15,34,15,34,409xe" filled="true" fillcolor="#d2d2d2" stroked="false">
                <v:path arrowok="t"/>
                <v:fill type="solid"/>
              </v:shape>
            </v:group>
            <v:group style="position:absolute;left:3203;top:15;width:22;height:395" coordorigin="3203,15" coordsize="22,395">
              <v:shape style="position:absolute;left:3203;top:15;width:22;height:395" coordorigin="3203,15" coordsize="22,395" path="m3203,409l3224,409,3224,15,3203,15,3203,409xe" filled="true" fillcolor="#d2d2d2" stroked="false">
                <v:path arrowok="t"/>
                <v:fill type="solid"/>
              </v:shape>
            </v:group>
            <v:group style="position:absolute;left:9549;top:15;width:24;height:395" coordorigin="9549,15" coordsize="24,395">
              <v:shape style="position:absolute;left:9549;top:15;width:24;height:395" coordorigin="9549,15" coordsize="24,395" path="m9549,409l9573,409,9573,15,9549,15,9549,409xe" filled="true" fillcolor="#d2d2d2" stroked="false">
                <v:path arrowok="t"/>
                <v:fill type="solid"/>
              </v:shape>
            </v:group>
            <v:group style="position:absolute;left:3224;top:15;width:6325;height:395" coordorigin="3224,15" coordsize="6325,395">
              <v:shape style="position:absolute;left:3224;top:15;width:6325;height:395" coordorigin="3224,15" coordsize="6325,395" path="m3224,409l9549,409,9549,15,3224,15,3224,409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3169;top:418;width:24;height:392" coordorigin="3169,418" coordsize="24,392">
              <v:shape style="position:absolute;left:3169;top:418;width:24;height:392" coordorigin="3169,418" coordsize="24,392" path="m3169,809l3193,809,3193,418,3169,418,3169,809xe" filled="true" fillcolor="#d2d2d2" stroked="false">
                <v:path arrowok="t"/>
                <v:fill type="solid"/>
              </v:shape>
            </v:group>
            <v:group style="position:absolute;left:12;top:418;width:22;height:392" coordorigin="12,418" coordsize="22,392">
              <v:shape style="position:absolute;left:12;top:418;width:22;height:392" coordorigin="12,418" coordsize="22,392" path="m12,809l34,809,34,418,12,418,12,809xe" filled="true" fillcolor="#d2d2d2" stroked="false">
                <v:path arrowok="t"/>
                <v:fill type="solid"/>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6359;top:418;width:24;height:392" coordorigin="6359,418" coordsize="24,392">
              <v:shape style="position:absolute;left:6359;top:418;width:24;height:392" coordorigin="6359,418" coordsize="24,392" path="m6359,809l6383,809,6383,418,6359,418,6359,809xe" filled="true" fillcolor="#d2d2d2" stroked="false">
                <v:path arrowok="t"/>
                <v:fill type="solid"/>
              </v:shape>
            </v:group>
            <v:group style="position:absolute;left:3203;top:418;width:22;height:392" coordorigin="3203,418" coordsize="22,392">
              <v:shape style="position:absolute;left:3203;top:418;width:22;height:392" coordorigin="3203,418" coordsize="22,392" path="m3203,809l3224,809,3224,418,3203,418,3203,809xe" filled="true" fillcolor="#d2d2d2" stroked="false">
                <v:path arrowok="t"/>
                <v:fill type="solid"/>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9549;top:418;width:24;height:392" coordorigin="9549,418" coordsize="24,392">
              <v:shape style="position:absolute;left:9549;top:418;width:24;height:392" coordorigin="9549,418" coordsize="24,392" path="m9549,809l9573,809,9573,418,9549,418,9549,809xe" filled="true" fillcolor="#d2d2d2" stroked="false">
                <v:path arrowok="t"/>
                <v:fill type="solid"/>
              </v:shape>
            </v:group>
            <v:group style="position:absolute;left:6393;top:418;width:22;height:392" coordorigin="6393,418" coordsize="22,392">
              <v:shape style="position:absolute;left:6393;top:418;width:22;height:392" coordorigin="6393,418" coordsize="22,392" path="m6393,809l6414,809,6414,418,6393,418,6393,809xe" filled="true" fillcolor="#d2d2d2" stroked="false">
                <v:path arrowok="t"/>
                <v:fill type="solid"/>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001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001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001pt" strokecolor="#000000">
                <v:path arrowok="t"/>
              </v:shape>
            </v:group>
            <v:group style="position:absolute;left:5;top:5;width:2;height:815" coordorigin="5,5" coordsize="2,815">
              <v:shape style="position:absolute;left:5;top:5;width:2;height:815" coordorigin="5,5" coordsize="0,815" path="m5,5l5,819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1pt" strokecolor="#000000">
                <v:path arrowok="t"/>
              </v:shape>
            </v:group>
            <v:group style="position:absolute;left:3195;top:5;width:2;height:815" coordorigin="3195,5" coordsize="2,815">
              <v:shape style="position:absolute;left:3195;top:5;width:2;height:815" coordorigin="3195,5" coordsize="0,815" path="m3195,5l3195,819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1pt" strokecolor="#000000">
                <v:path arrowok="t"/>
              </v:shape>
            </v:group>
            <v:group style="position:absolute;left:6385;top:409;width:2;height:411" coordorigin="6385,409" coordsize="2,411">
              <v:shape style="position:absolute;left:6385;top:409;width:2;height:411" coordorigin="6385,409" coordsize="0,411" path="m6385,409l6385,819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1pt" strokecolor="#000000">
                <v:path arrowok="t"/>
              </v:shape>
            </v:group>
            <v:group style="position:absolute;left:9578;top:5;width:2;height:815" coordorigin="9578,5" coordsize="2,815">
              <v:shape style="position:absolute;left:9578;top:5;width:2;height:815" coordorigin="9578,5" coordsize="0,815" path="m9578,5l9578,819e" filled="false" stroked="true" strokeweight=".47998pt" strokecolor="#000000">
                <v:path arrowok="t"/>
              </v:shape>
              <v:shape style="position:absolute;left:3195;top:413;width:3190;height:401"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1"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7"/>
        <w:ind w:right="7514"/>
        <w:jc w:val="left"/>
      </w:pPr>
      <w:r>
        <w:rPr/>
        <w:t>企业合并中承担的被合并方的或有负债： 无。</w:t>
      </w:r>
    </w:p>
    <w:p>
      <w:pPr>
        <w:pStyle w:val="BodyText"/>
        <w:spacing w:line="357" w:lineRule="auto" w:before="27"/>
        <w:ind w:right="953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pStyle w:val="BodyText"/>
        <w:spacing w:line="240" w:lineRule="auto" w:before="59"/>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3914"/>
        <w:jc w:val="left"/>
      </w:pPr>
      <w:r>
        <w:rPr/>
        <w:t>说明其他原因导致的合并范围变动（如，新设子公司、清算子公司等）及其相关情况： 本集团本年没有因其他原因导致合并范围发生变化的情况</w:t>
      </w:r>
      <w:r>
        <w:rPr>
          <w:spacing w:val="-17"/>
        </w:rPr>
        <w:t> </w:t>
      </w:r>
      <w:r>
        <w:rPr/>
        <w:t>。</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九、在其他主体中的权益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039"/>
        <w:gridCol w:w="853"/>
        <w:gridCol w:w="3684"/>
        <w:gridCol w:w="853"/>
        <w:gridCol w:w="708"/>
        <w:gridCol w:w="10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039"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3684"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迪赛恩</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信息工程监理、咨询；建筑工程、环艺设计与 咨询</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艾科筑业</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住宅产业化和可再生资源与建筑一体化的研究</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市政中心</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市政建设及规划咨询</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无偿划转</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北京艾科城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工程设计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深圳艾科城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建筑工程设计与咨询</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建研检测</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建筑工程检测、监测、测量、建筑材料与部品 检测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常州城建艾科</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绿色城市与绿色建筑研发服务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上海爱轲</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生态科技领域内的技术开发、技术咨询、技术 服务、技术转让；房地产经纪，物业管理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深圳玖伊</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绿色建筑与园区运营管理；文化艺术交流策划</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雄安玖壹</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保定市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保定市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生态环境技术开发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绿研检验</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保定市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保定市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工程检测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建信筑和</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软件与信息技术服务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湖北建胜</w:t>
            </w:r>
            <w:r>
              <w:rPr>
                <w:rFonts w:ascii="Times New Roman" w:hAnsi="Times New Roman" w:cs="Times New Roman" w:eastAsia="Times New Roman" w:hint="default"/>
                <w:sz w:val="18"/>
                <w:szCs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荆门市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荆门市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8"/>
              <w:jc w:val="both"/>
              <w:rPr>
                <w:rFonts w:ascii="宋体" w:hAnsi="宋体" w:cs="宋体" w:eastAsia="宋体" w:hint="default"/>
                <w:sz w:val="18"/>
                <w:szCs w:val="18"/>
              </w:rPr>
            </w:pPr>
            <w:r>
              <w:rPr>
                <w:rFonts w:ascii="宋体" w:hAnsi="宋体" w:cs="宋体" w:eastAsia="宋体" w:hint="default"/>
                <w:sz w:val="18"/>
                <w:szCs w:val="18"/>
              </w:rPr>
              <w:t>建筑工程安全生产评价，工程技术咨询及指导 服务，工程造价信息咨询服务，工程技术专家 论证服务，房屋租赁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精兴建设</w:t>
            </w:r>
            <w:r>
              <w:rPr>
                <w:rFonts w:ascii="Times New Roman" w:hAnsi="Times New Roman" w:cs="Times New Roman" w:eastAsia="Times New Roman" w:hint="default"/>
                <w:sz w:val="18"/>
                <w:szCs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荆门市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荆门市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建设工程检测，地基与基础工程检测，主体结 构工程现场检测等</w:t>
            </w: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40.00%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图强建设</w:t>
            </w:r>
            <w:r>
              <w:rPr>
                <w:rFonts w:ascii="Times New Roman" w:hAnsi="Times New Roman" w:cs="Times New Roman" w:eastAsia="Times New Roman" w:hint="default"/>
                <w:sz w:val="18"/>
                <w:szCs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一类及一类以下建筑工程施工图设计文件审查</w:t>
            </w: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center"/>
              <w:rPr>
                <w:rFonts w:ascii="Times New Roman" w:hAnsi="Times New Roman" w:cs="Times New Roman" w:eastAsia="Times New Roman" w:hint="default"/>
                <w:sz w:val="18"/>
                <w:szCs w:val="18"/>
              </w:rPr>
            </w:pPr>
            <w:r>
              <w:rPr>
                <w:rFonts w:ascii="Times New Roman"/>
                <w:sz w:val="18"/>
              </w:rPr>
              <w:t>40.00%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领航培训</w:t>
            </w:r>
            <w:r>
              <w:rPr>
                <w:rFonts w:ascii="Times New Roman" w:hAnsi="Times New Roman" w:cs="Times New Roman" w:eastAsia="Times New Roman" w:hint="default"/>
                <w:sz w:val="18"/>
                <w:szCs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荆门市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荆门市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建筑行业从业人员职业技能培训</w:t>
            </w: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 w:right="0"/>
              <w:jc w:val="center"/>
              <w:rPr>
                <w:rFonts w:ascii="Times New Roman" w:hAnsi="Times New Roman" w:cs="Times New Roman" w:eastAsia="Times New Roman" w:hint="default"/>
                <w:sz w:val="18"/>
                <w:szCs w:val="18"/>
              </w:rPr>
            </w:pPr>
            <w:r>
              <w:rPr>
                <w:rFonts w:ascii="Times New Roman"/>
                <w:sz w:val="18"/>
              </w:rPr>
              <w:t>40.00%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丰天工程</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荆门市</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荆门市</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工程项目招标代理服务，工程项目咨询、代理 服务，政府采购代理服务，不动产测绘等</w:t>
            </w: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40.00%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360" w:lineRule="auto" w:before="51"/>
        <w:ind w:right="6974"/>
        <w:jc w:val="left"/>
      </w:pPr>
      <w:r>
        <w:rPr/>
        <w:t>在子公司的持股比例不同于表决权比例的说明： 无。</w:t>
      </w:r>
    </w:p>
    <w:p>
      <w:pPr>
        <w:pStyle w:val="BodyText"/>
        <w:spacing w:line="240" w:lineRule="auto" w:before="27"/>
        <w:ind w:right="0"/>
        <w:jc w:val="left"/>
      </w:pPr>
      <w:r>
        <w:rPr/>
        <w:t>持有半数或以下表决权但仍控制被投资单位、以及持有半数以上表决权但不控制被投资单位的依据：</w:t>
      </w:r>
    </w:p>
    <w:p>
      <w:pPr>
        <w:pStyle w:val="BodyText"/>
        <w:spacing w:line="300" w:lineRule="auto" w:before="115"/>
        <w:ind w:right="1119"/>
        <w:jc w:val="left"/>
      </w:pPr>
      <w:r>
        <w:rPr>
          <w:spacing w:val="-1"/>
        </w:rPr>
        <w:t>截至本报告期末，本集团所持湖北建胜及其子公司的股权比例为</w:t>
      </w:r>
      <w:r>
        <w:rPr>
          <w:rFonts w:ascii="Times New Roman" w:hAnsi="Times New Roman" w:cs="Times New Roman" w:eastAsia="Times New Roman" w:hint="default"/>
          <w:spacing w:val="-1"/>
        </w:rPr>
        <w:t>40%</w:t>
      </w:r>
      <w:r>
        <w:rPr>
          <w:spacing w:val="-1"/>
        </w:rPr>
        <w:t>，根据湖北建胜公司章程中关于表决权的约定，本集团</w:t>
      </w:r>
      <w:r>
        <w:rPr>
          <w:spacing w:val="-88"/>
        </w:rPr>
        <w:t> </w:t>
      </w:r>
      <w:r>
        <w:rPr>
          <w:spacing w:val="-88"/>
        </w:rPr>
      </w:r>
      <w:r>
        <w:rPr/>
        <w:t>可以控制湖北建胜及其子公司。</w:t>
      </w:r>
    </w:p>
    <w:p>
      <w:pPr>
        <w:spacing w:after="0" w:line="30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6434"/>
        <w:jc w:val="left"/>
      </w:pPr>
      <w:r>
        <w:rPr/>
        <w:t>对于纳入合并范围的重要的结构化主体，控制的依据： 无。</w:t>
      </w:r>
    </w:p>
    <w:p>
      <w:pPr>
        <w:pStyle w:val="BodyText"/>
        <w:spacing w:line="357" w:lineRule="auto" w:before="27"/>
        <w:ind w:right="7694"/>
        <w:jc w:val="left"/>
      </w:pPr>
      <w:r>
        <w:rPr/>
        <w:t>确定公司是代理人还是委托人的依据： 无。</w:t>
      </w:r>
    </w:p>
    <w:p>
      <w:pPr>
        <w:pStyle w:val="BodyText"/>
        <w:spacing w:line="357" w:lineRule="auto" w:before="29"/>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5"/>
      </w:tblGrid>
      <w:tr>
        <w:trPr>
          <w:trHeight w:val="76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湖北建胜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1,329,420.07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19,952,614.00</w:t>
            </w:r>
          </w:p>
        </w:tc>
      </w:tr>
    </w:tbl>
    <w:p>
      <w:pPr>
        <w:pStyle w:val="BodyText"/>
        <w:spacing w:line="357" w:lineRule="auto" w:before="51"/>
        <w:ind w:right="6434"/>
        <w:jc w:val="left"/>
      </w:pPr>
      <w:r>
        <w:rPr/>
        <w:t>子公司少数股东的持股比例不同于表决权比例的说明： 无。</w:t>
      </w:r>
    </w:p>
    <w:p>
      <w:pPr>
        <w:pStyle w:val="BodyText"/>
        <w:spacing w:line="357" w:lineRule="auto" w:before="29"/>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838"/>
        <w:gridCol w:w="634"/>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4" w:right="92"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4" w:right="50" w:hanging="269"/>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02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1"/>
              <w:jc w:val="both"/>
              <w:rPr>
                <w:rFonts w:ascii="宋体" w:hAnsi="宋体" w:cs="宋体" w:eastAsia="宋体" w:hint="default"/>
                <w:sz w:val="18"/>
                <w:szCs w:val="18"/>
              </w:rPr>
            </w:pPr>
            <w:r>
              <w:rPr>
                <w:rFonts w:ascii="宋体" w:hAnsi="宋体" w:cs="宋体" w:eastAsia="宋体" w:hint="default"/>
                <w:sz w:val="18"/>
                <w:szCs w:val="18"/>
              </w:rPr>
              <w:t>湖北建 胜及其 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16,987,0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87.30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21,714,9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15.46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38,702,0</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02.76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5,081,56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366,145.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5,447,70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8.71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349"/>
        <w:gridCol w:w="1136"/>
        <w:gridCol w:w="1133"/>
        <w:gridCol w:w="1136"/>
        <w:gridCol w:w="850"/>
        <w:gridCol w:w="778"/>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7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7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2" w:right="108"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111"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5"/>
              <w:jc w:val="left"/>
              <w:rPr>
                <w:rFonts w:ascii="宋体" w:hAnsi="宋体" w:cs="宋体" w:eastAsia="宋体" w:hint="default"/>
                <w:sz w:val="18"/>
                <w:szCs w:val="18"/>
              </w:rPr>
            </w:pPr>
            <w:r>
              <w:rPr>
                <w:rFonts w:ascii="宋体" w:hAnsi="宋体" w:cs="宋体" w:eastAsia="宋体" w:hint="default"/>
                <w:sz w:val="18"/>
                <w:szCs w:val="18"/>
              </w:rPr>
              <w:t>湖北建胜及 其子公司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12,305,972.92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2,215,700.12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2,215,700.12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3,729,297.43</w:t>
            </w: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854"/>
        <w:jc w:val="left"/>
      </w:pPr>
      <w:r>
        <w:rPr/>
        <w:t>无。 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本年本集团未发生在子公司的所有者权益份额发生变化且仍控制子公司的交易。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4" coordorigin="4763,14" coordsize="24,394">
              <v:shape style="position:absolute;left:4763;top:14;width:24;height:394" coordorigin="4763,14" coordsize="24,394" path="m4763,408l4787,408,4787,14,4763,14,4763,408xe" filled="true" fillcolor="#d2d2d2"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2d2d2" stroked="false">
                <v:path arrowok="t"/>
                <v:fill type="solid"/>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796;top:14;width:22;height:394" coordorigin="4796,14" coordsize="22,394">
              <v:shape style="position:absolute;left:4796;top:14;width:22;height:394" coordorigin="4796,14" coordsize="22,394" path="m4796,408l4818,408,4818,14,4796,14,4796,408xe" filled="true" fillcolor="#d2d2d2" stroked="false">
                <v:path arrowok="t"/>
                <v:fill type="solid"/>
              </v:shape>
            </v:group>
            <v:group style="position:absolute;left:9547;top:14;width:24;height:394" coordorigin="9547,14" coordsize="24,394">
              <v:shape style="position:absolute;left:9547;top:14;width:24;height:394" coordorigin="9547,14" coordsize="24,394" path="m9547,408l9571,408,9571,14,9547,14,9547,408xe" filled="true" fillcolor="#d2d2d2" stroked="false">
                <v:path arrowok="t"/>
                <v:fill type="solid"/>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357" w:lineRule="auto" w:before="47"/>
        <w:ind w:right="1003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4"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51"/>
        <w:ind w:right="5894"/>
        <w:jc w:val="left"/>
      </w:pPr>
      <w:r>
        <w:rPr/>
        <w:t>在合营企业或联营企业的持股比例不同于表决权比例的说明： 无。</w:t>
      </w:r>
    </w:p>
    <w:p>
      <w:pPr>
        <w:pStyle w:val="BodyText"/>
        <w:spacing w:line="340" w:lineRule="auto" w:before="29"/>
        <w:ind w:right="3348"/>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无。</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2"/>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51"/>
        <w:ind w:right="10034"/>
        <w:jc w:val="left"/>
      </w:pPr>
      <w:r>
        <w:rPr/>
        <w:t>其他说明 无。</w:t>
      </w:r>
    </w:p>
    <w:p>
      <w:pPr>
        <w:spacing w:after="0" w:line="357"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2"/>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360" w:lineRule="auto" w:before="51"/>
        <w:ind w:right="10034"/>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3,737,477.72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3,326,501.86</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-589,024.14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-558,150.57</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-589,024.14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-558,150.57</w:t>
            </w:r>
          </w:p>
        </w:tc>
      </w:tr>
    </w:tbl>
    <w:p>
      <w:pPr>
        <w:pStyle w:val="BodyText"/>
        <w:spacing w:line="357" w:lineRule="auto" w:before="51"/>
        <w:ind w:right="10034"/>
        <w:jc w:val="left"/>
      </w:pPr>
      <w:r>
        <w:rPr/>
        <w:t>其他说明 无。</w:t>
      </w:r>
    </w:p>
    <w:p>
      <w:pPr>
        <w:spacing w:line="240" w:lineRule="auto" w:before="4"/>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4"/>
        <w:jc w:val="left"/>
      </w:pPr>
      <w:r>
        <w:rPr/>
        <w:t>在共同经营中的持股比例或享有的份额不同于表决权比例的说明： 无。</w:t>
      </w:r>
    </w:p>
    <w:p>
      <w:pPr>
        <w:pStyle w:val="BodyText"/>
        <w:spacing w:line="357" w:lineRule="auto" w:before="27"/>
        <w:ind w:right="6794"/>
        <w:jc w:val="left"/>
      </w:pPr>
      <w:r>
        <w:rPr/>
        <w:t>共同经营为单独主体的，分类为共同经营的依据： 无。</w:t>
      </w:r>
    </w:p>
    <w:p>
      <w:pPr>
        <w:pStyle w:val="BodyText"/>
        <w:spacing w:line="357" w:lineRule="auto" w:before="29"/>
        <w:ind w:right="10034"/>
        <w:jc w:val="left"/>
      </w:pPr>
      <w:r>
        <w:rPr/>
        <w:t>其他说明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6614"/>
        <w:jc w:val="left"/>
      </w:pPr>
      <w:r>
        <w:rPr/>
        <w:t>未纳入合并财务报表范围的结构化主体的相关说明： 无。</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4"/>
        </w:rPr>
        <w:t>本公司的主要金融工具包括应收款项、应付款项等，各项金融工具的详细情况说明见相关项目。与这些金融工具有关的风险，</w:t>
      </w:r>
      <w:r>
        <w:rPr>
          <w:spacing w:val="-44"/>
        </w:rPr>
        <w:t> </w:t>
      </w:r>
      <w:r>
        <w:rPr>
          <w:spacing w:val="-44"/>
        </w:rPr>
      </w:r>
      <w:r>
        <w:rPr>
          <w:spacing w:val="-2"/>
        </w:rPr>
        <w:t>以及本公司为降低这些风险所采取的风险管理政策如下所述。本公司管理层对这些风险敞口进行管理和监控以确保将上述风</w:t>
      </w:r>
      <w:r>
        <w:rPr>
          <w:spacing w:val="-64"/>
        </w:rPr>
        <w:t> </w:t>
      </w:r>
      <w:r>
        <w:rPr>
          <w:spacing w:val="-64"/>
        </w:rPr>
      </w:r>
      <w:r>
        <w:rPr/>
        <w:t>险控制在限定的范围之内。</w:t>
      </w:r>
    </w:p>
    <w:p>
      <w:pPr>
        <w:spacing w:line="240" w:lineRule="auto" w:before="4"/>
        <w:rPr>
          <w:rFonts w:ascii="宋体" w:hAnsi="宋体" w:cs="宋体" w:eastAsia="宋体" w:hint="default"/>
          <w:sz w:val="25"/>
          <w:szCs w:val="25"/>
        </w:rPr>
      </w:pPr>
    </w:p>
    <w:p>
      <w:pPr>
        <w:pStyle w:val="BodyText"/>
        <w:spacing w:line="240" w:lineRule="auto"/>
        <w:ind w:right="0"/>
        <w:jc w:val="left"/>
      </w:pPr>
      <w:r>
        <w:rPr/>
        <w:t>本集团在日常活动中面临各种金融工具的风险，主要包括：</w:t>
      </w:r>
    </w:p>
    <w:p>
      <w:pPr>
        <w:pStyle w:val="BodyText"/>
        <w:spacing w:line="240" w:lineRule="auto" w:before="76"/>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信用风险</w:t>
      </w:r>
    </w:p>
    <w:p>
      <w:pPr>
        <w:pStyle w:val="BodyText"/>
        <w:spacing w:line="240" w:lineRule="auto" w:before="63"/>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流动性风险</w:t>
      </w:r>
    </w:p>
    <w:p>
      <w:pPr>
        <w:pStyle w:val="BodyText"/>
        <w:spacing w:line="240" w:lineRule="auto" w:before="63"/>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利率风险</w:t>
      </w:r>
    </w:p>
    <w:p>
      <w:pPr>
        <w:pStyle w:val="BodyText"/>
        <w:spacing w:line="240" w:lineRule="auto" w:before="63"/>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汇率风险</w:t>
      </w:r>
    </w:p>
    <w:p>
      <w:pPr>
        <w:pStyle w:val="BodyText"/>
        <w:spacing w:line="240" w:lineRule="auto" w:before="63"/>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其他价格风险</w:t>
      </w:r>
    </w:p>
    <w:p>
      <w:pPr>
        <w:spacing w:line="240" w:lineRule="auto" w:before="0"/>
        <w:rPr>
          <w:rFonts w:ascii="宋体" w:hAnsi="宋体" w:cs="宋体" w:eastAsia="宋体" w:hint="default"/>
          <w:sz w:val="18"/>
          <w:szCs w:val="18"/>
        </w:rPr>
      </w:pPr>
    </w:p>
    <w:p>
      <w:pPr>
        <w:pStyle w:val="BodyText"/>
        <w:spacing w:line="316" w:lineRule="auto" w:before="139"/>
        <w:ind w:right="0"/>
        <w:jc w:val="left"/>
      </w:pPr>
      <w:r>
        <w:rPr>
          <w:spacing w:val="-2"/>
        </w:rPr>
        <w:t>下文主要论述上述风险敞口及其形成原因以及在本年发生的变化、风险管理目标、政策和程序以及计量风险的方法及其在本</w:t>
      </w:r>
      <w:r>
        <w:rPr>
          <w:spacing w:val="-64"/>
        </w:rPr>
        <w:t> </w:t>
      </w:r>
      <w:r>
        <w:rPr>
          <w:spacing w:val="-64"/>
        </w:rPr>
      </w:r>
      <w:r>
        <w:rPr/>
        <w:t>年发生的变化等。</w:t>
      </w:r>
    </w:p>
    <w:p>
      <w:pPr>
        <w:spacing w:line="240" w:lineRule="auto" w:before="4"/>
        <w:rPr>
          <w:rFonts w:ascii="宋体" w:hAnsi="宋体" w:cs="宋体" w:eastAsia="宋体" w:hint="default"/>
          <w:sz w:val="25"/>
          <w:szCs w:val="25"/>
        </w:rPr>
      </w:pPr>
    </w:p>
    <w:p>
      <w:pPr>
        <w:pStyle w:val="BodyText"/>
        <w:spacing w:line="316" w:lineRule="auto"/>
        <w:ind w:right="1130"/>
        <w:jc w:val="both"/>
      </w:pPr>
      <w:r>
        <w:rPr>
          <w:spacing w:val="-2"/>
        </w:rPr>
        <w:t>本集团从事风险管理的目标是在风险和收益之间取得适当的平衡，力求降低金融风险对本集团财务业绩的不利影响。基于该</w:t>
      </w:r>
      <w:r>
        <w:rPr>
          <w:spacing w:val="-64"/>
        </w:rPr>
        <w:t> </w:t>
      </w:r>
      <w:r>
        <w:rPr>
          <w:spacing w:val="-64"/>
        </w:rPr>
      </w:r>
      <w:r>
        <w:rPr>
          <w:spacing w:val="-2"/>
        </w:rPr>
        <w:t>风险管理目标，本集团已制定风险管理政策以辨别和分析本集团所面临的风险，设定适当的风险可接受水平并设计相应的内</w:t>
      </w:r>
      <w:r>
        <w:rPr>
          <w:spacing w:val="-64"/>
        </w:rPr>
        <w:t> </w:t>
      </w:r>
      <w:r>
        <w:rPr>
          <w:spacing w:val="-64"/>
        </w:rPr>
      </w:r>
      <w:r>
        <w:rPr>
          <w:spacing w:val="-2"/>
        </w:rPr>
        <w:t>部控制程序，以监控本集团的风险水平。本集团会定期审阅这些风险管理政策及有关内部控制系统，以适应市场情况或本集</w:t>
      </w:r>
    </w:p>
    <w:p>
      <w:pPr>
        <w:spacing w:after="0" w:line="316"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团经营活动的改变。</w:t>
      </w:r>
    </w:p>
    <w:p>
      <w:pPr>
        <w:pStyle w:val="BodyText"/>
        <w:spacing w:line="240" w:lineRule="auto" w:before="77"/>
        <w:ind w:right="0"/>
        <w:jc w:val="both"/>
      </w:pPr>
      <w:r>
        <w:rPr>
          <w:rFonts w:ascii="Times New Roman" w:hAnsi="Times New Roman" w:cs="Times New Roman" w:eastAsia="Times New Roman" w:hint="default"/>
        </w:rPr>
        <w:t>1</w:t>
      </w:r>
      <w:r>
        <w:rPr/>
        <w:t>、</w:t>
      </w:r>
      <w:r>
        <w:rPr>
          <w:spacing w:val="59"/>
        </w:rPr>
        <w:t> </w:t>
      </w:r>
      <w:r>
        <w:rPr/>
        <w:t>信用风险</w:t>
      </w:r>
    </w:p>
    <w:p>
      <w:pPr>
        <w:spacing w:line="240" w:lineRule="auto" w:before="0"/>
        <w:rPr>
          <w:rFonts w:ascii="宋体" w:hAnsi="宋体" w:cs="宋体" w:eastAsia="宋体" w:hint="default"/>
          <w:sz w:val="18"/>
          <w:szCs w:val="18"/>
        </w:rPr>
      </w:pPr>
    </w:p>
    <w:p>
      <w:pPr>
        <w:pStyle w:val="BodyText"/>
        <w:spacing w:line="316" w:lineRule="auto" w:before="139"/>
        <w:ind w:right="1131"/>
        <w:jc w:val="both"/>
      </w:pPr>
      <w:r>
        <w:rPr>
          <w:spacing w:val="-2"/>
        </w:rPr>
        <w:t>信用风险，是指金融工具的一方不能履行义务，造成另一方发生财务损失的风险。本集团的信用风险主要来自货币资金、应</w:t>
      </w:r>
      <w:r>
        <w:rPr>
          <w:spacing w:val="-64"/>
        </w:rPr>
        <w:t> </w:t>
      </w:r>
      <w:r>
        <w:rPr>
          <w:spacing w:val="-64"/>
        </w:rPr>
      </w:r>
      <w:r>
        <w:rPr/>
        <w:t>收款项、交易性金融资产等。管理层会持续监控这些信用风险的敞口。</w:t>
      </w:r>
    </w:p>
    <w:p>
      <w:pPr>
        <w:spacing w:line="240" w:lineRule="auto" w:before="4"/>
        <w:rPr>
          <w:rFonts w:ascii="宋体" w:hAnsi="宋体" w:cs="宋体" w:eastAsia="宋体" w:hint="default"/>
          <w:sz w:val="25"/>
          <w:szCs w:val="25"/>
        </w:rPr>
      </w:pPr>
    </w:p>
    <w:p>
      <w:pPr>
        <w:pStyle w:val="BodyText"/>
        <w:spacing w:line="316" w:lineRule="auto"/>
        <w:ind w:right="1133"/>
        <w:jc w:val="both"/>
      </w:pPr>
      <w:r>
        <w:rPr>
          <w:spacing w:val="-2"/>
        </w:rPr>
        <w:t>本集团除现金以外的货币资金主要存放于信用良好的金融机构，管理层认为其不存在重大的信用风险，预期不会因为对方违</w:t>
      </w:r>
      <w:r>
        <w:rPr>
          <w:spacing w:val="-64"/>
        </w:rPr>
        <w:t> </w:t>
      </w:r>
      <w:r>
        <w:rPr>
          <w:spacing w:val="-64"/>
        </w:rPr>
      </w:r>
      <w:r>
        <w:rPr/>
        <w:t>约而给本集团造成损失。</w:t>
      </w:r>
    </w:p>
    <w:p>
      <w:pPr>
        <w:spacing w:line="240" w:lineRule="auto" w:before="4"/>
        <w:rPr>
          <w:rFonts w:ascii="宋体" w:hAnsi="宋体" w:cs="宋体" w:eastAsia="宋体" w:hint="default"/>
          <w:sz w:val="25"/>
          <w:szCs w:val="25"/>
        </w:rPr>
      </w:pPr>
    </w:p>
    <w:p>
      <w:pPr>
        <w:pStyle w:val="BodyText"/>
        <w:spacing w:line="309" w:lineRule="auto"/>
        <w:ind w:right="1133"/>
        <w:jc w:val="both"/>
      </w:pPr>
      <w:r>
        <w:rPr/>
        <w:t>本集团所承受的最大信用风险敞口为资产负债表中每项金融资产 </w:t>
      </w:r>
      <w:r>
        <w:rPr>
          <w:rFonts w:ascii="Times New Roman" w:hAnsi="Times New Roman" w:cs="Times New Roman" w:eastAsia="Times New Roman" w:hint="default"/>
        </w:rPr>
        <w:t>(</w:t>
      </w:r>
      <w:r>
        <w:rPr/>
        <w:t>包括交易性金融资产</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t>的账面金额。除附注十三所载本集 </w:t>
      </w:r>
      <w:r>
        <w:rPr>
          <w:spacing w:val="-2"/>
        </w:rPr>
        <w:t>团作出的财务担保外，本集团没有提供任何其他可能令本集团承受信用风险的担保。于资产负债表日就上述财务担保承受的</w:t>
      </w:r>
      <w:r>
        <w:rPr>
          <w:spacing w:val="-64"/>
        </w:rPr>
        <w:t> </w:t>
      </w:r>
      <w:r>
        <w:rPr>
          <w:spacing w:val="-64"/>
        </w:rPr>
      </w:r>
      <w:r>
        <w:rPr/>
        <w:t>最大信用风险敞口已在承诺及或者有事项中披露。</w:t>
      </w:r>
    </w:p>
    <w:p>
      <w:pPr>
        <w:spacing w:line="240" w:lineRule="auto" w:before="10"/>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30"/>
        </w:rPr>
        <w:t> </w:t>
      </w:r>
      <w:r>
        <w:rPr/>
        <w:t>应收账款</w:t>
      </w:r>
    </w:p>
    <w:p>
      <w:pPr>
        <w:spacing w:line="240" w:lineRule="auto" w:before="0"/>
        <w:rPr>
          <w:rFonts w:ascii="宋体" w:hAnsi="宋体" w:cs="宋体" w:eastAsia="宋体" w:hint="default"/>
          <w:sz w:val="18"/>
          <w:szCs w:val="18"/>
        </w:rPr>
      </w:pPr>
    </w:p>
    <w:p>
      <w:pPr>
        <w:pStyle w:val="BodyText"/>
        <w:spacing w:line="316" w:lineRule="auto" w:before="139"/>
        <w:ind w:right="1133"/>
        <w:jc w:val="both"/>
      </w:pPr>
      <w:r>
        <w:rPr>
          <w:spacing w:val="-2"/>
        </w:rPr>
        <w:t>本集团信用风险主要是受每个客户自身特性的影响，而不是客户所在的行业或国家和地区。因此重大信用风险集中的情况主</w:t>
      </w:r>
      <w:r>
        <w:rPr>
          <w:spacing w:val="-64"/>
        </w:rPr>
        <w:t> </w:t>
      </w:r>
      <w:r>
        <w:rPr>
          <w:spacing w:val="-64"/>
        </w:rPr>
      </w:r>
      <w:r>
        <w:rPr>
          <w:spacing w:val="-2"/>
        </w:rPr>
        <w:t>要源自本集团存在对个别客户的重大应收账款。于资产负债表日，本集团的前五大客户的应收账款占本集团应收账款总额的</w:t>
      </w:r>
      <w:r>
        <w:rPr>
          <w:spacing w:val="-64"/>
        </w:rPr>
        <w:t> </w:t>
      </w:r>
      <w:r>
        <w:rPr>
          <w:spacing w:val="-64"/>
        </w:rPr>
      </w:r>
      <w:r>
        <w:rPr>
          <w:rFonts w:ascii="Times New Roman" w:hAnsi="Times New Roman" w:cs="Times New Roman" w:eastAsia="Times New Roman" w:hint="default"/>
        </w:rPr>
        <w:t>24% (2018</w:t>
      </w:r>
      <w:r>
        <w:rPr/>
        <w:t>年：</w:t>
      </w:r>
      <w:r>
        <w:rPr>
          <w:rFonts w:ascii="Times New Roman" w:hAnsi="Times New Roman" w:cs="Times New Roman" w:eastAsia="Times New Roman" w:hint="default"/>
        </w:rPr>
        <w:t>17%)</w:t>
      </w:r>
      <w:r>
        <w:rPr>
          <w:rFonts w:ascii="Times New Roman" w:hAnsi="Times New Roman" w:cs="Times New Roman" w:eastAsia="Times New Roman" w:hint="default"/>
          <w:spacing w:val="25"/>
        </w:rPr>
        <w:t> </w:t>
      </w:r>
      <w:r>
        <w:rPr/>
        <w:t>。</w:t>
      </w:r>
    </w:p>
    <w:p>
      <w:pPr>
        <w:spacing w:line="240" w:lineRule="auto" w:before="10"/>
        <w:rPr>
          <w:rFonts w:ascii="宋体" w:hAnsi="宋体" w:cs="宋体" w:eastAsia="宋体" w:hint="default"/>
          <w:sz w:val="23"/>
          <w:szCs w:val="23"/>
        </w:rPr>
      </w:pPr>
    </w:p>
    <w:p>
      <w:pPr>
        <w:pStyle w:val="BodyText"/>
        <w:spacing w:line="307" w:lineRule="auto"/>
        <w:ind w:right="1034"/>
        <w:jc w:val="left"/>
      </w:pPr>
      <w:r>
        <w:rPr/>
        <w:t>对于应收账款，本集团风险管理委员会已根据实际情况制定了信用政策，对客户进行信用评估以确定赊销额度与信用期限。 信用评估主要根据客户的财务状况、外部评级及银行信用记录</w:t>
      </w:r>
      <w:r>
        <w:rPr>
          <w:spacing w:val="-14"/>
        </w:rPr>
        <w:t> </w:t>
      </w:r>
      <w:r>
        <w:rPr>
          <w:rFonts w:ascii="Times New Roman" w:hAnsi="Times New Roman" w:cs="Times New Roman" w:eastAsia="Times New Roman" w:hint="default"/>
        </w:rPr>
        <w:t>(</w:t>
      </w:r>
      <w:r>
        <w:rPr/>
        <w:t>如有可能</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。有关的应收账款自出具账单日起</w:t>
      </w:r>
      <w:r>
        <w:rPr>
          <w:rFonts w:ascii="Times New Roman" w:hAnsi="Times New Roman" w:cs="Times New Roman" w:eastAsia="Times New Roman" w:hint="default"/>
        </w:rPr>
        <w:t>90</w:t>
      </w:r>
      <w:r>
        <w:rPr/>
        <w:t>天内到期。</w:t>
      </w:r>
      <w:r>
        <w:rPr>
          <w:spacing w:val="-86"/>
        </w:rPr>
        <w:t> </w:t>
      </w:r>
      <w:r>
        <w:rPr/>
        <w:t>应收账款逾期</w:t>
      </w:r>
      <w:r>
        <w:rPr>
          <w:rFonts w:ascii="Times New Roman" w:hAnsi="Times New Roman" w:cs="Times New Roman" w:eastAsia="Times New Roman" w:hint="default"/>
        </w:rPr>
        <w:t>3</w:t>
      </w:r>
      <w:r>
        <w:rPr/>
        <w:t>个月以上的债务人会被要求先清偿所有未偿还的余额，才可以获得进一步的信用额度。在一般情况下，本集</w:t>
      </w:r>
      <w:r>
        <w:rPr>
          <w:spacing w:val="-84"/>
        </w:rPr>
        <w:t> </w:t>
      </w:r>
      <w:r>
        <w:rPr>
          <w:spacing w:val="-84"/>
        </w:rPr>
      </w:r>
      <w:r>
        <w:rPr/>
        <w:t>团不会要求客户提供抵押品。</w:t>
      </w:r>
    </w:p>
    <w:p>
      <w:pPr>
        <w:spacing w:line="240" w:lineRule="auto" w:before="11"/>
        <w:rPr>
          <w:rFonts w:ascii="宋体" w:hAnsi="宋体" w:cs="宋体" w:eastAsia="宋体" w:hint="default"/>
          <w:sz w:val="25"/>
          <w:szCs w:val="25"/>
        </w:rPr>
      </w:pPr>
    </w:p>
    <w:p>
      <w:pPr>
        <w:pStyle w:val="BodyText"/>
        <w:spacing w:line="240" w:lineRule="auto"/>
        <w:ind w:right="0"/>
        <w:jc w:val="both"/>
      </w:pPr>
      <w:r>
        <w:rPr/>
        <w:t>有关应收账款的具体信息，请参见应收账款的相关披露。</w:t>
      </w:r>
    </w:p>
    <w:p>
      <w:pPr>
        <w:spacing w:line="240" w:lineRule="auto" w:before="0"/>
        <w:rPr>
          <w:rFonts w:ascii="宋体" w:hAnsi="宋体" w:cs="宋体" w:eastAsia="宋体" w:hint="default"/>
          <w:sz w:val="18"/>
          <w:szCs w:val="18"/>
        </w:rPr>
      </w:pPr>
    </w:p>
    <w:p>
      <w:pPr>
        <w:pStyle w:val="BodyText"/>
        <w:spacing w:line="240" w:lineRule="auto" w:before="153"/>
        <w:ind w:right="0"/>
        <w:jc w:val="both"/>
      </w:pPr>
      <w:r>
        <w:rPr>
          <w:rFonts w:ascii="Times New Roman" w:hAnsi="Times New Roman" w:cs="Times New Roman" w:eastAsia="Times New Roman" w:hint="default"/>
        </w:rPr>
        <w:t>2</w:t>
      </w:r>
      <w:r>
        <w:rPr/>
        <w:t>、</w:t>
      </w:r>
      <w:r>
        <w:rPr>
          <w:spacing w:val="59"/>
        </w:rPr>
        <w:t> </w:t>
      </w:r>
      <w:r>
        <w:rPr/>
        <w:t>流动性风险</w:t>
      </w:r>
    </w:p>
    <w:p>
      <w:pPr>
        <w:spacing w:line="240" w:lineRule="auto" w:before="0"/>
        <w:rPr>
          <w:rFonts w:ascii="宋体" w:hAnsi="宋体" w:cs="宋体" w:eastAsia="宋体" w:hint="default"/>
          <w:sz w:val="18"/>
          <w:szCs w:val="18"/>
        </w:rPr>
      </w:pPr>
    </w:p>
    <w:p>
      <w:pPr>
        <w:pStyle w:val="BodyText"/>
        <w:spacing w:line="309" w:lineRule="auto" w:before="139"/>
        <w:ind w:right="1131"/>
        <w:jc w:val="both"/>
      </w:pPr>
      <w:r>
        <w:rPr>
          <w:spacing w:val="-2"/>
        </w:rPr>
        <w:t>流动性风险，是指企业在履行以交付现金或其他金融资产的方式结算的义务时发生资金短缺的风险。本公司及各子公司负责</w:t>
      </w:r>
      <w:r>
        <w:rPr>
          <w:spacing w:val="-64"/>
        </w:rPr>
        <w:t> </w:t>
      </w:r>
      <w:r>
        <w:rPr>
          <w:spacing w:val="-64"/>
        </w:rPr>
      </w:r>
      <w:r>
        <w:rPr/>
        <w:t>自身的现金管理工作，包括现金盈余的短期投资和筹措贷款以应付预计现金需求</w:t>
      </w:r>
      <w:r>
        <w:rPr>
          <w:spacing w:val="-49"/>
        </w:rPr>
        <w:t> </w:t>
      </w:r>
      <w:r>
        <w:rPr>
          <w:rFonts w:ascii="Times New Roman" w:hAnsi="Times New Roman" w:cs="Times New Roman" w:eastAsia="Times New Roman" w:hint="default"/>
        </w:rPr>
        <w:t>(</w:t>
      </w:r>
      <w:r>
        <w:rPr/>
        <w:t>如果借款额超过某些预设授权上限，便需 获得本公司董事会的批准</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。本集团的政策是定期监控短期和长期的流动资金需求，以及是否符合借款协议的规定，以确保 </w:t>
      </w:r>
      <w:r>
        <w:rPr>
          <w:spacing w:val="-2"/>
        </w:rPr>
        <w:t>维持充裕的现金储备和可供随时变现的有价证券，同时获得主要金融机构承诺提供足够的备用资金，以满足短期和较长期的</w:t>
      </w:r>
      <w:r>
        <w:rPr>
          <w:spacing w:val="-64"/>
        </w:rPr>
        <w:t> </w:t>
      </w:r>
      <w:r>
        <w:rPr>
          <w:spacing w:val="-64"/>
        </w:rPr>
      </w:r>
      <w:r>
        <w:rPr/>
        <w:t>流动资金需求。</w:t>
      </w:r>
    </w:p>
    <w:p>
      <w:pPr>
        <w:pStyle w:val="BodyText"/>
        <w:spacing w:line="240" w:lineRule="auto" w:before="24"/>
        <w:ind w:right="0"/>
        <w:jc w:val="both"/>
        <w:rPr>
          <w:rFonts w:ascii="Times New Roman" w:hAnsi="Times New Roman" w:cs="Times New Roman" w:eastAsia="Times New Roman" w:hint="default"/>
        </w:rPr>
      </w:pPr>
      <w:r>
        <w:rPr/>
        <w:t>本集团于资产负债表日的金融负债按未折现的合同现金流量 </w:t>
      </w:r>
      <w:r>
        <w:rPr>
          <w:rFonts w:ascii="Times New Roman" w:hAnsi="Times New Roman" w:cs="Times New Roman" w:eastAsia="Times New Roman" w:hint="default"/>
        </w:rPr>
        <w:t>(</w:t>
      </w:r>
      <w:r>
        <w:rPr/>
        <w:t>包括按合同利率</w:t>
      </w:r>
      <w:r>
        <w:rPr>
          <w:spacing w:val="77"/>
        </w:rPr>
        <w:t> </w:t>
      </w:r>
      <w:r>
        <w:rPr>
          <w:rFonts w:ascii="Times New Roman" w:hAnsi="Times New Roman" w:cs="Times New Roman" w:eastAsia="Times New Roman" w:hint="default"/>
        </w:rPr>
        <w:t>(</w:t>
      </w:r>
      <w:r>
        <w:rPr/>
        <w:t>如果是浮动利率则按</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日的现行利率</w:t>
      </w:r>
      <w:r>
        <w:rPr>
          <w:rFonts w:ascii="Times New Roman" w:hAnsi="Times New Roman" w:cs="Times New Roman" w:eastAsia="Times New Roman" w:hint="default"/>
        </w:rPr>
        <w:t>)</w:t>
      </w:r>
    </w:p>
    <w:p>
      <w:pPr>
        <w:pStyle w:val="BodyText"/>
        <w:spacing w:line="240" w:lineRule="auto" w:before="63"/>
        <w:ind w:right="0"/>
        <w:jc w:val="both"/>
      </w:pPr>
      <w:r>
        <w:rPr/>
        <w:t>计算的利息</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的剩余合约期限，以及被要求支付的最早日期如下：</w:t>
      </w:r>
    </w:p>
    <w:p>
      <w:pPr>
        <w:spacing w:line="240" w:lineRule="auto" w:before="11"/>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60"/>
        <w:gridCol w:w="1417"/>
        <w:gridCol w:w="1135"/>
        <w:gridCol w:w="1419"/>
        <w:gridCol w:w="850"/>
        <w:gridCol w:w="1419"/>
        <w:gridCol w:w="1274"/>
      </w:tblGrid>
      <w:tr>
        <w:trPr>
          <w:trHeight w:val="341"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年未折现的合同现金流量</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资产负债表日 账面价值</w:t>
            </w:r>
          </w:p>
        </w:tc>
      </w:tr>
      <w:tr>
        <w:trPr>
          <w:trHeight w:val="655" w:hRule="exact"/>
        </w:trPr>
        <w:tc>
          <w:tcPr>
            <w:tcW w:w="1560"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2"/>
              <w:ind w:left="345" w:right="339" w:firstLine="4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年内或 实时偿还</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vMerge/>
            <w:tcBorders>
              <w:left w:val="single" w:sz="4" w:space="0" w:color="000000"/>
              <w:bottom w:val="single" w:sz="4" w:space="0" w:color="000000"/>
              <w:right w:val="single" w:sz="4" w:space="0" w:color="000000"/>
            </w:tcBorders>
          </w:tcPr>
          <w:p>
            <w:pPr/>
          </w:p>
        </w:tc>
      </w:tr>
      <w:tr>
        <w:trPr>
          <w:trHeight w:val="34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101,660,794.18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101,660,794.18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100,146,875.00</w:t>
            </w:r>
          </w:p>
        </w:tc>
      </w:tr>
      <w:tr>
        <w:trPr>
          <w:trHeight w:val="3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158,167,897.71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158,167,897.71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158,167,897.71</w:t>
            </w:r>
          </w:p>
        </w:tc>
      </w:tr>
      <w:tr>
        <w:trPr>
          <w:trHeight w:val="34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24,449,884.85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24,449,884.85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24,449,884.85</w:t>
            </w:r>
          </w:p>
        </w:tc>
      </w:tr>
      <w:tr>
        <w:trPr>
          <w:trHeight w:val="3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7,320,000.00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156,615,272.26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163,935,272.26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3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18"/>
                <w:szCs w:val="18"/>
              </w:rPr>
            </w:pPr>
            <w:r>
              <w:rPr>
                <w:rFonts w:ascii="宋体" w:hAnsi="宋体" w:cs="宋体" w:eastAsia="宋体" w:hint="default"/>
                <w:sz w:val="18"/>
                <w:szCs w:val="18"/>
              </w:rPr>
              <w:t>一年内到期的非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7,523,333.33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7,523,333.33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203,333.33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1417"/>
        <w:gridCol w:w="1135"/>
        <w:gridCol w:w="1419"/>
        <w:gridCol w:w="850"/>
        <w:gridCol w:w="1419"/>
        <w:gridCol w:w="1274"/>
      </w:tblGrid>
      <w:tr>
        <w:trPr>
          <w:trHeight w:val="34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8" w:right="0"/>
              <w:jc w:val="left"/>
              <w:rPr>
                <w:rFonts w:ascii="Times New Roman" w:hAnsi="Times New Roman" w:cs="Times New Roman" w:eastAsia="Times New Roman" w:hint="default"/>
                <w:sz w:val="18"/>
                <w:szCs w:val="18"/>
              </w:rPr>
            </w:pPr>
            <w:r>
              <w:rPr>
                <w:rFonts w:ascii="Times New Roman"/>
                <w:sz w:val="18"/>
              </w:rPr>
              <w:t>291,801,910.07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5" w:right="0"/>
              <w:jc w:val="left"/>
              <w:rPr>
                <w:rFonts w:ascii="Times New Roman" w:hAnsi="Times New Roman" w:cs="Times New Roman" w:eastAsia="Times New Roman" w:hint="default"/>
                <w:sz w:val="18"/>
                <w:szCs w:val="18"/>
              </w:rPr>
            </w:pPr>
            <w:r>
              <w:rPr>
                <w:rFonts w:ascii="Times New Roman"/>
                <w:sz w:val="18"/>
              </w:rPr>
              <w:t>7,320,000.00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8" w:right="0"/>
              <w:jc w:val="left"/>
              <w:rPr>
                <w:rFonts w:ascii="Times New Roman" w:hAnsi="Times New Roman" w:cs="Times New Roman" w:eastAsia="Times New Roman" w:hint="default"/>
                <w:sz w:val="18"/>
                <w:szCs w:val="18"/>
              </w:rPr>
            </w:pPr>
            <w:r>
              <w:rPr>
                <w:rFonts w:ascii="Times New Roman"/>
                <w:sz w:val="18"/>
              </w:rPr>
              <w:t>156,615,272.26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8" w:right="0"/>
              <w:jc w:val="left"/>
              <w:rPr>
                <w:rFonts w:ascii="Times New Roman" w:hAnsi="Times New Roman" w:cs="Times New Roman" w:eastAsia="Times New Roman" w:hint="default"/>
                <w:sz w:val="18"/>
                <w:szCs w:val="18"/>
              </w:rPr>
            </w:pPr>
            <w:r>
              <w:rPr>
                <w:rFonts w:ascii="Times New Roman"/>
                <w:sz w:val="18"/>
              </w:rPr>
              <w:t>455,737,182.33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1" w:right="0"/>
              <w:jc w:val="left"/>
              <w:rPr>
                <w:rFonts w:ascii="Times New Roman" w:hAnsi="Times New Roman" w:cs="Times New Roman" w:eastAsia="Times New Roman" w:hint="default"/>
                <w:sz w:val="18"/>
                <w:szCs w:val="18"/>
              </w:rPr>
            </w:pPr>
            <w:r>
              <w:rPr>
                <w:rFonts w:ascii="Times New Roman"/>
                <w:sz w:val="18"/>
              </w:rPr>
              <w:t>432,967,990.89</w:t>
            </w:r>
          </w:p>
        </w:tc>
      </w:tr>
    </w:tbl>
    <w:p>
      <w:pPr>
        <w:spacing w:line="240" w:lineRule="auto" w:before="1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135"/>
        <w:gridCol w:w="1277"/>
        <w:gridCol w:w="991"/>
        <w:gridCol w:w="1419"/>
        <w:gridCol w:w="1274"/>
      </w:tblGrid>
      <w:tr>
        <w:trPr>
          <w:trHeight w:val="343"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7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年未折现的合同现金流量</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资产负债表日 账面价值</w:t>
            </w:r>
          </w:p>
        </w:tc>
      </w:tr>
      <w:tr>
        <w:trPr>
          <w:trHeight w:val="653" w:hRule="exact"/>
        </w:trPr>
        <w:tc>
          <w:tcPr>
            <w:tcW w:w="1702"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71" w:right="272" w:firstLine="45"/>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年内或 实时偿还</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年至</w:t>
            </w:r>
            <w:r>
              <w:rPr>
                <w:rFonts w:ascii="宋体" w:hAnsi="宋体" w:cs="宋体" w:eastAsia="宋体" w:hint="default"/>
                <w:sz w:val="18"/>
                <w:szCs w:val="18"/>
              </w:rPr>
              <w:t>2</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年至</w:t>
            </w:r>
            <w:r>
              <w:rPr>
                <w:rFonts w:ascii="宋体" w:hAnsi="宋体" w:cs="宋体" w:eastAsia="宋体" w:hint="default"/>
                <w:sz w:val="18"/>
                <w:szCs w:val="18"/>
              </w:rPr>
              <w:t>5</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vMerge/>
            <w:tcBorders>
              <w:left w:val="single" w:sz="4" w:space="0" w:color="000000"/>
              <w:bottom w:val="single" w:sz="4" w:space="0" w:color="000000"/>
              <w:right w:val="single" w:sz="4" w:space="0" w:color="000000"/>
            </w:tcBorders>
          </w:tcPr>
          <w:p>
            <w:pPr/>
          </w:p>
        </w:tc>
      </w:tr>
      <w:tr>
        <w:trPr>
          <w:trHeight w:val="34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132,869,826.39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132,869,826.39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130,174,638.89</w:t>
            </w:r>
          </w:p>
        </w:tc>
      </w:tr>
      <w:tr>
        <w:trPr>
          <w:trHeight w:val="34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83,131,497.29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83,131,497.29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83,131,497.29</w:t>
            </w:r>
          </w:p>
        </w:tc>
      </w:tr>
      <w:tr>
        <w:trPr>
          <w:trHeight w:val="34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17,278,531.73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17,278,531.73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17,278,531.73</w:t>
            </w:r>
          </w:p>
        </w:tc>
      </w:tr>
      <w:tr>
        <w:trPr>
          <w:trHeight w:val="34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2,185,000.00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45,470,845.49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47,655,845.49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65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281" w:right="149"/>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2,245,694.44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2,245,694.44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spacing w:val="-1"/>
                <w:sz w:val="18"/>
              </w:rPr>
              <w:t>60,694.44</w:t>
            </w:r>
          </w:p>
        </w:tc>
      </w:tr>
      <w:tr>
        <w:trPr>
          <w:trHeight w:val="34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235,525,549.85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2,185,000.00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45,470,845.49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283,181,395.34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270,645,362.35</w:t>
            </w:r>
          </w:p>
        </w:tc>
      </w:tr>
    </w:tbl>
    <w:p>
      <w:pPr>
        <w:spacing w:line="240" w:lineRule="auto" w:before="3"/>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3</w:t>
      </w:r>
      <w:r>
        <w:rPr/>
        <w:t>、</w:t>
      </w:r>
      <w:r>
        <w:rPr>
          <w:spacing w:val="59"/>
        </w:rPr>
        <w:t> </w:t>
      </w:r>
      <w:r>
        <w:rPr/>
        <w:t>利率风险</w:t>
      </w:r>
    </w:p>
    <w:p>
      <w:pPr>
        <w:spacing w:line="240" w:lineRule="auto" w:before="0"/>
        <w:rPr>
          <w:rFonts w:ascii="宋体" w:hAnsi="宋体" w:cs="宋体" w:eastAsia="宋体" w:hint="default"/>
          <w:sz w:val="18"/>
          <w:szCs w:val="18"/>
        </w:rPr>
      </w:pPr>
    </w:p>
    <w:p>
      <w:pPr>
        <w:pStyle w:val="BodyText"/>
        <w:spacing w:line="316" w:lineRule="auto" w:before="139"/>
        <w:ind w:right="0"/>
        <w:jc w:val="left"/>
      </w:pPr>
      <w:r>
        <w:rPr>
          <w:spacing w:val="-2"/>
        </w:rPr>
        <w:t>固定利率和浮动利率的带息金融工具分别使本集团面临公允价值利率风险及现金流量利率风险。本集团根据市场环境来决定</w:t>
      </w:r>
      <w:r>
        <w:rPr>
          <w:spacing w:val="-64"/>
        </w:rPr>
        <w:t> </w:t>
      </w:r>
      <w:r>
        <w:rPr>
          <w:spacing w:val="-64"/>
        </w:rPr>
      </w:r>
      <w:r>
        <w:rPr/>
        <w:t>固定利率与浮动利率工具的比例，并通过定期审阅与监察维持适当的固定和浮动利率工具组合。</w:t>
      </w:r>
    </w:p>
    <w:p>
      <w:pPr>
        <w:spacing w:line="240" w:lineRule="auto" w:before="4"/>
        <w:rPr>
          <w:rFonts w:ascii="宋体" w:hAnsi="宋体" w:cs="宋体" w:eastAsia="宋体" w:hint="default"/>
          <w:sz w:val="25"/>
          <w:szCs w:val="25"/>
        </w:rPr>
      </w:pPr>
    </w:p>
    <w:p>
      <w:pPr>
        <w:pStyle w:val="BodyText"/>
        <w:tabs>
          <w:tab w:pos="573" w:val="left" w:leader="none"/>
        </w:tabs>
        <w:spacing w:line="600" w:lineRule="auto"/>
        <w:ind w:right="6751"/>
        <w:jc w:val="left"/>
      </w:pPr>
      <w:r>
        <w:rPr>
          <w:rFonts w:ascii="Times New Roman" w:hAnsi="Times New Roman" w:cs="Times New Roman" w:eastAsia="Times New Roman" w:hint="default"/>
        </w:rPr>
        <w:t>(1)</w:t>
        <w:tab/>
      </w:r>
      <w:r>
        <w:rPr/>
        <w:t>本集团于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日持有的计息金融工具如下：</w:t>
      </w:r>
      <w:r>
        <w:rPr>
          <w:w w:val="99"/>
        </w:rPr>
        <w:t> </w:t>
      </w:r>
      <w:r>
        <w:rPr/>
        <w:t>固定利率金融工具：</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835"/>
        <w:gridCol w:w="1337"/>
        <w:gridCol w:w="1788"/>
        <w:gridCol w:w="1334"/>
        <w:gridCol w:w="1791"/>
      </w:tblGrid>
      <w:tr>
        <w:trPr>
          <w:trHeight w:val="356" w:hRule="exact"/>
        </w:trPr>
        <w:tc>
          <w:tcPr>
            <w:tcW w:w="2835" w:type="dxa"/>
            <w:vMerge w:val="restart"/>
            <w:tcBorders>
              <w:top w:val="single" w:sz="6" w:space="0" w:color="000000"/>
              <w:left w:val="single" w:sz="6" w:space="0" w:color="000000"/>
              <w:right w:val="single" w:sz="6"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2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3125"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53" w:hRule="exact"/>
        </w:trPr>
        <w:tc>
          <w:tcPr>
            <w:tcW w:w="2835" w:type="dxa"/>
            <w:vMerge/>
            <w:tcBorders>
              <w:left w:val="single" w:sz="6" w:space="0" w:color="000000"/>
              <w:bottom w:val="single" w:sz="12" w:space="0" w:color="000000"/>
              <w:right w:val="single" w:sz="6" w:space="0" w:color="000000"/>
            </w:tcBorders>
          </w:tcPr>
          <w:p>
            <w:pP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7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99"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7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50" w:hRule="exact"/>
        </w:trPr>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337" w:type="dxa"/>
            <w:tcBorders>
              <w:top w:val="single" w:sz="12" w:space="0" w:color="000000"/>
              <w:left w:val="single" w:sz="6" w:space="0" w:color="000000"/>
              <w:bottom w:val="single" w:sz="12" w:space="0" w:color="000000"/>
              <w:right w:val="single" w:sz="6" w:space="0" w:color="000000"/>
            </w:tcBorders>
          </w:tcPr>
          <w:p>
            <w:pPr/>
          </w:p>
        </w:tc>
        <w:tc>
          <w:tcPr>
            <w:tcW w:w="1788" w:type="dxa"/>
            <w:tcBorders>
              <w:top w:val="single" w:sz="12" w:space="0" w:color="000000"/>
              <w:left w:val="single" w:sz="6" w:space="0" w:color="000000"/>
              <w:bottom w:val="single" w:sz="12" w:space="0" w:color="000000"/>
              <w:right w:val="single" w:sz="6" w:space="0" w:color="000000"/>
            </w:tcBorders>
          </w:tcPr>
          <w:p>
            <w:pPr/>
          </w:p>
        </w:tc>
        <w:tc>
          <w:tcPr>
            <w:tcW w:w="1334" w:type="dxa"/>
            <w:tcBorders>
              <w:top w:val="single" w:sz="12" w:space="0" w:color="000000"/>
              <w:left w:val="single" w:sz="6" w:space="0" w:color="000000"/>
              <w:bottom w:val="single" w:sz="12" w:space="0" w:color="000000"/>
              <w:right w:val="single" w:sz="6" w:space="0" w:color="000000"/>
            </w:tcBorders>
          </w:tcPr>
          <w:p>
            <w:pPr/>
          </w:p>
        </w:tc>
        <w:tc>
          <w:tcPr>
            <w:tcW w:w="179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69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货币资金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定期存款</w:t>
            </w:r>
            <w:r>
              <w:rPr>
                <w:rFonts w:ascii="Times New Roman" w:hAnsi="Times New Roman" w:cs="Times New Roman" w:eastAsia="Times New Roman" w:hint="default"/>
                <w:sz w:val="18"/>
                <w:szCs w:val="18"/>
              </w:rPr>
              <w:t>)</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676" w:right="-1"/>
              <w:jc w:val="left"/>
              <w:rPr>
                <w:rFonts w:ascii="Times New Roman" w:hAnsi="Times New Roman" w:cs="Times New Roman" w:eastAsia="Times New Roman" w:hint="default"/>
                <w:sz w:val="18"/>
                <w:szCs w:val="18"/>
              </w:rPr>
            </w:pPr>
            <w:r>
              <w:rPr>
                <w:rFonts w:ascii="Times New Roman"/>
                <w:sz w:val="18"/>
              </w:rPr>
              <w:t>1.1000%</w:t>
            </w:r>
          </w:p>
        </w:tc>
        <w:tc>
          <w:tcPr>
            <w:tcW w:w="17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32,000,000.00</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1.1000%</w:t>
            </w:r>
          </w:p>
        </w:tc>
        <w:tc>
          <w:tcPr>
            <w:tcW w:w="17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sz w:val="18"/>
              </w:rPr>
              <w:t>28,000,000.00</w:t>
            </w:r>
          </w:p>
        </w:tc>
      </w:tr>
      <w:tr>
        <w:trPr>
          <w:trHeight w:val="353" w:hRule="exact"/>
        </w:trPr>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37" w:type="dxa"/>
            <w:tcBorders>
              <w:top w:val="single" w:sz="12" w:space="0" w:color="000000"/>
              <w:left w:val="single" w:sz="6" w:space="0" w:color="000000"/>
              <w:bottom w:val="single" w:sz="12" w:space="0" w:color="000000"/>
              <w:right w:val="single" w:sz="6" w:space="0" w:color="000000"/>
            </w:tcBorders>
          </w:tcPr>
          <w:p>
            <w:pPr/>
          </w:p>
        </w:tc>
        <w:tc>
          <w:tcPr>
            <w:tcW w:w="1788" w:type="dxa"/>
            <w:tcBorders>
              <w:top w:val="single" w:sz="12" w:space="0" w:color="000000"/>
              <w:left w:val="single" w:sz="6" w:space="0" w:color="000000"/>
              <w:bottom w:val="single" w:sz="12" w:space="0" w:color="000000"/>
              <w:right w:val="single" w:sz="6" w:space="0" w:color="000000"/>
            </w:tcBorders>
          </w:tcPr>
          <w:p>
            <w:pPr/>
          </w:p>
        </w:tc>
        <w:tc>
          <w:tcPr>
            <w:tcW w:w="1334" w:type="dxa"/>
            <w:tcBorders>
              <w:top w:val="single" w:sz="12" w:space="0" w:color="000000"/>
              <w:left w:val="single" w:sz="6" w:space="0" w:color="000000"/>
              <w:bottom w:val="single" w:sz="12" w:space="0" w:color="000000"/>
              <w:right w:val="single" w:sz="6" w:space="0" w:color="000000"/>
            </w:tcBorders>
          </w:tcPr>
          <w:p>
            <w:pPr/>
          </w:p>
        </w:tc>
        <w:tc>
          <w:tcPr>
            <w:tcW w:w="179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短期借款</w:t>
            </w:r>
          </w:p>
        </w:tc>
        <w:tc>
          <w:tcPr>
            <w:tcW w:w="1337" w:type="dxa"/>
            <w:tcBorders>
              <w:top w:val="single" w:sz="12" w:space="0" w:color="000000"/>
              <w:left w:val="single" w:sz="6" w:space="0" w:color="000000"/>
              <w:bottom w:val="single" w:sz="12" w:space="0" w:color="000000"/>
              <w:right w:val="single" w:sz="6" w:space="0" w:color="000000"/>
            </w:tcBorders>
          </w:tcPr>
          <w:p>
            <w:pPr/>
          </w:p>
        </w:tc>
        <w:tc>
          <w:tcPr>
            <w:tcW w:w="17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4.3500%</w:t>
            </w:r>
          </w:p>
        </w:tc>
        <w:tc>
          <w:tcPr>
            <w:tcW w:w="17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(30,041,687.50)</w:t>
            </w:r>
          </w:p>
        </w:tc>
      </w:tr>
      <w:tr>
        <w:trPr>
          <w:trHeight w:val="665" w:hRule="exact"/>
        </w:trPr>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3"/>
              <w:ind w:left="691"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长期借款及一年内到期的</w:t>
            </w:r>
            <w:r>
              <w:rPr>
                <w:rFonts w:ascii="宋体" w:hAnsi="宋体" w:cs="宋体" w:eastAsia="宋体" w:hint="default"/>
                <w:w w:val="99"/>
                <w:sz w:val="18"/>
                <w:szCs w:val="18"/>
              </w:rPr>
              <w:t> </w:t>
            </w:r>
            <w:r>
              <w:rPr>
                <w:rFonts w:ascii="宋体" w:hAnsi="宋体" w:cs="宋体" w:eastAsia="宋体" w:hint="default"/>
                <w:sz w:val="18"/>
                <w:szCs w:val="18"/>
              </w:rPr>
              <w:t>非流动负债</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571" w:right="0"/>
              <w:jc w:val="center"/>
              <w:rPr>
                <w:rFonts w:ascii="Times New Roman" w:hAnsi="Times New Roman" w:cs="Times New Roman" w:eastAsia="Times New Roman" w:hint="default"/>
                <w:sz w:val="18"/>
                <w:szCs w:val="18"/>
              </w:rPr>
            </w:pPr>
            <w:r>
              <w:rPr>
                <w:rFonts w:ascii="Times New Roman"/>
                <w:sz w:val="18"/>
              </w:rPr>
              <w:t>4.6000%</w:t>
            </w:r>
            <w:r>
              <w:rPr>
                <w:rFonts w:ascii="Times New Roman"/>
                <w:spacing w:val="-1"/>
                <w:sz w:val="18"/>
              </w:rPr>
              <w:t> </w:t>
            </w:r>
            <w:r>
              <w:rPr>
                <w:rFonts w:ascii="Times New Roman"/>
                <w:sz w:val="18"/>
              </w:rPr>
              <w:t>-</w:t>
            </w:r>
          </w:p>
          <w:p>
            <w:pPr>
              <w:pStyle w:val="TableParagraph"/>
              <w:spacing w:line="240" w:lineRule="auto" w:before="105"/>
              <w:ind w:left="676" w:right="-1"/>
              <w:jc w:val="center"/>
              <w:rPr>
                <w:rFonts w:ascii="Times New Roman" w:hAnsi="Times New Roman" w:cs="Times New Roman" w:eastAsia="Times New Roman" w:hint="default"/>
                <w:sz w:val="18"/>
                <w:szCs w:val="18"/>
              </w:rPr>
            </w:pPr>
            <w:r>
              <w:rPr>
                <w:rFonts w:ascii="Times New Roman"/>
                <w:sz w:val="18"/>
              </w:rPr>
              <w:t>5.4625%</w:t>
            </w:r>
          </w:p>
        </w:tc>
        <w:tc>
          <w:tcPr>
            <w:tcW w:w="17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(150,203,333.33)</w:t>
            </w:r>
          </w:p>
        </w:tc>
        <w:tc>
          <w:tcPr>
            <w:tcW w:w="13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5.4625%</w:t>
            </w:r>
          </w:p>
        </w:tc>
        <w:tc>
          <w:tcPr>
            <w:tcW w:w="17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sz w:val="18"/>
              </w:rPr>
              <w:t>(40,060,694.44)</w:t>
            </w:r>
          </w:p>
        </w:tc>
      </w:tr>
      <w:tr>
        <w:trPr>
          <w:trHeight w:val="353" w:hRule="exact"/>
        </w:trPr>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12" w:space="0" w:color="000000"/>
              <w:left w:val="single" w:sz="6" w:space="0" w:color="000000"/>
              <w:bottom w:val="single" w:sz="12" w:space="0" w:color="000000"/>
              <w:right w:val="single" w:sz="6" w:space="0" w:color="000000"/>
            </w:tcBorders>
          </w:tcPr>
          <w:p>
            <w:pPr/>
          </w:p>
        </w:tc>
        <w:tc>
          <w:tcPr>
            <w:tcW w:w="17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(118,203,333.33)</w:t>
            </w:r>
          </w:p>
        </w:tc>
        <w:tc>
          <w:tcPr>
            <w:tcW w:w="1334" w:type="dxa"/>
            <w:tcBorders>
              <w:top w:val="single" w:sz="12" w:space="0" w:color="000000"/>
              <w:left w:val="single" w:sz="6" w:space="0" w:color="000000"/>
              <w:bottom w:val="single" w:sz="12" w:space="0" w:color="000000"/>
              <w:right w:val="single" w:sz="6" w:space="0" w:color="000000"/>
            </w:tcBorders>
          </w:tcPr>
          <w:p>
            <w:pPr/>
          </w:p>
        </w:tc>
        <w:tc>
          <w:tcPr>
            <w:tcW w:w="17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(42,102,381.94)</w:t>
            </w:r>
          </w:p>
        </w:tc>
      </w:tr>
    </w:tbl>
    <w:p>
      <w:pPr>
        <w:pStyle w:val="BodyText"/>
        <w:spacing w:line="240" w:lineRule="auto" w:before="10"/>
        <w:ind w:right="0"/>
        <w:jc w:val="left"/>
      </w:pPr>
      <w:r>
        <w:rPr/>
        <w:t>浮动利率金融工具：</w:t>
      </w:r>
    </w:p>
    <w:p>
      <w:pPr>
        <w:spacing w:line="240" w:lineRule="auto" w:before="11"/>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031"/>
        <w:gridCol w:w="1760"/>
        <w:gridCol w:w="1762"/>
        <w:gridCol w:w="1762"/>
        <w:gridCol w:w="1760"/>
      </w:tblGrid>
      <w:tr>
        <w:trPr>
          <w:trHeight w:val="356" w:hRule="exact"/>
        </w:trPr>
        <w:tc>
          <w:tcPr>
            <w:tcW w:w="2031" w:type="dxa"/>
            <w:vMerge w:val="restart"/>
            <w:tcBorders>
              <w:top w:val="single" w:sz="6" w:space="0" w:color="000000"/>
              <w:left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2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3521"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50" w:hRule="exact"/>
        </w:trPr>
        <w:tc>
          <w:tcPr>
            <w:tcW w:w="2031" w:type="dxa"/>
            <w:vMerge/>
            <w:tcBorders>
              <w:left w:val="single" w:sz="6" w:space="0" w:color="000000"/>
              <w:bottom w:val="single" w:sz="12" w:space="0" w:color="000000"/>
              <w:right w:val="single" w:sz="6" w:space="0" w:color="000000"/>
            </w:tcBorders>
          </w:tcPr>
          <w:p>
            <w:pPr/>
          </w:p>
        </w:tc>
        <w:tc>
          <w:tcPr>
            <w:tcW w:w="17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1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13"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7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53" w:hRule="exact"/>
        </w:trPr>
        <w:tc>
          <w:tcPr>
            <w:tcW w:w="2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146"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60" w:type="dxa"/>
            <w:tcBorders>
              <w:top w:val="single" w:sz="12" w:space="0" w:color="000000"/>
              <w:left w:val="single" w:sz="6" w:space="0" w:color="000000"/>
              <w:bottom w:val="single" w:sz="12" w:space="0" w:color="000000"/>
              <w:right w:val="single" w:sz="6" w:space="0" w:color="000000"/>
            </w:tcBorders>
          </w:tcPr>
          <w:p>
            <w:pPr/>
          </w:p>
        </w:tc>
        <w:tc>
          <w:tcPr>
            <w:tcW w:w="1762" w:type="dxa"/>
            <w:tcBorders>
              <w:top w:val="single" w:sz="12" w:space="0" w:color="000000"/>
              <w:left w:val="single" w:sz="6" w:space="0" w:color="000000"/>
              <w:bottom w:val="single" w:sz="12" w:space="0" w:color="000000"/>
              <w:right w:val="single" w:sz="6" w:space="0" w:color="000000"/>
            </w:tcBorders>
          </w:tcPr>
          <w:p>
            <w:pPr/>
          </w:p>
        </w:tc>
        <w:tc>
          <w:tcPr>
            <w:tcW w:w="1762" w:type="dxa"/>
            <w:tcBorders>
              <w:top w:val="single" w:sz="12" w:space="0" w:color="000000"/>
              <w:left w:val="single" w:sz="6" w:space="0" w:color="000000"/>
              <w:bottom w:val="single" w:sz="12" w:space="0" w:color="000000"/>
              <w:right w:val="single" w:sz="6" w:space="0" w:color="000000"/>
            </w:tcBorders>
          </w:tcPr>
          <w:p>
            <w:pPr/>
          </w:p>
        </w:tc>
        <w:tc>
          <w:tcPr>
            <w:tcW w:w="1760"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2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短期借款</w:t>
            </w:r>
          </w:p>
        </w:tc>
        <w:tc>
          <w:tcPr>
            <w:tcW w:w="17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基于</w:t>
            </w:r>
          </w:p>
          <w:p>
            <w:pPr>
              <w:pStyle w:val="TableParagraph"/>
              <w:spacing w:line="240" w:lineRule="auto" w:before="76"/>
              <w:ind w:right="-1"/>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LPR.PBOC</w:t>
            </w:r>
            <w:r>
              <w:rPr>
                <w:rFonts w:ascii="宋体" w:hAnsi="宋体" w:cs="宋体" w:eastAsia="宋体" w:hint="default"/>
                <w:w w:val="95"/>
                <w:sz w:val="18"/>
                <w:szCs w:val="18"/>
              </w:rPr>
              <w:t>浮动</w:t>
            </w:r>
            <w:r>
              <w:rPr>
                <w:rFonts w:ascii="宋体" w:hAnsi="宋体" w:cs="宋体" w:eastAsia="宋体" w:hint="default"/>
                <w:sz w:val="18"/>
                <w:szCs w:val="18"/>
              </w:rPr>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(100,146,875.00)</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基于</w:t>
            </w:r>
          </w:p>
          <w:p>
            <w:pPr>
              <w:pStyle w:val="TableParagraph"/>
              <w:spacing w:line="240" w:lineRule="auto" w:before="76"/>
              <w:ind w:right="-1"/>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LPR,PBOC</w:t>
            </w:r>
            <w:r>
              <w:rPr>
                <w:rFonts w:ascii="宋体" w:hAnsi="宋体" w:cs="宋体" w:eastAsia="宋体" w:hint="default"/>
                <w:w w:val="95"/>
                <w:sz w:val="18"/>
                <w:szCs w:val="18"/>
              </w:rPr>
              <w:t>上浮</w:t>
            </w:r>
            <w:r>
              <w:rPr>
                <w:rFonts w:ascii="宋体" w:hAnsi="宋体" w:cs="宋体" w:eastAsia="宋体" w:hint="default"/>
                <w:sz w:val="18"/>
                <w:szCs w:val="18"/>
              </w:rPr>
            </w:r>
          </w:p>
        </w:tc>
        <w:tc>
          <w:tcPr>
            <w:tcW w:w="17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(100,132,951.39)</w:t>
            </w:r>
          </w:p>
        </w:tc>
      </w:tr>
      <w:tr>
        <w:trPr>
          <w:trHeight w:val="353" w:hRule="exact"/>
        </w:trPr>
        <w:tc>
          <w:tcPr>
            <w:tcW w:w="2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single" w:sz="12" w:space="0" w:color="000000"/>
              <w:left w:val="single" w:sz="6" w:space="0" w:color="000000"/>
              <w:bottom w:val="single" w:sz="12" w:space="0" w:color="000000"/>
              <w:right w:val="single" w:sz="6" w:space="0" w:color="000000"/>
            </w:tcBorders>
          </w:tcPr>
          <w:p>
            <w:pP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(100,146,875.00)</w:t>
            </w:r>
          </w:p>
        </w:tc>
        <w:tc>
          <w:tcPr>
            <w:tcW w:w="1762" w:type="dxa"/>
            <w:tcBorders>
              <w:top w:val="single" w:sz="12" w:space="0" w:color="000000"/>
              <w:left w:val="single" w:sz="6" w:space="0" w:color="000000"/>
              <w:bottom w:val="single" w:sz="12" w:space="0" w:color="000000"/>
              <w:right w:val="single" w:sz="6" w:space="0" w:color="000000"/>
            </w:tcBorders>
          </w:tcPr>
          <w:p>
            <w:pPr/>
          </w:p>
        </w:tc>
        <w:tc>
          <w:tcPr>
            <w:tcW w:w="17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(100,132,951.39)</w:t>
            </w:r>
          </w:p>
        </w:tc>
      </w:tr>
    </w:tbl>
    <w:p>
      <w:pPr>
        <w:spacing w:line="240" w:lineRule="auto" w:before="3"/>
        <w:rPr>
          <w:rFonts w:ascii="宋体" w:hAnsi="宋体" w:cs="宋体" w:eastAsia="宋体" w:hint="default"/>
          <w:sz w:val="21"/>
          <w:szCs w:val="21"/>
        </w:rPr>
      </w:pPr>
    </w:p>
    <w:p>
      <w:pPr>
        <w:pStyle w:val="BodyText"/>
        <w:spacing w:line="240" w:lineRule="auto" w:before="44"/>
        <w:ind w:right="0"/>
        <w:jc w:val="left"/>
      </w:pPr>
      <w:r>
        <w:rPr/>
        <w:t>敏感性分析：</w:t>
      </w:r>
    </w:p>
    <w:p>
      <w:pPr>
        <w:spacing w:after="0" w:line="240" w:lineRule="auto"/>
        <w:jc w:val="left"/>
        <w:sectPr>
          <w:footerReference w:type="default" r:id="rId18"/>
          <w:pgSz w:w="11910" w:h="16840"/>
          <w:pgMar w:footer="975" w:header="748" w:top="1060" w:bottom="1160" w:left="980" w:right="0"/>
          <w:pgNumType w:start="185"/>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300" w:lineRule="auto" w:before="44"/>
        <w:ind w:right="1130"/>
        <w:jc w:val="both"/>
      </w:pPr>
      <w:r>
        <w:rPr/>
        <w:t>假定其他因素不变，截止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日，利率每上升</w:t>
      </w:r>
      <w:r>
        <w:rPr>
          <w:rFonts w:ascii="Times New Roman" w:hAnsi="Times New Roman" w:cs="Times New Roman" w:eastAsia="Times New Roman" w:hint="default"/>
        </w:rPr>
        <w:t>50</w:t>
      </w:r>
      <w:r>
        <w:rPr/>
        <w:t>个基点将会导致集团净利润以及股东权益减少约人民币</w:t>
      </w:r>
      <w:r>
        <w:rPr>
          <w:rFonts w:ascii="Times New Roman" w:hAnsi="Times New Roman" w:cs="Times New Roman" w:eastAsia="Times New Roman" w:hint="default"/>
        </w:rPr>
        <w:t>181,304.01 </w:t>
      </w:r>
      <w:r>
        <w:rPr/>
        <w:t>元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248,486.05</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w:t>
      </w:r>
    </w:p>
    <w:p>
      <w:pPr>
        <w:spacing w:line="240" w:lineRule="auto" w:before="11"/>
        <w:rPr>
          <w:rFonts w:ascii="宋体" w:hAnsi="宋体" w:cs="宋体" w:eastAsia="宋体" w:hint="default"/>
          <w:sz w:val="24"/>
          <w:szCs w:val="24"/>
        </w:rPr>
      </w:pPr>
    </w:p>
    <w:p>
      <w:pPr>
        <w:pStyle w:val="BodyText"/>
        <w:spacing w:line="316" w:lineRule="auto"/>
        <w:ind w:right="1130"/>
        <w:jc w:val="both"/>
      </w:pPr>
      <w:r>
        <w:rPr>
          <w:spacing w:val="-2"/>
        </w:rPr>
        <w:t>对于本集团在资产负债表日持有的使本集团面临公允价值利率风险的金融工具，上述敏感性分析中的净利润及股东权益的影</w:t>
      </w:r>
      <w:r>
        <w:rPr>
          <w:spacing w:val="-64"/>
        </w:rPr>
        <w:t> </w:t>
      </w:r>
      <w:r>
        <w:rPr>
          <w:spacing w:val="-64"/>
        </w:rPr>
      </w:r>
      <w:r>
        <w:rPr>
          <w:spacing w:val="-2"/>
        </w:rPr>
        <w:t>响是假设在资产负债表日利率发生变动，按照新利率对上述金融工具进行重新计量后的影响。对于资产负债表日持有的、使</w:t>
      </w:r>
      <w:r>
        <w:rPr>
          <w:spacing w:val="-63"/>
        </w:rPr>
        <w:t> </w:t>
      </w:r>
      <w:r>
        <w:rPr>
          <w:spacing w:val="-63"/>
        </w:rPr>
      </w:r>
      <w:r>
        <w:rPr>
          <w:spacing w:val="-2"/>
        </w:rPr>
        <w:t>本集团面临现金流量利率风险的浮动利率非衍生工具，上述敏感性分析中的净利润及股东权益的影响是上述利率变动对按年</w:t>
      </w:r>
      <w:r>
        <w:rPr>
          <w:spacing w:val="-64"/>
        </w:rPr>
        <w:t> </w:t>
      </w:r>
      <w:r>
        <w:rPr>
          <w:spacing w:val="-64"/>
        </w:rPr>
      </w:r>
      <w:r>
        <w:rPr/>
        <w:t>度估算的利息费用或收入的影响。</w:t>
      </w:r>
      <w:r>
        <w:rPr>
          <w:rFonts w:ascii="Times New Roman" w:hAnsi="Times New Roman" w:cs="Times New Roman" w:eastAsia="Times New Roman" w:hint="default"/>
        </w:rPr>
        <w:t>2018</w:t>
      </w:r>
      <w:r>
        <w:rPr/>
        <w:t>年的分析基于同样的假设和方法。</w:t>
      </w:r>
    </w:p>
    <w:p>
      <w:pPr>
        <w:spacing w:line="240" w:lineRule="auto" w:before="10"/>
        <w:rPr>
          <w:rFonts w:ascii="宋体" w:hAnsi="宋体" w:cs="宋体" w:eastAsia="宋体" w:hint="default"/>
          <w:sz w:val="23"/>
          <w:szCs w:val="23"/>
        </w:rPr>
      </w:pPr>
    </w:p>
    <w:p>
      <w:pPr>
        <w:pStyle w:val="BodyText"/>
        <w:spacing w:line="240" w:lineRule="auto"/>
        <w:ind w:right="0"/>
        <w:jc w:val="both"/>
      </w:pPr>
      <w:r>
        <w:rPr>
          <w:rFonts w:ascii="Times New Roman" w:hAnsi="Times New Roman" w:cs="Times New Roman" w:eastAsia="Times New Roman" w:hint="default"/>
        </w:rPr>
        <w:t>4</w:t>
      </w:r>
      <w:r>
        <w:rPr/>
        <w:t>、</w:t>
      </w:r>
      <w:r>
        <w:rPr>
          <w:spacing w:val="59"/>
        </w:rPr>
        <w:t> </w:t>
      </w:r>
      <w:r>
        <w:rPr/>
        <w:t>汇率风险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0"/>
        <w:jc w:val="both"/>
        <w:rPr>
          <w:b w:val="0"/>
          <w:bCs w:val="0"/>
        </w:rPr>
      </w:pPr>
      <w:r>
        <w:rPr/>
        <w:t>十一、公允价值的披露</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5"/>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43,779,895.89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43,779,895.89</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43,779,895.89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43,779,895.89</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tabs>
          <w:tab w:pos="1833" w:val="left" w:leader="none"/>
        </w:tabs>
        <w:spacing w:line="240" w:lineRule="auto"/>
        <w:ind w:right="0"/>
        <w:jc w:val="left"/>
      </w:pPr>
      <w:r>
        <w:rPr/>
        <w:t>第一层次输入值：</w:t>
        <w:tab/>
        <w:t>在计量日能够取得的相同资产或负债在活跃市场上未经调整的报价；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6"/>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tabs>
          <w:tab w:pos="1833" w:val="left" w:leader="none"/>
        </w:tabs>
        <w:spacing w:line="240" w:lineRule="auto"/>
        <w:ind w:right="0"/>
        <w:jc w:val="left"/>
      </w:pPr>
      <w:r>
        <w:rPr/>
        <w:t>第二层次输入值：</w:t>
        <w:tab/>
        <w:t>除第一层次输入值外相关资产或负债直接或间接可观察的输入值；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6"/>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tabs>
          <w:tab w:pos="1833" w:val="left" w:leader="none"/>
        </w:tabs>
        <w:spacing w:line="338" w:lineRule="auto"/>
        <w:ind w:right="1133"/>
        <w:jc w:val="left"/>
      </w:pPr>
      <w:r>
        <w:rPr/>
        <w:t>第三层次输入值：</w:t>
        <w:tab/>
        <w:t>相关资产或负债的不可观察输入值。 </w:t>
      </w:r>
      <w:r>
        <w:rPr>
          <w:spacing w:val="-2"/>
        </w:rPr>
        <w:t>持续以第三层次公允价值计量的交易性金融资产主要为本集团持有的理财产品。本集团按投资本金和预期收益率确认公允价</w:t>
      </w:r>
      <w:r>
        <w:rPr>
          <w:spacing w:val="-64"/>
        </w:rPr>
        <w:t> </w:t>
      </w:r>
      <w:r>
        <w:rPr>
          <w:spacing w:val="-64"/>
        </w:rPr>
      </w:r>
      <w:r>
        <w:rPr/>
        <w:t>值。</w:t>
      </w:r>
    </w:p>
    <w:p>
      <w:pPr>
        <w:spacing w:after="0" w:line="338"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214"/>
        <w:jc w:val="left"/>
      </w:pPr>
      <w:r>
        <w:rPr/>
        <w:t>本集团截止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日不以公允价值计量的各项金融资产和金融负债的账面价值与公允价值之间无 重大差异。</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十二、关联方及关联交易</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深圳市资本运营集 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1,322,000.00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42.86%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42.86%</w:t>
            </w:r>
          </w:p>
        </w:tc>
      </w:tr>
    </w:tbl>
    <w:p>
      <w:pPr>
        <w:pStyle w:val="BodyText"/>
        <w:spacing w:line="240" w:lineRule="auto" w:before="51"/>
        <w:ind w:right="0"/>
        <w:jc w:val="left"/>
      </w:pPr>
      <w:r>
        <w:rPr/>
        <w:t>本企业的母公司情况的说明</w:t>
      </w:r>
    </w:p>
    <w:p>
      <w:pPr>
        <w:pStyle w:val="BodyText"/>
        <w:spacing w:line="300" w:lineRule="auto" w:before="115"/>
        <w:ind w:right="0"/>
        <w:jc w:val="left"/>
      </w:pPr>
      <w:r>
        <w:rPr/>
        <w:t>经深圳市人民政府国有资产监督管理委员会批准、深圳市市场监督管理局核准，</w:t>
      </w:r>
      <w:r>
        <w:rPr>
          <w:rFonts w:ascii="Times New Roman" w:hAnsi="Times New Roman" w:cs="Times New Roman" w:eastAsia="Times New Roman" w:hint="default"/>
        </w:rPr>
        <w:t>“</w:t>
      </w:r>
      <w:r>
        <w:rPr/>
        <w:t>深圳市远致投资有限公司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日正式更名为</w:t>
      </w:r>
      <w:r>
        <w:rPr>
          <w:rFonts w:ascii="Times New Roman" w:hAnsi="Times New Roman" w:cs="Times New Roman" w:eastAsia="Times New Roman" w:hint="default"/>
        </w:rPr>
        <w:t>“</w:t>
      </w:r>
      <w:r>
        <w:rPr/>
        <w:t>深圳市资本运营集团有限公司</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pStyle w:val="BodyText"/>
        <w:spacing w:line="360" w:lineRule="auto" w:before="130"/>
        <w:ind w:right="5714"/>
        <w:jc w:val="left"/>
      </w:pPr>
      <w:r>
        <w:rPr/>
        <w:t>本企业最终控制方是深圳市人民政府国有资产监督管理委员会。 其他说明：</w:t>
      </w:r>
    </w:p>
    <w:p>
      <w:pPr>
        <w:pStyle w:val="BodyText"/>
        <w:spacing w:line="240" w:lineRule="auto" w:before="25"/>
        <w:ind w:right="0"/>
        <w:jc w:val="left"/>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本企业子公司的情况详见附注附注九、在其他主体中的权益。</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本企业重要的合营或联营企业详见附注。</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本期与本公司发生关联方交易，或前期与本公司发生关联方交易形成余额的其他合营或联营企业情况如下：</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荆门玖伊园科技有限公司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雄安绿研智库有限公司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360" w:lineRule="auto" w:before="51"/>
        <w:ind w:right="10034"/>
        <w:jc w:val="left"/>
      </w:pPr>
      <w:r>
        <w:rPr/>
        <w:t>其他说明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中关村发展集团股份有限公司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控股股东控股的企业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深圳排放权交易所有限公司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控股股东控股的企业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深圳市天之宝生物科技股份有限公司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控股股东控股的企业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万和证券股份有限公司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北京中关村微纳能源投资有限公司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北京中关村生命科学园发展有限责任公司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北京怀柔科学城建设发展有限公司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中关村医疗器械园有限公司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北京中关村集成电路设计园发展有限责任公司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北京中关村前沿技术产业发展有限公司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荆门生态科技城投资有限公司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北京中关村京西建设发展有限公司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北京中关村生物医药产业投资发展有限公司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北京中关村信息谷资产管理有限责任公司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北京中关村生命科学园生物医药科技孵化有限公司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北京中关村软件园发展有限责任公司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北京中关村延庆园建设发展有限公司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北京海开房地产集团有限责任公司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北京中关村国际环保产业促进中心有限公司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参股股东控股的企业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国银金融租赁股份有限公司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郑学定出任董事的企业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前海科创投控股有限公司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叶青出任董事的企业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郑学定出任独立董事的企业</w:t>
            </w:r>
          </w:p>
        </w:tc>
      </w:tr>
    </w:tbl>
    <w:p>
      <w:pPr>
        <w:pStyle w:val="BodyText"/>
        <w:spacing w:line="360" w:lineRule="auto" w:before="51"/>
        <w:ind w:right="10034"/>
        <w:jc w:val="left"/>
      </w:pPr>
      <w:r>
        <w:rPr/>
        <w:t>其他说明 无。</w:t>
      </w:r>
    </w:p>
    <w:p>
      <w:pPr>
        <w:spacing w:after="0" w:line="36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深圳排放权交易所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采购服务等</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深圳市天之宝生物 科技股份有限公司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采购服务等</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73,688.00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65"/>
              <w:jc w:val="left"/>
              <w:rPr>
                <w:rFonts w:ascii="宋体" w:hAnsi="宋体" w:cs="宋体" w:eastAsia="宋体" w:hint="default"/>
                <w:sz w:val="18"/>
                <w:szCs w:val="18"/>
              </w:rPr>
            </w:pPr>
            <w:r>
              <w:rPr>
                <w:rFonts w:ascii="宋体" w:hAnsi="宋体" w:cs="宋体" w:eastAsia="宋体" w:hint="default"/>
                <w:sz w:val="18"/>
                <w:szCs w:val="18"/>
              </w:rPr>
              <w:t>雄安绿研智库有限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采购服务等</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212,715.61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万和证券股份有限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采购服务等</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486,803.61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北京中关村微纳能源投资有限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2,972,452.83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2,926,415.10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北京中关村生命科学园发展有 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1,681,572.08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986,606.98</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北京怀柔科学城建设发展有限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1,126,415.09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382,075.47</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中关村医疗器械园有限公司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1,066,037.74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537,735.85</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北京中关村集成电路设计园发 展有限责任公司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981,132.08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113,207.55</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北京中关村前沿技术产业发展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876,327.36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399,648.49</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国银金融租赁股份有限公司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836,603.77</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雄安绿研智库有限公司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422,937.08</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荆门生态科技城投资有限公司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515,150.94</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北京中关村京西建设发展有限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396,226.42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471,698.11</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331,126.70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北京中关村生物医药产业投资 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281,698.11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2,688,679.25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北京中关村信息谷资产管理有 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179,245.28</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134,386.79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340,212.26</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北京中关村生命科学园生物医 药科技孵化有限公司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91,132.08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45,283.02</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万和证券股份有限公司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8,526.50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北京中关村软件园发展有限责 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1,217,339.61</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北京中关村延庆园建设发展有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47,169.81</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北京海开房地产集团有限责任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56,603.77</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前海科创投控股有限公司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44,339.62</w:t>
            </w: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8" w:footer="975" w:top="1060" w:bottom="1160" w:left="980" w:right="0"/>
        </w:sectPr>
      </w:pPr>
    </w:p>
    <w:p>
      <w:pPr>
        <w:pStyle w:val="BodyText"/>
        <w:spacing w:line="340" w:lineRule="auto" w:before="51"/>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5"/>
              <w:jc w:val="left"/>
              <w:rPr>
                <w:rFonts w:ascii="宋体" w:hAnsi="宋体" w:cs="宋体" w:eastAsia="宋体" w:hint="default"/>
                <w:sz w:val="18"/>
                <w:szCs w:val="18"/>
              </w:rPr>
            </w:pPr>
            <w:r>
              <w:rPr>
                <w:rFonts w:ascii="宋体" w:hAnsi="宋体" w:cs="宋体" w:eastAsia="宋体" w:hint="default"/>
                <w:sz w:val="18"/>
                <w:szCs w:val="18"/>
              </w:rPr>
              <w:t>中关村发展集团股份有限公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租赁场地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3,002,300.72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1,489,392.68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3,002,300.72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1,489,392.68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9314"/>
        <w:jc w:val="left"/>
      </w:pPr>
      <w:r>
        <w:rPr/>
        <w:t>关联租赁情况说明 无。</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357" w:lineRule="auto" w:before="52"/>
        <w:ind w:right="9314"/>
        <w:jc w:val="left"/>
      </w:pPr>
      <w:r>
        <w:rPr/>
        <w:t>关联担保情况说明 本期无关联担保。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47"/>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6,130,800.00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4,913,300.00</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荆门生态科技城投 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4,878,214.75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332,550.48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北京中关村微纳能 源投资有限公司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1,952,800.00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50,900.00</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8"/>
              <w:jc w:val="both"/>
              <w:rPr>
                <w:rFonts w:ascii="宋体" w:hAnsi="宋体" w:cs="宋体" w:eastAsia="宋体" w:hint="default"/>
                <w:sz w:val="18"/>
                <w:szCs w:val="18"/>
              </w:rPr>
            </w:pPr>
            <w:r>
              <w:rPr>
                <w:rFonts w:ascii="宋体" w:hAnsi="宋体" w:cs="宋体" w:eastAsia="宋体" w:hint="default"/>
                <w:sz w:val="18"/>
                <w:szCs w:val="18"/>
              </w:rPr>
              <w:t>北京中关村前沿技 术产业发展有限公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48,983.60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301,680.00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15,084.00</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北京中关村集成电 路设计园发展有限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国银金融租赁股份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31,055.00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中关村医疗器械园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国信证券股份有限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257,994.30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12,899.72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北京中关村京西建 设发展有限公司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67,200.00</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北京中关村生命科 学园发展有限责任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107,069.40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6,960.62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221,520.00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11,076.00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北京怀柔科学城建 设发展有限公司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北京中关村国际环 保产业促进中心有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万和证券股份有限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深圳市创新投资集 团有限公司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142,450.00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7,122.50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9,968,178.45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655,549.42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2,355,650.00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151,382.50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中关村发展集团股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815,009.88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81,500.99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815,009.88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40,750.49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万和证券股份有限公司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雄安绿研智库有限公司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114,856.20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264,856.20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雄安绿研智库有限公司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12,775.00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深圳排放权交易所有限公司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13,175.00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spacing w:line="547"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本集团及本公司无股份支付。</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十四、承诺及或有事项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tabs>
          <w:tab w:pos="573" w:val="left" w:leader="none"/>
        </w:tabs>
        <w:spacing w:line="240" w:lineRule="auto" w:before="117"/>
        <w:ind w:right="0"/>
        <w:jc w:val="left"/>
      </w:pPr>
      <w:r>
        <w:rPr>
          <w:rFonts w:ascii="Times New Roman" w:hAnsi="Times New Roman" w:cs="Times New Roman" w:eastAsia="Times New Roman" w:hint="default"/>
        </w:rPr>
        <w:t>(1)</w:t>
        <w:tab/>
      </w:r>
      <w:r>
        <w:rPr/>
        <w:t>资本承担</w:t>
      </w:r>
    </w:p>
    <w:p>
      <w:pPr>
        <w:spacing w:line="240" w:lineRule="auto" w:before="11"/>
        <w:rPr>
          <w:rFonts w:ascii="宋体" w:hAnsi="宋体" w:cs="宋体" w:eastAsia="宋体" w:hint="default"/>
          <w:sz w:val="27"/>
          <w:szCs w:val="27"/>
        </w:rPr>
      </w:pPr>
    </w:p>
    <w:tbl>
      <w:tblPr>
        <w:tblW w:w="0" w:type="auto"/>
        <w:jc w:val="left"/>
        <w:tblInd w:w="164" w:type="dxa"/>
        <w:tblLayout w:type="fixed"/>
        <w:tblCellMar>
          <w:top w:w="0" w:type="dxa"/>
          <w:left w:w="0" w:type="dxa"/>
          <w:bottom w:w="0" w:type="dxa"/>
          <w:right w:w="0" w:type="dxa"/>
        </w:tblCellMar>
        <w:tblLook w:val="01E0"/>
      </w:tblPr>
      <w:tblGrid>
        <w:gridCol w:w="5209"/>
        <w:gridCol w:w="1985"/>
        <w:gridCol w:w="1988"/>
      </w:tblGrid>
      <w:tr>
        <w:trPr>
          <w:trHeight w:val="353" w:hRule="exact"/>
        </w:trPr>
        <w:tc>
          <w:tcPr>
            <w:tcW w:w="52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9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53" w:hRule="exact"/>
        </w:trPr>
        <w:tc>
          <w:tcPr>
            <w:tcW w:w="52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宋体" w:hAnsi="宋体" w:cs="宋体" w:eastAsia="宋体" w:hint="default"/>
                <w:sz w:val="18"/>
                <w:szCs w:val="18"/>
              </w:rPr>
              <w:t>未来大厦已签订的正在履行合同</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844" w:right="0"/>
              <w:jc w:val="left"/>
              <w:rPr>
                <w:rFonts w:ascii="Times New Roman" w:hAnsi="Times New Roman" w:cs="Times New Roman" w:eastAsia="Times New Roman" w:hint="default"/>
                <w:sz w:val="18"/>
                <w:szCs w:val="18"/>
              </w:rPr>
            </w:pPr>
            <w:r>
              <w:rPr>
                <w:rFonts w:ascii="Times New Roman"/>
                <w:sz w:val="18"/>
              </w:rPr>
              <w:t>158,135,177.08</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left="845" w:right="0"/>
              <w:jc w:val="left"/>
              <w:rPr>
                <w:rFonts w:ascii="Times New Roman" w:hAnsi="Times New Roman" w:cs="Times New Roman" w:eastAsia="Times New Roman" w:hint="default"/>
                <w:sz w:val="18"/>
                <w:szCs w:val="18"/>
              </w:rPr>
            </w:pPr>
            <w:r>
              <w:rPr>
                <w:rFonts w:ascii="Times New Roman"/>
                <w:sz w:val="18"/>
              </w:rPr>
              <w:t>196,270,789.10</w:t>
            </w:r>
          </w:p>
        </w:tc>
      </w:tr>
    </w:tbl>
    <w:p>
      <w:pPr>
        <w:spacing w:line="240" w:lineRule="auto" w:before="3"/>
        <w:rPr>
          <w:rFonts w:ascii="宋体" w:hAnsi="宋体" w:cs="宋体" w:eastAsia="宋体" w:hint="default"/>
          <w:sz w:val="21"/>
          <w:szCs w:val="21"/>
        </w:rPr>
      </w:pPr>
    </w:p>
    <w:p>
      <w:pPr>
        <w:pStyle w:val="BodyText"/>
        <w:tabs>
          <w:tab w:pos="573" w:val="left" w:leader="none"/>
        </w:tabs>
        <w:spacing w:line="602" w:lineRule="auto" w:before="44"/>
        <w:ind w:right="2670"/>
        <w:jc w:val="left"/>
      </w:pPr>
      <w:r>
        <w:rPr>
          <w:rFonts w:ascii="Times New Roman" w:hAnsi="Times New Roman" w:cs="Times New Roman" w:eastAsia="Times New Roman" w:hint="default"/>
        </w:rPr>
        <w:t>(2)</w:t>
        <w:tab/>
      </w:r>
      <w:r>
        <w:rPr/>
        <w:t>经营租赁承担</w:t>
      </w:r>
      <w:r>
        <w:rPr>
          <w:w w:val="99"/>
        </w:rPr>
        <w:t> </w:t>
      </w:r>
      <w:r>
        <w:rPr/>
        <w:t>根据不可撤销的有关房屋、车辆经营租赁协议，本集团于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日以后应支付的最低租赁付款额如下：</w:t>
      </w:r>
    </w:p>
    <w:p>
      <w:pPr>
        <w:spacing w:line="240" w:lineRule="auto" w:before="11"/>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5226"/>
        <w:gridCol w:w="1968"/>
        <w:gridCol w:w="1988"/>
      </w:tblGrid>
      <w:tr>
        <w:trPr>
          <w:trHeight w:val="355" w:hRule="exact"/>
        </w:trPr>
        <w:tc>
          <w:tcPr>
            <w:tcW w:w="52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9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53" w:hRule="exact"/>
        </w:trPr>
        <w:tc>
          <w:tcPr>
            <w:tcW w:w="52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9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23,582,344.55</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23,634,002.50</w:t>
            </w:r>
          </w:p>
        </w:tc>
      </w:tr>
      <w:tr>
        <w:trPr>
          <w:trHeight w:val="350" w:hRule="exact"/>
        </w:trPr>
        <w:tc>
          <w:tcPr>
            <w:tcW w:w="52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2</w:t>
            </w:r>
            <w:r>
              <w:rPr>
                <w:rFonts w:ascii="宋体" w:hAnsi="宋体" w:cs="宋体" w:eastAsia="宋体" w:hint="default"/>
                <w:sz w:val="18"/>
                <w:szCs w:val="18"/>
              </w:rPr>
              <w:t>年以内</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9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19,824,099.88</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23,582,344.55</w:t>
            </w:r>
          </w:p>
        </w:tc>
      </w:tr>
      <w:tr>
        <w:trPr>
          <w:trHeight w:val="353" w:hRule="exact"/>
        </w:trPr>
        <w:tc>
          <w:tcPr>
            <w:tcW w:w="52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3</w:t>
            </w:r>
            <w:r>
              <w:rPr>
                <w:rFonts w:ascii="宋体" w:hAnsi="宋体" w:cs="宋体" w:eastAsia="宋体" w:hint="default"/>
                <w:sz w:val="18"/>
                <w:szCs w:val="18"/>
              </w:rPr>
              <w:t>年以内</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9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17,192,861.25</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19,824,099.88</w:t>
            </w:r>
          </w:p>
        </w:tc>
      </w:tr>
      <w:tr>
        <w:trPr>
          <w:trHeight w:val="353" w:hRule="exact"/>
        </w:trPr>
        <w:tc>
          <w:tcPr>
            <w:tcW w:w="52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9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1,898,037.61</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19,090,898.85</w:t>
            </w:r>
          </w:p>
        </w:tc>
      </w:tr>
      <w:tr>
        <w:trPr>
          <w:trHeight w:val="353" w:hRule="exact"/>
        </w:trPr>
        <w:tc>
          <w:tcPr>
            <w:tcW w:w="52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62,497,343.29</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86,131,345.78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本集团本年无需要披露的或有事项。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十五、资产负债表日后事项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11,000,002.50</w:t>
            </w:r>
          </w:p>
        </w:tc>
      </w:tr>
    </w:tbl>
    <w:p>
      <w:pPr>
        <w:spacing w:line="240" w:lineRule="auto" w:before="3"/>
        <w:rPr>
          <w:rFonts w:ascii="宋体" w:hAnsi="宋体" w:cs="宋体" w:eastAsia="宋体" w:hint="default"/>
          <w:sz w:val="19"/>
          <w:szCs w:val="19"/>
        </w:rPr>
      </w:pPr>
    </w:p>
    <w:p>
      <w:pPr>
        <w:pStyle w:val="Heading6"/>
        <w:spacing w:line="240" w:lineRule="auto" w:before="36"/>
        <w:ind w:right="0"/>
        <w:jc w:val="both"/>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6"/>
        <w:spacing w:line="240" w:lineRule="auto" w:before="118"/>
        <w:ind w:right="0"/>
        <w:jc w:val="both"/>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于资产负债表日后提议分配的普通股股利</w:t>
      </w:r>
    </w:p>
    <w:p>
      <w:pPr>
        <w:spacing w:line="240" w:lineRule="auto" w:before="0"/>
        <w:rPr>
          <w:rFonts w:ascii="宋体" w:hAnsi="宋体" w:cs="宋体" w:eastAsia="宋体" w:hint="default"/>
          <w:sz w:val="18"/>
          <w:szCs w:val="18"/>
        </w:rPr>
      </w:pPr>
    </w:p>
    <w:p>
      <w:pPr>
        <w:pStyle w:val="BodyText"/>
        <w:spacing w:line="300" w:lineRule="auto" w:before="139"/>
        <w:ind w:right="1128"/>
        <w:jc w:val="both"/>
      </w:pPr>
      <w:r>
        <w:rPr/>
        <w:t>根据本公司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日第二届董事会第七次定期会议，</w:t>
      </w:r>
      <w:r>
        <w:rPr>
          <w:rFonts w:ascii="Times New Roman" w:hAnsi="Times New Roman" w:cs="Times New Roman" w:eastAsia="Times New Roman" w:hint="default"/>
        </w:rPr>
        <w:t>2019</w:t>
      </w:r>
      <w:r>
        <w:rPr/>
        <w:t>年年度利润分配预案为：公司拟以截至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w:t>
      </w:r>
      <w:r>
        <w:rPr>
          <w:spacing w:val="-86"/>
        </w:rPr>
        <w:t> </w:t>
      </w:r>
      <w:r>
        <w:rPr/>
        <w:t>总股本</w:t>
      </w:r>
      <w:r>
        <w:rPr>
          <w:rFonts w:ascii="Times New Roman" w:hAnsi="Times New Roman" w:cs="Times New Roman" w:eastAsia="Times New Roman" w:hint="default"/>
        </w:rPr>
        <w:t>146,666,700</w:t>
      </w:r>
      <w:r>
        <w:rPr/>
        <w:t>股为基数，向全体股东进行现金分红，每</w:t>
      </w:r>
      <w:r>
        <w:rPr>
          <w:rFonts w:ascii="Times New Roman" w:hAnsi="Times New Roman" w:cs="Times New Roman" w:eastAsia="Times New Roman" w:hint="default"/>
        </w:rPr>
        <w:t>10</w:t>
      </w:r>
      <w:r>
        <w:rPr/>
        <w:t>股分配现金</w:t>
      </w:r>
      <w:r>
        <w:rPr>
          <w:rFonts w:ascii="Times New Roman" w:hAnsi="Times New Roman" w:cs="Times New Roman" w:eastAsia="Times New Roman" w:hint="default"/>
        </w:rPr>
        <w:t>0.75</w:t>
      </w:r>
      <w:r>
        <w:rPr/>
        <w:t>元</w:t>
      </w:r>
      <w:r>
        <w:rPr>
          <w:spacing w:val="-5"/>
        </w:rPr>
        <w:t> </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，共计分配现金</w:t>
      </w:r>
      <w:r>
        <w:rPr>
          <w:rFonts w:ascii="Times New Roman" w:hAnsi="Times New Roman" w:cs="Times New Roman" w:eastAsia="Times New Roman" w:hint="default"/>
        </w:rPr>
        <w:t>11,000,002.5</w:t>
      </w:r>
      <w:r>
        <w:rPr/>
        <w:t>元</w:t>
      </w:r>
      <w:r>
        <w:rPr>
          <w:spacing w:val="-5"/>
        </w:rPr>
        <w:t> </w:t>
      </w:r>
      <w:r>
        <w:rPr>
          <w:rFonts w:ascii="Times New Roman" w:hAnsi="Times New Roman" w:cs="Times New Roman" w:eastAsia="Times New Roman" w:hint="default"/>
        </w:rPr>
        <w:t>(</w:t>
      </w:r>
      <w:r>
        <w:rPr/>
        <w:t>含</w:t>
      </w:r>
      <w:r>
        <w:rPr>
          <w:spacing w:val="-86"/>
        </w:rPr>
        <w:t> </w:t>
      </w:r>
      <w:r>
        <w:rPr/>
        <w:t>税</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，不进行资本公积转增股本，不送红股。剩余未分配利润滚存至下一年度，用于支持公司经营发展。该方案须提交</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年年度股东大会审议。</w:t>
      </w:r>
    </w:p>
    <w:p>
      <w:pPr>
        <w:spacing w:line="240" w:lineRule="auto" w:before="3"/>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新型冠状病毒感染的肺炎疫情（以下简称</w:t>
      </w:r>
      <w:r>
        <w:rPr>
          <w:rFonts w:ascii="Times New Roman" w:hAnsi="Times New Roman" w:cs="Times New Roman" w:eastAsia="Times New Roman" w:hint="default"/>
        </w:rPr>
        <w:t>“</w:t>
      </w:r>
      <w:r>
        <w:rPr/>
        <w:t>新冠疫情</w:t>
      </w:r>
      <w:r>
        <w:rPr>
          <w:rFonts w:ascii="Times New Roman" w:hAnsi="Times New Roman" w:cs="Times New Roman" w:eastAsia="Times New Roman" w:hint="default"/>
        </w:rPr>
        <w:t>”</w:t>
      </w:r>
      <w:r>
        <w:rPr/>
        <w:t>）的影响评估</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14" w:lineRule="auto"/>
        <w:ind w:right="1128"/>
        <w:jc w:val="both"/>
      </w:pPr>
      <w:r>
        <w:rPr>
          <w:spacing w:val="-2"/>
        </w:rPr>
        <w:t>新冠疫情于</w:t>
      </w:r>
      <w:r>
        <w:rPr>
          <w:rFonts w:ascii="Times New Roman" w:hAnsi="Times New Roman" w:cs="Times New Roman" w:eastAsia="Times New Roman" w:hint="default"/>
          <w:spacing w:val="-2"/>
        </w:rPr>
        <w:t>2020</w:t>
      </w:r>
      <w:r>
        <w:rPr>
          <w:spacing w:val="-2"/>
        </w:rPr>
        <w:t>年初在全国爆发以来，对肺炎疫情的防控工作在全国范围内持续进行，防控形势持续向好，生产秩序加快恢</w:t>
      </w:r>
      <w:r>
        <w:rPr>
          <w:spacing w:val="-61"/>
        </w:rPr>
        <w:t> </w:t>
      </w:r>
      <w:r>
        <w:rPr>
          <w:spacing w:val="-61"/>
        </w:rPr>
      </w:r>
      <w:r>
        <w:rPr>
          <w:spacing w:val="-2"/>
        </w:rPr>
        <w:t>复的态势不断巩固和拓展。疫情一定程度上影响了本集团、特别是位于湖北荆门的湖北建胜等子公司正常的业务经营，影响</w:t>
      </w:r>
      <w:r>
        <w:rPr>
          <w:spacing w:val="-61"/>
        </w:rPr>
        <w:t> </w:t>
      </w:r>
      <w:r>
        <w:rPr>
          <w:spacing w:val="-61"/>
        </w:rPr>
      </w:r>
      <w:r>
        <w:rPr>
          <w:spacing w:val="-2"/>
        </w:rPr>
        <w:t>程度取决于各地疫情防控的力度、持续时间以及各项具体调控政策的执行。本集团将继续密切关注肺炎疫情发展情况，评估</w:t>
      </w:r>
      <w:r>
        <w:rPr>
          <w:spacing w:val="-63"/>
        </w:rPr>
        <w:t> </w:t>
      </w:r>
      <w:r>
        <w:rPr>
          <w:spacing w:val="-63"/>
        </w:rPr>
      </w:r>
      <w:r>
        <w:rPr>
          <w:spacing w:val="-2"/>
        </w:rPr>
        <w:t>和积极应对其对本集团财务状况、经营成果等方面的影响。截至本报告报出日，该评估工作尚在进行当中。预计肺炎疫情对</w:t>
      </w:r>
      <w:r>
        <w:rPr>
          <w:spacing w:val="-64"/>
        </w:rPr>
        <w:t> </w:t>
      </w:r>
      <w:r>
        <w:rPr>
          <w:spacing w:val="-64"/>
        </w:rPr>
      </w:r>
      <w:r>
        <w:rPr/>
        <w:t>本集团的持续经营无重大影响。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Heading2"/>
        <w:spacing w:line="240" w:lineRule="auto"/>
        <w:ind w:right="0"/>
        <w:jc w:val="both"/>
        <w:rPr>
          <w:b w:val="0"/>
          <w:bCs w:val="0"/>
        </w:rPr>
      </w:pPr>
      <w:r>
        <w:rPr/>
        <w:t>十六、其他重要事项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4"/>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9"/>
          <w:szCs w:val="29"/>
        </w:rPr>
      </w:pPr>
    </w:p>
    <w:p>
      <w:pPr>
        <w:pStyle w:val="Heading6"/>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本集团各公司由集团统一管理，未设立报告分部。</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本集团本年无需要披露的其他重要事项。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r>
        <w:rPr/>
        <w:t>十七、母公司财务报表主要项目注释</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3,034,225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3,034,225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2,273,625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2,273,625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760,600.0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760,600.0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296,314,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743.33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59,798,1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21.11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236,516,6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22.22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243,796,2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63.93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47,858,91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195,937,34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5.07</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第三方公司</w:t>
            </w:r>
            <w:r>
              <w:rPr>
                <w:rFonts w:ascii="Times New Roman" w:hAnsi="Times New Roman" w:cs="Times New Roman" w:eastAsia="Times New Roman" w:hint="default"/>
                <w:sz w:val="18"/>
                <w:szCs w:val="18"/>
              </w:rPr>
              <w:t>)</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213,998,3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45.10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47,858,91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166,139,42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6.24</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集团内部公 司</w:t>
            </w:r>
            <w:r>
              <w:rPr>
                <w:rFonts w:ascii="Times New Roman" w:hAnsi="Times New Roman" w:cs="Times New Roman" w:eastAsia="Times New Roman" w:hint="default"/>
                <w:sz w:val="18"/>
                <w:szCs w:val="18"/>
              </w:rPr>
              <w:t>)</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29,797,91</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8.83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29,797,918.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83</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0" w:right="0"/>
              <w:jc w:val="center"/>
              <w:rPr>
                <w:rFonts w:ascii="Times New Roman" w:hAnsi="Times New Roman" w:cs="Times New Roman" w:eastAsia="Times New Roman" w:hint="default"/>
                <w:sz w:val="18"/>
                <w:szCs w:val="18"/>
              </w:rPr>
            </w:pPr>
            <w:r>
              <w:rPr>
                <w:rFonts w:ascii="Times New Roman"/>
                <w:sz w:val="18"/>
              </w:rPr>
              <w:t>296,314,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7" w:right="0"/>
              <w:jc w:val="center"/>
              <w:rPr>
                <w:rFonts w:ascii="Times New Roman" w:hAnsi="Times New Roman" w:cs="Times New Roman" w:eastAsia="Times New Roman" w:hint="default"/>
                <w:sz w:val="18"/>
                <w:szCs w:val="18"/>
              </w:rPr>
            </w:pPr>
            <w:r>
              <w:rPr>
                <w:rFonts w:ascii="Times New Roman"/>
                <w:sz w:val="18"/>
              </w:rPr>
              <w:t>59,798,1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236,516,6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246,830,4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1" w:right="0"/>
              <w:jc w:val="center"/>
              <w:rPr>
                <w:rFonts w:ascii="Times New Roman" w:hAnsi="Times New Roman" w:cs="Times New Roman" w:eastAsia="Times New Roman" w:hint="default"/>
                <w:sz w:val="18"/>
                <w:szCs w:val="18"/>
              </w:rPr>
            </w:pPr>
            <w:r>
              <w:rPr>
                <w:rFonts w:ascii="Times New Roman"/>
                <w:sz w:val="18"/>
              </w:rPr>
              <w:t>50,893,14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195,937,34</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4"/>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7" w:right="0"/>
              <w:jc w:val="left"/>
              <w:rPr>
                <w:rFonts w:ascii="Times New Roman" w:hAnsi="Times New Roman" w:cs="Times New Roman" w:eastAsia="Times New Roman" w:hint="default"/>
                <w:sz w:val="18"/>
                <w:szCs w:val="18"/>
              </w:rPr>
            </w:pPr>
            <w:r>
              <w:rPr>
                <w:rFonts w:ascii="Times New Roman"/>
                <w:sz w:val="18"/>
              </w:rPr>
              <w:t>743.33</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1" w:right="0"/>
              <w:jc w:val="left"/>
              <w:rPr>
                <w:rFonts w:ascii="Times New Roman" w:hAnsi="Times New Roman" w:cs="Times New Roman" w:eastAsia="Times New Roman" w:hint="default"/>
                <w:sz w:val="18"/>
                <w:szCs w:val="18"/>
              </w:rPr>
            </w:pPr>
            <w:r>
              <w:rPr>
                <w:rFonts w:ascii="Times New Roman"/>
                <w:sz w:val="18"/>
              </w:rPr>
              <w:t>21.11</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0" w:right="0"/>
              <w:jc w:val="left"/>
              <w:rPr>
                <w:rFonts w:ascii="Times New Roman" w:hAnsi="Times New Roman" w:cs="Times New Roman" w:eastAsia="Times New Roman" w:hint="default"/>
                <w:sz w:val="18"/>
                <w:szCs w:val="18"/>
              </w:rPr>
            </w:pPr>
            <w:r>
              <w:rPr>
                <w:rFonts w:ascii="Times New Roman"/>
                <w:sz w:val="18"/>
              </w:rPr>
              <w:t>22.22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8" w:right="0"/>
              <w:jc w:val="left"/>
              <w:rPr>
                <w:rFonts w:ascii="Times New Roman" w:hAnsi="Times New Roman" w:cs="Times New Roman" w:eastAsia="Times New Roman" w:hint="default"/>
                <w:sz w:val="18"/>
                <w:szCs w:val="18"/>
              </w:rPr>
            </w:pPr>
            <w:r>
              <w:rPr>
                <w:rFonts w:ascii="Times New Roman"/>
                <w:sz w:val="18"/>
              </w:rPr>
              <w:t>88.93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1" w:right="0"/>
              <w:jc w:val="left"/>
              <w:rPr>
                <w:rFonts w:ascii="Times New Roman" w:hAnsi="Times New Roman" w:cs="Times New Roman" w:eastAsia="Times New Roman" w:hint="default"/>
                <w:sz w:val="18"/>
                <w:szCs w:val="18"/>
              </w:rPr>
            </w:pPr>
            <w:r>
              <w:rPr>
                <w:rFonts w:ascii="Times New Roman"/>
                <w:sz w:val="18"/>
              </w:rPr>
              <w:t>3.86</w:t>
            </w:r>
          </w:p>
        </w:tc>
        <w:tc>
          <w:tcPr>
            <w:tcW w:w="79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5" w:right="0"/>
              <w:jc w:val="left"/>
              <w:rPr>
                <w:rFonts w:ascii="Times New Roman" w:hAnsi="Times New Roman" w:cs="Times New Roman" w:eastAsia="Times New Roman" w:hint="default"/>
                <w:sz w:val="18"/>
                <w:szCs w:val="18"/>
              </w:rPr>
            </w:pPr>
            <w:r>
              <w:rPr>
                <w:rFonts w:ascii="Times New Roman"/>
                <w:sz w:val="18"/>
              </w:rPr>
              <w:t>5.07</w:t>
            </w:r>
          </w:p>
        </w:tc>
      </w:tr>
    </w:tbl>
    <w:p>
      <w:pPr>
        <w:pStyle w:val="BodyText"/>
        <w:spacing w:line="240" w:lineRule="auto" w:before="51"/>
        <w:ind w:right="0"/>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0"/>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51"/>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left="424" w:right="8142" w:hanging="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按坏账准备计提方法分类披露</w:t>
      </w:r>
    </w:p>
    <w:p>
      <w:pPr>
        <w:spacing w:line="240" w:lineRule="auto" w:before="12"/>
        <w:rPr>
          <w:rFonts w:ascii="宋体" w:hAnsi="宋体" w:cs="宋体" w:eastAsia="宋体" w:hint="default"/>
          <w:sz w:val="23"/>
          <w:szCs w:val="23"/>
        </w:rPr>
      </w:pPr>
    </w:p>
    <w:p>
      <w:pPr>
        <w:pStyle w:val="BodyText"/>
        <w:spacing w:line="240" w:lineRule="auto"/>
        <w:ind w:left="719" w:right="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rFonts w:ascii="Times New Roman" w:hAnsi="Times New Roman" w:cs="Times New Roman" w:eastAsia="Times New Roman" w:hint="default"/>
        </w:rPr>
        <w:t>2019</w:t>
      </w:r>
      <w:r>
        <w:rPr/>
        <w:t>年应收账款预期信用损失的评估：</w:t>
      </w:r>
    </w:p>
    <w:p>
      <w:pPr>
        <w:spacing w:line="240" w:lineRule="auto" w:before="0"/>
        <w:rPr>
          <w:rFonts w:ascii="宋体" w:hAnsi="宋体" w:cs="宋体" w:eastAsia="宋体" w:hint="default"/>
          <w:sz w:val="18"/>
          <w:szCs w:val="18"/>
        </w:rPr>
      </w:pPr>
    </w:p>
    <w:p>
      <w:pPr>
        <w:pStyle w:val="BodyText"/>
        <w:spacing w:line="316" w:lineRule="auto" w:before="139"/>
        <w:ind w:left="719" w:right="1137"/>
        <w:jc w:val="both"/>
      </w:pPr>
      <w:r>
        <w:rPr/>
        <w:t>本公司始终按照相当于整个存续期内预期信用损失的金额计量应收账款的减值准备，并以逾期天数与违约损失率对</w:t>
      </w:r>
      <w:r>
        <w:rPr>
          <w:spacing w:val="-29"/>
        </w:rPr>
        <w:t> </w:t>
      </w:r>
      <w:r>
        <w:rPr>
          <w:spacing w:val="-29"/>
        </w:rPr>
      </w:r>
      <w:r>
        <w:rPr/>
        <w:t>照表为基础计算其预期信用损失。根据本公司的历史经验，不同细分客户群体发生损失的情况没有显著差异，因此</w:t>
      </w:r>
      <w:r>
        <w:rPr>
          <w:spacing w:val="-29"/>
        </w:rPr>
        <w:t> </w:t>
      </w:r>
      <w:r>
        <w:rPr>
          <w:spacing w:val="-29"/>
        </w:rPr>
      </w:r>
      <w:r>
        <w:rPr/>
        <w:t>在根据逾期信息计算减值准备时未进一步区分不同的客户群体。</w:t>
      </w:r>
    </w:p>
    <w:p>
      <w:pPr>
        <w:spacing w:line="240" w:lineRule="auto" w:before="6"/>
        <w:rPr>
          <w:rFonts w:ascii="宋体" w:hAnsi="宋体" w:cs="宋体" w:eastAsia="宋体" w:hint="default"/>
          <w:sz w:val="24"/>
          <w:szCs w:val="24"/>
        </w:rPr>
      </w:pPr>
    </w:p>
    <w:tbl>
      <w:tblPr>
        <w:tblW w:w="0" w:type="auto"/>
        <w:jc w:val="left"/>
        <w:tblInd w:w="712" w:type="dxa"/>
        <w:tblLayout w:type="fixed"/>
        <w:tblCellMar>
          <w:top w:w="0" w:type="dxa"/>
          <w:left w:w="0" w:type="dxa"/>
          <w:bottom w:w="0" w:type="dxa"/>
          <w:right w:w="0" w:type="dxa"/>
        </w:tblCellMar>
        <w:tblLook w:val="01E0"/>
      </w:tblPr>
      <w:tblGrid>
        <w:gridCol w:w="2552"/>
        <w:gridCol w:w="1985"/>
        <w:gridCol w:w="1985"/>
        <w:gridCol w:w="1983"/>
      </w:tblGrid>
      <w:tr>
        <w:trPr>
          <w:trHeight w:val="668" w:hRule="exact"/>
        </w:trPr>
        <w:tc>
          <w:tcPr>
            <w:tcW w:w="2552" w:type="dxa"/>
            <w:tcBorders>
              <w:top w:val="single" w:sz="6" w:space="0" w:color="000000"/>
              <w:left w:val="single" w:sz="6" w:space="0" w:color="000000"/>
              <w:bottom w:val="single" w:sz="12" w:space="0" w:color="000000"/>
              <w:right w:val="single" w:sz="6" w:space="0" w:color="000000"/>
            </w:tcBorders>
          </w:tcPr>
          <w:p>
            <w:pP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715" w:right="82" w:hanging="629"/>
              <w:jc w:val="left"/>
              <w:rPr>
                <w:rFonts w:ascii="宋体" w:hAnsi="宋体" w:cs="宋体" w:eastAsia="宋体" w:hint="default"/>
                <w:sz w:val="18"/>
                <w:szCs w:val="18"/>
              </w:rPr>
            </w:pPr>
            <w:r>
              <w:rPr>
                <w:rFonts w:ascii="宋体" w:hAnsi="宋体" w:cs="宋体" w:eastAsia="宋体" w:hint="default"/>
                <w:sz w:val="18"/>
                <w:szCs w:val="18"/>
              </w:rPr>
              <w:t>整个存续期的预期信用 损失率</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46"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19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44" w:right="0"/>
              <w:jc w:val="left"/>
              <w:rPr>
                <w:rFonts w:ascii="宋体" w:hAnsi="宋体" w:cs="宋体" w:eastAsia="宋体" w:hint="default"/>
                <w:sz w:val="18"/>
                <w:szCs w:val="18"/>
              </w:rPr>
            </w:pPr>
            <w:r>
              <w:rPr>
                <w:rFonts w:ascii="宋体" w:hAnsi="宋体" w:cs="宋体" w:eastAsia="宋体" w:hint="default"/>
                <w:sz w:val="18"/>
                <w:szCs w:val="18"/>
              </w:rPr>
              <w:t>年末减值准备</w:t>
            </w:r>
          </w:p>
        </w:tc>
      </w:tr>
      <w:tr>
        <w:trPr>
          <w:trHeight w:val="350" w:hRule="exact"/>
        </w:trPr>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z w:val="18"/>
              </w:rPr>
              <w:t>6%</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140,978,018.31</w:t>
            </w:r>
          </w:p>
        </w:tc>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8,750,598.07</w:t>
            </w:r>
          </w:p>
        </w:tc>
      </w:tr>
      <w:tr>
        <w:trPr>
          <w:trHeight w:val="353" w:hRule="exact"/>
        </w:trPr>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47" w:right="0"/>
              <w:jc w:val="left"/>
              <w:rPr>
                <w:rFonts w:ascii="宋体" w:hAnsi="宋体" w:cs="宋体" w:eastAsia="宋体" w:hint="default"/>
                <w:sz w:val="18"/>
                <w:szCs w:val="18"/>
              </w:rPr>
            </w:pPr>
            <w:r>
              <w:rPr>
                <w:rFonts w:ascii="宋体" w:hAnsi="宋体" w:cs="宋体" w:eastAsia="宋体" w:hint="default"/>
                <w:sz w:val="18"/>
                <w:szCs w:val="18"/>
              </w:rPr>
              <w:t>逾期一年以内</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10"/>
              <w:jc w:val="right"/>
              <w:rPr>
                <w:rFonts w:ascii="Times New Roman" w:hAnsi="Times New Roman" w:cs="Times New Roman" w:eastAsia="Times New Roman" w:hint="default"/>
                <w:sz w:val="18"/>
                <w:szCs w:val="18"/>
              </w:rPr>
            </w:pPr>
            <w:r>
              <w:rPr>
                <w:rFonts w:ascii="Times New Roman"/>
                <w:sz w:val="18"/>
              </w:rPr>
              <w:t>9%</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72,160,427.11</w:t>
            </w:r>
          </w:p>
        </w:tc>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6,722,030.19</w:t>
            </w:r>
          </w:p>
        </w:tc>
      </w:tr>
      <w:tr>
        <w:trPr>
          <w:trHeight w:val="353" w:hRule="exact"/>
        </w:trPr>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w:t>
            </w:r>
            <w:r>
              <w:rPr>
                <w:rFonts w:ascii="宋体" w:hAnsi="宋体" w:cs="宋体" w:eastAsia="宋体" w:hint="default"/>
                <w:sz w:val="18"/>
                <w:szCs w:val="18"/>
              </w:rPr>
              <w:t>到</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1"/>
              <w:jc w:val="right"/>
              <w:rPr>
                <w:rFonts w:ascii="Times New Roman" w:hAnsi="Times New Roman" w:cs="Times New Roman" w:eastAsia="Times New Roman" w:hint="default"/>
                <w:sz w:val="18"/>
                <w:szCs w:val="18"/>
              </w:rPr>
            </w:pPr>
            <w:r>
              <w:rPr>
                <w:rFonts w:ascii="Times New Roman"/>
                <w:spacing w:val="-1"/>
                <w:sz w:val="18"/>
              </w:rPr>
              <w:t>30%</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23,809,284.54</w:t>
            </w:r>
          </w:p>
        </w:tc>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7,213,262.97</w:t>
            </w:r>
          </w:p>
        </w:tc>
      </w:tr>
      <w:tr>
        <w:trPr>
          <w:trHeight w:val="350" w:hRule="exact"/>
        </w:trPr>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2</w:t>
            </w:r>
            <w:r>
              <w:rPr>
                <w:rFonts w:ascii="宋体" w:hAnsi="宋体" w:cs="宋体" w:eastAsia="宋体" w:hint="default"/>
                <w:sz w:val="18"/>
                <w:szCs w:val="18"/>
              </w:rPr>
              <w:t>到</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1"/>
              <w:jc w:val="right"/>
              <w:rPr>
                <w:rFonts w:ascii="Times New Roman" w:hAnsi="Times New Roman" w:cs="Times New Roman" w:eastAsia="Times New Roman" w:hint="default"/>
                <w:sz w:val="18"/>
                <w:szCs w:val="18"/>
              </w:rPr>
            </w:pPr>
            <w:r>
              <w:rPr>
                <w:rFonts w:ascii="Times New Roman"/>
                <w:spacing w:val="-1"/>
                <w:sz w:val="18"/>
              </w:rPr>
              <w:t>35%</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17,485,970.74</w:t>
            </w:r>
          </w:p>
        </w:tc>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6,131,253.93</w:t>
            </w:r>
          </w:p>
        </w:tc>
      </w:tr>
      <w:tr>
        <w:trPr>
          <w:trHeight w:val="353" w:hRule="exact"/>
        </w:trPr>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47"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3</w:t>
            </w:r>
            <w:r>
              <w:rPr>
                <w:rFonts w:ascii="宋体" w:hAnsi="宋体" w:cs="宋体" w:eastAsia="宋体" w:hint="default"/>
                <w:sz w:val="18"/>
                <w:szCs w:val="18"/>
              </w:rPr>
              <w:t>到</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11"/>
              <w:jc w:val="right"/>
              <w:rPr>
                <w:rFonts w:ascii="Times New Roman" w:hAnsi="Times New Roman" w:cs="Times New Roman" w:eastAsia="Times New Roman" w:hint="default"/>
                <w:sz w:val="18"/>
                <w:szCs w:val="18"/>
              </w:rPr>
            </w:pPr>
            <w:r>
              <w:rPr>
                <w:rFonts w:ascii="Times New Roman"/>
                <w:spacing w:val="-1"/>
                <w:sz w:val="18"/>
              </w:rPr>
              <w:t>37%</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10,455,516.18</w:t>
            </w:r>
          </w:p>
        </w:tc>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3,914,240.02</w:t>
            </w:r>
          </w:p>
        </w:tc>
      </w:tr>
      <w:tr>
        <w:trPr>
          <w:trHeight w:val="353" w:hRule="exact"/>
        </w:trPr>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4</w:t>
            </w:r>
            <w:r>
              <w:rPr>
                <w:rFonts w:ascii="宋体" w:hAnsi="宋体" w:cs="宋体" w:eastAsia="宋体" w:hint="default"/>
                <w:sz w:val="18"/>
                <w:szCs w:val="18"/>
              </w:rPr>
              <w:t>到</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1"/>
              <w:jc w:val="right"/>
              <w:rPr>
                <w:rFonts w:ascii="Times New Roman" w:hAnsi="Times New Roman" w:cs="Times New Roman" w:eastAsia="Times New Roman" w:hint="default"/>
                <w:sz w:val="18"/>
                <w:szCs w:val="18"/>
              </w:rPr>
            </w:pPr>
            <w:r>
              <w:rPr>
                <w:rFonts w:ascii="Times New Roman"/>
                <w:spacing w:val="-1"/>
                <w:sz w:val="18"/>
              </w:rPr>
              <w:t>73%</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16,032,047.15</w:t>
            </w:r>
          </w:p>
        </w:tc>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11,673,256.63</w:t>
            </w:r>
          </w:p>
        </w:tc>
      </w:tr>
      <w:tr>
        <w:trPr>
          <w:trHeight w:val="350" w:hRule="exact"/>
        </w:trPr>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7"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1"/>
              <w:jc w:val="right"/>
              <w:rPr>
                <w:rFonts w:ascii="Times New Roman" w:hAnsi="Times New Roman" w:cs="Times New Roman" w:eastAsia="Times New Roman" w:hint="default"/>
                <w:sz w:val="18"/>
                <w:szCs w:val="18"/>
              </w:rPr>
            </w:pPr>
            <w:r>
              <w:rPr>
                <w:rFonts w:ascii="Times New Roman"/>
                <w:sz w:val="18"/>
              </w:rPr>
              <w:t>100%</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15,393,479.30</w:t>
            </w:r>
          </w:p>
        </w:tc>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15,393,479.30</w:t>
            </w:r>
          </w:p>
        </w:tc>
      </w:tr>
      <w:tr>
        <w:trPr>
          <w:trHeight w:val="353" w:hRule="exact"/>
        </w:trPr>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296,314,743.33</w:t>
            </w:r>
          </w:p>
        </w:tc>
        <w:tc>
          <w:tcPr>
            <w:tcW w:w="19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59,798,121.11</w:t>
            </w:r>
          </w:p>
        </w:tc>
      </w:tr>
    </w:tbl>
    <w:p>
      <w:pPr>
        <w:spacing w:line="240" w:lineRule="auto" w:before="3"/>
        <w:rPr>
          <w:rFonts w:ascii="宋体" w:hAnsi="宋体" w:cs="宋体" w:eastAsia="宋体" w:hint="default"/>
          <w:sz w:val="21"/>
          <w:szCs w:val="21"/>
        </w:rPr>
      </w:pPr>
    </w:p>
    <w:p>
      <w:pPr>
        <w:pStyle w:val="BodyText"/>
        <w:spacing w:line="300" w:lineRule="auto" w:before="44"/>
        <w:ind w:left="719" w:right="0"/>
        <w:jc w:val="left"/>
      </w:pPr>
      <w:r>
        <w:rPr>
          <w:spacing w:val="-1"/>
        </w:rPr>
        <w:t>违约损失率基于过去</w:t>
      </w:r>
      <w:r>
        <w:rPr>
          <w:rFonts w:ascii="Times New Roman" w:hAnsi="Times New Roman" w:cs="Times New Roman" w:eastAsia="Times New Roman" w:hint="default"/>
          <w:spacing w:val="-1"/>
        </w:rPr>
        <w:t>3</w:t>
      </w:r>
      <w:r>
        <w:rPr>
          <w:spacing w:val="-1"/>
        </w:rPr>
        <w:t>年的实际信用损失经验计算，并根据历史数据收集期间的经济状况、当前的经济状况与本集团</w:t>
      </w:r>
      <w:r>
        <w:rPr>
          <w:spacing w:val="-59"/>
        </w:rPr>
        <w:t> </w:t>
      </w:r>
      <w:r>
        <w:rPr>
          <w:spacing w:val="-59"/>
        </w:rPr>
      </w:r>
      <w:r>
        <w:rPr/>
        <w:t>所认为的预计存续期内的经济状况三者之间的差异进行调整。</w:t>
      </w:r>
    </w:p>
    <w:p>
      <w:pPr>
        <w:pStyle w:val="BodyText"/>
        <w:spacing w:line="600" w:lineRule="auto" w:before="32"/>
        <w:ind w:left="719" w:right="4787"/>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17"/>
        </w:rPr>
        <w:t> </w:t>
      </w:r>
      <w:r>
        <w:rPr>
          <w:rFonts w:ascii="Times New Roman" w:hAnsi="Times New Roman" w:cs="Times New Roman" w:eastAsia="Times New Roman" w:hint="default"/>
        </w:rPr>
        <w:t>2018</w:t>
      </w:r>
      <w:r>
        <w:rPr/>
        <w:t>年应收账款的减值</w:t>
      </w:r>
      <w:r>
        <w:rPr>
          <w:w w:val="99"/>
        </w:rPr>
        <w:t> </w:t>
      </w:r>
      <w:r>
        <w:rPr/>
        <w:t>在原金融工具准则下，有客观证明表明发生减值时才计提减值准备。</w:t>
      </w:r>
    </w:p>
    <w:p>
      <w:pPr>
        <w:spacing w:line="240" w:lineRule="auto" w:before="3"/>
        <w:rPr>
          <w:rFonts w:ascii="宋体" w:hAnsi="宋体" w:cs="宋体" w:eastAsia="宋体" w:hint="default"/>
          <w:sz w:val="8"/>
          <w:szCs w:val="8"/>
        </w:rPr>
      </w:pPr>
    </w:p>
    <w:tbl>
      <w:tblPr>
        <w:tblW w:w="0" w:type="auto"/>
        <w:jc w:val="left"/>
        <w:tblInd w:w="707" w:type="dxa"/>
        <w:tblLayout w:type="fixed"/>
        <w:tblCellMar>
          <w:top w:w="0" w:type="dxa"/>
          <w:left w:w="0" w:type="dxa"/>
          <w:bottom w:w="0" w:type="dxa"/>
          <w:right w:w="0" w:type="dxa"/>
        </w:tblCellMar>
        <w:tblLook w:val="01E0"/>
      </w:tblPr>
      <w:tblGrid>
        <w:gridCol w:w="3106"/>
        <w:gridCol w:w="1260"/>
        <w:gridCol w:w="812"/>
        <w:gridCol w:w="1260"/>
        <w:gridCol w:w="809"/>
        <w:gridCol w:w="1264"/>
      </w:tblGrid>
      <w:tr>
        <w:trPr>
          <w:trHeight w:val="355" w:hRule="exact"/>
        </w:trPr>
        <w:tc>
          <w:tcPr>
            <w:tcW w:w="3106" w:type="dxa"/>
            <w:vMerge w:val="restart"/>
            <w:tcBorders>
              <w:top w:val="single" w:sz="6" w:space="0" w:color="000000"/>
              <w:left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405" w:type="dxa"/>
            <w:gridSpan w:val="5"/>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余额</w:t>
            </w:r>
          </w:p>
        </w:tc>
      </w:tr>
      <w:tr>
        <w:trPr>
          <w:trHeight w:val="353" w:hRule="exact"/>
        </w:trPr>
        <w:tc>
          <w:tcPr>
            <w:tcW w:w="3106" w:type="dxa"/>
            <w:vMerge/>
            <w:tcBorders>
              <w:left w:val="single" w:sz="6" w:space="0" w:color="000000"/>
              <w:right w:val="single" w:sz="6" w:space="0" w:color="000000"/>
            </w:tcBorders>
          </w:tcPr>
          <w:p>
            <w:pPr/>
          </w:p>
        </w:tc>
        <w:tc>
          <w:tcPr>
            <w:tcW w:w="2072"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69"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4" w:type="dxa"/>
            <w:vMerge w:val="restart"/>
            <w:tcBorders>
              <w:top w:val="single" w:sz="12" w:space="0" w:color="000000"/>
              <w:left w:val="single" w:sz="6" w:space="0" w:color="000000"/>
              <w:right w:val="single" w:sz="6"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3" w:hRule="exact"/>
        </w:trPr>
        <w:tc>
          <w:tcPr>
            <w:tcW w:w="3106" w:type="dxa"/>
            <w:vMerge/>
            <w:tcBorders>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6"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264" w:type="dxa"/>
            <w:vMerge/>
            <w:tcBorders>
              <w:left w:val="single" w:sz="6" w:space="0" w:color="000000"/>
              <w:bottom w:val="single" w:sz="12" w:space="0" w:color="000000"/>
              <w:right w:val="single" w:sz="6"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707" w:type="dxa"/>
        <w:tblLayout w:type="fixed"/>
        <w:tblCellMar>
          <w:top w:w="0" w:type="dxa"/>
          <w:left w:w="0" w:type="dxa"/>
          <w:bottom w:w="0" w:type="dxa"/>
          <w:right w:w="0" w:type="dxa"/>
        </w:tblCellMar>
        <w:tblLook w:val="01E0"/>
      </w:tblPr>
      <w:tblGrid>
        <w:gridCol w:w="3106"/>
        <w:gridCol w:w="1260"/>
        <w:gridCol w:w="812"/>
        <w:gridCol w:w="1260"/>
        <w:gridCol w:w="809"/>
        <w:gridCol w:w="1260"/>
      </w:tblGrid>
      <w:tr>
        <w:trPr>
          <w:trHeight w:val="356" w:hRule="exact"/>
        </w:trPr>
        <w:tc>
          <w:tcPr>
            <w:tcW w:w="3106" w:type="dxa"/>
            <w:tcBorders>
              <w:top w:val="single" w:sz="6" w:space="0" w:color="000000"/>
              <w:left w:val="single" w:sz="6" w:space="0" w:color="000000"/>
              <w:bottom w:val="single" w:sz="12" w:space="0" w:color="000000"/>
              <w:right w:val="single" w:sz="6" w:space="0" w:color="000000"/>
            </w:tcBorders>
          </w:tcPr>
          <w:p>
            <w:pPr/>
          </w:p>
        </w:tc>
        <w:tc>
          <w:tcPr>
            <w:tcW w:w="1260" w:type="dxa"/>
            <w:tcBorders>
              <w:top w:val="single" w:sz="6" w:space="0" w:color="000000"/>
              <w:left w:val="single" w:sz="6" w:space="0" w:color="000000"/>
              <w:bottom w:val="single" w:sz="12" w:space="0" w:color="000000"/>
              <w:right w:val="single" w:sz="6" w:space="0" w:color="000000"/>
            </w:tcBorders>
          </w:tcPr>
          <w:p>
            <w:pPr/>
          </w:p>
        </w:tc>
        <w:tc>
          <w:tcPr>
            <w:tcW w:w="812" w:type="dxa"/>
            <w:tcBorders>
              <w:top w:val="single" w:sz="6" w:space="0" w:color="000000"/>
              <w:left w:val="single" w:sz="6" w:space="0" w:color="000000"/>
              <w:bottom w:val="single" w:sz="12" w:space="0" w:color="000000"/>
              <w:right w:val="single" w:sz="6" w:space="0" w:color="000000"/>
            </w:tcBorders>
          </w:tcPr>
          <w:p>
            <w:pPr/>
          </w:p>
        </w:tc>
        <w:tc>
          <w:tcPr>
            <w:tcW w:w="1260" w:type="dxa"/>
            <w:tcBorders>
              <w:top w:val="single" w:sz="6" w:space="0" w:color="000000"/>
              <w:left w:val="single" w:sz="6" w:space="0" w:color="000000"/>
              <w:bottom w:val="single" w:sz="12" w:space="0" w:color="000000"/>
              <w:right w:val="single" w:sz="6" w:space="0" w:color="000000"/>
            </w:tcBorders>
          </w:tcPr>
          <w:p>
            <w:pPr/>
          </w:p>
        </w:tc>
        <w:tc>
          <w:tcPr>
            <w:tcW w:w="8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4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p>
        </w:tc>
        <w:tc>
          <w:tcPr>
            <w:tcW w:w="1260" w:type="dxa"/>
            <w:tcBorders>
              <w:top w:val="single" w:sz="6" w:space="0" w:color="000000"/>
              <w:left w:val="single" w:sz="6" w:space="0" w:color="000000"/>
              <w:bottom w:val="single" w:sz="12" w:space="0" w:color="000000"/>
              <w:right w:val="single" w:sz="6" w:space="0" w:color="000000"/>
            </w:tcBorders>
          </w:tcPr>
          <w:p>
            <w:pPr/>
          </w:p>
        </w:tc>
      </w:tr>
      <w:tr>
        <w:trPr>
          <w:trHeight w:val="662" w:hRule="exact"/>
        </w:trPr>
        <w:tc>
          <w:tcPr>
            <w:tcW w:w="310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75" w:right="113"/>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 的应收账款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2,273,625.00</w:t>
            </w:r>
          </w:p>
        </w:tc>
        <w:tc>
          <w:tcPr>
            <w:tcW w:w="8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2,273,625.00</w:t>
            </w:r>
          </w:p>
        </w:tc>
        <w:tc>
          <w:tcPr>
            <w:tcW w:w="8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100</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5" w:hRule="exact"/>
        </w:trPr>
        <w:tc>
          <w:tcPr>
            <w:tcW w:w="310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
              <w:ind w:left="275" w:right="113"/>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 的应收账款</w:t>
            </w:r>
          </w:p>
        </w:tc>
        <w:tc>
          <w:tcPr>
            <w:tcW w:w="1260" w:type="dxa"/>
            <w:tcBorders>
              <w:top w:val="single" w:sz="12" w:space="0" w:color="000000"/>
              <w:left w:val="single" w:sz="6" w:space="0" w:color="000000"/>
              <w:bottom w:val="single" w:sz="12" w:space="0" w:color="000000"/>
              <w:right w:val="single" w:sz="6" w:space="0" w:color="000000"/>
            </w:tcBorders>
          </w:tcPr>
          <w:p>
            <w:pPr/>
          </w:p>
        </w:tc>
        <w:tc>
          <w:tcPr>
            <w:tcW w:w="812"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
        </w:tc>
        <w:tc>
          <w:tcPr>
            <w:tcW w:w="809" w:type="dxa"/>
            <w:tcBorders>
              <w:top w:val="single" w:sz="12" w:space="0" w:color="000000"/>
              <w:left w:val="single" w:sz="6" w:space="0" w:color="000000"/>
              <w:bottom w:val="single" w:sz="12" w:space="0" w:color="000000"/>
              <w:right w:val="single" w:sz="6" w:space="0" w:color="000000"/>
            </w:tcBorders>
          </w:tcPr>
          <w:p>
            <w:pPr/>
          </w:p>
        </w:tc>
        <w:tc>
          <w:tcPr>
            <w:tcW w:w="1260" w:type="dxa"/>
            <w:tcBorders>
              <w:top w:val="single" w:sz="12" w:space="0" w:color="000000"/>
              <w:left w:val="single" w:sz="6" w:space="0" w:color="000000"/>
              <w:bottom w:val="single" w:sz="12" w:space="0" w:color="000000"/>
              <w:right w:val="single" w:sz="6" w:space="0" w:color="000000"/>
            </w:tcBorders>
          </w:tcPr>
          <w:p>
            <w:pPr/>
          </w:p>
        </w:tc>
      </w:tr>
      <w:tr>
        <w:trPr>
          <w:trHeight w:val="353" w:hRule="exact"/>
        </w:trPr>
        <w:tc>
          <w:tcPr>
            <w:tcW w:w="31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 (</w:t>
            </w:r>
            <w:r>
              <w:rPr>
                <w:rFonts w:ascii="宋体" w:hAnsi="宋体" w:cs="宋体" w:eastAsia="宋体" w:hint="default"/>
                <w:sz w:val="18"/>
                <w:szCs w:val="18"/>
              </w:rPr>
              <w:t>第三方公司</w:t>
            </w:r>
            <w:r>
              <w:rPr>
                <w:rFonts w:ascii="Times New Roman" w:hAnsi="Times New Roman" w:cs="Times New Roman" w:eastAsia="Times New Roman" w:hint="default"/>
                <w:sz w:val="18"/>
                <w:szCs w:val="18"/>
              </w:rPr>
              <w:t>)</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213,998,345.10</w:t>
            </w:r>
          </w:p>
        </w:tc>
        <w:tc>
          <w:tcPr>
            <w:tcW w:w="8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87</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47,858,918.86</w:t>
            </w:r>
          </w:p>
        </w:tc>
        <w:tc>
          <w:tcPr>
            <w:tcW w:w="8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22</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166,139,426.24</w:t>
            </w:r>
          </w:p>
        </w:tc>
      </w:tr>
      <w:tr>
        <w:trPr>
          <w:trHeight w:val="350" w:hRule="exact"/>
        </w:trPr>
        <w:tc>
          <w:tcPr>
            <w:tcW w:w="31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 (</w:t>
            </w:r>
            <w:r>
              <w:rPr>
                <w:rFonts w:ascii="宋体" w:hAnsi="宋体" w:cs="宋体" w:eastAsia="宋体" w:hint="default"/>
                <w:sz w:val="18"/>
                <w:szCs w:val="18"/>
              </w:rPr>
              <w:t>集团内部公司</w:t>
            </w:r>
            <w:r>
              <w:rPr>
                <w:rFonts w:ascii="Times New Roman" w:hAnsi="Times New Roman" w:cs="Times New Roman" w:eastAsia="Times New Roman" w:hint="default"/>
                <w:sz w:val="18"/>
                <w:szCs w:val="18"/>
              </w:rPr>
              <w:t>)</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29,797,918.83</w:t>
            </w:r>
          </w:p>
        </w:tc>
        <w:tc>
          <w:tcPr>
            <w:tcW w:w="8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12</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29,797,918.83</w:t>
            </w:r>
          </w:p>
        </w:tc>
      </w:tr>
      <w:tr>
        <w:trPr>
          <w:trHeight w:val="353" w:hRule="exact"/>
        </w:trPr>
        <w:tc>
          <w:tcPr>
            <w:tcW w:w="31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5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243,796,263.93</w:t>
            </w:r>
          </w:p>
        </w:tc>
        <w:tc>
          <w:tcPr>
            <w:tcW w:w="8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99</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47,858,918.86</w:t>
            </w:r>
          </w:p>
        </w:tc>
        <w:tc>
          <w:tcPr>
            <w:tcW w:w="8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20</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195,937,345.07</w:t>
            </w:r>
          </w:p>
        </w:tc>
      </w:tr>
      <w:tr>
        <w:trPr>
          <w:trHeight w:val="665" w:hRule="exact"/>
        </w:trPr>
        <w:tc>
          <w:tcPr>
            <w:tcW w:w="310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52" w:right="38"/>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 备的应收账款</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760,600.00</w:t>
            </w:r>
          </w:p>
        </w:tc>
        <w:tc>
          <w:tcPr>
            <w:tcW w:w="8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760,600.00</w:t>
            </w:r>
          </w:p>
        </w:tc>
        <w:tc>
          <w:tcPr>
            <w:tcW w:w="8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100</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1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5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246,830,488.93</w:t>
            </w:r>
          </w:p>
        </w:tc>
        <w:tc>
          <w:tcPr>
            <w:tcW w:w="8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100</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50,893,143.86</w:t>
            </w:r>
          </w:p>
        </w:tc>
        <w:tc>
          <w:tcPr>
            <w:tcW w:w="8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21</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195,937,345.07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600" w:lineRule="auto" w:before="44"/>
        <w:ind w:left="719" w:right="6137"/>
        <w:jc w:val="left"/>
      </w:pPr>
      <w:r>
        <w:rPr>
          <w:rFonts w:ascii="Times New Roman" w:hAnsi="Times New Roman" w:cs="Times New Roman" w:eastAsia="Times New Roman" w:hint="default"/>
        </w:rPr>
        <w:t>2018</w:t>
      </w:r>
      <w:r>
        <w:rPr/>
        <w:t>年按组合计提坏账准备的确认标准及说明： 组合</w:t>
      </w:r>
      <w:r>
        <w:rPr>
          <w:rFonts w:ascii="Times New Roman" w:hAnsi="Times New Roman" w:cs="Times New Roman" w:eastAsia="Times New Roman" w:hint="default"/>
        </w:rPr>
        <w:t>1</w:t>
      </w:r>
      <w:r>
        <w:rPr/>
        <w:t>中，按账龄分析法计提坏账准备的应收账款：</w:t>
      </w:r>
    </w:p>
    <w:p>
      <w:pPr>
        <w:spacing w:line="240" w:lineRule="auto" w:before="13"/>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665"/>
        <w:gridCol w:w="1987"/>
        <w:gridCol w:w="1988"/>
        <w:gridCol w:w="1988"/>
      </w:tblGrid>
      <w:tr>
        <w:trPr>
          <w:trHeight w:val="353" w:hRule="exact"/>
        </w:trPr>
        <w:tc>
          <w:tcPr>
            <w:tcW w:w="2665"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963"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665" w:type="dxa"/>
            <w:vMerge/>
            <w:tcBorders>
              <w:left w:val="single" w:sz="6" w:space="0" w:color="000000"/>
              <w:bottom w:val="single" w:sz="12" w:space="0" w:color="000000"/>
              <w:right w:val="single" w:sz="6" w:space="0" w:color="000000"/>
            </w:tcBorders>
          </w:tcPr>
          <w:p>
            <w:pP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6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6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
              <w:ind w:left="4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p>
        </w:tc>
      </w:tr>
      <w:tr>
        <w:trPr>
          <w:trHeight w:val="353" w:hRule="exact"/>
        </w:trPr>
        <w:tc>
          <w:tcPr>
            <w:tcW w:w="2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120,038,491.84</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6,001,924.59</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5</w:t>
            </w:r>
          </w:p>
        </w:tc>
      </w:tr>
      <w:tr>
        <w:trPr>
          <w:trHeight w:val="350" w:hRule="exact"/>
        </w:trPr>
        <w:tc>
          <w:tcPr>
            <w:tcW w:w="2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31,036,813.98</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3,103,681.40</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10</w:t>
            </w:r>
          </w:p>
        </w:tc>
      </w:tr>
      <w:tr>
        <w:trPr>
          <w:trHeight w:val="353" w:hRule="exact"/>
        </w:trPr>
        <w:tc>
          <w:tcPr>
            <w:tcW w:w="2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15,310,283.98</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4,593,085.19</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sz w:val="18"/>
              </w:rPr>
              <w:t>30</w:t>
            </w:r>
          </w:p>
        </w:tc>
      </w:tr>
      <w:tr>
        <w:trPr>
          <w:trHeight w:val="353" w:hRule="exact"/>
        </w:trPr>
        <w:tc>
          <w:tcPr>
            <w:tcW w:w="2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19,947,202.26</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9,973,601.13</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50</w:t>
            </w:r>
          </w:p>
        </w:tc>
      </w:tr>
      <w:tr>
        <w:trPr>
          <w:trHeight w:val="350" w:hRule="exact"/>
        </w:trPr>
        <w:tc>
          <w:tcPr>
            <w:tcW w:w="2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17,394,632.43</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13,915,705.94</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80</w:t>
            </w:r>
          </w:p>
        </w:tc>
      </w:tr>
      <w:tr>
        <w:trPr>
          <w:trHeight w:val="353" w:hRule="exact"/>
        </w:trPr>
        <w:tc>
          <w:tcPr>
            <w:tcW w:w="2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10,270,920.61</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10,270,920.61</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26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213,998,345.10</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47,858,918.86</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22</w:t>
            </w:r>
          </w:p>
        </w:tc>
      </w:tr>
    </w:tbl>
    <w:p>
      <w:pPr>
        <w:spacing w:line="240" w:lineRule="auto" w:before="3"/>
        <w:rPr>
          <w:rFonts w:ascii="宋体" w:hAnsi="宋体" w:cs="宋体" w:eastAsia="宋体" w:hint="default"/>
          <w:sz w:val="21"/>
          <w:szCs w:val="21"/>
        </w:rPr>
      </w:pPr>
    </w:p>
    <w:p>
      <w:pPr>
        <w:pStyle w:val="BodyText"/>
        <w:tabs>
          <w:tab w:pos="1833" w:val="left" w:leader="none"/>
        </w:tabs>
        <w:spacing w:line="300" w:lineRule="auto" w:before="44"/>
        <w:ind w:left="1286" w:right="1133"/>
        <w:jc w:val="left"/>
      </w:pPr>
      <w:r>
        <w:rPr>
          <w:rFonts w:ascii="Times New Roman" w:hAnsi="Times New Roman" w:cs="Times New Roman" w:eastAsia="Times New Roman" w:hint="default"/>
          <w:spacing w:val="-1"/>
        </w:rPr>
        <w:t>A</w:t>
      </w:r>
      <w:r>
        <w:rPr>
          <w:spacing w:val="-1"/>
        </w:rPr>
        <w:t>、</w:t>
        <w:tab/>
      </w:r>
      <w:r>
        <w:rPr>
          <w:spacing w:val="-2"/>
        </w:rPr>
        <w:t>单项金额重大的应收账款是指单笔金额</w:t>
      </w:r>
      <w:r>
        <w:rPr>
          <w:rFonts w:ascii="Times New Roman" w:hAnsi="Times New Roman" w:cs="Times New Roman" w:eastAsia="Times New Roman" w:hint="default"/>
          <w:spacing w:val="-2"/>
        </w:rPr>
        <w:t>100</w:t>
      </w:r>
      <w:r>
        <w:rPr>
          <w:spacing w:val="-2"/>
        </w:rPr>
        <w:t>万元以上的客户应收账款，经减值测试后不存在减值，公司</w:t>
      </w:r>
      <w:r>
        <w:rPr>
          <w:spacing w:val="-52"/>
        </w:rPr>
        <w:t> </w:t>
      </w:r>
      <w:r>
        <w:rPr>
          <w:spacing w:val="-52"/>
        </w:rPr>
      </w:r>
      <w:r>
        <w:rPr/>
        <w:t>按照账龄分析法计提坏账准备；</w:t>
      </w:r>
    </w:p>
    <w:p>
      <w:pPr>
        <w:pStyle w:val="BodyText"/>
        <w:tabs>
          <w:tab w:pos="1833" w:val="left" w:leader="none"/>
        </w:tabs>
        <w:spacing w:line="624" w:lineRule="exact" w:before="54"/>
        <w:ind w:left="714" w:right="2106" w:firstLine="571"/>
        <w:jc w:val="left"/>
      </w:pPr>
      <w:r>
        <w:rPr>
          <w:rFonts w:ascii="Times New Roman" w:hAnsi="Times New Roman" w:cs="Times New Roman" w:eastAsia="Times New Roman" w:hint="default"/>
          <w:spacing w:val="-1"/>
        </w:rPr>
        <w:t>B</w:t>
      </w:r>
      <w:r>
        <w:rPr>
          <w:spacing w:val="-1"/>
        </w:rPr>
        <w:t>、</w:t>
        <w:tab/>
      </w:r>
      <w:r>
        <w:rPr/>
        <w:t>本报告期应收账款中无持本公司 </w:t>
      </w:r>
      <w:r>
        <w:rPr>
          <w:rFonts w:ascii="Times New Roman" w:hAnsi="Times New Roman" w:cs="Times New Roman" w:eastAsia="Times New Roman" w:hint="default"/>
        </w:rPr>
        <w:t>5</w:t>
      </w:r>
      <w:r>
        <w:rPr/>
        <w:t>％以上 </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1"/>
        </w:rPr>
        <w:t>表决权股份的股东单位欠款。</w:t>
      </w:r>
      <w:r>
        <w:rPr/>
        <w:t> 组合</w:t>
      </w:r>
      <w:r>
        <w:rPr>
          <w:rFonts w:ascii="Times New Roman" w:hAnsi="Times New Roman" w:cs="Times New Roman" w:eastAsia="Times New Roman" w:hint="default"/>
        </w:rPr>
        <w:t>2</w:t>
      </w:r>
      <w:r>
        <w:rPr/>
        <w:t>为应收集团内关联公司款项，本公司统筹集团内公司的资金使用，因此对组合</w:t>
      </w:r>
      <w:r>
        <w:rPr>
          <w:rFonts w:ascii="Times New Roman" w:hAnsi="Times New Roman" w:cs="Times New Roman" w:eastAsia="Times New Roman" w:hint="default"/>
        </w:rPr>
        <w:t>2</w:t>
      </w:r>
      <w:r>
        <w:rPr/>
        <w:t>不计提坏账准备。</w:t>
      </w:r>
    </w:p>
    <w:p>
      <w:pPr>
        <w:pStyle w:val="BodyText"/>
        <w:spacing w:line="213" w:lineRule="exact"/>
        <w:ind w:right="0"/>
        <w:jc w:val="left"/>
      </w:pPr>
      <w:r>
        <w:rPr/>
        <w:t>坏账准备的变动情况</w:t>
      </w:r>
    </w:p>
    <w:p>
      <w:pPr>
        <w:spacing w:line="240" w:lineRule="auto" w:before="12"/>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772"/>
        <w:gridCol w:w="1961"/>
        <w:gridCol w:w="1988"/>
      </w:tblGrid>
      <w:tr>
        <w:trPr>
          <w:trHeight w:val="355" w:hRule="exact"/>
        </w:trPr>
        <w:tc>
          <w:tcPr>
            <w:tcW w:w="4772" w:type="dxa"/>
            <w:tcBorders>
              <w:top w:val="single" w:sz="6" w:space="0" w:color="000000"/>
              <w:left w:val="single" w:sz="6" w:space="0" w:color="000000"/>
              <w:bottom w:val="single" w:sz="12" w:space="0" w:color="000000"/>
              <w:right w:val="single" w:sz="6" w:space="0" w:color="000000"/>
            </w:tcBorders>
          </w:tcPr>
          <w:p>
            <w:pP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9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50" w:hRule="exact"/>
        </w:trPr>
        <w:tc>
          <w:tcPr>
            <w:tcW w:w="4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原金融工具准则下的余额</w:t>
            </w:r>
          </w:p>
        </w:tc>
        <w:tc>
          <w:tcPr>
            <w:tcW w:w="19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50,893,143.86</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39,291,297.60</w:t>
            </w:r>
          </w:p>
        </w:tc>
      </w:tr>
      <w:tr>
        <w:trPr>
          <w:trHeight w:val="353" w:hRule="exact"/>
        </w:trPr>
        <w:tc>
          <w:tcPr>
            <w:tcW w:w="4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首次执行新金融工具准则的调整金额</w:t>
            </w:r>
          </w:p>
        </w:tc>
        <w:tc>
          <w:tcPr>
            <w:tcW w:w="19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4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调整后的年初余额</w:t>
            </w:r>
          </w:p>
        </w:tc>
        <w:tc>
          <w:tcPr>
            <w:tcW w:w="19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sz w:val="18"/>
              </w:rPr>
              <w:t>50,893,143.86</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39,291,297.60</w:t>
            </w:r>
          </w:p>
        </w:tc>
      </w:tr>
      <w:tr>
        <w:trPr>
          <w:trHeight w:val="350" w:hRule="exact"/>
        </w:trPr>
        <w:tc>
          <w:tcPr>
            <w:tcW w:w="4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9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13,203,365.65</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12,345,696.26</w:t>
            </w:r>
          </w:p>
        </w:tc>
      </w:tr>
      <w:tr>
        <w:trPr>
          <w:trHeight w:val="355" w:hRule="exact"/>
        </w:trPr>
        <w:tc>
          <w:tcPr>
            <w:tcW w:w="4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本年收回或转回</w:t>
            </w:r>
          </w:p>
        </w:tc>
        <w:tc>
          <w:tcPr>
            <w:tcW w:w="19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sz w:val="18"/>
              </w:rPr>
              <w:t>4,298,388.40</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743,850.00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772"/>
        <w:gridCol w:w="1961"/>
        <w:gridCol w:w="1988"/>
      </w:tblGrid>
      <w:tr>
        <w:trPr>
          <w:trHeight w:val="356" w:hRule="exact"/>
        </w:trPr>
        <w:tc>
          <w:tcPr>
            <w:tcW w:w="4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本年核销</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4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59,798,121.11</w:t>
            </w:r>
          </w:p>
        </w:tc>
        <w:tc>
          <w:tcPr>
            <w:tcW w:w="198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50,893,143.86</w:t>
            </w:r>
          </w:p>
        </w:tc>
      </w:tr>
    </w:tbl>
    <w:p>
      <w:pPr>
        <w:pStyle w:val="BodyText"/>
        <w:spacing w:line="240" w:lineRule="auto" w:before="51"/>
        <w:ind w:right="0"/>
        <w:jc w:val="left"/>
      </w:pPr>
      <w:r>
        <w:rPr/>
        <w:t>按账龄披露</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181,489,768.43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45,832,031.01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16,705,047.99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52,287,895.90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296,314,743.33</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right="0"/>
        <w:jc w:val="left"/>
      </w:pPr>
      <w:r>
        <w:rPr/>
        <w:t>本公司本年无金额重大的坏账收回或转回情况。</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right="7154"/>
        <w:jc w:val="left"/>
      </w:pPr>
      <w:r>
        <w:rPr/>
        <w:t>应收账款核销说明： 本公司本年无金额重大的应收账款核销情况。</w:t>
      </w:r>
    </w:p>
    <w:p>
      <w:pPr>
        <w:spacing w:line="240" w:lineRule="auto" w:before="3"/>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footerReference w:type="default" r:id="rId19"/>
          <w:pgSz w:w="11910" w:h="16840"/>
          <w:pgMar w:footer="975" w:header="748"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47,808,547.28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2,390,427.36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12,654,777.30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2,767,051.30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10,679,448.00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533,972.40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8,847,593.90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983,970.90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8,501,038.20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1,083,282.88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88,491,404.68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本期无因金融资产转移而终止确认应收账款的情况。</w:t>
      </w:r>
    </w:p>
    <w:p>
      <w:pPr>
        <w:spacing w:line="240" w:lineRule="auto" w:before="0"/>
        <w:rPr>
          <w:rFonts w:ascii="宋体" w:hAnsi="宋体" w:cs="宋体" w:eastAsia="宋体" w:hint="default"/>
          <w:sz w:val="18"/>
          <w:szCs w:val="18"/>
        </w:rPr>
      </w:pPr>
    </w:p>
    <w:p>
      <w:pPr>
        <w:pStyle w:val="Heading6"/>
        <w:spacing w:line="240" w:lineRule="auto" w:before="118"/>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074"/>
        <w:jc w:val="left"/>
      </w:pPr>
      <w:r>
        <w:rPr/>
        <w:t>本期无转移应收账款且继续涉入形成的资产、负债的金额。 其他说明：</w:t>
      </w:r>
    </w:p>
    <w:p>
      <w:pPr>
        <w:spacing w:line="240" w:lineRule="auto" w:before="2"/>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14,794.52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49,173,849.04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11,258,427.52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49,173,849.04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11,273,222.04</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14,794.52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14,794.52</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after="0" w:line="240" w:lineRule="auto"/>
        <w:jc w:val="left"/>
        <w:sectPr>
          <w:footerReference w:type="default" r:id="rId20"/>
          <w:pgSz w:w="11910" w:h="16840"/>
          <w:pgMar w:footer="975" w:header="748" w:top="1060" w:bottom="1160" w:left="980" w:right="0"/>
          <w:pgNumType w:start="201"/>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42,313,810.50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4,107,902.97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其他应收第三方公司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7,781,078.83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8,859,057.96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-921,040.29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-1,708,533.41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49,173,849.04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11,258,427.52</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6" w:right="0"/>
              <w:jc w:val="left"/>
              <w:rPr>
                <w:rFonts w:ascii="Times New Roman" w:hAnsi="Times New Roman" w:cs="Times New Roman" w:eastAsia="Times New Roman" w:hint="default"/>
                <w:sz w:val="18"/>
                <w:szCs w:val="18"/>
              </w:rPr>
            </w:pPr>
            <w:r>
              <w:rPr>
                <w:rFonts w:ascii="Times New Roman"/>
                <w:sz w:val="18"/>
              </w:rPr>
              <w:t>850,281.68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55" w:right="0"/>
              <w:jc w:val="left"/>
              <w:rPr>
                <w:rFonts w:ascii="Times New Roman" w:hAnsi="Times New Roman" w:cs="Times New Roman" w:eastAsia="Times New Roman" w:hint="default"/>
                <w:sz w:val="18"/>
                <w:szCs w:val="18"/>
              </w:rPr>
            </w:pPr>
            <w:r>
              <w:rPr>
                <w:rFonts w:ascii="Times New Roman"/>
                <w:sz w:val="18"/>
              </w:rPr>
              <w:t>858,251.73</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5" w:right="0"/>
              <w:jc w:val="left"/>
              <w:rPr>
                <w:rFonts w:ascii="Times New Roman" w:hAnsi="Times New Roman" w:cs="Times New Roman" w:eastAsia="Times New Roman" w:hint="default"/>
                <w:sz w:val="18"/>
                <w:szCs w:val="18"/>
              </w:rPr>
            </w:pPr>
            <w:r>
              <w:rPr>
                <w:rFonts w:ascii="Times New Roman"/>
                <w:sz w:val="18"/>
              </w:rPr>
              <w:t>1,708,533.41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3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-54,750.00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54,750.00</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239,319.26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114,666.36</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353,985.62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771,720.19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369,758.55</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1,141,478.74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263,130.75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657,909.54</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921,040.29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pStyle w:val="BodyText"/>
        <w:spacing w:line="240" w:lineRule="auto" w:before="51"/>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47,830,550.67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1,058,386.92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450,792.20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755,159.54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50,094,889.33</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78"/>
        <w:gridCol w:w="1088"/>
        <w:gridCol w:w="1332"/>
        <w:gridCol w:w="1452"/>
        <w:gridCol w:w="1198"/>
        <w:gridCol w:w="1347"/>
        <w:gridCol w:w="1574"/>
      </w:tblGrid>
      <w:tr>
        <w:trPr>
          <w:trHeight w:val="402" w:hRule="exact"/>
        </w:trPr>
        <w:tc>
          <w:tcPr>
            <w:tcW w:w="1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78"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right="0"/>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股权收购意向金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中关村发展集团股份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570,506.92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57,050.69</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深圳市联泰房地产开 发有限公司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291,608.00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14,580.40</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柳州市公共资源交易 服务中心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大邑县新场镇人民政 府</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6,270,114.92</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168,431.09</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8"/>
        <w:gridCol w:w="194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64,548,238.03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13,502,624.83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51,045,613.20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52,132,838.03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5,186,451.53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46,946,386.50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3,737,477.72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3,737,477.72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3,326,501.86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3,326,501.86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68,285,715.75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13,502,624.83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54,783,090.92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55,459,339.89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5,186,451.53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50,272,888.36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391" w:right="29"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市政中心</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9,427,838.03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9,427,838.03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迪赛恩</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艾科筑业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134,931.69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134,931.69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240,068.31</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深圳艾科城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2,016,551.26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2,016,551.26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983,448.74</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北京艾科城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建研检测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常州城建艾科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上海爱轲</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2,501,185.65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2,501,185.65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498,814.35</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深圳玖伊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735,879.87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735,879.87</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雄安玖壹</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594,793.53</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9,405,206.47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594,793.53</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绿研检验</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4,885,085.44</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5,114,914.56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4,885,085.44</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建信筑和</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2,100,414.46</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899,585.54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2,100,414.46</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湖北建胜</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12,415,400.00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12,415,400.00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46,946,386.50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12,415,400.00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8,316,173.30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51,045,613.20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13,502,624.83</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荆门玖伊 园科技有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1,217,986</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-133,589.</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1,084,397</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雄安绿研 智库有限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2,108,514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-343,670.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1,764,844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六邻科技</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-111,764.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888,235.9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3,326,501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3,737,477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3,326,501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-589,024.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3,737,477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5"/>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344,091,278.38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222,678,730.61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294,125,936.74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165,675,073.06</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344,091,278.38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222,678,730.61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294,125,936.74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165,675,073.06</w:t>
            </w:r>
          </w:p>
        </w:tc>
      </w:tr>
    </w:tbl>
    <w:p>
      <w:pPr>
        <w:pStyle w:val="BodyText"/>
        <w:spacing w:line="240" w:lineRule="auto" w:before="51"/>
        <w:ind w:right="0"/>
        <w:jc w:val="left"/>
      </w:pPr>
      <w:r>
        <w:rPr/>
        <w:t>是否已执行新收入准则</w:t>
      </w:r>
    </w:p>
    <w:p>
      <w:pPr>
        <w:pStyle w:val="BodyText"/>
        <w:spacing w:line="340" w:lineRule="auto" w:before="115"/>
        <w:ind w:right="9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3"/>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5,551,648.62</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-589,024.14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-558,150.57</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2,198,511.87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1,220,968.47</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1,609,487.73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6,214,466.52</w:t>
            </w:r>
          </w:p>
        </w:tc>
      </w:tr>
    </w:tbl>
    <w:p>
      <w:pPr>
        <w:spacing w:line="240" w:lineRule="auto" w:before="3"/>
        <w:rPr>
          <w:rFonts w:ascii="宋体" w:hAnsi="宋体" w:cs="宋体" w:eastAsia="宋体" w:hint="default"/>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-7,641.55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32,618,947.45</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67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49"/>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2,948,458.44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2,353,889.40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67,817.03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5,907,187.02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16,256.85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32,058,026.90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7"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0.2497</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0.0311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0.0311</w:t>
            </w:r>
          </w:p>
        </w:tc>
      </w:tr>
    </w:tbl>
    <w:p>
      <w:pPr>
        <w:spacing w:line="240" w:lineRule="auto" w:before="3"/>
        <w:rPr>
          <w:rFonts w:ascii="宋体" w:hAnsi="宋体" w:cs="宋体" w:eastAsia="宋体" w:hint="default"/>
          <w:b/>
          <w:bCs/>
          <w:sz w:val="19"/>
          <w:szCs w:val="19"/>
        </w:rPr>
      </w:pPr>
    </w:p>
    <w:p>
      <w:pPr>
        <w:pStyle w:val="Heading6"/>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6"/>
        <w:spacing w:line="259" w:lineRule="auto" w:before="36"/>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8" w:footer="975"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0"/>
        <w:jc w:val="left"/>
        <w:rPr>
          <w:b w:val="0"/>
          <w:bCs w:val="0"/>
        </w:rPr>
      </w:pPr>
      <w:bookmarkStart w:name="_bookmark12" w:id="13"/>
      <w:bookmarkEnd w:id="13"/>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2474"/>
        <w:jc w:val="left"/>
      </w:pPr>
      <w:r>
        <w:rPr/>
        <w:t>一、载有公司负责人、主管会计工作负责人、会计机构负责人（会计主管人员）签名并盖章的财务报表。 二、载有会计师事务所盖章、注册会计师签名并盖章的审计报告原件。 三、报告期内在中国证监会指定网站上公开披露过的所有公司文件的正本及公告的原稿。 四、载有法定代表人签名的公司</w:t>
      </w:r>
      <w:r>
        <w:rPr>
          <w:rFonts w:ascii="Times New Roman" w:hAnsi="Times New Roman" w:cs="Times New Roman" w:eastAsia="Times New Roman" w:hint="default"/>
        </w:rPr>
        <w:t>2019</w:t>
      </w:r>
      <w:r>
        <w:rPr/>
        <w:t>年年度报告文本。</w:t>
      </w:r>
    </w:p>
    <w:p>
      <w:pPr>
        <w:pStyle w:val="BodyText"/>
        <w:spacing w:line="316" w:lineRule="auto"/>
        <w:ind w:right="6974"/>
        <w:jc w:val="left"/>
      </w:pPr>
      <w:r>
        <w:rPr/>
        <w:t>五、其他备查文件。 六、以上文件的备置地点：公司董事会办公室。</w:t>
      </w:r>
    </w:p>
    <w:sectPr>
      <w:pgSz w:w="11910" w:h="16840"/>
      <w:pgMar w:header="748" w:footer="975"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Light">
    <w:altName w:val="等线 Light"/>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4904" type="#_x0000_t75" stroked="false">
          <v:imagedata r:id="rId1" o:title=""/>
        </v:shape>
      </w:pict>
    </w:r>
    <w:r>
      <w:rPr/>
      <w:pict>
        <v:shape style="position:absolute;margin-left:533.099976pt;margin-top:795.853943pt;width:6.5pt;height:11pt;mso-position-horizontal-relative:page;mso-position-vertical-relative:page;z-index:-11648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4856" type="#_x0000_t75" stroked="false">
          <v:imagedata r:id="rId1" o:title=""/>
        </v:shape>
      </w:pict>
    </w:r>
    <w:r>
      <w:rPr/>
      <w:pict>
        <v:shape style="position:absolute;margin-left:527.659973pt;margin-top:782.173889pt;width:13.15pt;height:11pt;mso-position-horizontal-relative:page;mso-position-vertical-relative:page;z-index:-1164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4808" type="#_x0000_t75" stroked="false">
          <v:imagedata r:id="rId1" o:title=""/>
        </v:shape>
      </w:pict>
    </w:r>
    <w:r>
      <w:rPr/>
      <w:pict>
        <v:shape style="position:absolute;margin-left:524.099976pt;margin-top:782.173889pt;width:15.7pt;height:11pt;mso-position-horizontal-relative:page;mso-position-vertical-relative:page;z-index:-11647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4760" type="#_x0000_t75" stroked="false">
          <v:imagedata r:id="rId1" o:title=""/>
        </v:shape>
      </w:pict>
    </w:r>
    <w:r>
      <w:rPr/>
      <w:pict>
        <v:shape style="position:absolute;margin-left:523.099976pt;margin-top:782.173889pt;width:17.7pt;height:11pt;mso-position-horizontal-relative:page;mso-position-vertical-relative:page;z-index:-1164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4712" type="#_x0000_t75" stroked="false">
          <v:imagedata r:id="rId1" o:title=""/>
        </v:shape>
      </w:pict>
    </w:r>
    <w:r>
      <w:rPr/>
      <w:pict>
        <v:shape style="position:absolute;margin-left:523.460022pt;margin-top:782.173889pt;width:17.3pt;height:11pt;mso-position-horizontal-relative:page;mso-position-vertical-relative:page;z-index:-1164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4664" type="#_x0000_t75" stroked="false">
          <v:imagedata r:id="rId1" o:title=""/>
        </v:shape>
      </w:pict>
    </w:r>
    <w:r>
      <w:rPr/>
      <w:pict>
        <v:shape style="position:absolute;margin-left:523.099976pt;margin-top:782.173889pt;width:17.7pt;height:11pt;mso-position-horizontal-relative:page;mso-position-vertical-relative:page;z-index:-1164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4616" type="#_x0000_t75" stroked="false">
          <v:imagedata r:id="rId1" o:title=""/>
        </v:shape>
      </w:pict>
    </w:r>
    <w:r>
      <w:rPr/>
      <w:pict>
        <v:shape style="position:absolute;margin-left:523.099976pt;margin-top:782.173889pt;width:17.7pt;height:11pt;mso-position-horizontal-relative:page;mso-position-vertical-relative:page;z-index:-1164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185</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4568" type="#_x0000_t75" stroked="false">
          <v:imagedata r:id="rId1" o:title=""/>
        </v:shape>
      </w:pict>
    </w:r>
    <w:r>
      <w:rPr/>
      <w:pict>
        <v:shape style="position:absolute;margin-left:524.099976pt;margin-top:782.173889pt;width:15.7pt;height:11pt;mso-position-horizontal-relative:page;mso-position-vertical-relative:page;z-index:-11645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4520" type="#_x0000_t75" stroked="false">
          <v:imagedata r:id="rId1" o:title=""/>
        </v:shape>
      </w:pict>
    </w:r>
    <w:r>
      <w:rPr/>
      <w:pict>
        <v:shape style="position:absolute;margin-left:523.099976pt;margin-top:782.173889pt;width:17.7pt;height:11pt;mso-position-horizontal-relative:page;mso-position-vertical-relative:page;z-index:-1164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070007pt;margin-top:36.385609pt;width:231.75pt;height:11.5pt;mso-position-horizontal-relative:page;mso-position-vertical-relative:page;z-index:-1164928" type="#_x0000_t202" filled="false" stroked="false">
          <v:textbox inset="0,0,0,0">
            <w:txbxContent>
              <w:p>
                <w:pPr>
                  <w:pStyle w:val="BodyText"/>
                  <w:spacing w:line="214" w:lineRule="exact"/>
                  <w:ind w:left="20" w:right="0"/>
                  <w:jc w:val="left"/>
                </w:pPr>
                <w:r>
                  <w:rPr/>
                  <w:t>深圳市建筑科学研究院股份有限公司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060"/>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等线 Light" w:hAnsi="等线 Light" w:eastAsia="等线 Light"/>
      <w:sz w:val="24"/>
      <w:szCs w:val="24"/>
    </w:rPr>
  </w:style>
  <w:style w:styleId="Heading4" w:type="paragraph">
    <w:name w:val="Heading 4"/>
    <w:basedOn w:val="Normal"/>
    <w:uiPriority w:val="1"/>
    <w:qFormat/>
    <w:pPr>
      <w:spacing w:before="32"/>
      <w:ind w:left="2060"/>
      <w:outlineLvl w:val="4"/>
    </w:pPr>
    <w:rPr>
      <w:rFonts w:ascii="宋体" w:hAnsi="宋体" w:eastAsia="宋体"/>
      <w:b/>
      <w:bCs/>
      <w:sz w:val="22"/>
      <w:szCs w:val="22"/>
    </w:rPr>
  </w:style>
  <w:style w:styleId="Heading5" w:type="paragraph">
    <w:name w:val="Heading 5"/>
    <w:basedOn w:val="Normal"/>
    <w:uiPriority w:val="1"/>
    <w:qFormat/>
    <w:pPr>
      <w:ind w:left="152"/>
      <w:outlineLvl w:val="5"/>
    </w:pPr>
    <w:rPr>
      <w:rFonts w:ascii="宋体" w:hAnsi="宋体" w:eastAsia="宋体"/>
      <w:sz w:val="22"/>
      <w:szCs w:val="22"/>
    </w:rPr>
  </w:style>
  <w:style w:styleId="Heading6" w:type="paragraph">
    <w:name w:val="Heading 6"/>
    <w:basedOn w:val="Normal"/>
    <w:uiPriority w:val="1"/>
    <w:qFormat/>
    <w:pPr>
      <w:ind w:left="152"/>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szibr.com/" TargetMode="External"/><Relationship Id="rId9" Type="http://schemas.openxmlformats.org/officeDocument/2006/relationships/hyperlink" Target="mailto:ibrir@ibrcn.com" TargetMode="External"/><Relationship Id="rId10" Type="http://schemas.openxmlformats.org/officeDocument/2006/relationships/hyperlink" Target="mailto:Maohw@ibrcn.com"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yperlink" Target="http://www.cninfo.co/" TargetMode="Externa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深圳市建筑科学研究院股份有限公司</dc:creator>
  <dc:title>深圳市建筑科学研究院股份有限公司2019年年度报告全文</dc:title>
  <dcterms:created xsi:type="dcterms:W3CDTF">2020-05-19T05:19:00Z</dcterms:created>
  <dcterms:modified xsi:type="dcterms:W3CDTF">2020-05-19T05:19:00Z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Word 2016</vt:lpwstr>
  </property>
  <property fmtid="{D5CDD505-2E9C-101B-9397-08002B2CF9AE}" pid="4" name="LastSaved">
    <vt:filetime>2020-05-18T00:00:00Z</vt:filetime>
  </property>
</Properties>
</file>